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76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Huston Thad Allen</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03/15/2018</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7"/>
        <w:spacing w:after="0"/>
        <w:rPr>
          <w:sz w:val="20"/>
          <w:szCs w:val="20"/>
          <w:color w:val="auto"/>
        </w:rPr>
      </w:pPr>
      <w:r>
        <w:rPr>
          <w:rFonts w:ascii="Arial" w:cs="Arial" w:eastAsia="Arial" w:hAnsi="Arial"/>
          <w:sz w:val="17"/>
          <w:szCs w:val="17"/>
          <w:color w:val="0000FF"/>
        </w:rPr>
        <w:t>Chief Financial Officer</w:t>
      </w:r>
    </w:p>
    <w:p>
      <w:pPr>
        <w:spacing w:after="0" w:line="316" w:lineRule="exact"/>
        <w:rPr>
          <w:sz w:val="24"/>
          <w:szCs w:val="24"/>
          <w:color w:val="auto"/>
        </w:rPr>
      </w:pPr>
    </w:p>
    <w:p>
      <w:pPr>
        <w:sectPr>
          <w:pgSz w:w="11900" w:h="16838" w:orient="portrait"/>
          <w:cols w:equalWidth="0" w:num="3">
            <w:col w:w="3340" w:space="720"/>
            <w:col w:w="3273" w:space="720"/>
            <w:col w:w="3467"/>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70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920" w:space="14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(Instr. 3 and 4)</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4,243</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Restricted</w:t>
            </w:r>
          </w:p>
        </w:tc>
        <w:tc>
          <w:tcPr>
            <w:tcW w:w="540" w:type="dxa"/>
            <w:vAlign w:val="bottom"/>
            <w:vMerge w:val="restart"/>
          </w:tcPr>
          <w:p>
            <w:pPr>
              <w:jc w:val="center"/>
              <w:ind w:right="10"/>
              <w:spacing w:after="0"/>
              <w:rPr>
                <w:sz w:val="20"/>
                <w:szCs w:val="20"/>
                <w:color w:val="auto"/>
              </w:rPr>
            </w:pPr>
            <w:r>
              <w:rPr>
                <w:rFonts w:ascii="Arial" w:cs="Arial" w:eastAsia="Arial" w:hAnsi="Arial"/>
                <w:sz w:val="17"/>
                <w:szCs w:val="17"/>
                <w:color w:val="0000FF"/>
                <w:w w:val="89"/>
              </w:rPr>
              <w:t>4,243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64,599</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13,837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60"/>
              <w:spacing w:after="0" w:line="144" w:lineRule="exact"/>
              <w:rPr>
                <w:sz w:val="20"/>
                <w:szCs w:val="20"/>
                <w:color w:val="auto"/>
              </w:rPr>
            </w:pPr>
            <w:r>
              <w:rPr>
                <w:rFonts w:ascii="Arial" w:cs="Arial" w:eastAsia="Arial" w:hAnsi="Arial"/>
                <w:sz w:val="13"/>
                <w:szCs w:val="13"/>
                <w:color w:val="0000FF"/>
              </w:rPr>
              <w:t>Appreciation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44" w:lineRule="exact"/>
              <w:rPr>
                <w:sz w:val="20"/>
                <w:szCs w:val="20"/>
                <w:color w:val="auto"/>
              </w:rPr>
            </w:pPr>
            <w:r>
              <w:rPr>
                <w:rFonts w:ascii="Arial" w:cs="Arial" w:eastAsia="Arial" w:hAnsi="Arial"/>
                <w:sz w:val="13"/>
                <w:szCs w:val="13"/>
                <w:color w:val="0000FF"/>
                <w:w w:val="90"/>
              </w:rPr>
              <w:t>13,837</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color w:val="0000FF"/>
                <w:w w:val="94"/>
              </w:rPr>
              <w:t>Appreciation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line="144" w:lineRule="exact"/>
              <w:rPr>
                <w:sz w:val="20"/>
                <w:szCs w:val="20"/>
                <w:color w:val="auto"/>
              </w:rPr>
            </w:pPr>
            <w:r>
              <w:rPr>
                <w:rFonts w:ascii="Arial" w:cs="Arial" w:eastAsia="Arial" w:hAnsi="Arial"/>
                <w:sz w:val="13"/>
                <w:szCs w:val="13"/>
                <w:color w:val="0000FF"/>
              </w:rPr>
              <w:t>13,837</w:t>
            </w:r>
          </w:p>
        </w:tc>
        <w:tc>
          <w:tcPr>
            <w:tcW w:w="74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Rights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4,243</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90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jc w:val="center"/>
              <w:ind w:right="10"/>
              <w:spacing w:after="0"/>
              <w:rPr>
                <w:sz w:val="20"/>
                <w:szCs w:val="20"/>
                <w:color w:val="auto"/>
              </w:rPr>
            </w:pPr>
            <w:r>
              <w:rPr>
                <w:rFonts w:ascii="Arial" w:cs="Arial" w:eastAsia="Arial" w:hAnsi="Arial"/>
                <w:sz w:val="17"/>
                <w:szCs w:val="17"/>
                <w:color w:val="0000FF"/>
                <w:w w:val="89"/>
              </w:rPr>
              <w:t>4,243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68,842</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03/15/2018</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4,243</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900" w:type="dxa"/>
            <w:vAlign w:val="bottom"/>
          </w:tcPr>
          <w:p>
            <w:pPr>
              <w:jc w:val="center"/>
              <w:spacing w:after="0"/>
              <w:rPr>
                <w:sz w:val="20"/>
                <w:szCs w:val="20"/>
                <w:color w:val="auto"/>
              </w:rPr>
            </w:pPr>
            <w:r>
              <w:rPr>
                <w:rFonts w:ascii="Arial" w:cs="Arial" w:eastAsia="Arial" w:hAnsi="Arial"/>
                <w:sz w:val="13"/>
                <w:szCs w:val="13"/>
                <w:color w:val="0000FF"/>
                <w:w w:val="88"/>
              </w:rPr>
              <w:t>Performance</w:t>
            </w:r>
          </w:p>
        </w:tc>
        <w:tc>
          <w:tcPr>
            <w:tcW w:w="540" w:type="dxa"/>
            <w:vAlign w:val="bottom"/>
            <w:vMerge w:val="restart"/>
          </w:tcPr>
          <w:p>
            <w:pPr>
              <w:jc w:val="center"/>
              <w:ind w:right="10"/>
              <w:spacing w:after="0"/>
              <w:rPr>
                <w:sz w:val="20"/>
                <w:szCs w:val="20"/>
                <w:color w:val="auto"/>
              </w:rPr>
            </w:pPr>
            <w:r>
              <w:rPr>
                <w:rFonts w:ascii="Arial" w:cs="Arial" w:eastAsia="Arial" w:hAnsi="Arial"/>
                <w:sz w:val="17"/>
                <w:szCs w:val="17"/>
                <w:color w:val="0000FF"/>
                <w:w w:val="89"/>
              </w:rPr>
              <w:t>4,243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73,085</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94"/>
              </w:rPr>
              <w:t>Stock Units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2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88.38 Conversion or Exercise Price of Derivative Security.</w:t>
      </w:r>
    </w:p>
    <w:p>
      <w:pPr>
        <w:spacing w:after="0" w:line="46" w:lineRule="exact"/>
        <w:rPr>
          <w:rFonts w:ascii="Arial" w:cs="Arial" w:eastAsia="Arial" w:hAnsi="Arial"/>
          <w:sz w:val="13"/>
          <w:szCs w:val="13"/>
          <w:color w:val="008000"/>
        </w:rPr>
      </w:pPr>
    </w:p>
    <w:p>
      <w:pPr>
        <w:ind w:left="40" w:right="24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award agreement, the SARs shall vest in equal installments of 25% on each of the first four anniversaries of the grant date, March 15, 2018.</w:t>
      </w:r>
    </w:p>
    <w:p>
      <w:pPr>
        <w:spacing w:after="0" w:line="23" w:lineRule="exact"/>
        <w:rPr>
          <w:rFonts w:ascii="Arial" w:cs="Arial" w:eastAsia="Arial" w:hAnsi="Arial"/>
          <w:sz w:val="13"/>
          <w:szCs w:val="13"/>
          <w:color w:val="008000"/>
        </w:rPr>
      </w:pPr>
    </w:p>
    <w:p>
      <w:pPr>
        <w:ind w:left="40" w:right="22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4,243 PSUs to vest or lapse on the filing of the Company's Annual Report on Form 10-K for the fiscal year ending December 31, 2020 ("2020 Form 10-K") based on the rank of the Company's total shareholder return for the three-year period ending December 31, 2020 relative to the total shareholder return of a benchmark group of companies. The form of agreement for this award was filed with the Securities and Exchange Commission in a Current Report on Form 8-K on March 16, 2018.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jc w:val="both"/>
        <w:ind w:left="40" w:right="180" w:firstLine="4"/>
        <w:spacing w:after="0" w:line="242"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4,243 PSUs to vest or lapse on the filing of the Company's 2020 Form 10-K based on how the Company's cumulative adjusted free cash flow for fiscal years 2018, 2019 and 2020 compares to a target. The form of agreement for this award was filed with the Securities and Exchange Commission on March 16, 2018. The number included in column 5 of Table II reflects the target number of PSUs eligible for vesting.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Sarah K. Mohr as POA</w:t>
            </w:r>
          </w:p>
        </w:tc>
        <w:tc>
          <w:tcPr>
            <w:tcW w:w="760" w:type="dxa"/>
            <w:vAlign w:val="bottom"/>
          </w:tcPr>
          <w:p>
            <w:pPr>
              <w:spacing w:after="0"/>
              <w:rPr>
                <w:sz w:val="20"/>
                <w:szCs w:val="20"/>
                <w:color w:val="auto"/>
              </w:rPr>
            </w:pPr>
            <w:r>
              <w:rPr>
                <w:rFonts w:ascii="Arial" w:cs="Arial" w:eastAsia="Arial" w:hAnsi="Arial"/>
                <w:sz w:val="17"/>
                <w:szCs w:val="17"/>
                <w:color w:val="0000FF"/>
                <w:w w:val="86"/>
              </w:rPr>
              <w:t>03/19/2018</w:t>
            </w:r>
          </w:p>
        </w:tc>
      </w:tr>
      <w:tr>
        <w:trPr>
          <w:trHeight w:val="20"/>
        </w:trPr>
        <w:tc>
          <w:tcPr>
            <w:tcW w:w="1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2019-12-08T12:31:21Z</dcterms:created>
  <dcterms:modified xsi:type="dcterms:W3CDTF">2019-12-08T12:31:21Z</dcterms:modified>
</cp:coreProperties>
</file>