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0"/>
          <w:szCs w:val="20"/>
          <w:b w:val="1"/>
          <w:bCs w:val="1"/>
          <w:color w:val="auto"/>
        </w:rPr>
        <w:t>UNITED STATES</w:t>
      </w:r>
    </w:p>
    <w:p>
      <w:pPr>
        <w:ind w:left="3500"/>
        <w:spacing w:after="0" w:line="19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0"/>
        <w:spacing w:after="0" w:line="209"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080" w:right="1460" w:hanging="2708"/>
        <w:spacing w:after="0" w:line="262" w:lineRule="auto"/>
        <w:tabs>
          <w:tab w:leader="none" w:pos="16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March 31, 2025</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 w:lineRule="exact"/>
        <w:rPr>
          <w:sz w:val="24"/>
          <w:szCs w:val="24"/>
          <w:color w:val="auto"/>
        </w:rPr>
      </w:pPr>
    </w:p>
    <w:p>
      <w:pPr>
        <w:ind w:left="3340" w:right="1460" w:hanging="1974"/>
        <w:spacing w:after="0" w:line="285" w:lineRule="auto"/>
        <w:tabs>
          <w:tab w:leader="none" w:pos="168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9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2538730</wp:posOffset>
            </wp:positionH>
            <wp:positionV relativeFrom="paragraph">
              <wp:posOffset>20955</wp:posOffset>
            </wp:positionV>
            <wp:extent cx="2065020" cy="461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020"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LivaNova PLC</w:t>
      </w:r>
    </w:p>
    <w:p>
      <w:pPr>
        <w:spacing w:after="0" w:line="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52" w:lineRule="exact"/>
        <w:rPr>
          <w:sz w:val="24"/>
          <w:szCs w:val="24"/>
          <w:color w:val="auto"/>
        </w:rPr>
      </w:pPr>
    </w:p>
    <w:tbl>
      <w:tblPr>
        <w:tblLayout w:type="fixed"/>
        <w:tblInd w:w="16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xml:space="preserve">England and Wales </w:t>
            </w:r>
            <w:r>
              <w:rPr>
                <w:rFonts w:ascii="Times New Roman" w:cs="Times New Roman" w:eastAsia="Times New Roman" w:hAnsi="Times New Roman"/>
                <w:sz w:val="16"/>
                <w:szCs w:val="16"/>
                <w:i w:val="1"/>
                <w:iCs w:val="1"/>
                <w:color w:val="FFFFFF"/>
                <w:w w:val="95"/>
              </w:rPr>
              <w:t>...................</w:t>
            </w:r>
          </w:p>
        </w:tc>
        <w:tc>
          <w:tcPr>
            <w:tcW w:w="10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98-1268150</w:t>
            </w:r>
          </w:p>
        </w:tc>
        <w:tc>
          <w:tcPr>
            <w:tcW w:w="2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(State or other jurisdiction of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80"/>
              <w:spacing w:after="0"/>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incorporation or organization)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60"/>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339"/>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rPr>
              <w:t>20 Eastbourne Terrace, London, United Kingdom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W2 6LG</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w w:val="85"/>
              </w:rPr>
              <w:t xml:space="preserve">(Address of principal executive offices) </w:t>
            </w:r>
            <w:r>
              <w:rPr>
                <w:rFonts w:ascii="Times New Roman" w:cs="Times New Roman" w:eastAsia="Times New Roman" w:hAnsi="Times New Roman"/>
                <w:sz w:val="16"/>
                <w:szCs w:val="16"/>
                <w:i w:val="1"/>
                <w:iCs w:val="1"/>
                <w:color w:val="FFFFFF"/>
                <w:w w:val="85"/>
              </w:rPr>
              <w:t>.......................</w:t>
            </w:r>
          </w:p>
        </w:tc>
        <w:tc>
          <w:tcPr>
            <w:tcW w:w="5180" w:type="dxa"/>
            <w:vAlign w:val="bottom"/>
            <w:gridSpan w:val="3"/>
          </w:tcPr>
          <w:p>
            <w:pPr>
              <w:ind w:left="880"/>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382"/>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60"/>
              <w:spacing w:after="0"/>
              <w:rPr>
                <w:sz w:val="20"/>
                <w:szCs w:val="20"/>
                <w:color w:val="auto"/>
              </w:rPr>
            </w:pPr>
            <w:r>
              <w:rPr>
                <w:rFonts w:ascii="Times New Roman" w:cs="Times New Roman" w:eastAsia="Times New Roman" w:hAnsi="Times New Roman"/>
                <w:sz w:val="16"/>
                <w:szCs w:val="16"/>
                <w:i w:val="1"/>
                <w:iCs w:val="1"/>
                <w:color w:val="auto"/>
              </w:rPr>
              <w:t>Registrant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s telephone number, including area code: </w:t>
            </w:r>
            <w:r>
              <w:rPr>
                <w:rFonts w:ascii="Times New Roman" w:cs="Times New Roman" w:eastAsia="Times New Roman" w:hAnsi="Times New Roman"/>
                <w:sz w:val="16"/>
                <w:szCs w:val="16"/>
                <w:b w:val="1"/>
                <w:bCs w:val="1"/>
                <w:color w:val="auto"/>
              </w:rPr>
              <w:t>(44) (0) 203 325-0660</w:t>
            </w:r>
          </w:p>
        </w:tc>
      </w:tr>
      <w:tr>
        <w:trPr>
          <w:trHeight w:val="222"/>
        </w:trPr>
        <w:tc>
          <w:tcPr>
            <w:tcW w:w="1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90"/>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ind w:left="6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5"/>
        </w:trPr>
        <w:tc>
          <w:tcPr>
            <w:tcW w:w="18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Trading Symbol(s)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394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76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LIVN</w:t>
            </w:r>
          </w:p>
        </w:tc>
        <w:tc>
          <w:tcPr>
            <w:tcW w:w="1080" w:type="dxa"/>
            <w:vAlign w:val="bottom"/>
          </w:tcPr>
          <w:p>
            <w:pPr>
              <w:spacing w:after="0"/>
              <w:rPr>
                <w:sz w:val="19"/>
                <w:szCs w:val="19"/>
                <w:color w:val="auto"/>
              </w:rPr>
            </w:pPr>
          </w:p>
        </w:tc>
        <w:tc>
          <w:tcPr>
            <w:tcW w:w="410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6" w:lineRule="exact"/>
        <w:rPr>
          <w:sz w:val="24"/>
          <w:szCs w:val="24"/>
          <w:color w:val="auto"/>
        </w:rPr>
      </w:pPr>
    </w:p>
    <w:p>
      <w:pPr>
        <w:jc w:val="both"/>
        <w:ind w:right="1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10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100"/>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114" w:lineRule="exact"/>
        <w:rPr>
          <w:sz w:val="24"/>
          <w:szCs w:val="24"/>
          <w:color w:val="auto"/>
        </w:rPr>
      </w:pPr>
    </w:p>
    <w:p>
      <w:pPr>
        <w:ind w:right="1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w:t>
            </w:r>
          </w:p>
        </w:tc>
        <w:tc>
          <w:tcPr>
            <w:tcW w:w="5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Outstanding at April 30, 2025</w:t>
            </w:r>
          </w:p>
        </w:tc>
      </w:tr>
      <w:tr>
        <w:trPr>
          <w:trHeight w:val="215"/>
        </w:trPr>
        <w:tc>
          <w:tcPr>
            <w:tcW w:w="6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5240" w:type="dxa"/>
            <w:vAlign w:val="bottom"/>
          </w:tcPr>
          <w:p>
            <w:pPr>
              <w:jc w:val="right"/>
              <w:ind w:right="2219"/>
              <w:spacing w:after="0"/>
              <w:rPr>
                <w:sz w:val="20"/>
                <w:szCs w:val="20"/>
                <w:color w:val="auto"/>
              </w:rPr>
            </w:pPr>
            <w:r>
              <w:rPr>
                <w:rFonts w:ascii="Times New Roman" w:cs="Times New Roman" w:eastAsia="Times New Roman" w:hAnsi="Times New Roman"/>
                <w:sz w:val="16"/>
                <w:szCs w:val="16"/>
                <w:color w:val="auto"/>
              </w:rPr>
              <w:t>54,525,691</w:t>
            </w:r>
          </w:p>
        </w:tc>
      </w:tr>
      <w:tr>
        <w:trPr>
          <w:trHeight w:val="684"/>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57"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LIVANOVA PLC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Item</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2"/>
        </w:trPr>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Definitions</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r>
      <w:tr>
        <w:trPr>
          <w:trHeight w:val="228"/>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Intellectual Property, Trademarks, and Trade Names</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3</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Cautionary Note About Forward-Looking Statements</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0000FF"/>
                <w:w w:val="88"/>
              </w:rPr>
              <w:t>4</w:t>
            </w:r>
          </w:p>
        </w:tc>
      </w:tr>
      <w:tr>
        <w:trPr>
          <w:trHeight w:val="228"/>
        </w:trPr>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2"/>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0000FF"/>
                <w:w w:val="88"/>
              </w:rPr>
              <w:t>5</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28"/>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0000FF"/>
                <w:w w:val="97"/>
              </w:rPr>
              <w:t>1A.</w:t>
            </w: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28"/>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28"/>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170"/>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for the quarter ended March 31, 2025, the following terms and abbreviations have the meanings listed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and the “Company” refer to LivaNova PLC and its consolidated subsidiaries.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77"/>
        </w:trPr>
        <w:tc>
          <w:tcPr>
            <w:tcW w:w="4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2021</w:t>
            </w:r>
          </w:p>
        </w:tc>
        <w:tc>
          <w:tcPr>
            <w:tcW w:w="21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First Lien Credit Agreement</w:t>
            </w:r>
          </w:p>
        </w:tc>
        <w:tc>
          <w:tcPr>
            <w:tcW w:w="140" w:type="dxa"/>
            <w:vAlign w:val="bottom"/>
            <w:tcBorders>
              <w:top w:val="single" w:sz="8" w:color="CCEEFF"/>
            </w:tcBorders>
            <w:shd w:val="clear" w:color="auto" w:fill="CCEEFF"/>
          </w:tcPr>
          <w:p>
            <w:pPr>
              <w:spacing w:after="0"/>
              <w:rPr>
                <w:sz w:val="15"/>
                <w:szCs w:val="15"/>
                <w:color w:val="auto"/>
              </w:rPr>
            </w:pPr>
          </w:p>
        </w:tc>
        <w:tc>
          <w:tcPr>
            <w:tcW w:w="85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First Lien Credit Agreement between LivaNova PLC and its wholly-owned subsidiary, LivaNova USA, Inc., and</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Goldman Sachs Bank USA, as First Lien Administrative Agent and First Lien Collateral Agent, entered into on</w:t>
            </w:r>
          </w:p>
        </w:tc>
      </w:tr>
      <w:tr>
        <w:trPr>
          <w:trHeight w:val="228"/>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13, 2021</w:t>
            </w:r>
          </w:p>
        </w:tc>
      </w:tr>
      <w:tr>
        <w:trPr>
          <w:trHeight w:val="183"/>
        </w:trPr>
        <w:tc>
          <w:tcPr>
            <w:tcW w:w="4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2024</w:t>
            </w:r>
          </w:p>
        </w:tc>
        <w:tc>
          <w:tcPr>
            <w:tcW w:w="226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color w:val="auto"/>
              </w:rPr>
              <w:t>Form 10-K</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LivaNova PLC’s Annual Report on Form 10-K for the year ended December 31, 2024, filed with the SEC on February</w:t>
            </w:r>
          </w:p>
        </w:tc>
      </w:tr>
      <w:tr>
        <w:trPr>
          <w:trHeight w:val="233"/>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25, 2025</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2024</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Restructuring Plan</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 plan, initiated during the first quarter of 2024, to enhance LivaNova’s focus on its core Cardiopulmonary and</w:t>
            </w:r>
          </w:p>
        </w:tc>
      </w:tr>
      <w:tr>
        <w:trPr>
          <w:trHeight w:val="233"/>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Neuromodulation segments</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$287.5 million aggregate principal amount 3.00% unsecured cash exchangeable senior notes due 2025 by private</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placement to qualified institutional buyers pursuant to Rule 144A under the Securities Act, issued by LivaNova USA</w:t>
            </w:r>
          </w:p>
        </w:tc>
      </w:tr>
      <w:tr>
        <w:trPr>
          <w:trHeight w:val="228"/>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June 17, 2020</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$345.0 million aggregate principal amount 2.50% unsecured convertible senior notes due 2029 by private placement</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to qualified institutional buyers pursuant to Rule 144A under the Securities Act, issued by LivaNova PLC on March 8,</w:t>
            </w:r>
          </w:p>
        </w:tc>
      </w:tr>
      <w:tr>
        <w:trPr>
          <w:trHeight w:val="228"/>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AHI</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Apnea-hypopnea index</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ALung</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ALung Technologies, Inc.</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Barclays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Barclays Bank Ireland PLC</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Capped Call Transactions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2025 Capped Calls and the 2029 Capped Calls</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CMS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U.S. Centers for Medicare &amp; Medicaid Services</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Court of Appeal</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Court of Appeal in Milan</w:t>
            </w:r>
          </w:p>
        </w:tc>
      </w:tr>
      <w:tr>
        <w:trPr>
          <w:trHeight w:val="183"/>
        </w:trPr>
        <w:tc>
          <w:tcPr>
            <w:tcW w:w="2680" w:type="dxa"/>
            <w:vAlign w:val="bottom"/>
            <w:gridSpan w:val="3"/>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Delayed Draw Term Facility</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$50.0 million delayed draw term facility under the 2021 First Lien Credit Agreement resulting from the Incremental</w:t>
            </w:r>
          </w:p>
        </w:tc>
      </w:tr>
      <w:tr>
        <w:trPr>
          <w:trHeight w:val="233"/>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Amendment No. 2</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Drug-resistant epilepsy</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DTD</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Difficult-to-treat depression</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ECJ</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Court of Justice</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derivatives associated with the 2025 Notes and 2029 Notes, collectively</w:t>
            </w:r>
          </w:p>
        </w:tc>
      </w:tr>
      <w:tr>
        <w:trPr>
          <w:trHeight w:val="22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Exchange Act of 1934, as amended</w:t>
            </w:r>
          </w:p>
        </w:tc>
      </w:tr>
      <w:tr>
        <w:trPr>
          <w:trHeight w:val="228"/>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w:t>
            </w:r>
          </w:p>
        </w:tc>
      </w:tr>
      <w:tr>
        <w:trPr>
          <w:trHeight w:val="228"/>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HLM</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Heart-lung machine</w:t>
            </w:r>
          </w:p>
        </w:tc>
      </w:tr>
      <w:tr>
        <w:trPr>
          <w:trHeight w:val="183"/>
        </w:trPr>
        <w:tc>
          <w:tcPr>
            <w:tcW w:w="26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8"/>
                <w:szCs w:val="18"/>
                <w:color w:val="auto"/>
              </w:rPr>
              <w:t>ImThera</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ImThera Medical, Inc., acquired by LivaNova in 2018, a company developing an implantable neurostimulation device</w:t>
            </w:r>
          </w:p>
        </w:tc>
      </w:tr>
      <w:tr>
        <w:trPr>
          <w:trHeight w:val="233"/>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 for the treatment of obstructive sleep apnea</w:t>
            </w:r>
          </w:p>
        </w:tc>
      </w:tr>
      <w:tr>
        <w:trPr>
          <w:trHeight w:val="183"/>
        </w:trPr>
        <w:tc>
          <w:tcPr>
            <w:tcW w:w="2680" w:type="dxa"/>
            <w:vAlign w:val="bottom"/>
            <w:gridSpan w:val="3"/>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Incremental Facility Amendment</w:t>
            </w: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An incremental facility amendment to the 2021 First Lien Credit Agreement, dated July 6, 2022</w:t>
            </w:r>
          </w:p>
        </w:tc>
      </w:tr>
      <w:tr>
        <w:trPr>
          <w:trHeight w:val="23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No. 2</w:t>
            </w: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spacing w:after="0"/>
              <w:rPr>
                <w:sz w:val="20"/>
                <w:szCs w:val="20"/>
                <w:color w:val="auto"/>
              </w:rPr>
            </w:pPr>
          </w:p>
        </w:tc>
      </w:tr>
      <w:tr>
        <w:trPr>
          <w:trHeight w:val="183"/>
        </w:trPr>
        <w:tc>
          <w:tcPr>
            <w:tcW w:w="26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8"/>
                <w:szCs w:val="18"/>
                <w:color w:val="auto"/>
              </w:rPr>
              <w:t>Initial Term Facility</w:t>
            </w:r>
          </w:p>
        </w:tc>
        <w:tc>
          <w:tcPr>
            <w:tcW w:w="85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$300.0 million term facility under the 2021 First Lien Credit Agreement, resulting from the Incremental Facility</w:t>
            </w:r>
          </w:p>
        </w:tc>
      </w:tr>
      <w:tr>
        <w:trPr>
          <w:trHeight w:val="233"/>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w:t>
            </w:r>
          </w:p>
        </w:tc>
      </w:tr>
      <w:tr>
        <w:trPr>
          <w:trHeight w:val="183"/>
        </w:trPr>
        <w:tc>
          <w:tcPr>
            <w:tcW w:w="4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ISIN</w:t>
            </w: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National Inspectorate for Nuclear Safety and Radiation Protection, a sub-body of the Italian Ministry of Economic</w:t>
            </w:r>
          </w:p>
        </w:tc>
      </w:tr>
      <w:tr>
        <w:trPr>
          <w:trHeight w:val="233"/>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r>
      <w:tr>
        <w:trPr>
          <w:trHeight w:val="234"/>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LivaNova PLC</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public limited company organized under the laws of England and Wales on February 20, 2015</w:t>
            </w:r>
          </w:p>
        </w:tc>
      </w:tr>
      <w:tr>
        <w:trPr>
          <w:trHeight w:val="788"/>
        </w:trPr>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1</w:t>
            </w:r>
          </w:p>
        </w:tc>
      </w:tr>
      <w:tr>
        <w:trPr>
          <w:trHeight w:val="235"/>
        </w:trPr>
        <w:tc>
          <w:tcPr>
            <w:tcW w:w="420" w:type="dxa"/>
            <w:vAlign w:val="bottom"/>
            <w:tcBorders>
              <w:bottom w:val="single" w:sz="8" w:color="9A9A9A"/>
            </w:tcBorders>
          </w:tcPr>
          <w:p>
            <w:pPr>
              <w:spacing w:after="0"/>
              <w:rPr>
                <w:sz w:val="20"/>
                <w:szCs w:val="20"/>
                <w:color w:val="auto"/>
              </w:rPr>
            </w:pPr>
          </w:p>
        </w:tc>
        <w:tc>
          <w:tcPr>
            <w:tcW w:w="21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90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USA</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LivaNova USA, Inc.</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LSM</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LivaNova Site Management S.r.l.</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MDL</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multi-district litigation in the U.S. District Court for the Middle District of Pennsylvania</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MedTech</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Medical technology</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ODI</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Oxygen desaturation index</w:t>
            </w:r>
          </w:p>
        </w:tc>
      </w:tr>
      <w:tr>
        <w:trPr>
          <w:trHeight w:val="175"/>
        </w:trPr>
        <w:tc>
          <w:tcPr>
            <w:tcW w:w="23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Option Counterparties</w:t>
            </w:r>
          </w:p>
        </w:tc>
        <w:tc>
          <w:tcPr>
            <w:tcW w:w="890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8"/>
                <w:szCs w:val="18"/>
                <w:color w:val="auto"/>
              </w:rPr>
              <w:t>Certain financial institutions with whom LivaNova USA or LivaNova PLC, as applicable, has entered into the 2025</w:t>
            </w:r>
          </w:p>
        </w:tc>
      </w:tr>
      <w:tr>
        <w:trPr>
          <w:trHeight w:val="242"/>
        </w:trPr>
        <w:tc>
          <w:tcPr>
            <w:tcW w:w="2340" w:type="dxa"/>
            <w:vAlign w:val="bottom"/>
            <w:shd w:val="clear" w:color="auto" w:fill="CCEEFF"/>
          </w:tcPr>
          <w:p>
            <w:pPr>
              <w:spacing w:after="0"/>
              <w:rPr>
                <w:sz w:val="21"/>
                <w:szCs w:val="21"/>
                <w:color w:val="auto"/>
              </w:rPr>
            </w:pP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Capped Calls and 2029 Capped Calls</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OSA</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Obstructive sleep apnea</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OSPREY clinical trial</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LivaNova’s clinical trial, “Treating Obstructive Sleep Apnea using Targeted Hypoglossal Neurostimulation”</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Pillar Two</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Organisation for Economic Co-operation and Development Global Anti-Base Erosion Model Rules (Pillar Two)</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Administrations</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Italian Ministry of the Environment and other Italian government agencies</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This Quarterly Report on Form 10-Q</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appreciation rights</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Securities Act of 1933, as amended</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SNIA S.p.A.</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Litigation Guarantee</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first demand bank guarantee of €270.0 million in connection with the SNIA environmental litigation</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Sorin</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Sorin S.p.A.</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Initial Term Facility, together with the Delayed Draw Term Facility</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dollar</w:t>
            </w:r>
          </w:p>
        </w:tc>
      </w:tr>
      <w:tr>
        <w:trPr>
          <w:trHeight w:val="22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VNS Therapy</w:t>
            </w:r>
          </w:p>
        </w:tc>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LivaNova Vagus Nerve Stimulation Therapy</w:t>
            </w:r>
          </w:p>
        </w:tc>
      </w:tr>
      <w:tr>
        <w:trPr>
          <w:trHeight w:val="793"/>
        </w:trPr>
        <w:tc>
          <w:tcPr>
            <w:tcW w:w="2340" w:type="dxa"/>
            <w:vAlign w:val="bottom"/>
          </w:tcPr>
          <w:p>
            <w:pPr>
              <w:spacing w:after="0"/>
              <w:rPr>
                <w:sz w:val="24"/>
                <w:szCs w:val="24"/>
                <w:color w:val="auto"/>
              </w:rPr>
            </w:pPr>
          </w:p>
        </w:tc>
        <w:tc>
          <w:tcPr>
            <w:tcW w:w="890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2</w:t>
            </w:r>
          </w:p>
        </w:tc>
      </w:tr>
      <w:tr>
        <w:trPr>
          <w:trHeight w:val="235"/>
        </w:trPr>
        <w:tc>
          <w:tcPr>
            <w:tcW w:w="2340" w:type="dxa"/>
            <w:vAlign w:val="bottom"/>
            <w:tcBorders>
              <w:bottom w:val="single" w:sz="8" w:color="9A9A9A"/>
            </w:tcBorders>
          </w:tcPr>
          <w:p>
            <w:pPr>
              <w:spacing w:after="0"/>
              <w:rPr>
                <w:sz w:val="20"/>
                <w:szCs w:val="20"/>
                <w:color w:val="auto"/>
              </w:rPr>
            </w:pPr>
          </w:p>
        </w:tc>
        <w:tc>
          <w:tcPr>
            <w:tcW w:w="89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p>
      <w:pPr>
        <w:ind w:left="2320"/>
        <w:spacing w:after="0"/>
        <w:rPr>
          <w:sz w:val="20"/>
          <w:szCs w:val="20"/>
          <w:color w:val="auto"/>
        </w:rPr>
      </w:pPr>
      <w:r>
        <w:rPr>
          <w:rFonts w:ascii="Times New Roman" w:cs="Times New Roman" w:eastAsia="Times New Roman" w:hAnsi="Times New Roman"/>
          <w:sz w:val="21"/>
          <w:szCs w:val="21"/>
          <w:b w:val="1"/>
          <w:bCs w:val="1"/>
          <w:color w:val="auto"/>
        </w:rPr>
        <w:t>INTELLECTUAL PROPERTY, TRADEMARKS, AND TRADE NAMES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may contain references to LivaNova’s proprietary intellectual property, including among others:</w:t>
      </w:r>
    </w:p>
    <w:p>
      <w:pPr>
        <w:spacing w:after="0" w:line="74" w:lineRule="exact"/>
        <w:rPr>
          <w:sz w:val="20"/>
          <w:szCs w:val="20"/>
          <w:color w:val="auto"/>
        </w:rPr>
      </w:pPr>
    </w:p>
    <w:p>
      <w:pPr>
        <w:jc w:val="both"/>
        <w:ind w:left="660" w:hanging="330"/>
        <w:spacing w:after="0" w:line="1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LivaNova’s Neuromodulation systems, the VNS Therapy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System, and LivaNova’s proprietary pulse generator products: Model 102 (Pulse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102R (Pulse Duo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103 (Demipulse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104 (Demipulse Duo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106 (AspireSR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1000 (SenTiva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Model 1000-D (SenTiva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Duo), and Model 8103 (Symmetry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660" w:hanging="330"/>
        <w:spacing w:after="0" w:line="185"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LivaNova’s Cardiopulmonary products and systems: Essenz™, S5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S5 Pro™, B-Capta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Inspire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Heartlink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XTRA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3T Heater-Cooler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Connect™, and Revolution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ind w:left="660" w:hanging="330"/>
        <w:spacing w:after="0" w:line="1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advanced circulatory support systems: TandemLife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TandemHeart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TandemLung</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ProtekDuo</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8"/>
          <w:szCs w:val="18"/>
          <w:color w:val="auto"/>
        </w:rPr>
        <w:t xml:space="preserve"> LifeSPARC™, ALung™, Hemolung™, Respiratory Dialysis™, and ActivMix™.</w:t>
      </w: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obstructive sleep apnea system: ImThera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and aura6000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w:t>
      </w: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the Company will not assert, to the fullest extent under applicable law, LivaNova’s rights to these trademarks and trade names.</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b w:val="1"/>
          <w:bCs w:val="1"/>
          <w:color w:val="auto"/>
        </w:rPr>
        <w:t>CAUTIONARY NOTE ABOUT FORWARD-LOOKING STATEMENTS</w:t>
      </w:r>
    </w:p>
    <w:p>
      <w:pPr>
        <w:spacing w:after="0" w:line="10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adverse changes in export and import costs and other trade restrictions as well as uncertainty over global tariffs;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Other factors that could cause LivaNova’s actual results to differ from projected results are described in: (1) “Part II, Item 1A. Risk Factors” and elsewhere in this and the Company’s other Quarterly Reports on Form 10-Q, (2) the Company’s 2024 Form 10-K, (3) the Company’s reports and registration statements filed with and furnished from time to time to the SEC, and (4) other announcements LivaNova makes from time to time.</w:t>
      </w:r>
    </w:p>
    <w:p>
      <w:pPr>
        <w:spacing w:after="0" w:line="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The following discussion and analysis should be read in conjunction with the Company’s unaudited condensed consolidated financial statements and related notes included elsewhere in this Report. Operating results for the three months ended March 31, 2025 are not necessarily indicative of future results, including the full fiscal year. Please also refer to the Company’s “Annual Consolidated Financial Statements,” “Notes” thereto, “Management’s Discussion and Analysis of Financial Condition and Results of Operations,” and “Risk Factors” contained in LivaNova’s 2024 Form 10-K and in the Company’s Quarterly Reports on Form 10-Q.</w:t>
      </w:r>
    </w:p>
    <w:p>
      <w:pPr>
        <w:spacing w:after="0" w:line="6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b w:val="1"/>
          <w:bCs w:val="1"/>
          <w:color w:val="auto"/>
        </w:rPr>
        <w:t>FINANCIAL INFORMATION AND CURRENCY OF FINANCIAL STATEMENTS</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of the financial information included in this Report has been prepared in accordance with U.S. GAAP. The reporting currency of the Company’s condensed consolidated financial statements is USD.</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66" w:lineRule="exact"/>
        <w:rPr>
          <w:sz w:val="20"/>
          <w:szCs w:val="20"/>
          <w:color w:val="auto"/>
        </w:rPr>
      </w:pPr>
    </w:p>
    <w:p>
      <w:pPr>
        <w:jc w:val="center"/>
        <w:spacing w:after="0" w:line="303" w:lineRule="auto"/>
        <w:rPr>
          <w:sz w:val="20"/>
          <w:szCs w:val="20"/>
          <w:color w:val="auto"/>
        </w:rPr>
      </w:pPr>
      <w:r>
        <w:rPr>
          <w:rFonts w:ascii="Times New Roman" w:cs="Times New Roman" w:eastAsia="Times New Roman" w:hAnsi="Times New Roman"/>
          <w:sz w:val="21"/>
          <w:szCs w:val="21"/>
          <w:b w:val="1"/>
          <w:bCs w:val="1"/>
          <w:color w:val="auto"/>
        </w:rPr>
        <w:t>LIVANOVA PLC AND SUBSIDIARIES CONDENSED CONSOLIDATED STATEMENTS OF INCOME (LOSS)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4540" w:type="dxa"/>
            <w:vAlign w:val="bottom"/>
            <w:gridSpan w:val="2"/>
          </w:tcPr>
          <w:p>
            <w:pPr>
              <w:jc w:val="right"/>
              <w:ind w:right="119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95"/>
        </w:trPr>
        <w:tc>
          <w:tcPr>
            <w:tcW w:w="3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222"/>
        </w:trPr>
        <w:tc>
          <w:tcPr>
            <w:tcW w:w="386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294,912</w:t>
            </w:r>
          </w:p>
        </w:tc>
      </w:tr>
      <w:tr>
        <w:trPr>
          <w:trHeight w:val="228"/>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3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87,522</w:t>
            </w:r>
          </w:p>
        </w:tc>
      </w:tr>
      <w:tr>
        <w:trPr>
          <w:trHeight w:val="222"/>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207,390</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8"/>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129,863</w:t>
            </w:r>
          </w:p>
        </w:tc>
      </w:tr>
      <w:tr>
        <w:trPr>
          <w:trHeight w:val="228"/>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45,664</w:t>
            </w:r>
          </w:p>
        </w:tc>
      </w:tr>
      <w:tr>
        <w:trPr>
          <w:trHeight w:val="228"/>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3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w:t>
            </w:r>
          </w:p>
        </w:tc>
      </w:tr>
      <w:tr>
        <w:trPr>
          <w:trHeight w:val="222"/>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(360,393)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3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w:t>
            </w:r>
          </w:p>
        </w:tc>
      </w:tr>
      <w:tr>
        <w:trPr>
          <w:trHeight w:val="222"/>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3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5"/>
        </w:trPr>
        <w:tc>
          <w:tcPr>
            <w:tcW w:w="38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Net loss</w:t>
            </w:r>
          </w:p>
        </w:tc>
        <w:tc>
          <w:tcPr>
            <w:tcW w:w="3340" w:type="dxa"/>
            <w:vAlign w:val="bottom"/>
          </w:tcPr>
          <w:p>
            <w:pPr>
              <w:spacing w:after="0"/>
              <w:rPr>
                <w:sz w:val="16"/>
                <w:szCs w:val="16"/>
                <w:color w:val="auto"/>
              </w:rPr>
            </w:pPr>
          </w:p>
        </w:tc>
        <w:tc>
          <w:tcPr>
            <w:tcW w:w="1200" w:type="dxa"/>
            <w:vAlign w:val="bottom"/>
            <w:tcBorders>
              <w:bottom w:val="single" w:sz="8" w:color="auto"/>
            </w:tcBorders>
          </w:tcPr>
          <w:p>
            <w:pPr>
              <w:jc w:val="right"/>
              <w:ind w:right="9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(327,322)</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0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(41,943)</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6"/>
        </w:trPr>
        <w:tc>
          <w:tcPr>
            <w:tcW w:w="386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8"/>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45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28"/>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454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69"/>
        </w:trPr>
        <w:tc>
          <w:tcPr>
            <w:tcW w:w="38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loss per share</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54,008</w:t>
            </w: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diluted loss per share</w:t>
            </w:r>
          </w:p>
        </w:tc>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COMPREHENSIVE LOSS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2"/>
        </w:trPr>
        <w:tc>
          <w:tcPr>
            <w:tcW w:w="7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(41,943)</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8"/>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w:t>
            </w:r>
          </w:p>
        </w:tc>
      </w:tr>
      <w:tr>
        <w:trPr>
          <w:trHeight w:val="22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(17,323)</w:t>
            </w:r>
          </w:p>
        </w:tc>
      </w:tr>
      <w:tr>
        <w:trPr>
          <w:trHeight w:val="24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0"/>
                <w:szCs w:val="20"/>
                <w:color w:val="auto"/>
              </w:rPr>
            </w:pP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6"/>
        </w:trPr>
        <w:tc>
          <w:tcPr>
            <w:tcW w:w="724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428,858</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294,698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of $11,482 at March 31, 2025 and $11,275 at December 31, 2024</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193,158</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30,544</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32,362</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1,127,186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170,260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761,911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237,294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46,837</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derivative assets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14,132</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2,558,746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2,506,389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78,004</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118,485</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litigation provision liability</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related benefits</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80,536</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392,125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549,624</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84,218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employee compensation and related benefits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12,847</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derivative liabilities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51,819</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44,478</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1,186,131</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Stockholders’ Equity:</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24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Ordinary Shares, £1.00 par value: unlimited shares authorized; 55,440,867 shares issued and 54,522,652</w:t>
            </w:r>
          </w:p>
        </w:tc>
        <w:tc>
          <w:tcPr>
            <w:tcW w:w="24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83,156</w:t>
            </w:r>
          </w:p>
        </w:tc>
        <w:tc>
          <w:tcPr>
            <w:tcW w:w="0" w:type="dxa"/>
            <w:vAlign w:val="bottom"/>
          </w:tcPr>
          <w:p>
            <w:pPr>
              <w:spacing w:after="0"/>
              <w:rPr>
                <w:sz w:val="1"/>
                <w:szCs w:val="1"/>
                <w:color w:val="auto"/>
              </w:rPr>
            </w:pPr>
          </w:p>
        </w:tc>
      </w:tr>
      <w:tr>
        <w:trPr>
          <w:trHeight w:val="161"/>
        </w:trPr>
        <w:tc>
          <w:tcPr>
            <w:tcW w:w="72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shares outstanding at March 31, 2025; 54,437,670 shares issued and 54,348,542 shares outstanding at</w:t>
            </w:r>
          </w:p>
        </w:tc>
        <w:tc>
          <w:tcPr>
            <w:tcW w:w="240" w:type="dxa"/>
            <w:vAlign w:val="bottom"/>
            <w:shd w:val="clear" w:color="auto" w:fill="CCEEFF"/>
          </w:tcPr>
          <w:p>
            <w:pPr>
              <w:spacing w:after="0"/>
              <w:rPr>
                <w:sz w:val="14"/>
                <w:szCs w:val="14"/>
                <w:color w:val="auto"/>
              </w:rPr>
            </w:pPr>
          </w:p>
        </w:tc>
        <w:tc>
          <w:tcPr>
            <w:tcW w:w="1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40"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13295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31" w:lineRule="exact"/>
        <w:rPr>
          <w:sz w:val="20"/>
          <w:szCs w:val="20"/>
          <w:color w:val="auto"/>
        </w:rPr>
      </w:pPr>
    </w:p>
    <w:p>
      <w:pPr>
        <w:ind w:left="20" w:right="740"/>
        <w:spacing w:after="0" w:line="243" w:lineRule="auto"/>
        <w:rPr>
          <w:sz w:val="20"/>
          <w:szCs w:val="20"/>
          <w:color w:val="auto"/>
        </w:rPr>
      </w:pPr>
      <w:r>
        <w:rPr>
          <w:rFonts w:ascii="Times New Roman" w:cs="Times New Roman" w:eastAsia="Times New Roman" w:hAnsi="Times New Roman"/>
          <w:sz w:val="16"/>
          <w:szCs w:val="16"/>
          <w:color w:val="auto"/>
        </w:rPr>
        <w:t>Treasury stock at cost, 918,215 ordinary shares at March 31, 2025; 89,128 ordinary shares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-235585</wp:posOffset>
            </wp:positionV>
            <wp:extent cx="7132955" cy="238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23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2,224,578</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2,220,658</w:t>
            </w:r>
          </w:p>
        </w:tc>
      </w:tr>
      <w:tr>
        <w:trPr>
          <w:trHeight w:val="215"/>
        </w:trPr>
        <w:tc>
          <w:tcPr>
            <w:tcW w:w="14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(42,728)</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(80,170)</w:t>
            </w:r>
          </w:p>
        </w:tc>
      </w:tr>
      <w:tr>
        <w:trPr>
          <w:trHeight w:val="215"/>
        </w:trPr>
        <w:tc>
          <w:tcPr>
            <w:tcW w:w="14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(1,230,572)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(903,250)</w:t>
            </w:r>
          </w:p>
        </w:tc>
      </w:tr>
      <w:tr>
        <w:trPr>
          <w:trHeight w:val="296"/>
        </w:trPr>
        <w:tc>
          <w:tcPr>
            <w:tcW w:w="14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(1,426)</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bl>
    <w:p>
      <w:pPr>
        <w:spacing w:after="0" w:line="83" w:lineRule="exact"/>
        <w:rPr>
          <w:sz w:val="20"/>
          <w:szCs w:val="20"/>
          <w:color w:val="auto"/>
        </w:rPr>
      </w:pPr>
    </w:p>
    <w:p>
      <w:pPr>
        <w:sectPr>
          <w:pgSz w:w="11900" w:h="16838" w:orient="portrait"/>
          <w:cols w:equalWidth="0" w:num="2">
            <w:col w:w="7680" w:space="720"/>
            <w:col w:w="2840"/>
          </w:cols>
          <w:pgMar w:left="320" w:top="740"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6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1,034,298</w:t>
            </w:r>
          </w:p>
        </w:tc>
        <w:tc>
          <w:tcPr>
            <w:tcW w:w="1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1,320,258</w:t>
            </w:r>
          </w:p>
        </w:tc>
      </w:tr>
      <w:tr>
        <w:trPr>
          <w:trHeight w:val="231"/>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2,558,746</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2,506,389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9" w:name="page10"/>
    <w:bookmarkEnd w:id="9"/>
    <w:p>
      <w:pPr>
        <w:jc w:val="center"/>
        <w:ind w:left="500" w:right="2300"/>
        <w:spacing w:after="0" w:line="303" w:lineRule="auto"/>
        <w:rPr>
          <w:sz w:val="20"/>
          <w:szCs w:val="20"/>
          <w:color w:val="auto"/>
        </w:rPr>
      </w:pPr>
      <w:r>
        <w:rPr>
          <w:rFonts w:ascii="Times New Roman" w:cs="Times New Roman" w:eastAsia="Times New Roman" w:hAnsi="Times New Roman"/>
          <w:sz w:val="21"/>
          <w:szCs w:val="21"/>
          <w:b w:val="1"/>
          <w:bCs w:val="1"/>
          <w:color w:val="auto"/>
        </w:rPr>
        <w:t>LIVANOVA PLC AND SUBSIDIARIES CONDENSED CONSOLIDATED STATEMENTS OF CASH FLOWS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3320" w:type="dxa"/>
            <w:vAlign w:val="bottom"/>
            <w:gridSpan w:val="2"/>
          </w:tcPr>
          <w:p>
            <w:pPr>
              <w:jc w:val="right"/>
              <w:ind w:right="2113"/>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320" w:type="dxa"/>
            <w:vAlign w:val="bottom"/>
            <w:gridSpan w:val="2"/>
            <w:shd w:val="clear" w:color="auto" w:fill="CCEEFF"/>
          </w:tcPr>
          <w:p>
            <w:pPr>
              <w:jc w:val="right"/>
              <w:ind w:right="103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(327,322)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(41,943)</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derivative instruments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10,226</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investment revaluation - Ceribell, Inc.</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contingent consideration to fair value</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25,482</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current and non-current liabilities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(30,516)</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(15,576)</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c>
          <w:tcPr>
            <w:tcW w:w="0" w:type="dxa"/>
            <w:vAlign w:val="bottom"/>
          </w:tcPr>
          <w:p>
            <w:pPr>
              <w:spacing w:after="0"/>
              <w:rPr>
                <w:sz w:val="1"/>
                <w:szCs w:val="1"/>
                <w:color w:val="auto"/>
              </w:rPr>
            </w:pPr>
          </w:p>
        </w:tc>
      </w:tr>
      <w:tr>
        <w:trPr>
          <w:trHeight w:val="212"/>
        </w:trPr>
        <w:tc>
          <w:tcPr>
            <w:tcW w:w="5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360,393</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 provision liability</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6,235</w:t>
            </w:r>
          </w:p>
        </w:tc>
        <w:tc>
          <w:tcPr>
            <w:tcW w:w="0" w:type="dxa"/>
            <w:vAlign w:val="bottom"/>
          </w:tcPr>
          <w:p>
            <w:pPr>
              <w:spacing w:after="0"/>
              <w:rPr>
                <w:sz w:val="1"/>
                <w:szCs w:val="1"/>
                <w:color w:val="auto"/>
              </w:rPr>
            </w:pPr>
          </w:p>
        </w:tc>
      </w:tr>
      <w:tr>
        <w:trPr>
          <w:trHeight w:val="20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23,966</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long-term debt obligations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335,513</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(38,953)</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capped calls</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(31,637)</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unwind of capped calls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22,523</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21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37,147</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06"/>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14,881</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723,556</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577,872</w:t>
            </w:r>
          </w:p>
        </w:tc>
        <w:tc>
          <w:tcPr>
            <w:tcW w:w="0" w:type="dxa"/>
            <w:vAlign w:val="bottom"/>
          </w:tcPr>
          <w:p>
            <w:pPr>
              <w:spacing w:after="0"/>
              <w:rPr>
                <w:sz w:val="1"/>
                <w:szCs w:val="1"/>
                <w:color w:val="auto"/>
              </w:rPr>
            </w:pPr>
          </w:p>
        </w:tc>
      </w:tr>
      <w:tr>
        <w:trPr>
          <w:trHeight w:val="20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100" w:type="dxa"/>
            <w:vAlign w:val="bottom"/>
          </w:tcPr>
          <w:p>
            <w:pPr>
              <w:spacing w:after="0"/>
              <w:rPr>
                <w:sz w:val="17"/>
                <w:szCs w:val="17"/>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738,437</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615,683</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LIVANOVA PLC AND SUBSIDIARIES</w:t>
      </w:r>
    </w:p>
    <w:p>
      <w:pPr>
        <w:spacing w:after="0" w:line="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NOTES TO THE CONDENSED CONSOLIDATED 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(Unaudited)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LivaNova and the notes thereto as of and for the three months ended March 31, 2025 and 2024 have been prepared in accordance with U.S. GAAP for interim financial information and the instructions to Form 10-Q and Article 10 of Regulation S-X. The accompanying condensed consolidated balance sheet of LivaNova at December 31, 2024 has been derived from audited consolidated financial statements contained in LivaNova’s 2024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months ended March 31, 2025 and are not necessarily indicative of the results that may be expected for the year ending December 31, 2025. The financial information presented herein should be read in conjunction with the audited consolidated financial statements and notes thereto accompanying LivaNova’s 2024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Cybersecurity Incident</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For further discussion on legal and regulatory developments, refer to “Note 5. Commitments and Contingencies.” The incident has been contained, and the Company’s mitigation efforts are considered complete.</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31, 2025, LivaNova incurred direct costs totaling $12.4 million in connection with this cybersecurity incident, including $0.8 million and $2.8 million for the three months ended March 31, 2025 and 2024, respectively. The total direct costs incurred primarily include external cybersecurity expert and legal fees, system restoration costs, and a $1.2 million provision related to the class action settlement, and do not include business interruption losses. The Company expects to incur additional costs related to this incident in the future. For further discussion on potential legal and regulatory developments, refer to “Note 5. Commitments and Contingencies.” LivaNova maintains insurance, including cyber insurance, which is subject to certain retentions and policy limitations that will likely limit the amount that the insurers may reimburse the Company. LivaNova has filed claims for insurance reimbursement of covered costs and business interruption losses related to this incident and has submitted additional claims and supplemental requests for reimbursement as new costs have been incurred. Through March 31, 2025, LivaNova had received $8.6 million, including $5.2 million in reimbursement of business incident costs and $3.4 million in reimbursement of business interruption losses. For the three months ended March 31, 2025, LivaNova received $0.1 million in reimbursement of business incident costs. The Company’s insurance coverage may be insufficient to cover all costs and expenses related to this cybersecurity incident or may be unavailable to cover all costs and expenses related to this cybersecurity incident.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Accounting Policies</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LivaNova’s significant accounting policies are included within “Note 2. Basis of Presentation, Use of Accounting Estimates, and Significant Accounting Policies” and “Note 3. Revenue Recognition” of LivaNova’s 2024 Form 10-K.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Derivatives and Risk Management</w:t>
      </w:r>
    </w:p>
    <w:p>
      <w:pPr>
        <w:spacing w:after="0" w:line="11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Due to the global nature of LivaNova’s operations, the Company is exposed to FX fluctuations. LivaNova enters into FX derivative contracts to reduce the impact of FX fluctuations on earnings and cash flow.</w:t>
      </w:r>
    </w:p>
    <w:p>
      <w:pPr>
        <w:spacing w:after="0" w:line="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spacing w:after="0" w:line="8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LivaNova measures all outstanding derivatives each period-end at fair value and reports the fair value as either financial assets or liabilities on the condensed consolidated balance sheets. At the inception of the contract, the derivative is designated as either</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jc w:val="both"/>
        <w:spacing w:after="0" w:line="269" w:lineRule="auto"/>
        <w:rPr>
          <w:sz w:val="20"/>
          <w:szCs w:val="20"/>
          <w:color w:val="auto"/>
        </w:rPr>
      </w:pPr>
      <w:r>
        <w:rPr>
          <w:rFonts w:ascii="Times New Roman" w:cs="Times New Roman" w:eastAsia="Times New Roman" w:hAnsi="Times New Roman"/>
          <w:sz w:val="18"/>
          <w:szCs w:val="18"/>
          <w:color w:val="auto"/>
        </w:rPr>
        <w:t>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in LivaNova’s condensed consolidated statements of cash flows. LivaNova had no designated hedging instruments as of March 31, 2025 and December 31, 2024.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FX Derivatives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gross notional amount of freestanding FX derivative contracts not designated as hedging instruments outstanding as of March 31, 2025 and December 31, 2024 was $323.2 million and $442.3 million, respectively. These derivative contracts are designed to offset the FX effects in earnings of various intercompany loans and trade receivables. LivaNova recorded net gains of $10.4 million and $3.2 million for these freestanding derivatives for the three months ended March 31, 2025 and 2024, respectively. These amounts are included in foreign exchange and other income/(expense) in LivaNova’s condensed consolidated statements of income (loss).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Capped Call Derivatives</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Capped Call Transactions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The Capped Call Transactions are measured at fair value using the Black-Scholes model utilizing observable and unobservable market data, including stock price, remaining contractual term, expected volatility, risk-free interest rate, and expected dividend yield, as applicable. For additional information regarding the Capped Call Transactions, refer to LivaNova’s 2024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Derivatives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2025 Notes and 2029 Notes each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condensed consolidated statements of income (loss).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Counterparty Credit Risk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is exposed to credit risk in the event of non-performance by the counterparties to the Company’s derivatives.</w:t>
      </w:r>
    </w:p>
    <w:p>
      <w:pPr>
        <w:spacing w:after="0" w:line="1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one or more of the Option Counterparties becomes subject to insolvency proceedings, LivaNova will become an unsecured creditor in those proceedings, with a claim equal to the Company’s exposure at that time under the 2025 Capped Calls and/or 2029 Capped Calls, as applicable, with that Option Counterparty.</w:t>
      </w:r>
    </w:p>
    <w:p>
      <w:pPr>
        <w:spacing w:after="0" w:line="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Presentation</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tables present the fair value and the location of derivative contracts reported on the condensed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p>
        </w:tc>
        <w:tc>
          <w:tcPr>
            <w:tcW w:w="272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380" w:type="dxa"/>
            <w:vAlign w:val="bottom"/>
            <w:tcBorders>
              <w:bottom w:val="single" w:sz="8" w:color="auto"/>
            </w:tcBorders>
            <w:gridSpan w:val="2"/>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Capped call derivatives (2025 Notes)</w:t>
            </w:r>
          </w:p>
        </w:tc>
        <w:tc>
          <w:tcPr>
            <w:tcW w:w="2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Prepaid expenses and other</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86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call derivatives (2029 Notes)</w:t>
            </w: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(2025 Notes)</w:t>
            </w:r>
          </w:p>
        </w:tc>
        <w:tc>
          <w:tcPr>
            <w:tcW w:w="2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Embedded derivative (2029 Notes)</w:t>
            </w:r>
          </w:p>
        </w:tc>
        <w:tc>
          <w:tcPr>
            <w:tcW w:w="2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Long-term derivative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37,226</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FX derivative contracts</w:t>
            </w:r>
          </w:p>
        </w:tc>
        <w:tc>
          <w:tcPr>
            <w:tcW w:w="2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Prepaid expenses and other</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86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derivatives not designated as hedging</w:t>
            </w:r>
          </w:p>
        </w:tc>
        <w:tc>
          <w:tcPr>
            <w:tcW w:w="2180" w:type="dxa"/>
            <w:vAlign w:val="bottom"/>
          </w:tcPr>
          <w:p>
            <w:pPr>
              <w:spacing w:after="0"/>
              <w:rPr>
                <w:sz w:val="13"/>
                <w:szCs w:val="13"/>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20,874</w:t>
            </w: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38,119</w:t>
            </w: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40" w:hanging="310"/>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classification of inputs used to evaluate the fair value of LivaNova’s derivatives, refer to “Note 3. Fair Value Measurements.”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p>
        </w:tc>
        <w:tc>
          <w:tcPr>
            <w:tcW w:w="36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7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r>
      <w:tr>
        <w:trPr>
          <w:trHeight w:val="222"/>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line="222" w:lineRule="exact"/>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Borders>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40" w:type="dxa"/>
            <w:vAlign w:val="bottom"/>
            <w:tcBorders>
              <w:top w:val="single" w:sz="8" w:color="auto"/>
              <w:bottom w:val="single" w:sz="8" w:color="auto"/>
            </w:tcBorders>
          </w:tcPr>
          <w:p>
            <w:pPr>
              <w:ind w:left="26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3"/>
                <w:szCs w:val="23"/>
                <w:b w:val="1"/>
                <w:bCs w:val="1"/>
                <w:color w:val="auto"/>
                <w:vertAlign w:val="superscript"/>
              </w:rPr>
              <w:t>(1)</w:t>
            </w:r>
          </w:p>
        </w:tc>
      </w:tr>
      <w:tr>
        <w:trPr>
          <w:trHeight w:val="222"/>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83"/>
        </w:trPr>
        <w:tc>
          <w:tcPr>
            <w:tcW w:w="38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Capped call derivatives (2025 Notes)</w:t>
            </w:r>
          </w:p>
        </w:tc>
        <w:tc>
          <w:tcPr>
            <w:tcW w:w="20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3"/>
        </w:trPr>
        <w:tc>
          <w:tcPr>
            <w:tcW w:w="386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Capped call derivatives (2029 Notes)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Embedded derivative (2025 Notes)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Embedded derivative (2029 Notes)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FX derivative contracts</w:t>
      </w:r>
    </w:p>
    <w:p>
      <w:pPr>
        <w:spacing w:after="0" w:line="210" w:lineRule="exact"/>
        <w:rPr>
          <w:sz w:val="20"/>
          <w:szCs w:val="20"/>
          <w:color w:val="auto"/>
        </w:rPr>
      </w:pPr>
    </w:p>
    <w:p>
      <w:pPr>
        <w:ind w:left="20" w:right="40"/>
        <w:spacing w:after="0" w:line="248" w:lineRule="auto"/>
        <w:rPr>
          <w:sz w:val="20"/>
          <w:szCs w:val="20"/>
          <w:color w:val="auto"/>
        </w:rPr>
      </w:pPr>
      <w:r>
        <w:rPr>
          <w:rFonts w:ascii="Times New Roman" w:cs="Times New Roman" w:eastAsia="Times New Roman" w:hAnsi="Times New Roman"/>
          <w:sz w:val="18"/>
          <w:szCs w:val="18"/>
          <w:color w:val="auto"/>
        </w:rPr>
        <w:t>Total derivatives not designated as hedging instruments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2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Long-term derivative</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2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0" w:type="dxa"/>
            <w:vAlign w:val="bottom"/>
          </w:tcPr>
          <w:p>
            <w:pPr>
              <w:spacing w:after="0"/>
              <w:rPr>
                <w:sz w:val="1"/>
                <w:szCs w:val="1"/>
                <w:color w:val="auto"/>
              </w:rPr>
            </w:pPr>
          </w:p>
        </w:tc>
      </w:tr>
      <w:tr>
        <w:trPr>
          <w:trHeight w:val="183"/>
        </w:trPr>
        <w:tc>
          <w:tcPr>
            <w:tcW w:w="262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4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2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244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-955040</wp:posOffset>
            </wp:positionV>
            <wp:extent cx="7132955" cy="144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-545465</wp:posOffset>
            </wp:positionV>
            <wp:extent cx="7132955" cy="264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3160" w:space="720"/>
            <w:col w:w="7360"/>
          </w:cols>
          <w:pgMar w:left="320" w:top="887" w:right="339" w:bottom="1440" w:gutter="0" w:footer="0" w:header="0"/>
          <w:type w:val="continuous"/>
        </w:sectPr>
      </w:pPr>
    </w:p>
    <w:p>
      <w:pPr>
        <w:ind w:left="640" w:hanging="310"/>
        <w:spacing w:after="0"/>
        <w:tabs>
          <w:tab w:leader="none" w:pos="6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classification of inputs used to evaluate the fair value of LivaNova’s derivatives, refer to “Note 3. Fair Value Measurements.”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during the three months ended March 31, 2025 and 2024.</w:t>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1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following tables present the level in the fair value hierarchy at which the Company’s assets and liabilities are measured on a recurring basis (in thousands):</w:t>
      </w:r>
    </w:p>
    <w:p>
      <w:pPr>
        <w:spacing w:after="0" w:line="97"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Inputs</w:t>
      </w:r>
    </w:p>
    <w:p>
      <w:pPr>
        <w:jc w:val="center"/>
        <w:ind w:left="8100"/>
        <w:spacing w:after="0"/>
        <w:rPr>
          <w:sz w:val="20"/>
          <w:szCs w:val="20"/>
          <w:color w:val="auto"/>
        </w:rPr>
      </w:pPr>
      <w:r>
        <w:rPr>
          <w:rFonts w:ascii="Times New Roman" w:cs="Times New Roman" w:eastAsia="Times New Roman" w:hAnsi="Times New Roman"/>
          <w:sz w:val="18"/>
          <w:szCs w:val="18"/>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12700</wp:posOffset>
            </wp:positionV>
            <wp:extent cx="19792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Derivative assets - capped call derivatives (2025 Notes)</w:t>
      </w:r>
    </w:p>
    <w:p>
      <w:pPr>
        <w:spacing w:after="0" w:line="127" w:lineRule="exact"/>
        <w:rPr>
          <w:sz w:val="20"/>
          <w:szCs w:val="20"/>
          <w:color w:val="auto"/>
        </w:rPr>
      </w:pPr>
    </w:p>
    <w:p>
      <w:pPr>
        <w:ind w:left="140"/>
        <w:spacing w:after="0" w:line="295" w:lineRule="auto"/>
        <w:rPr>
          <w:sz w:val="20"/>
          <w:szCs w:val="20"/>
          <w:color w:val="auto"/>
        </w:rPr>
      </w:pPr>
      <w:r>
        <w:rPr>
          <w:rFonts w:ascii="Times New Roman" w:cs="Times New Roman" w:eastAsia="Times New Roman" w:hAnsi="Times New Roman"/>
          <w:sz w:val="18"/>
          <w:szCs w:val="18"/>
          <w:color w:val="auto"/>
        </w:rPr>
        <w:t>Derivative assets - capped call derivatives (2029 Notes) Investment with readily determinable fair value</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p>
      <w:pPr>
        <w:spacing w:after="0" w:line="21" w:lineRule="exact"/>
        <w:rPr>
          <w:sz w:val="20"/>
          <w:szCs w:val="20"/>
          <w:color w:val="auto"/>
        </w:rPr>
      </w:pPr>
    </w:p>
    <w:p>
      <w:pPr>
        <w:ind w:left="140" w:right="400"/>
        <w:spacing w:after="0" w:line="233" w:lineRule="auto"/>
        <w:rPr>
          <w:sz w:val="20"/>
          <w:szCs w:val="20"/>
          <w:color w:val="auto"/>
        </w:rPr>
      </w:pPr>
      <w:r>
        <w:rPr>
          <w:rFonts w:ascii="Times New Roman" w:cs="Times New Roman" w:eastAsia="Times New Roman" w:hAnsi="Times New Roman"/>
          <w:sz w:val="18"/>
          <w:szCs w:val="18"/>
          <w:color w:val="auto"/>
        </w:rPr>
        <w:t>Derivative liabilities - embedded derivative (2025 Notes)</w:t>
      </w:r>
    </w:p>
    <w:p>
      <w:pPr>
        <w:spacing w:after="0" w:line="9" w:lineRule="exact"/>
        <w:rPr>
          <w:sz w:val="20"/>
          <w:szCs w:val="20"/>
          <w:color w:val="auto"/>
        </w:rPr>
      </w:pPr>
    </w:p>
    <w:p>
      <w:pPr>
        <w:ind w:left="140" w:right="400"/>
        <w:spacing w:after="0" w:line="236" w:lineRule="auto"/>
        <w:rPr>
          <w:sz w:val="20"/>
          <w:szCs w:val="20"/>
          <w:color w:val="auto"/>
        </w:rPr>
      </w:pPr>
      <w:r>
        <w:rPr>
          <w:rFonts w:ascii="Times New Roman" w:cs="Times New Roman" w:eastAsia="Times New Roman" w:hAnsi="Times New Roman"/>
          <w:sz w:val="18"/>
          <w:szCs w:val="18"/>
          <w:color w:val="auto"/>
        </w:rPr>
        <w:t>Derivative liabilities - embedded derivative (2029 Notes)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38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2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94"/>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derivative</w:t>
            </w:r>
          </w:p>
        </w:tc>
        <w:tc>
          <w:tcPr>
            <w:tcW w:w="1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37,226</w:t>
            </w:r>
          </w:p>
        </w:tc>
        <w:tc>
          <w:tcPr>
            <w:tcW w:w="0" w:type="dxa"/>
            <w:vAlign w:val="bottom"/>
          </w:tcPr>
          <w:p>
            <w:pPr>
              <w:spacing w:after="0"/>
              <w:rPr>
                <w:sz w:val="1"/>
                <w:szCs w:val="1"/>
                <w:color w:val="auto"/>
              </w:rPr>
            </w:pPr>
          </w:p>
        </w:tc>
      </w:tr>
      <w:tr>
        <w:trPr>
          <w:trHeight w:val="23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-2141220</wp:posOffset>
            </wp:positionV>
            <wp:extent cx="7132955" cy="264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-1612265</wp:posOffset>
            </wp:positionV>
            <wp:extent cx="7132955" cy="144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-1322070</wp:posOffset>
            </wp:positionV>
            <wp:extent cx="7132955" cy="170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-1006475</wp:posOffset>
            </wp:positionV>
            <wp:extent cx="7132955" cy="144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-596900</wp:posOffset>
            </wp:positionV>
            <wp:extent cx="7132955" cy="264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-187325</wp:posOffset>
            </wp:positionV>
            <wp:extent cx="7132955"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0" w:lineRule="exact"/>
        <w:rPr>
          <w:sz w:val="20"/>
          <w:szCs w:val="20"/>
          <w:color w:val="auto"/>
        </w:rPr>
      </w:pPr>
    </w:p>
    <w:p>
      <w:pPr>
        <w:jc w:val="center"/>
        <w:ind w:left="-3479"/>
        <w:spacing w:after="0"/>
        <w:rPr>
          <w:sz w:val="20"/>
          <w:szCs w:val="20"/>
          <w:color w:val="auto"/>
        </w:rPr>
      </w:pPr>
      <w:r>
        <w:rPr>
          <w:rFonts w:ascii="Times New Roman" w:cs="Times New Roman" w:eastAsia="Times New Roman" w:hAnsi="Times New Roman"/>
          <w:sz w:val="18"/>
          <w:szCs w:val="18"/>
          <w:b w:val="1"/>
          <w:bCs w:val="1"/>
          <w:color w:val="auto"/>
        </w:rPr>
        <w:t>Fair Value Measurements Using Inputs</w:t>
      </w:r>
    </w:p>
    <w:p>
      <w:pPr>
        <w:spacing w:after="0" w:line="5" w:lineRule="exact"/>
        <w:rPr>
          <w:sz w:val="20"/>
          <w:szCs w:val="20"/>
          <w:color w:val="auto"/>
        </w:rPr>
      </w:pPr>
    </w:p>
    <w:p>
      <w:pPr>
        <w:jc w:val="center"/>
        <w:ind w:left="-3479"/>
        <w:spacing w:after="0"/>
        <w:rPr>
          <w:sz w:val="20"/>
          <w:szCs w:val="20"/>
          <w:color w:val="auto"/>
        </w:rPr>
      </w:pPr>
      <w:r>
        <w:rPr>
          <w:rFonts w:ascii="Times New Roman" w:cs="Times New Roman" w:eastAsia="Times New Roman" w:hAnsi="Times New Roman"/>
          <w:sz w:val="18"/>
          <w:szCs w:val="18"/>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3810</wp:posOffset>
            </wp:positionV>
            <wp:extent cx="19792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9295"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4120" w:space="180"/>
            <w:col w:w="6940"/>
          </w:cols>
          <w:pgMar w:left="320" w:top="89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4300" w:type="dxa"/>
            <w:vAlign w:val="bottom"/>
            <w:vMerge w:val="continue"/>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Derivative assets - freestanding instruments (FX)</w:t>
            </w:r>
          </w:p>
        </w:tc>
        <w:tc>
          <w:tcPr>
            <w:tcW w:w="22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22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assets - capped call derivatives (2025 Notes)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capped call derivatives (2029 Notes)</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0" w:type="dxa"/>
            <w:vAlign w:val="bottom"/>
          </w:tcPr>
          <w:p>
            <w:pPr>
              <w:spacing w:after="0"/>
              <w:rPr>
                <w:sz w:val="1"/>
                <w:szCs w:val="1"/>
                <w:color w:val="auto"/>
              </w:rPr>
            </w:pPr>
          </w:p>
        </w:tc>
      </w:tr>
      <w:tr>
        <w:trPr>
          <w:trHeight w:val="228"/>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with readily determinable fair value</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140"/>
              <w:spacing w:after="0" w:line="183" w:lineRule="exact"/>
              <w:rPr>
                <w:sz w:val="20"/>
                <w:szCs w:val="20"/>
                <w:color w:val="auto"/>
              </w:rPr>
            </w:pPr>
            <w:r>
              <w:rPr>
                <w:rFonts w:ascii="Times New Roman" w:cs="Times New Roman" w:eastAsia="Times New Roman" w:hAnsi="Times New Roman"/>
                <w:sz w:val="18"/>
                <w:szCs w:val="18"/>
                <w:color w:val="auto"/>
              </w:rPr>
              <w:t>Derivative liabilities - embedded derivative (2025</w:t>
            </w: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Derivative liabilities - embedded derivative (2029</w:t>
            </w:r>
          </w:p>
        </w:tc>
        <w:tc>
          <w:tcPr>
            <w:tcW w:w="220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Long-term derivative</w:t>
            </w: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0" w:type="dxa"/>
            <w:vAlign w:val="bottom"/>
          </w:tcPr>
          <w:p>
            <w:pPr>
              <w:spacing w:after="0"/>
              <w:rPr>
                <w:sz w:val="1"/>
                <w:szCs w:val="1"/>
                <w:color w:val="auto"/>
              </w:rPr>
            </w:pPr>
          </w:p>
        </w:tc>
      </w:tr>
      <w:tr>
        <w:trPr>
          <w:trHeight w:val="228"/>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0" w:type="dxa"/>
            <w:vAlign w:val="bottom"/>
          </w:tcPr>
          <w:p>
            <w:pPr>
              <w:spacing w:after="0"/>
              <w:rPr>
                <w:sz w:val="1"/>
                <w:szCs w:val="1"/>
                <w:color w:val="auto"/>
              </w:rPr>
            </w:pPr>
          </w:p>
        </w:tc>
      </w:tr>
      <w:tr>
        <w:trPr>
          <w:trHeight w:val="247"/>
        </w:trPr>
        <w:tc>
          <w:tcPr>
            <w:tcW w:w="43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ind w:left="13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3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300" w:type="dxa"/>
            <w:vAlign w:val="bottom"/>
            <w:tcBorders>
              <w:bottom w:val="single" w:sz="8" w:color="9A9A9A"/>
            </w:tcBorders>
          </w:tcPr>
          <w:p>
            <w:pPr>
              <w:spacing w:after="0"/>
              <w:rPr>
                <w:sz w:val="20"/>
                <w:szCs w:val="20"/>
                <w:color w:val="auto"/>
              </w:rPr>
            </w:pPr>
          </w:p>
        </w:tc>
        <w:tc>
          <w:tcPr>
            <w:tcW w:w="20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Reconciliation of Level 3 Assets and Liabilities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reconciliations of recurring fair value measurements that use significant unobservable inputs (Level 3)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2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8"/>
                <w:szCs w:val="18"/>
                <w:b w:val="1"/>
                <w:bCs w:val="1"/>
                <w:color w:val="auto"/>
              </w:rPr>
              <w:t>Embedded</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140" w:type="dxa"/>
            <w:vAlign w:val="bottom"/>
          </w:tcPr>
          <w:p>
            <w:pPr>
              <w:spacing w:after="0"/>
              <w:rPr>
                <w:sz w:val="14"/>
                <w:szCs w:val="14"/>
                <w:color w:val="auto"/>
              </w:rPr>
            </w:pPr>
          </w:p>
        </w:tc>
        <w:tc>
          <w:tcPr>
            <w:tcW w:w="1300" w:type="dxa"/>
            <w:vAlign w:val="bottom"/>
          </w:tcPr>
          <w:p>
            <w:pPr>
              <w:jc w:val="center"/>
              <w:ind w:right="50"/>
              <w:spacing w:after="0" w:line="168" w:lineRule="exact"/>
              <w:rPr>
                <w:sz w:val="20"/>
                <w:szCs w:val="20"/>
                <w:color w:val="auto"/>
              </w:rPr>
            </w:pPr>
            <w:r>
              <w:rPr>
                <w:rFonts w:ascii="Times New Roman" w:cs="Times New Roman" w:eastAsia="Times New Roman" w:hAnsi="Times New Roman"/>
                <w:sz w:val="18"/>
                <w:szCs w:val="18"/>
                <w:b w:val="1"/>
                <w:bCs w:val="1"/>
                <w:color w:val="auto"/>
                <w:w w:val="98"/>
              </w:rPr>
              <w:t>ImThera</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40" w:type="dxa"/>
            <w:vAlign w:val="bottom"/>
          </w:tcPr>
          <w:p>
            <w:pPr>
              <w:spacing w:after="0"/>
              <w:rPr>
                <w:sz w:val="15"/>
                <w:szCs w:val="15"/>
                <w:color w:val="auto"/>
              </w:rPr>
            </w:pPr>
          </w:p>
        </w:tc>
        <w:tc>
          <w:tcPr>
            <w:tcW w:w="1300" w:type="dxa"/>
            <w:vAlign w:val="bottom"/>
          </w:tcPr>
          <w:p>
            <w:pPr>
              <w:jc w:val="center"/>
              <w:ind w:right="50"/>
              <w:spacing w:after="0" w:line="179" w:lineRule="exact"/>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26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80"/>
              <w:spacing w:after="0" w:line="183"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20"/>
              <w:spacing w:after="0" w:line="183"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80" w:type="dxa"/>
            <w:vAlign w:val="bottom"/>
          </w:tcPr>
          <w:p>
            <w:pPr>
              <w:spacing w:after="0"/>
              <w:rPr>
                <w:sz w:val="15"/>
                <w:szCs w:val="15"/>
                <w:color w:val="auto"/>
              </w:rPr>
            </w:pPr>
          </w:p>
        </w:tc>
        <w:tc>
          <w:tcPr>
            <w:tcW w:w="1340" w:type="dxa"/>
            <w:vAlign w:val="bottom"/>
            <w:gridSpan w:val="2"/>
          </w:tcPr>
          <w:p>
            <w:pPr>
              <w:jc w:val="center"/>
              <w:ind w:right="320"/>
              <w:spacing w:after="0" w:line="183"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40" w:type="dxa"/>
            <w:vAlign w:val="bottom"/>
          </w:tcPr>
          <w:p>
            <w:pPr>
              <w:spacing w:after="0"/>
              <w:rPr>
                <w:sz w:val="15"/>
                <w:szCs w:val="15"/>
                <w:color w:val="auto"/>
              </w:rPr>
            </w:pPr>
          </w:p>
        </w:tc>
        <w:tc>
          <w:tcPr>
            <w:tcW w:w="1300" w:type="dxa"/>
            <w:vAlign w:val="bottom"/>
          </w:tcPr>
          <w:p>
            <w:pPr>
              <w:jc w:val="center"/>
              <w:ind w:right="50"/>
              <w:spacing w:after="0" w:line="183"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28"/>
        </w:trPr>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18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14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0" w:type="dxa"/>
            <w:vAlign w:val="bottom"/>
          </w:tcPr>
          <w:p>
            <w:pPr>
              <w:spacing w:after="0"/>
              <w:rPr>
                <w:sz w:val="1"/>
                <w:szCs w:val="1"/>
                <w:color w:val="auto"/>
              </w:rPr>
            </w:pPr>
          </w:p>
        </w:tc>
      </w:tr>
      <w:tr>
        <w:trPr>
          <w:trHeight w:val="228"/>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7"/>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60"/>
              <w:spacing w:after="0" w:line="168" w:lineRule="exact"/>
              <w:rPr>
                <w:sz w:val="20"/>
                <w:szCs w:val="20"/>
                <w:color w:val="auto"/>
              </w:rPr>
            </w:pPr>
            <w:r>
              <w:rPr>
                <w:rFonts w:ascii="Times New Roman" w:cs="Times New Roman" w:eastAsia="Times New Roman" w:hAnsi="Times New Roman"/>
                <w:sz w:val="18"/>
                <w:szCs w:val="18"/>
                <w:b w:val="1"/>
                <w:bCs w:val="1"/>
                <w:color w:val="auto"/>
                <w:w w:val="99"/>
              </w:rPr>
              <w:t>Capped Call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140" w:type="dxa"/>
            <w:vAlign w:val="bottom"/>
          </w:tcPr>
          <w:p>
            <w:pPr>
              <w:spacing w:after="0"/>
              <w:rPr>
                <w:sz w:val="14"/>
                <w:szCs w:val="14"/>
                <w:color w:val="auto"/>
              </w:rPr>
            </w:pPr>
          </w:p>
        </w:tc>
        <w:tc>
          <w:tcPr>
            <w:tcW w:w="13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240"/>
              <w:spacing w:after="0" w:line="17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7"/>
              </w:rPr>
              <w:t>Notes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80" w:type="dxa"/>
            <w:vAlign w:val="bottom"/>
          </w:tcPr>
          <w:p>
            <w:pPr>
              <w:spacing w:after="0"/>
              <w:rPr>
                <w:sz w:val="15"/>
                <w:szCs w:val="15"/>
                <w:color w:val="auto"/>
              </w:rPr>
            </w:pPr>
          </w:p>
        </w:tc>
        <w:tc>
          <w:tcPr>
            <w:tcW w:w="134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140" w:type="dxa"/>
            <w:vAlign w:val="bottom"/>
          </w:tcPr>
          <w:p>
            <w:pPr>
              <w:spacing w:after="0"/>
              <w:rPr>
                <w:sz w:val="15"/>
                <w:szCs w:val="15"/>
                <w:color w:val="auto"/>
              </w:rPr>
            </w:pPr>
          </w:p>
        </w:tc>
        <w:tc>
          <w:tcPr>
            <w:tcW w:w="1300" w:type="dxa"/>
            <w:vAlign w:val="bottom"/>
          </w:tcPr>
          <w:p>
            <w:pPr>
              <w:jc w:val="center"/>
              <w:ind w:right="50"/>
              <w:spacing w:after="0" w:line="175"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(2025 Notes)</w:t>
            </w:r>
          </w:p>
        </w:tc>
        <w:tc>
          <w:tcPr>
            <w:tcW w:w="18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14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94,652</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receipt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2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2"/>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Price Volatility</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stock price volatility utilized in determining the fair value of LivaNova’s capped call derivative assets and embedded derivative liabilities: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Capped Call Derivative</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Capped Call Derivative</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Embedded Derivative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Embedded Derivative</w:t>
            </w:r>
          </w:p>
        </w:tc>
        <w:tc>
          <w:tcPr>
            <w:tcW w:w="0" w:type="dxa"/>
            <w:vAlign w:val="bottom"/>
          </w:tcPr>
          <w:p>
            <w:pPr>
              <w:spacing w:after="0"/>
              <w:rPr>
                <w:sz w:val="1"/>
                <w:szCs w:val="1"/>
                <w:color w:val="auto"/>
              </w:rPr>
            </w:pPr>
          </w:p>
        </w:tc>
      </w:tr>
      <w:tr>
        <w:trPr>
          <w:trHeight w:val="179"/>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80" w:type="dxa"/>
            <w:vAlign w:val="bottom"/>
            <w:gridSpan w:val="2"/>
          </w:tcPr>
          <w:p>
            <w:pPr>
              <w:jc w:val="center"/>
              <w:ind w:right="1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280" w:type="dxa"/>
            <w:vAlign w:val="bottom"/>
            <w:gridSpan w:val="2"/>
          </w:tcPr>
          <w:p>
            <w:pPr>
              <w:jc w:val="center"/>
              <w:ind w:right="160"/>
              <w:spacing w:after="0" w:line="179"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2280" w:type="dxa"/>
            <w:vAlign w:val="bottom"/>
            <w:gridSpan w:val="2"/>
          </w:tcPr>
          <w:p>
            <w:pPr>
              <w:jc w:val="center"/>
              <w:ind w:right="160"/>
              <w:spacing w:after="0" w:line="179" w:lineRule="exact"/>
              <w:rPr>
                <w:sz w:val="20"/>
                <w:szCs w:val="20"/>
                <w:color w:val="auto"/>
              </w:rPr>
            </w:pPr>
            <w:r>
              <w:rPr>
                <w:rFonts w:ascii="Times New Roman" w:cs="Times New Roman" w:eastAsia="Times New Roman" w:hAnsi="Times New Roman"/>
                <w:sz w:val="18"/>
                <w:szCs w:val="18"/>
                <w:b w:val="1"/>
                <w:bCs w:val="1"/>
                <w:color w:val="auto"/>
                <w:w w:val="96"/>
              </w:rPr>
              <w:t>Liability</w:t>
            </w:r>
          </w:p>
        </w:tc>
        <w:tc>
          <w:tcPr>
            <w:tcW w:w="218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37"/>
        </w:trPr>
        <w:tc>
          <w:tcPr>
            <w:tcW w:w="2220" w:type="dxa"/>
            <w:vAlign w:val="bottom"/>
            <w:gridSpan w:val="2"/>
            <w:vMerge w:val="continue"/>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(2029 Notes)</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(2029 Notes)</w:t>
            </w:r>
          </w:p>
        </w:tc>
        <w:tc>
          <w:tcPr>
            <w:tcW w:w="0" w:type="dxa"/>
            <w:vAlign w:val="bottom"/>
          </w:tcPr>
          <w:p>
            <w:pPr>
              <w:spacing w:after="0"/>
              <w:rPr>
                <w:sz w:val="1"/>
                <w:szCs w:val="1"/>
                <w:color w:val="auto"/>
              </w:rPr>
            </w:pPr>
          </w:p>
        </w:tc>
      </w:tr>
      <w:tr>
        <w:trPr>
          <w:trHeight w:val="222"/>
        </w:trPr>
        <w:tc>
          <w:tcPr>
            <w:tcW w:w="2100" w:type="dxa"/>
            <w:vAlign w:val="bottom"/>
            <w:tcBorders>
              <w:top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Stock price volatility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660" w:hanging="330"/>
        <w:spacing w:after="0" w:line="251" w:lineRule="auto"/>
        <w:tabs>
          <w:tab w:leader="none" w:pos="632"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embedded and capped call derivatives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income (loss) depends on how significant inputs such as stock price, stock price volatility, and time to the expiration of the derivatives change in relation to other inputs.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Consideration Arrangement</w:t>
      </w:r>
    </w:p>
    <w:p>
      <w:pPr>
        <w:spacing w:after="0" w:line="11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ImThera business combination involved contingent consideration arrangements comprised of potential cash payments upon the achievement of a certain regulatory milestone and a sales-based earnout associated with sales of products. The sales-based</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5" w:name="page16"/>
    <w:bookmarkEnd w:id="15"/>
    <w:p>
      <w:pPr>
        <w:jc w:val="both"/>
        <w:spacing w:after="0" w:line="295" w:lineRule="auto"/>
        <w:rPr>
          <w:sz w:val="20"/>
          <w:szCs w:val="20"/>
          <w:color w:val="auto"/>
        </w:rPr>
      </w:pPr>
      <w:r>
        <w:rPr>
          <w:rFonts w:ascii="Times New Roman" w:cs="Times New Roman" w:eastAsia="Times New Roman" w:hAnsi="Times New Roman"/>
          <w:sz w:val="18"/>
          <w:szCs w:val="18"/>
          <w:color w:val="auto"/>
        </w:rPr>
        <w:t>earnouts are valued using projected sales from LivaNova’s internal strategic plan. These arrangements are Level 3 fair value measurements and included the following significant unobservable inputs as of March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ImThera Acquisition</w:t>
            </w: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9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9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22"/>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milestone-based payment</w:t>
            </w:r>
          </w:p>
        </w:tc>
        <w:tc>
          <w:tcPr>
            <w:tcW w:w="12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69"/>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Monte-Carlo simulation</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- 14.2%</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27.7%</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years of earnout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- 2030</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Financing Arrangements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LivaNova’s long-term debt obligations (in thousands, except interest rates):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2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309,123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7.64%</w:t>
            </w: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262,188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258,043</w:t>
            </w:r>
          </w:p>
        </w:tc>
        <w:tc>
          <w:tcPr>
            <w:tcW w:w="10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r>
      <w:tr>
        <w:trPr>
          <w:trHeight w:val="22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53,887</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America, U.S.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w:t>
            </w:r>
          </w:p>
        </w:tc>
      </w:tr>
      <w:tr>
        <w:trPr>
          <w:trHeight w:val="22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facilities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626,963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2"/>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obligations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549,223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549,624</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and Term Facilities</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outstanding principal amount of LivaNova’s short-term unsecured revolving credit agreements and other agreements with various banks was $0.6 million at March 31, 2025 and $0.7 million at December 31, 2024, with an average interest rate of 7.17% and loan terms ranging from overnight to 364 days as of March 31, 2025.</w:t>
      </w:r>
    </w:p>
    <w:p>
      <w:pPr>
        <w:spacing w:after="0" w:line="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There were no outstanding borrowings under the $225.0 million revolving facilities under the 2021 First Lien Credit Agreement as of March 31, 2025 and December 31, 2024. As of March 31, 2025 and December 31, 2024, the applicable commitment fee percentage was 0.5% per annum. As of March 31, 2025, the Company was in compliance with the financial covenants contained in the 2021 First Lien Credit Agreement.</w:t>
      </w:r>
    </w:p>
    <w:p>
      <w:pPr>
        <w:spacing w:after="0" w:line="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Debt discount and issuance costs related to the Initial Term Facility were $9.6 million. The unamortized debt discount and issuance costs related to the Initial Term Facility were $4.3 million and $4.8 million as of March 31, 2025 and December 31, 2024, respectively. For additional information on the Term Facilities, refer to “Note 13. Subsequent Event.”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2029 Notes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effective interest rate of the 2029 Notes was 9.84% as of March 31, 2025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unamortized debt discount and issuance costs related to the 2029 Notes as of March 31, 2025 and December 31, 2024 were $82.8 million and $87.0 million, respectively. As of March 31, 2025, the conditions for conversion were not met. The Company included its obligations from the 2029 Notes and the associated embedded derivative as long-term liabilities on the condensed consolidated balance sheet as of March 31, 2025, and the 2029 Notes are not convertible for the three months ending June 30, 2025. For additional information regarding the 2029 Notes, refer to LivaNova’s 2024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Notes</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effective interest rate of the 2025 Notes was 9.92% as of March 31, 2025. The unamortized debt discount and issuance costs related to the 2025 Notes as of March 31, 2025 and December 31, 2024 were $2.7 million and $3.6 million, respectively. As of March 31, 2025, the conditions for exchange were not met. The Company included its obligations from the 2025 Notes</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jc w:val="both"/>
        <w:spacing w:after="0" w:line="295" w:lineRule="auto"/>
        <w:rPr>
          <w:sz w:val="20"/>
          <w:szCs w:val="20"/>
          <w:color w:val="auto"/>
        </w:rPr>
      </w:pPr>
      <w:r>
        <w:rPr>
          <w:rFonts w:ascii="Times New Roman" w:cs="Times New Roman" w:eastAsia="Times New Roman" w:hAnsi="Times New Roman"/>
          <w:sz w:val="18"/>
          <w:szCs w:val="18"/>
          <w:color w:val="auto"/>
        </w:rPr>
        <w:t>and the associated embedded derivative as current liabilities on the condensed consolidated balance sheet as of March 31, 2025, and the 2025 Notes are not exchangeable for the three months ending June 30, 2025. For additional information regarding the 2025 Notes, refer to LivaNova’s 2024 Form 10-K.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Commitments and Contingencies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Saluggia Site Hazardous Substances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March 31, 2025 was $37.4 million (€34.6 million), which represented the estimated low end of the range of loss, with an estimated maximum end of the range of loss of $51.1 million (€47.3 million). The estimated liability as of December 31, 2024 was $36.7 million (€35.4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Litigation</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Sorin was created as a result of a spin-off from SNIA in 2004, and in 2015, Sorin was merged into LivaNova. SNIA subsequently became insolvent, and the Public Administrations sought compensation from SNIA in an aggregate amount of approximately $3.7 billion for remediation costs relating to the environmental damage at chemical sites previously operated by SNIA’s other subsidiaries.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Italian Supreme Court. Similarly, in 2014, the Bankruptcy Court of Milan held that the Public Administrations were not creditors of either SNIA or its subsidiaries. The Public Administrations appealed. In April 2022, the Bankruptcy Court of Milan declared the Public Administrations to be a non-privileged creditor of SNIA for up to €453.6 million ($490.3 million as of March 31, 2025), and the Public Administrations appealed to the Italian Supreme Court.</w:t>
      </w:r>
    </w:p>
    <w:p>
      <w:pPr>
        <w:spacing w:after="0" w:line="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($315,624 as of March 31, 2025)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spin-off of Sorin from SNIA in 2004, an estimated €572.1 million ($618.4 million as of March 31, 2025). LivaNova appealed the partial decision on liability to the Italian Supreme Court in August 2019.</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2021, the Court of Appeal delivered the remainder of its decision, ordering LivaNova to pay damages of €453.6 million ($490.3 million as of March 31, 2025). LivaNova appealed the decision on damages in December 2021. On February 21, 2022, the Court of Appeal notified the Company that it granted the Company a suspension with respect to the payment of damages until a decision was reached on the appeal to the Italian Supreme Court. This suspension was subject to LivaNova providing a first demand bank guarantee of €270.0 million ($291.8 million as of March 31, 2025) within 30 calendar days, and on March 21, 2022, LivaNova delivered the SNIA Litigation Guarantee, thereby satisfying the condition.</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8"/>
          <w:szCs w:val="18"/>
          <w:color w:val="auto"/>
        </w:rPr>
        <w:t>In 2022, in response to one of a number of appeals asserted by LivaNova, the Italian Supreme Court issued an ordinance, a procedural document, whereby the Italian Supreme Court referred a question on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On July 29, 2024, the ECJ issued a judgment in response to the ordinance. The ECJ judgment states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of Milan in the amount of €157.3 million ($170.0 million as of March 31, 2025). The case has been referred back to the Court of Appeal of Milan to implement the decisions respecting costs and damages in accordance with the judgment of the Italian Supreme Court.</w:t>
      </w:r>
    </w:p>
    <w:p>
      <w:pPr>
        <w:spacing w:after="0" w:line="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As a result of the decision by the Italian Supreme Court, the Company recorded a current liability of €333.3 million ($360.4 million) as of and for the three months ended March 31, 2025 as its best estimate of the liability inclusive of estimated costs, fees, interest, and taxes. These estimated costs do not include legal fees, which are expensed as incurred and included in SG&amp;A on LivaNova’s condensed consolidated statements of income (loss). The Company has determined that it has sufficient resources to cover the liability given its cash and cash equivalents of $738.4 million as of March 31, 2025.</w:t>
      </w:r>
    </w:p>
    <w:p>
      <w:pPr>
        <w:spacing w:after="0" w:line="6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On March 31, 2025, as a result of the decision by the Italian Supreme Court, the SNIA Litigation Guarantee was terminated, and the restriction on the cash deposit held as collateral was released. For additional information on the financing of the guarantee, refer to “Note 11. Supplemental Financial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Liability Litigation</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continues to be involved in litigation involving LivaNova’s 3T device. The litigation includes the cases remaining in the MDL, various U.S. state court cases, and claims in jurisdictions outside the United States. As of May 7, 2025, the Company was aware of approximately 60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 months ended March 31, 2025, LivaNova recorded an additional liability of $0.7 million, upon receiving new information regarding the nature of certain claims. As of March 31, 2025 and December 31, 2024, the provision for these matters was $16.2 million and $15.8 million, respectively.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A provision has not been recorded for any claims where a potential loss is not determined to be probable, or a potential loss or range of potential loss is not reasonably estimable at this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litigation provision liability for the three months ended March 31, 2025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54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0" w:type="dxa"/>
            <w:vAlign w:val="bottom"/>
          </w:tcPr>
          <w:p>
            <w:pPr>
              <w:spacing w:after="0"/>
              <w:rPr>
                <w:sz w:val="1"/>
                <w:szCs w:val="1"/>
                <w:color w:val="auto"/>
              </w:rPr>
            </w:pPr>
          </w:p>
        </w:tc>
      </w:tr>
      <w:tr>
        <w:trPr>
          <w:trHeight w:val="22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4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8"/>
        </w:trPr>
        <w:tc>
          <w:tcPr>
            <w:tcW w:w="43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4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8"/>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FX and other</w:t>
            </w:r>
          </w:p>
        </w:tc>
        <w:tc>
          <w:tcPr>
            <w:tcW w:w="44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4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0" w:type="dxa"/>
            <w:vAlign w:val="bottom"/>
          </w:tcPr>
          <w:p>
            <w:pPr>
              <w:spacing w:after="0"/>
              <w:rPr>
                <w:sz w:val="1"/>
                <w:szCs w:val="1"/>
                <w:color w:val="auto"/>
              </w:rPr>
            </w:pPr>
          </w:p>
        </w:tc>
      </w:tr>
      <w:tr>
        <w:trPr>
          <w:trHeight w:val="228"/>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as of March 31, 2025</w:t>
            </w:r>
          </w:p>
        </w:tc>
        <w:tc>
          <w:tcPr>
            <w:tcW w:w="44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0" w:type="dxa"/>
            <w:vAlign w:val="bottom"/>
          </w:tcPr>
          <w:p>
            <w:pPr>
              <w:spacing w:after="0"/>
              <w:rPr>
                <w:sz w:val="1"/>
                <w:szCs w:val="1"/>
                <w:color w:val="auto"/>
              </w:rPr>
            </w:pPr>
          </w:p>
        </w:tc>
      </w:tr>
      <w:tr>
        <w:trPr>
          <w:trHeight w:val="247"/>
        </w:trPr>
        <w:tc>
          <w:tcPr>
            <w:tcW w:w="438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Long-term portion as of March 31, 2025 </w:t>
            </w:r>
            <w:r>
              <w:rPr>
                <w:rFonts w:ascii="Times New Roman" w:cs="Times New Roman" w:eastAsia="Times New Roman" w:hAnsi="Times New Roman"/>
                <w:sz w:val="23"/>
                <w:szCs w:val="23"/>
                <w:color w:val="auto"/>
                <w:vertAlign w:val="superscript"/>
              </w:rPr>
              <w:t>(2)</w:t>
            </w:r>
          </w:p>
        </w:tc>
        <w:tc>
          <w:tcPr>
            <w:tcW w:w="4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3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8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ind w:left="640" w:hanging="310"/>
        <w:spacing w:after="0"/>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Adjustments to the litigation provision are included in other operating expenses on the condensed consolidated statements of income (loss).</w:t>
      </w:r>
    </w:p>
    <w:p>
      <w:pPr>
        <w:spacing w:after="0" w:line="9" w:lineRule="exact"/>
        <w:rPr>
          <w:rFonts w:ascii="Times New Roman" w:cs="Times New Roman" w:eastAsia="Times New Roman" w:hAnsi="Times New Roman"/>
          <w:sz w:val="21"/>
          <w:szCs w:val="21"/>
          <w:color w:val="auto"/>
          <w:vertAlign w:val="superscript"/>
        </w:rPr>
      </w:pPr>
    </w:p>
    <w:p>
      <w:pPr>
        <w:ind w:left="640" w:hanging="310"/>
        <w:spacing w:after="0" w:line="190" w:lineRule="auto"/>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on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Italian MedTech Payback Measure</w:t>
      </w:r>
    </w:p>
    <w:p>
      <w:pPr>
        <w:spacing w:after="0" w:line="1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August 2022, a decree was published which provided guidance and timetables for the rule. In response, LivaNova filed an appeal at the Administrative Court against the Decree of the Ministry of Health, assessing the amount payable and against the payback law. LivaNova also filed appeals against the regions requesting payments. In August 2023, the Administrative Court upheld LivaNova’s request to suspend the effect of the requests for payment by the regions, pending the decision by the Administrative Court on the merits of the case. In November 2023, the Administrative Court, in a separate matter, asked the Constitutional Court whether the payback law was compliant with the Italian Constitution and pending the decision by the Constitutional Court, all cases brought by medical device companies in this matter were suspended. On July 22, 2024, the Constitutional Court determined that the payback law is compliant with the Italian Constitution and that companies may reduce their payment obligations between 2015-2018 to 48% of the amount originally charged to companies. Based on market and product information, as previously disclosed, and the recent ruling by the Constitutional Court, the amount reserved for this matter was $17.6 million and $16.0 million as of March 31, 2025 and December 31, 2024, respectively, and is included in accrued liabilities and other in the condensed consolidated balance sheets. However, the actual liability could vary. Amounts recognized associated with the Italian MedTech payback measure are recorded as a reduction to net revenue in the condensed consolidated statements of income (loss).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Cyber Litigation</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cybersecurity incident initially reported on November 20, 2023, LivaNova USA was named as a defendant in six putative class action lawsuits filed in the United States District Court for the Southern District of Texas in June 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agreed to a class action settlement, with respect to which the Company recorded an accrual of $1.2 million during the quarter ended September 30, 2024. The class action settlement received final approval from the court on April 4, 2025. The Company expects all settlement administration activities to be completed in 2025.</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HHS’s Office for Civil Rights is investigating the incident pursuant to its authority to enforce the HIPAA rules regarding privacy, security, and breach notification. The Office for Civil Rights issued a request for information regarding the Company’s response to the incident and the Company’s compliance with HIPAA rules, to which the Company responded. The Office for Civil Rights may issue additional requests for information and documentation. In connection with its investigation, the Office for Civil Rights may, among other measures, seek to impose civil monetary penalties against LivaNova and seek to require that the Company implement a corrective action plan. Furthermore, the Company has received, and may receive in the future, additional government requests for information about the incident, to which LivaNova will respond. For example, the Italian data protection authority recently requested that LivaNova provide certain information regarding the incident, which request the Company is in the process of responding.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Note 6. Stockholders’ Equity</w:t>
      </w:r>
    </w:p>
    <w:p>
      <w:pPr>
        <w:spacing w:after="0" w:line="11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tables below present the condensed consolidated statements of stockholders’ equity as of and for the three months ended March 31, 2025 and 2024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4"/>
              <w:spacing w:after="0" w:line="14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1,320,258</w:t>
            </w: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0" w:type="dxa"/>
            <w:vAlign w:val="bottom"/>
          </w:tcPr>
          <w:p>
            <w:pPr>
              <w:spacing w:after="0"/>
              <w:rPr>
                <w:sz w:val="1"/>
                <w:szCs w:val="1"/>
                <w:color w:val="auto"/>
              </w:rPr>
            </w:pPr>
          </w:p>
        </w:tc>
      </w:tr>
      <w:tr>
        <w:trPr>
          <w:trHeight w:val="22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2,224,578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(1,230,572)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1,034,298</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1,277,628</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0" w:type="dxa"/>
            <w:vAlign w:val="bottom"/>
          </w:tcPr>
          <w:p>
            <w:pPr>
              <w:spacing w:after="0"/>
              <w:rPr>
                <w:sz w:val="1"/>
                <w:szCs w:val="1"/>
                <w:color w:val="auto"/>
              </w:rPr>
            </w:pPr>
          </w:p>
        </w:tc>
      </w:tr>
      <w:tr>
        <w:trPr>
          <w:trHeight w:val="247"/>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1,221,537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tables below present the change in AOCI, net of tax, and the reclassifications out of AOCI into net income for the three months ended March 31, 2025 and 2024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84"/>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0"/>
              <w:spacing w:after="0" w:line="183" w:lineRule="exact"/>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28"/>
        </w:trPr>
        <w:tc>
          <w:tcPr>
            <w:tcW w:w="9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70"/>
              <w:spacing w:after="0" w:line="229"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before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reclassifications, before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22"/>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(42,728)</w:t>
            </w:r>
          </w:p>
        </w:tc>
      </w:tr>
      <w:tr>
        <w:trPr>
          <w:trHeight w:val="20"/>
        </w:trPr>
        <w:tc>
          <w:tcPr>
            <w:tcW w:w="9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78"/>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70"/>
              <w:spacing w:after="0" w:line="178" w:lineRule="exact"/>
              <w:rPr>
                <w:sz w:val="20"/>
                <w:szCs w:val="20"/>
                <w:color w:val="auto"/>
              </w:rPr>
            </w:pPr>
            <w:r>
              <w:rPr>
                <w:rFonts w:ascii="Times New Roman" w:cs="Times New Roman" w:eastAsia="Times New Roman" w:hAnsi="Times New Roman"/>
                <w:sz w:val="18"/>
                <w:szCs w:val="18"/>
                <w:b w:val="1"/>
                <w:bCs w:val="1"/>
                <w:color w:val="auto"/>
                <w:w w:val="97"/>
              </w:rPr>
              <w:t>Translation</w:t>
            </w:r>
          </w:p>
        </w:tc>
      </w:tr>
      <w:tr>
        <w:trPr>
          <w:trHeight w:val="239"/>
        </w:trPr>
        <w:tc>
          <w:tcPr>
            <w:tcW w:w="95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70"/>
              <w:spacing w:after="0" w:line="239"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(27,883)</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before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(17,323)</w:t>
            </w: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w:t>
            </w:r>
          </w:p>
        </w:tc>
      </w:tr>
      <w:tr>
        <w:trPr>
          <w:trHeight w:val="222"/>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(45,206)</w:t>
            </w:r>
          </w:p>
        </w:tc>
      </w:tr>
      <w:tr>
        <w:trPr>
          <w:trHeight w:val="20"/>
        </w:trPr>
        <w:tc>
          <w:tcPr>
            <w:tcW w:w="9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Note 7. Stock-Based Incentive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Plans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For the three months ended March 31, 2025, LivaNova issued stock-based compensatory awards with terms approved by the Compensation and Human Capital Management Committee of LivaNova’s Board of Directors. The awards with service conditions generally vest ratably over three years for RSUs and four years for SARs, and are subject to forfeiture unless service conditions are met. The market performance-based awards that were issued cliff vest after three years, subject to the rank of LivaNova’s total shareholder return for the three-year period ending December 31, 2027, relative to the total shareholder returns of the S&amp;P Healthcare Equipment Select Industry Index. The adjusted free cash flow and return on invested capital operating performance-based awards that were issued cliff vest after three years, subject to the achievement of certain thresholds of cumulative results for the three-year period ending December 31, 2027. Compensation expense related to awards granted during 2025 for the three months ended March 31, 2025 was $0.1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 Expense</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amounts of stock-based compensation expense recognized in LivaNova’s condensed consolidated statements of income (loss) by type of arrangement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r>
      <w:tr>
        <w:trPr>
          <w:trHeight w:val="222"/>
        </w:trPr>
        <w:tc>
          <w:tcPr>
            <w:tcW w:w="72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share purchase plan</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2"/>
        </w:trPr>
        <w:tc>
          <w:tcPr>
            <w:tcW w:w="72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w:t>
            </w: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Stock-based compensation agreements issued for the three months ended March 31, 2025, representing potential shares and their weighted average grant date fair values by type, are as follows (shares in thousands, fair value in dollars):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60" w:type="dxa"/>
            <w:vAlign w:val="bottom"/>
          </w:tcPr>
          <w:p>
            <w:pPr>
              <w:spacing w:after="0"/>
              <w:rPr>
                <w:sz w:val="20"/>
                <w:szCs w:val="20"/>
                <w:color w:val="auto"/>
              </w:rPr>
            </w:pPr>
          </w:p>
        </w:tc>
        <w:tc>
          <w:tcPr>
            <w:tcW w:w="42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0" w:type="dxa"/>
            <w:vAlign w:val="bottom"/>
          </w:tcPr>
          <w:p>
            <w:pPr>
              <w:spacing w:after="0"/>
              <w:rPr>
                <w:sz w:val="1"/>
                <w:szCs w:val="1"/>
                <w:color w:val="auto"/>
              </w:rPr>
            </w:pPr>
          </w:p>
        </w:tc>
      </w:tr>
      <w:tr>
        <w:trPr>
          <w:trHeight w:val="168"/>
        </w:trPr>
        <w:tc>
          <w:tcPr>
            <w:tcW w:w="6960" w:type="dxa"/>
            <w:vAlign w:val="bottom"/>
          </w:tcPr>
          <w:p>
            <w:pPr>
              <w:spacing w:after="0"/>
              <w:rPr>
                <w:sz w:val="14"/>
                <w:szCs w:val="14"/>
                <w:color w:val="auto"/>
              </w:rPr>
            </w:pPr>
          </w:p>
        </w:tc>
        <w:tc>
          <w:tcPr>
            <w:tcW w:w="2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100" w:type="dxa"/>
            <w:vAlign w:val="bottom"/>
            <w:gridSpan w:val="2"/>
          </w:tcPr>
          <w:p>
            <w:pPr>
              <w:jc w:val="right"/>
              <w:ind w:right="10"/>
              <w:spacing w:after="0" w:line="168" w:lineRule="exact"/>
              <w:rPr>
                <w:sz w:val="20"/>
                <w:szCs w:val="20"/>
                <w:color w:val="auto"/>
              </w:rPr>
            </w:pPr>
            <w:r>
              <w:rPr>
                <w:rFonts w:ascii="Times New Roman" w:cs="Times New Roman" w:eastAsia="Times New Roman" w:hAnsi="Times New Roman"/>
                <w:sz w:val="18"/>
                <w:szCs w:val="18"/>
                <w:b w:val="1"/>
                <w:bCs w:val="1"/>
                <w:color w:val="auto"/>
              </w:rPr>
              <w:t>Weighted Average Grant</w:t>
            </w:r>
          </w:p>
        </w:tc>
        <w:tc>
          <w:tcPr>
            <w:tcW w:w="0" w:type="dxa"/>
            <w:vAlign w:val="bottom"/>
          </w:tcPr>
          <w:p>
            <w:pPr>
              <w:spacing w:after="0"/>
              <w:rPr>
                <w:sz w:val="1"/>
                <w:szCs w:val="1"/>
                <w:color w:val="auto"/>
              </w:rPr>
            </w:pPr>
          </w:p>
        </w:tc>
      </w:tr>
      <w:tr>
        <w:trPr>
          <w:trHeight w:val="242"/>
        </w:trPr>
        <w:tc>
          <w:tcPr>
            <w:tcW w:w="6960" w:type="dxa"/>
            <w:vAlign w:val="bottom"/>
          </w:tcPr>
          <w:p>
            <w:pPr>
              <w:spacing w:after="0"/>
              <w:rPr>
                <w:sz w:val="21"/>
                <w:szCs w:val="21"/>
                <w:color w:val="auto"/>
              </w:rPr>
            </w:pPr>
          </w:p>
        </w:tc>
        <w:tc>
          <w:tcPr>
            <w:tcW w:w="21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2"/>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3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Income Taxes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PLC is a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effective income tax rate for the three months ended March 31, 2025 was (3.7)% compared to (22.6)% for the three months ended March 31, 2024. The change in the effective tax rate for the three months ended March 31, 2025, compared to the prior year period, was primarily attributable to year-over-year changes in income before tax in countries with varying statutory tax rates, certain discrete tax items, including the SNIA environmental liability, and changes in valuation allowances.</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spacing w:after="0" w:line="272" w:lineRule="auto"/>
        <w:rPr>
          <w:sz w:val="20"/>
          <w:szCs w:val="20"/>
          <w:color w:val="auto"/>
        </w:rPr>
      </w:pPr>
      <w:r>
        <w:rPr>
          <w:rFonts w:ascii="Times New Roman" w:cs="Times New Roman" w:eastAsia="Times New Roman" w:hAnsi="Times New Roman"/>
          <w:sz w:val="18"/>
          <w:szCs w:val="18"/>
          <w:color w:val="auto"/>
        </w:rPr>
        <w:t>LivaNova is subject to income taxes as well as non-income-based taxes in the U.S., the UK, the EU, and various other jurisdictions. LivaNova will continue to monitor legislative developments including the adoption of Pillar Two and related guidance in the UK and other jurisdictions that may impact LivaNova’s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Loss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loss per share:</w:t>
      </w:r>
    </w:p>
    <w:p>
      <w:pPr>
        <w:spacing w:after="0" w:line="16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19050</wp:posOffset>
            </wp:positionV>
            <wp:extent cx="25596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15" w:lineRule="exact"/>
        <w:rPr>
          <w:sz w:val="20"/>
          <w:szCs w:val="20"/>
          <w:color w:val="auto"/>
        </w:rPr>
      </w:pPr>
    </w:p>
    <w:p>
      <w:pPr>
        <w:ind w:left="8020"/>
        <w:spacing w:after="0"/>
        <w:tabs>
          <w:tab w:leader="none" w:pos="100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34"/>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bl>
    <w:p>
      <w:pPr>
        <w:spacing w:after="0" w:line="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reconciliations of net loss, and weighted average shares outstanding used in the calculations of basic and diluted loss per share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3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 basic and diluted</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0" w:type="dxa"/>
            <w:vAlign w:val="bottom"/>
          </w:tcPr>
          <w:p>
            <w:pPr>
              <w:spacing w:after="0"/>
              <w:rPr>
                <w:sz w:val="1"/>
                <w:szCs w:val="1"/>
                <w:color w:val="auto"/>
              </w:rPr>
            </w:pPr>
          </w:p>
        </w:tc>
      </w:tr>
      <w:tr>
        <w:trPr>
          <w:trHeight w:val="269"/>
        </w:trPr>
        <w:tc>
          <w:tcPr>
            <w:tcW w:w="7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54,008</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40"/>
              <w:spacing w:after="0" w:line="229" w:lineRule="exact"/>
              <w:rPr>
                <w:sz w:val="20"/>
                <w:szCs w:val="20"/>
                <w:color w:val="auto"/>
              </w:rPr>
            </w:pPr>
            <w:r>
              <w:rPr>
                <w:rFonts w:ascii="Times New Roman" w:cs="Times New Roman" w:eastAsia="Times New Roman" w:hAnsi="Times New Roman"/>
                <w:sz w:val="18"/>
                <w:szCs w:val="18"/>
                <w:color w:val="auto"/>
              </w:rPr>
              <w:t xml:space="preserve">Add: Dilutive effect of share-based compensation and convertible debt instruments </w:t>
            </w:r>
            <w:r>
              <w:rPr>
                <w:rFonts w:ascii="Times New Roman" w:cs="Times New Roman" w:eastAsia="Times New Roman" w:hAnsi="Times New Roman"/>
                <w:sz w:val="23"/>
                <w:szCs w:val="23"/>
                <w:color w:val="auto"/>
                <w:vertAlign w:val="superscript"/>
              </w:rPr>
              <w:t>(1) (2)</w:t>
            </w:r>
          </w:p>
        </w:tc>
        <w:tc>
          <w:tcPr>
            <w:tcW w:w="1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30"/>
        <w:spacing w:after="0" w:line="231"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31, 2025, the 2029 Notes were outstanding and potentially dilutive securities, but were excluded from the computation of diluted loss per share because their effect would have been anti-dilutive.</w:t>
      </w:r>
    </w:p>
    <w:p>
      <w:pPr>
        <w:spacing w:after="0" w:line="1" w:lineRule="exact"/>
        <w:rPr>
          <w:rFonts w:ascii="Times New Roman" w:cs="Times New Roman" w:eastAsia="Times New Roman" w:hAnsi="Times New Roman"/>
          <w:sz w:val="21"/>
          <w:szCs w:val="21"/>
          <w:color w:val="auto"/>
          <w:vertAlign w:val="superscript"/>
        </w:rPr>
      </w:pPr>
    </w:p>
    <w:p>
      <w:pPr>
        <w:ind w:left="660" w:hanging="330"/>
        <w:spacing w:after="0" w:line="227"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Excluded from the computation of diluted loss per share were shares underlying stock options, SARs, and RSUs totaling 4.6 million for each of the three months ended March 31, 2025 and 2024, because to include them would have been anti-dilutive under the treasury stock method.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Geographic and Segment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Information</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Net revenue of the Company’s reportable segments includes revenues from the sale of products that each reportable segment develops and manufactures or distributes.</w:t>
      </w:r>
    </w:p>
    <w:p>
      <w:pPr>
        <w:spacing w:after="0" w:line="5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w:t>
      </w: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line="295" w:lineRule="auto"/>
        <w:rPr>
          <w:sz w:val="20"/>
          <w:szCs w:val="20"/>
          <w:color w:val="auto"/>
        </w:rPr>
      </w:pPr>
      <w:r>
        <w:rPr>
          <w:rFonts w:ascii="Times New Roman" w:cs="Times New Roman" w:eastAsia="Times New Roman" w:hAnsi="Times New Roman"/>
          <w:sz w:val="18"/>
          <w:szCs w:val="18"/>
          <w:color w:val="auto"/>
        </w:rPr>
        <w:t>LivaNova operates under three geographic regions: U.S., Europe, and Rest of World. The following table presents net revenue by operating segment and geographic region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2"/>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w:t>
            </w:r>
          </w:p>
        </w:tc>
        <w:tc>
          <w:tcPr>
            <w:tcW w:w="0" w:type="dxa"/>
            <w:vAlign w:val="bottom"/>
          </w:tcPr>
          <w:p>
            <w:pPr>
              <w:spacing w:after="0"/>
              <w:rPr>
                <w:sz w:val="1"/>
                <w:szCs w:val="1"/>
                <w:color w:val="auto"/>
              </w:rPr>
            </w:pPr>
          </w:p>
        </w:tc>
      </w:tr>
      <w:tr>
        <w:trPr>
          <w:trHeight w:val="228"/>
        </w:trPr>
        <w:tc>
          <w:tcPr>
            <w:tcW w:w="720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64,388</w:t>
            </w:r>
          </w:p>
        </w:tc>
        <w:tc>
          <w:tcPr>
            <w:tcW w:w="0" w:type="dxa"/>
            <w:vAlign w:val="bottom"/>
          </w:tcPr>
          <w:p>
            <w:pPr>
              <w:spacing w:after="0"/>
              <w:rPr>
                <w:sz w:val="1"/>
                <w:szCs w:val="1"/>
                <w:color w:val="auto"/>
              </w:rPr>
            </w:pPr>
          </w:p>
        </w:tc>
      </w:tr>
      <w:tr>
        <w:trPr>
          <w:trHeight w:val="222"/>
        </w:trPr>
        <w:tc>
          <w:tcPr>
            <w:tcW w:w="7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155,891</w:t>
            </w:r>
          </w:p>
        </w:tc>
        <w:tc>
          <w:tcPr>
            <w:tcW w:w="0" w:type="dxa"/>
            <w:vAlign w:val="bottom"/>
          </w:tcPr>
          <w:p>
            <w:pPr>
              <w:spacing w:after="0"/>
              <w:rPr>
                <w:sz w:val="1"/>
                <w:szCs w:val="1"/>
                <w:color w:val="auto"/>
              </w:rPr>
            </w:pPr>
          </w:p>
        </w:tc>
      </w:tr>
      <w:tr>
        <w:trPr>
          <w:trHeight w:val="20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105,929</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133,872</w:t>
            </w:r>
          </w:p>
        </w:tc>
        <w:tc>
          <w:tcPr>
            <w:tcW w:w="0" w:type="dxa"/>
            <w:vAlign w:val="bottom"/>
          </w:tcPr>
          <w:p>
            <w:pPr>
              <w:spacing w:after="0"/>
              <w:rPr>
                <w:sz w:val="1"/>
                <w:szCs w:val="1"/>
                <w:color w:val="auto"/>
              </w:rPr>
            </w:pPr>
          </w:p>
        </w:tc>
      </w:tr>
      <w:tr>
        <w:trPr>
          <w:trHeight w:val="222"/>
        </w:trPr>
        <w:tc>
          <w:tcPr>
            <w:tcW w:w="720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0" w:type="dxa"/>
            <w:vAlign w:val="bottom"/>
          </w:tcPr>
          <w:p>
            <w:pPr>
              <w:spacing w:after="0"/>
              <w:rPr>
                <w:sz w:val="1"/>
                <w:szCs w:val="1"/>
                <w:color w:val="auto"/>
              </w:rPr>
            </w:pPr>
          </w:p>
        </w:tc>
      </w:tr>
      <w:tr>
        <w:trPr>
          <w:trHeight w:val="208"/>
        </w:trPr>
        <w:tc>
          <w:tcPr>
            <w:tcW w:w="720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8"/>
                <w:szCs w:val="18"/>
                <w:b w:val="1"/>
                <w:bCs w:val="1"/>
                <w:color w:val="auto"/>
              </w:rPr>
              <w:t xml:space="preserve">Totals </w:t>
            </w:r>
            <w:r>
              <w:rPr>
                <w:rFonts w:ascii="Times New Roman" w:cs="Times New Roman" w:eastAsia="Times New Roman" w:hAnsi="Times New Roman"/>
                <w:sz w:val="23"/>
                <w:szCs w:val="23"/>
                <w:b w:val="1"/>
                <w:bCs w:val="1"/>
                <w:color w:val="auto"/>
                <w:vertAlign w:val="superscript"/>
              </w:rPr>
              <w:t>(3)</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160,620</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54,341</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79,951</w:t>
            </w:r>
          </w:p>
        </w:tc>
        <w:tc>
          <w:tcPr>
            <w:tcW w:w="0" w:type="dxa"/>
            <w:vAlign w:val="bottom"/>
          </w:tcPr>
          <w:p>
            <w:pPr>
              <w:spacing w:after="0"/>
              <w:rPr>
                <w:sz w:val="1"/>
                <w:szCs w:val="1"/>
                <w:color w:val="auto"/>
              </w:rPr>
            </w:pPr>
          </w:p>
        </w:tc>
      </w:tr>
      <w:tr>
        <w:trPr>
          <w:trHeight w:val="247"/>
        </w:trPr>
        <w:tc>
          <w:tcPr>
            <w:tcW w:w="7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294,912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54" w:val="left"/>
        </w:tabs>
        <w:numPr>
          <w:ilvl w:val="0"/>
          <w:numId w:val="11"/>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Arial" w:cs="Arial" w:eastAsia="Arial" w:hAnsi="Arial"/>
          <w:sz w:val="21"/>
          <w:szCs w:val="21"/>
          <w:color w:val="auto"/>
          <w:vertAlign w:val="superscript"/>
        </w:rPr>
      </w:pPr>
    </w:p>
    <w:p>
      <w:pPr>
        <w:ind w:left="660" w:hanging="330"/>
        <w:spacing w:after="0" w:line="227" w:lineRule="auto"/>
        <w:tabs>
          <w:tab w:leader="none" w:pos="654" w:val="left"/>
        </w:tabs>
        <w:numPr>
          <w:ilvl w:val="0"/>
          <w:numId w:val="11"/>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“Other Revenue” includes rental and site services income not allocated to segments. In addition, “Other Revenue” for the three months ended March 31, 2024 includes revenue from the Company’s former ACS reportable segment.</w:t>
      </w:r>
    </w:p>
    <w:p>
      <w:pPr>
        <w:ind w:left="660" w:hanging="330"/>
        <w:spacing w:after="0" w:line="227"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single customer represented over 10% of the Company’s consolidated net revenue. No country’s net revenue exceeded 10% of the Company’s consolidated net revenue except for the U.S.</w:t>
      </w:r>
    </w:p>
    <w:p>
      <w:pPr>
        <w:spacing w:after="0" w:line="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rental income, and the results of LivaNova’s former ACS reportable segment.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income to consolidated loss before tax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8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27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8"/>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27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46,678</w:t>
            </w: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income</w:t>
            </w:r>
          </w:p>
        </w:tc>
        <w:tc>
          <w:tcPr>
            <w:tcW w:w="2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61,389</w:t>
            </w:r>
          </w:p>
        </w:tc>
        <w:tc>
          <w:tcPr>
            <w:tcW w:w="0" w:type="dxa"/>
            <w:vAlign w:val="bottom"/>
          </w:tcPr>
          <w:p>
            <w:pPr>
              <w:spacing w:after="0"/>
              <w:rPr>
                <w:sz w:val="1"/>
                <w:szCs w:val="1"/>
                <w:color w:val="auto"/>
              </w:rPr>
            </w:pPr>
          </w:p>
        </w:tc>
      </w:tr>
      <w:tr>
        <w:trPr>
          <w:trHeight w:val="228"/>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7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(45,143)</w:t>
            </w: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2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(360,393)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(1)</w:t>
            </w:r>
          </w:p>
        </w:tc>
        <w:tc>
          <w:tcPr>
            <w:tcW w:w="27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27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w:t>
            </w:r>
          </w:p>
        </w:tc>
        <w:tc>
          <w:tcPr>
            <w:tcW w:w="272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(315,646)</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72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3"/>
        </w:trPr>
        <w:tc>
          <w:tcPr>
            <w:tcW w:w="44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80" w:type="dxa"/>
            <w:vAlign w:val="bottom"/>
            <w:tcBorders>
              <w:bottom w:val="single" w:sz="8" w:color="9A9A9A"/>
            </w:tcBorders>
          </w:tcPr>
          <w:p>
            <w:pPr>
              <w:spacing w:after="0"/>
              <w:rPr>
                <w:sz w:val="20"/>
                <w:szCs w:val="20"/>
                <w:color w:val="auto"/>
              </w:rPr>
            </w:pPr>
          </w:p>
        </w:tc>
        <w:tc>
          <w:tcPr>
            <w:tcW w:w="27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ind w:left="660" w:right="20" w:hanging="330"/>
        <w:spacing w:after="0" w:line="236"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“Interest expense” includes contractual interest expense associated with LivaNova’s short- and long-term financing arrangements and the amortization of debt discount and issuance costs of $5.7 million and $4.9 million for the three months ended March 31, 2025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6"/>
          <w:szCs w:val="16"/>
          <w:color w:val="auto"/>
        </w:rPr>
        <w:t>,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segment income, including significant expenses, of LivaNova’s reportable segments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Cardiopulmonary</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1040" w:type="dxa"/>
            <w:vAlign w:val="bottom"/>
            <w:tcBorders>
              <w:bottom w:val="single" w:sz="8" w:color="auto"/>
            </w:tcBorders>
          </w:tcPr>
          <w:p>
            <w:pPr>
              <w:spacing w:after="0"/>
              <w:rPr>
                <w:sz w:val="20"/>
                <w:szCs w:val="20"/>
                <w:color w:val="auto"/>
              </w:rPr>
            </w:pPr>
          </w:p>
        </w:tc>
      </w:tr>
      <w:tr>
        <w:trPr>
          <w:trHeight w:val="222"/>
        </w:trPr>
        <w:tc>
          <w:tcPr>
            <w:tcW w:w="4180" w:type="dxa"/>
            <w:vAlign w:val="bottom"/>
          </w:tcPr>
          <w:p>
            <w:pPr>
              <w:spacing w:after="0"/>
              <w:rPr>
                <w:sz w:val="19"/>
                <w:szCs w:val="19"/>
                <w:color w:val="auto"/>
              </w:rPr>
            </w:pPr>
          </w:p>
        </w:tc>
        <w:tc>
          <w:tcPr>
            <w:tcW w:w="348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2"/>
        </w:trPr>
        <w:tc>
          <w:tcPr>
            <w:tcW w:w="4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176,320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133,872</w:t>
            </w: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w:t>
            </w: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45,694</w:t>
            </w: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31,172</w:t>
            </w: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1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by reportable segment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2"/>
        </w:trPr>
        <w:tc>
          <w:tcPr>
            <w:tcW w:w="7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900,672</w:t>
            </w:r>
          </w:p>
        </w:tc>
        <w:tc>
          <w:tcPr>
            <w:tcW w:w="0" w:type="dxa"/>
            <w:vAlign w:val="bottom"/>
          </w:tcPr>
          <w:p>
            <w:pPr>
              <w:spacing w:after="0"/>
              <w:rPr>
                <w:sz w:val="1"/>
                <w:szCs w:val="1"/>
                <w:color w:val="auto"/>
              </w:rPr>
            </w:pPr>
          </w:p>
        </w:tc>
      </w:tr>
      <w:tr>
        <w:trPr>
          <w:trHeight w:val="228"/>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640,956</w:t>
            </w:r>
          </w:p>
        </w:tc>
        <w:tc>
          <w:tcPr>
            <w:tcW w:w="0" w:type="dxa"/>
            <w:vAlign w:val="bottom"/>
          </w:tcPr>
          <w:p>
            <w:pPr>
              <w:spacing w:after="0"/>
              <w:rPr>
                <w:sz w:val="1"/>
                <w:szCs w:val="1"/>
                <w:color w:val="auto"/>
              </w:rPr>
            </w:pPr>
          </w:p>
        </w:tc>
      </w:tr>
      <w:tr>
        <w:trPr>
          <w:trHeight w:val="228"/>
        </w:trPr>
        <w:tc>
          <w:tcPr>
            <w:tcW w:w="72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964,761</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2,558,746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2,506,389</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(1)</w:t>
            </w:r>
          </w:p>
        </w:tc>
        <w:tc>
          <w:tcPr>
            <w:tcW w:w="6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“Other assets” primarily includes corporate assets not allocated to segments.</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540" w:type="dxa"/>
            <w:vAlign w:val="bottom"/>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54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by reportable segment (in thousands):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2"/>
        </w:trPr>
        <w:tc>
          <w:tcPr>
            <w:tcW w:w="5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2"/>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28"/>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8"/>
        </w:trPr>
        <w:tc>
          <w:tcPr>
            <w:tcW w:w="72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capital expenditures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capital expenditures” primarily includes corporate capital expenditures not allocated to segments.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carrying amount of goodwill by reportable segment for the three months ended March 31, 2025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750,006</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w:t>
            </w:r>
          </w:p>
        </w:tc>
      </w:tr>
      <w:tr>
        <w:trPr>
          <w:trHeight w:val="24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761,911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821"/>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5"/>
        </w:trPr>
        <w:tc>
          <w:tcPr>
            <w:tcW w:w="518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7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7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Geographic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net by geographic region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94,394</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22"/>
        </w:trPr>
        <w:tc>
          <w:tcPr>
            <w:tcW w:w="7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170,260</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Supplemental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inventories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63,295</w:t>
            </w:r>
          </w:p>
        </w:tc>
      </w:tr>
      <w:tr>
        <w:trPr>
          <w:trHeight w:val="222"/>
        </w:trPr>
        <w:tc>
          <w:tcPr>
            <w:tcW w:w="7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147,566</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of March 31, 2025 and December 31, 2024, inventories included adjustments totaling $17.5 million and $16.4 million, respectively, to record balances at lower of cost or net realizable value.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accrued liabilities and other (in thousands):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3"/>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Italian MedTech payback measure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costs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accrual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33,463</w:t>
            </w:r>
          </w:p>
        </w:tc>
      </w:tr>
      <w:tr>
        <w:trPr>
          <w:trHeight w:val="222"/>
        </w:trPr>
        <w:tc>
          <w:tcPr>
            <w:tcW w:w="7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118,485</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As of March 31, 2025 and December 31, 2024, contract liabilities totaling $15.4 million and $14.7 million, respectively, were included in accrued liabilities and other long-term liabilities on the condensed consolidated balance sheets.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presents the items included in foreign exchange and other income/(expense) on the condensed consolidated statements of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2"/>
        </w:trPr>
        <w:tc>
          <w:tcPr>
            <w:tcW w:w="72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r>
      <w:tr>
        <w:trPr>
          <w:trHeight w:val="222"/>
        </w:trPr>
        <w:tc>
          <w:tcPr>
            <w:tcW w:w="7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Embedded derivative fair value adjustment (2025 Notes)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8"/>
        </w:trPr>
        <w:tc>
          <w:tcPr>
            <w:tcW w:w="72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Embedded derivative fair value adjustment (2029 Notes) </w:t>
            </w:r>
            <w:r>
              <w:rPr>
                <w:rFonts w:ascii="Times New Roman" w:cs="Times New Roman" w:eastAsia="Times New Roman" w:hAnsi="Times New Roman"/>
                <w:sz w:val="23"/>
                <w:szCs w:val="23"/>
                <w:color w:val="auto"/>
                <w:vertAlign w:val="superscript"/>
              </w:rPr>
              <w:t>(1)</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28"/>
        </w:trPr>
        <w:tc>
          <w:tcPr>
            <w:tcW w:w="72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Capped call fair value adjustment (2025 Notes)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28"/>
        </w:trPr>
        <w:tc>
          <w:tcPr>
            <w:tcW w:w="72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Capped call fair value adjustment (2029 Notes) </w:t>
            </w:r>
            <w:r>
              <w:rPr>
                <w:rFonts w:ascii="Times New Roman" w:cs="Times New Roman" w:eastAsia="Times New Roman" w:hAnsi="Times New Roman"/>
                <w:sz w:val="23"/>
                <w:szCs w:val="23"/>
                <w:color w:val="auto"/>
                <w:vertAlign w:val="superscript"/>
              </w:rPr>
              <w:t>(1)</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revaluation - Ceribell, Inc.</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fluctuations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7"/>
        </w:trPr>
        <w:tc>
          <w:tcPr>
            <w:tcW w:w="7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310"/>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3. Fair Value Measurements.”</w:t>
      </w:r>
    </w:p>
    <w:p>
      <w:pPr>
        <w:spacing w:after="0" w:line="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The following table presents a reconciliation of cash, cash equivalents, and restricted cash reported on the condensed consolidated balance sheets that sum to the total of the amounts shown on the condensed consolidated statements of cash flows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428,858</w:t>
            </w:r>
          </w:p>
        </w:tc>
      </w:tr>
      <w:tr>
        <w:trPr>
          <w:trHeight w:val="228"/>
        </w:trPr>
        <w:tc>
          <w:tcPr>
            <w:tcW w:w="72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294,698</w:t>
            </w:r>
          </w:p>
        </w:tc>
      </w:tr>
      <w:tr>
        <w:trPr>
          <w:trHeight w:val="247"/>
        </w:trPr>
        <w:tc>
          <w:tcPr>
            <w:tcW w:w="7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723,556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60" w:hanging="330"/>
        <w:spacing w:after="0" w:line="253"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was required to grant cash collateral to Barclays in USD in an amount equal to the USD equivalent of 105% of the amount of the SNIA Litigation Guarantee calibrated on a biweekly basis, which is presented as restricted cash on the condensed consolidated balance sheet. On March 31, 2025, as a result of the decision by the Italian Supreme Court, the SNIA Litigation Guarantee was terminated and the restriction on the cash deposit held as collateral was released. For additional information, refer to “Note 5. Commitments and Contingencies.”</w:t>
      </w: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Note 12. New Accounting Pronouncements</w:t>
      </w:r>
    </w:p>
    <w:p>
      <w:pPr>
        <w:spacing w:after="0" w:line="11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The following table presents a description of future adoptions of new ASUs issued by the FASB that may have an impact on LivaNova’s consolidated financial statements when adopted: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Issue Date &amp; Standard</w:t>
            </w:r>
          </w:p>
        </w:tc>
        <w:tc>
          <w:tcPr>
            <w:tcW w:w="460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2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Assessment</w:t>
            </w:r>
          </w:p>
        </w:tc>
      </w:tr>
      <w:tr>
        <w:trPr>
          <w:trHeight w:val="155"/>
        </w:trPr>
        <w:tc>
          <w:tcPr>
            <w:tcW w:w="184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December 2023 ASU No.</w:t>
            </w:r>
          </w:p>
        </w:tc>
        <w:tc>
          <w:tcPr>
            <w:tcW w:w="10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This ASU expands annual income tax disclosures primarily</w:t>
            </w:r>
          </w:p>
        </w:tc>
        <w:tc>
          <w:tcPr>
            <w:tcW w:w="10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1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2"/>
        </w:trPr>
        <w:tc>
          <w:tcPr>
            <w:tcW w:w="194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2023-09, </w:t>
            </w:r>
            <w:r>
              <w:rPr>
                <w:rFonts w:ascii="Times New Roman" w:cs="Times New Roman" w:eastAsia="Times New Roman" w:hAnsi="Times New Roman"/>
                <w:sz w:val="17"/>
                <w:szCs w:val="17"/>
                <w:i w:val="1"/>
                <w:iCs w:val="1"/>
                <w:color w:val="auto"/>
              </w:rPr>
              <w:t>Income Taxes</w:t>
            </w:r>
          </w:p>
        </w:tc>
        <w:tc>
          <w:tcPr>
            <w:tcW w:w="460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related to the rate reconciliation and income taxes paid.</w:t>
            </w:r>
          </w:p>
        </w:tc>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194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(Topic 740):</w:t>
            </w:r>
          </w:p>
        </w:tc>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2024, on a</w:t>
            </w:r>
          </w:p>
        </w:tc>
        <w:tc>
          <w:tcPr>
            <w:tcW w:w="2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standard will have on its</w:t>
            </w: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Improvements to Income</w:t>
            </w:r>
          </w:p>
        </w:tc>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prospective basis, with early</w:t>
            </w:r>
          </w:p>
        </w:tc>
        <w:tc>
          <w:tcPr>
            <w:tcW w:w="2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consolidated financial</w:t>
            </w:r>
          </w:p>
        </w:tc>
      </w:tr>
      <w:tr>
        <w:trPr>
          <w:trHeight w:val="166"/>
        </w:trPr>
        <w:tc>
          <w:tcPr>
            <w:tcW w:w="19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i w:val="1"/>
                <w:iCs w:val="1"/>
                <w:color w:val="auto"/>
              </w:rPr>
              <w:t>Tax Disclosures</w:t>
            </w:r>
          </w:p>
        </w:tc>
        <w:tc>
          <w:tcPr>
            <w:tcW w:w="4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adoption and retrospective</w:t>
            </w:r>
          </w:p>
        </w:tc>
        <w:tc>
          <w:tcPr>
            <w:tcW w:w="2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statements and related</w:t>
            </w:r>
          </w:p>
        </w:tc>
      </w:tr>
      <w:tr>
        <w:trPr>
          <w:trHeight w:val="237"/>
        </w:trPr>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application permitted.</w:t>
            </w: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disclosures.</w:t>
            </w:r>
          </w:p>
        </w:tc>
      </w:tr>
      <w:tr>
        <w:trPr>
          <w:trHeight w:val="161"/>
        </w:trPr>
        <w:tc>
          <w:tcPr>
            <w:tcW w:w="19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November 2024 ASU No.</w:t>
            </w:r>
          </w:p>
        </w:tc>
        <w:tc>
          <w:tcPr>
            <w:tcW w:w="46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requires disclosure in the notes to financial statements</w:t>
            </w:r>
          </w:p>
        </w:tc>
        <w:tc>
          <w:tcPr>
            <w:tcW w:w="26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202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2024-03, </w:t>
            </w:r>
            <w:r>
              <w:rPr>
                <w:rFonts w:ascii="Times New Roman" w:cs="Times New Roman" w:eastAsia="Times New Roman" w:hAnsi="Times New Roman"/>
                <w:sz w:val="17"/>
                <w:szCs w:val="17"/>
                <w:i w:val="1"/>
                <w:iCs w:val="1"/>
                <w:color w:val="auto"/>
              </w:rPr>
              <w:t>Income</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of additional information disaggregating specific expense</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Statement—Reporting</w:t>
            </w:r>
          </w:p>
        </w:tc>
        <w:tc>
          <w:tcPr>
            <w:tcW w:w="46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categories underlying certain income statement expense line</w:t>
            </w: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December 15, 2026, and interim</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standard will have on its</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Comprehensive</w:t>
            </w:r>
          </w:p>
        </w:tc>
        <w:tc>
          <w:tcPr>
            <w:tcW w:w="4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items, including employee compensation, depreciation, and</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beginning after December</w:t>
            </w:r>
          </w:p>
        </w:tc>
        <w:tc>
          <w:tcPr>
            <w:tcW w:w="20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consolidated financial</w:t>
            </w: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Income—Expense</w:t>
            </w:r>
          </w:p>
        </w:tc>
        <w:tc>
          <w:tcPr>
            <w:tcW w:w="46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intangible asset amortization, as well as certain other disclosures</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15, 2027. This ASU may be applied</w:t>
            </w:r>
          </w:p>
        </w:tc>
        <w:tc>
          <w:tcPr>
            <w:tcW w:w="20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statements and related</w:t>
            </w: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Disaggregation</w:t>
            </w:r>
          </w:p>
        </w:tc>
        <w:tc>
          <w:tcPr>
            <w:tcW w:w="46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to provide enhanced transparency into the nature and function of</w:t>
            </w:r>
          </w:p>
        </w:tc>
        <w:tc>
          <w:tcPr>
            <w:tcW w:w="26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on either a prospective or</w:t>
            </w: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disclosures.</w:t>
            </w: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Disclosures</w:t>
            </w:r>
          </w:p>
        </w:tc>
        <w:tc>
          <w:tcPr>
            <w:tcW w:w="46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expenses.</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retrospective basis, with early</w:t>
            </w:r>
          </w:p>
        </w:tc>
        <w:tc>
          <w:tcPr>
            <w:tcW w:w="2020" w:type="dxa"/>
            <w:vAlign w:val="bottom"/>
          </w:tcPr>
          <w:p>
            <w:pPr>
              <w:spacing w:after="0"/>
              <w:rPr>
                <w:sz w:val="15"/>
                <w:szCs w:val="15"/>
                <w:color w:val="auto"/>
              </w:rPr>
            </w:pPr>
          </w:p>
        </w:tc>
      </w:tr>
      <w:tr>
        <w:trPr>
          <w:trHeight w:val="162"/>
        </w:trPr>
        <w:tc>
          <w:tcPr>
            <w:tcW w:w="19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(Subtopic 220-40):</w:t>
            </w: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adoption permitted.</w:t>
            </w:r>
          </w:p>
        </w:tc>
        <w:tc>
          <w:tcPr>
            <w:tcW w:w="2020" w:type="dxa"/>
            <w:vAlign w:val="bottom"/>
          </w:tcPr>
          <w:p>
            <w:pPr>
              <w:spacing w:after="0"/>
              <w:rPr>
                <w:sz w:val="14"/>
                <w:szCs w:val="14"/>
                <w:color w:val="auto"/>
              </w:rPr>
            </w:pPr>
          </w:p>
        </w:tc>
      </w:tr>
      <w:tr>
        <w:trPr>
          <w:trHeight w:val="175"/>
        </w:trPr>
        <w:tc>
          <w:tcPr>
            <w:tcW w:w="1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i w:val="1"/>
                <w:iCs w:val="1"/>
                <w:color w:val="auto"/>
              </w:rPr>
              <w:t>Disaggregation of Income</w:t>
            </w: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2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Statement Expenses</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Subsequent Event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 2025, LivaNova repaid early $200 million of principal borrowings under the Term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jc w:val="both"/>
        <w:ind w:right="20"/>
        <w:spacing w:after="0" w:line="308" w:lineRule="auto"/>
        <w:rPr>
          <w:sz w:val="20"/>
          <w:szCs w:val="20"/>
          <w:color w:val="auto"/>
        </w:rPr>
      </w:pPr>
      <w:r>
        <w:rPr>
          <w:rFonts w:ascii="Times New Roman" w:cs="Times New Roman" w:eastAsia="Times New Roman" w:hAnsi="Times New Roman"/>
          <w:sz w:val="21"/>
          <w:szCs w:val="21"/>
          <w:b w:val="1"/>
          <w:bCs w:val="1"/>
          <w:color w:val="auto"/>
        </w:rPr>
        <w:t>ITEM 2. MANAGEMENT’S DISCUSSION AND ANALYSIS OF FINANCIAL CONDITION AND RESULTS OF OPERATIONS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related notes, which appear elsewhere in this Report, and with LivaNova’s 2024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2024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have been defined in the “Definitions” section and in the notes to LivaNova’s condensed consolidated financial statements of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Environment</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current macroeconomic environment, including FX volatility, inflationary pressures, geopolitical instability, and supply chain challenges, has impacted and may continue to impact LivaNova’s business, results of operations, cash flows, and financial condition.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For additional information, see “Part II, Item 1A. Risk Factors” of this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Incident</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also assessed the nature and scope of the affected data, analyzed its statutory notification obligations, and notified affected individuals and regulators as required by applicable law. For further discussion on legal and regulatory developments, refer to “Note 5. Commitments and Contingencies” in the condensed consolidated financial statements in this Report. The incident has been contained, and the Company’s mitigation efforts are considered complete.</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March 31, 2025, LivaNova incurred direct costs totaling $12.4 million in connection with this cybersecurity incident, including $0.8 million and $2.8 million for the three months ended March 31, 2025 and 2024, respectively. The total direct costs incurred primarily include external cybersecurity expert and legal fees, system restoration costs, and a $1.2 million provision related to the class action settlement, and do not include business interruption losses. The Company expects to incur additional costs related to this incident in the future. For further discussion on potential legal and regulatory developments, refer to “Note 5. Commitments and Contingencies” in the condensed consolidated financial statements in this Report. LivaNova maintains insurance, including cyber insurance, which is subject to certain retentions and policy limitations that will likely limit the amount that the insurers may reimburse the Company. LivaNova has filed claims for insurance reimbursement of covered costs and business interruption losses related to this incident and has submitted additional claims and supplemental requests for reimbursement as new costs have been incurred. Through March 31, 2025, LivaNova had received $8.6 million, including $5.2 million in reimbursement of business incident costs and $3.4 million in reimbursement of business interruption losses. For the three months ended March 31, 2025, LivaNova received $0.1 million in reimbursement of business incident costs. The</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95" w:lineRule="auto"/>
        <w:rPr>
          <w:sz w:val="20"/>
          <w:szCs w:val="20"/>
          <w:color w:val="auto"/>
        </w:rPr>
      </w:pPr>
      <w:r>
        <w:rPr>
          <w:rFonts w:ascii="Times New Roman" w:cs="Times New Roman" w:eastAsia="Times New Roman" w:hAnsi="Times New Roman"/>
          <w:sz w:val="18"/>
          <w:szCs w:val="18"/>
          <w:color w:val="auto"/>
        </w:rPr>
        <w:t>Company’s insurance coverage may be insufficient to cover all costs and expenses related to this cybersecurity incident or may be unavailable to cover all costs and expenses related to this cybersecurity incident.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LivaNova has two reportable segments: Cardiopulmonary and Neuromodulation. For additional information regarding LivaNova’s reportable segments, historical financial information, and its methodology for the presentation of financial results, refer to the condensed consolidated financial statements and accompanying notes of this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decision-making during cardiopulmonary bypass procedures.</w:t>
      </w:r>
    </w:p>
    <w:p>
      <w:pPr>
        <w:spacing w:after="0" w:line="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Information on the Cardiopulmonary segment that could potentially impact LivaNova’s condensed consolidated financial statements and related disclosures is incorporated by reference to “Note 5. Commitments and Contingencies: Product Liability Litigation” in the condensed consolidated financial statements in this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and equipment and instruction manuals that enable a treating physician to set parameters for a patient’s pulse generator. The lead does not need to be removed to replace a generator with a depleted battery.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Obstructive Sleep Apnea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Neuromodulation segment is also engaged in the development and management of clinical testing for LivaNova’s aura6000 System for treating OSA.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aura6000 device stimulates the hypoglossal nerve, which engages specific tongue and palate muscles to open the airway while a patient sleeps.</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May 2025, the Company announced the 12-month, top-line data from its OSPREY clinical trial, evaluating outcomes with the aura6000 System for the treatment of moderate to severe OSA. At 12 months of therapy, the treatment arm responder rate was 65%, with responders defined as those who realized at least a 50% improvement from the baseline AHI and an AHI value below 20. When comparing baseline median values to six and 12 months of therapy (assessed at the seven- and 13-month follow-up visits, respectively), OSPREY subjects showed significant reductions in AHI and ODI over time. Further, after 12 months of treatment, OSPREY subjects in the device stimulation group experienced clinically meaningful improvements in the Epworth Sleepiness Scale and the Functional Outcomes of Sleep Questionnaire.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Depression</w:t>
      </w:r>
    </w:p>
    <w:p>
      <w:pPr>
        <w:spacing w:after="0" w:line="1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Neuromodulation segment also includes the VNS Therapy System for the adjunctive treatment of chronic or recurrent depression for patients 18 years or older who are experiencing a major depressive episode and have not had an adequate response to four or more antidepressant treatments. LivaNova initiated the RECOVER clinical study, a CMS-approved, double-blind, randomized, placebo-controlled trial, in connection with its request that CMS reconsider its previous non-coverage determination.</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June 2024, the Company announced the preliminary results for the unipolar patient cohort of the RECOVER clinical study, assessing the use of VNS Therapy for DTD. The study did not meet its primary endpoint for the unipolar cohort; however, statistical significance was achieved in select secondary endpoints. These secondary endpoints demonstrated meaningful clinical benefits, as detailed in two articles published in the journal, </w:t>
      </w:r>
      <w:r>
        <w:rPr>
          <w:rFonts w:ascii="Times New Roman" w:cs="Times New Roman" w:eastAsia="Times New Roman" w:hAnsi="Times New Roman"/>
          <w:sz w:val="18"/>
          <w:szCs w:val="18"/>
          <w:i w:val="1"/>
          <w:iCs w:val="1"/>
          <w:color w:val="auto"/>
        </w:rPr>
        <w:t>Brain Stimulation</w:t>
      </w:r>
      <w:r>
        <w:rPr>
          <w:rFonts w:ascii="Times New Roman" w:cs="Times New Roman" w:eastAsia="Times New Roman" w:hAnsi="Times New Roman"/>
          <w:sz w:val="18"/>
          <w:szCs w:val="18"/>
          <w:color w:val="auto"/>
        </w:rPr>
        <w:t xml:space="preserve">, on December 18, 2024, further reinforcing the potential of VNS Therapy to improve outcomes for patients with treatment-resistant depression. In March 2025, the </w:t>
      </w:r>
      <w:r>
        <w:rPr>
          <w:rFonts w:ascii="Times New Roman" w:cs="Times New Roman" w:eastAsia="Times New Roman" w:hAnsi="Times New Roman"/>
          <w:sz w:val="18"/>
          <w:szCs w:val="18"/>
          <w:i w:val="1"/>
          <w:iCs w:val="1"/>
          <w:color w:val="auto"/>
        </w:rPr>
        <w:t>Journal of Affective Disorders</w:t>
      </w:r>
      <w:r>
        <w:rPr>
          <w:rFonts w:ascii="Times New Roman" w:cs="Times New Roman" w:eastAsia="Times New Roman" w:hAnsi="Times New Roman"/>
          <w:sz w:val="18"/>
          <w:szCs w:val="18"/>
          <w:color w:val="auto"/>
        </w:rPr>
        <w:t xml:space="preserve"> published an article examining the impact of outcome classification, observation period, and depression rating scale on symptom improvement in RECOVER study patients with treatment-resistant depressed treated with VNS Therapy. On April 14, 2025, the </w:t>
      </w:r>
      <w:r>
        <w:rPr>
          <w:rFonts w:ascii="Times New Roman" w:cs="Times New Roman" w:eastAsia="Times New Roman" w:hAnsi="Times New Roman"/>
          <w:sz w:val="18"/>
          <w:szCs w:val="18"/>
          <w:i w:val="1"/>
          <w:iCs w:val="1"/>
          <w:color w:val="auto"/>
        </w:rPr>
        <w:t>Journal of Mood</w:t>
      </w:r>
    </w:p>
    <w:p>
      <w:pPr>
        <w:spacing w:after="0" w:line="3" w:lineRule="exact"/>
        <w:rPr>
          <w:sz w:val="20"/>
          <w:szCs w:val="20"/>
          <w:color w:val="auto"/>
        </w:rPr>
      </w:pPr>
    </w:p>
    <w:p>
      <w:pPr>
        <w:jc w:val="both"/>
        <w:ind w:firstLine="7"/>
        <w:spacing w:after="0" w:line="267" w:lineRule="auto"/>
        <w:tabs>
          <w:tab w:leader="none" w:pos="20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Anxiety Disorders </w:t>
      </w:r>
      <w:r>
        <w:rPr>
          <w:rFonts w:ascii="Times New Roman" w:cs="Times New Roman" w:eastAsia="Times New Roman" w:hAnsi="Times New Roman"/>
          <w:sz w:val="18"/>
          <w:szCs w:val="18"/>
          <w:color w:val="auto"/>
        </w:rPr>
        <w:t>published an article examining how the “tripartite” metric based on depressive symptoms, daily function, and quality of life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 clinically meaningful benefits in patients with treatment-resistant depression, using the RECOVER trial database. These articles support the use of VNS Therapy in patients with DTD. Upon publication of the fifth and last critical manuscript, the Company expects to initiate the reconsideration submission process with CMS.</w:t>
      </w: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a discussion of LivaNova’s critical accounting estimates, see “Management’s Discussion and Analysis of Financial Condition and Results of Operations” included in the 2024 Form 10-K. For the three months ended March 31, 2025, there were no material changes to the application of critical accounting policies and estimates previously disclosed in LivaNova’s 2024 Form 10-K.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LivaNova’s condensed consolidated results of operations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2"/>
        </w:trPr>
        <w:tc>
          <w:tcPr>
            <w:tcW w:w="7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294,912</w:t>
            </w:r>
          </w:p>
        </w:tc>
      </w:tr>
      <w:tr>
        <w:trPr>
          <w:trHeight w:val="22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87,522</w:t>
            </w:r>
          </w:p>
        </w:tc>
      </w:tr>
      <w:tr>
        <w:trPr>
          <w:trHeight w:val="222"/>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8"/>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129,863</w:t>
            </w:r>
          </w:p>
        </w:tc>
      </w:tr>
      <w:tr>
        <w:trPr>
          <w:trHeight w:val="228"/>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45,664</w:t>
            </w:r>
          </w:p>
        </w:tc>
      </w:tr>
      <w:tr>
        <w:trPr>
          <w:trHeight w:val="228"/>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w:t>
            </w:r>
          </w:p>
        </w:tc>
      </w:tr>
      <w:tr>
        <w:trPr>
          <w:trHeight w:val="222"/>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(360,393)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2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w:t>
            </w:r>
          </w:p>
        </w:tc>
      </w:tr>
      <w:tr>
        <w:trPr>
          <w:trHeight w:val="222"/>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2"/>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(41,943)</w:t>
            </w:r>
          </w:p>
        </w:tc>
      </w:tr>
      <w:tr>
        <w:trPr>
          <w:trHeight w:val="20"/>
        </w:trPr>
        <w:tc>
          <w:tcPr>
            <w:tcW w:w="7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Revenue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by operating segment and geographic region (in thousands, except for percentages):</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ind w:left="1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8"/>
        </w:trPr>
        <w:tc>
          <w:tcPr>
            <w:tcW w:w="5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28"/>
        </w:trPr>
        <w:tc>
          <w:tcPr>
            <w:tcW w:w="514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2"/>
        </w:trPr>
        <w:tc>
          <w:tcPr>
            <w:tcW w:w="5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8"/>
        </w:trPr>
        <w:tc>
          <w:tcPr>
            <w:tcW w:w="514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2"/>
        </w:trPr>
        <w:tc>
          <w:tcPr>
            <w:tcW w:w="5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2"/>
        </w:trPr>
        <w:tc>
          <w:tcPr>
            <w:tcW w:w="514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8"/>
        </w:trPr>
        <w:tc>
          <w:tcPr>
            <w:tcW w:w="5140" w:type="dxa"/>
            <w:vAlign w:val="bottom"/>
            <w:tcBorders>
              <w:bottom w:val="single" w:sz="8" w:color="CCEEFF"/>
            </w:tcBorders>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47"/>
        </w:trPr>
        <w:tc>
          <w:tcPr>
            <w:tcW w:w="5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line="231" w:lineRule="auto"/>
        <w:tabs>
          <w:tab w:leader="none" w:pos="654" w:val="left"/>
        </w:tabs>
        <w:numPr>
          <w:ilvl w:val="0"/>
          <w:numId w:val="17"/>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Arial" w:cs="Arial" w:eastAsia="Arial" w:hAnsi="Arial"/>
          <w:sz w:val="21"/>
          <w:szCs w:val="21"/>
          <w:color w:val="auto"/>
          <w:vertAlign w:val="superscript"/>
        </w:rPr>
      </w:pPr>
    </w:p>
    <w:p>
      <w:pPr>
        <w:ind w:left="660" w:hanging="330"/>
        <w:spacing w:after="0" w:line="227" w:lineRule="auto"/>
        <w:tabs>
          <w:tab w:leader="none" w:pos="654" w:val="left"/>
        </w:tabs>
        <w:numPr>
          <w:ilvl w:val="0"/>
          <w:numId w:val="17"/>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“Other Revenue” includes rental and site services income not allocated to segments. In addition, “Other Revenue” for the three months ended March 31, 2024 includes revenue from the Company’s former ACS reportable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segment income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thousands, except for percentages):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40" w:type="dxa"/>
            <w:vAlign w:val="bottom"/>
            <w:tcBorders>
              <w:bottom w:val="single" w:sz="8" w:color="auto"/>
            </w:tcBorders>
          </w:tcPr>
          <w:p>
            <w:pPr>
              <w:spacing w:after="0"/>
              <w:rPr>
                <w:sz w:val="20"/>
                <w:szCs w:val="20"/>
                <w:color w:val="auto"/>
              </w:rPr>
            </w:pPr>
          </w:p>
        </w:tc>
      </w:tr>
      <w:tr>
        <w:trPr>
          <w:trHeight w:val="222"/>
        </w:trPr>
        <w:tc>
          <w:tcPr>
            <w:tcW w:w="5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r>
      <w:tr>
        <w:trPr>
          <w:trHeight w:val="22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47"/>
        </w:trPr>
        <w:tc>
          <w:tcPr>
            <w:tcW w:w="5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660" w:right="20" w:hanging="330"/>
        <w:spacing w:after="0" w:line="231"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a reconciliation of segment income to consolidated loss before tax, refer to “Note 10. Geographic and Segment Information”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Cardiopulmonary net revenue for the three months ended March 31, 2025 increased 13.1% to $176.3 million compared to the three months ended March 31, 2024, with growth across all regions, driven by Essenz Perfusion System sales and strong consumables demand.</w:t>
      </w:r>
    </w:p>
    <w:p>
      <w:pPr>
        <w:spacing w:after="0" w:line="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Cardiopulmonary segment income for the three months ended March 31, 2025 was $24.7 million, compared to segment income of $14.7 million for the three months ended March 31, 2024. The increase in segment income was primarily due to an increase in net revenue, as described above, as well as a decrease in the amount recorded for the litigation provision related to LivaNova’s 3T Heater-Cooler device of $5.7 million.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Neuromodulation net revenue for the three months ended March 31, 2025 increased 3.8% to $138.9 million compared to the three months ended March 31, 2024, driven by strength in the Europe and Rest of World regions.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1" w:name="page32"/>
    <w:bookmarkEnd w:id="31"/>
    <w:p>
      <w:pPr>
        <w:jc w:val="both"/>
        <w:spacing w:after="0" w:line="272" w:lineRule="auto"/>
        <w:rPr>
          <w:sz w:val="20"/>
          <w:szCs w:val="20"/>
          <w:color w:val="auto"/>
        </w:rPr>
      </w:pPr>
      <w:r>
        <w:rPr>
          <w:rFonts w:ascii="Times New Roman" w:cs="Times New Roman" w:eastAsia="Times New Roman" w:hAnsi="Times New Roman"/>
          <w:sz w:val="18"/>
          <w:szCs w:val="18"/>
          <w:color w:val="auto"/>
        </w:rPr>
        <w:t>Neuromodulation segment income for the three months ended March 31, 2025 was $52.4 million compared to $46.7 million for the three months ended March 31, 2024. The increase in segment income was primarily due to the increase in net revenue, as described above, as well as a net decrease in R&amp;D expense, primarily resulting from a reduction in costs associated with the Company’s DTD program of $5.3 million.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costs and expenses as a percentage of net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20" w:type="dxa"/>
            <w:vAlign w:val="bottom"/>
            <w:tcBorders>
              <w:bottom w:val="single" w:sz="8" w:color="auto"/>
            </w:tcBorders>
          </w:tcPr>
          <w:p>
            <w:pPr>
              <w:spacing w:after="0"/>
              <w:rPr>
                <w:sz w:val="20"/>
                <w:szCs w:val="20"/>
                <w:color w:val="auto"/>
              </w:rPr>
            </w:pPr>
          </w:p>
        </w:tc>
      </w:tr>
      <w:tr>
        <w:trPr>
          <w:trHeight w:val="222"/>
        </w:trPr>
        <w:tc>
          <w:tcPr>
            <w:tcW w:w="49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8"/>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consists primarily of direct labor, allocated manufacturing overhead, and the acquisition of raw materials and components.</w:t>
      </w:r>
    </w:p>
    <w:p>
      <w:pPr>
        <w:spacing w:after="0" w:line="1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Cost of sales as a percentage of net revenue was 30.3% for the three months ended March 31, 2025, an increase of 0.6 percentage points compared to the three months ended March 31, 2024 and was consistent with volume leverage.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are comprised of sales, marketing, general, and administrative activities.</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SG&amp;A expense as a percentage of net revenue was 42.2% for the three months ended March 31, 2025, a decrease of 1.8 percentage points compared to the three months ended March 31, 2024 primarily resulting from insurance recoveries and a decline in costs associated with the November 2023 cybersecurity incident.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consist of product design and development efforts, clinical study programs, and regulatory activities.</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R&amp;D expense as a percentage of net revenue was 12.0% for the three months ended March 31, 2025, a decrease of 3.5 percentage points compared to the three months ended March 31, 2024. The decrease was primarily due to a reduction in costs associated with the Company’s DTD program of $5.3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Operating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primarily consists of charges related to LivaNova’s 3T Heater-Cooler device litigation provision and restructuring expense.</w:t>
      </w:r>
    </w:p>
    <w:p>
      <w:pPr>
        <w:spacing w:after="0" w:line="1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Other operating expenses as a percentage of net revenue was 0.2% for the three months ended March 31, 2025, a decrease of 5.1 percentage points compared to the three months ended March 31, 2024. The decrease was due to a $9.3 million decrease in restructuring costs associated with the 2024 Restructuring Plan, as well as a $5.7 million decrease in the amount recorded for the litigation provision related to LivaNova’s 3T Heater-Cooler device. For additional information, please refer to “Note 5. Commitments and Contingencies,” in the condensed consolidated financial statements in this Report.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Liability Expense</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w:t>
      </w:r>
    </w:p>
    <w:p>
      <w:pPr>
        <w:spacing w:after="0" w:line="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As a result of the decision by the Italian Supreme Court, the Company recorded a current liability of €333.3 million ($360.4 million) as of and for the three months ended March 31, 2025 as its best estimate of the liability inclusive of estimated costs, fees, interest, and taxes. These estimated costs do not include legal fees, which are expensed as incurred and included in SG&amp;A on LivaNova’s condensed consolidated statements of income (loss). The Company has determined that it has sufficient resources to cover the liability given its cash and cash equivalents of $738.4 million as of March 31, 2025.</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For additional information, please refer to “Note 5. Commitments and Contingencies” in the condensed consolidated financial statements in this Report.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Interest expense decreased to $15.3 million for the three months ended March 31, 2025 compared to $15.9 million for the three months ended March 31, 2024, primarily due to decreases in interest rates, partially offset by an increase in amortization of debt issuance costs and an increase in average borrowings. For additional information, refer to “Note 4. Financing Arrangements” in the condensed consolidated financial statements in this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Exchange and Other Income/(Expense)</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Foreign exchange and other income/(expense) was income of $11.4 million for the three months ended March 31, 2025, compared to expense of $9.1 million for the three months ended March 31, 2024. For additional information, refer to “Note 11. Supplemental Financial Information” in the condensed consolidated financial statements in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w:t>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LivaNova PLC is a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LivaNova’s effective income tax rate for the three months ended March 31, 2025 was (3.7)% compared to (22.6)% for the three months ended March 31, 2024. The change in the effective tax rate for the three months ended March 31, 2025, compared to the prior year period, was primarily attributable to year-over-year changes in income before tax in countries with varying statutory tax rates, certain discrete tax items, including the SNIA environmental liability, and changes in valuation allowances.</w:t>
      </w:r>
    </w:p>
    <w:p>
      <w:pPr>
        <w:spacing w:after="0" w:line="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LivaNova is subject to income taxes as well as non-income-based taxes in the U.S., the UK, the EU, and various other jurisdictions. LivaNova will continue to monitor legislative developments including the adoption of Pillar Two and related guidance in the UK and other jurisdictions that may impact LivaNova’s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Based on LivaNova’s current business plan, which includes estimates and assumptions regarding the amount and timing of cash receipts and payments,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commitments and contingencies, including the SNIA environmental liability,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in the 2024 Form 10-K, as well as “Note 5. Commitments and Contingencies” in the condensed consolidated financial statements in this Report.</w:t>
      </w:r>
    </w:p>
    <w:p>
      <w:pPr>
        <w:spacing w:after="0" w:line="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LivaNova’s operating and working capital obligations primarily consist of liabilities arising from the normal course of business, including inventory supply contracts, the future settlement of derivative instruments, and future lease payments, as well as contingent consideration arrangements resulting from acquisitions and obligations associated with legal and other accruals.</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related to LivaNova’s liquidity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Short-term Liquidity</w:t>
            </w: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428,858</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Availability under the 2021 First Lien Credit Agreement</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53"/>
        </w:trPr>
        <w:tc>
          <w:tcPr>
            <w:tcW w:w="7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1,127,186</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741,573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392,125</w:t>
            </w:r>
          </w:p>
        </w:tc>
        <w:tc>
          <w:tcPr>
            <w:tcW w:w="0" w:type="dxa"/>
            <w:vAlign w:val="bottom"/>
          </w:tcPr>
          <w:p>
            <w:pPr>
              <w:spacing w:after="0"/>
              <w:rPr>
                <w:sz w:val="1"/>
                <w:szCs w:val="1"/>
                <w:color w:val="auto"/>
              </w:rPr>
            </w:pPr>
          </w:p>
        </w:tc>
      </w:tr>
      <w:tr>
        <w:trPr>
          <w:trHeight w:val="253"/>
        </w:trPr>
        <w:tc>
          <w:tcPr>
            <w:tcW w:w="7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735,061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77,339</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Short-term unsecured borrowing arrangements</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42"/>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debt obligations</w:t>
            </w: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78,004</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549,624</w:t>
            </w:r>
          </w:p>
        </w:tc>
        <w:tc>
          <w:tcPr>
            <w:tcW w:w="0" w:type="dxa"/>
            <w:vAlign w:val="bottom"/>
          </w:tcPr>
          <w:p>
            <w:pPr>
              <w:spacing w:after="0"/>
              <w:rPr>
                <w:sz w:val="1"/>
                <w:szCs w:val="1"/>
                <w:color w:val="auto"/>
              </w:rPr>
            </w:pPr>
          </w:p>
        </w:tc>
      </w:tr>
      <w:tr>
        <w:trPr>
          <w:trHeight w:val="253"/>
        </w:trPr>
        <w:tc>
          <w:tcPr>
            <w:tcW w:w="7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627,628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For information on LivaNova’s debt obligations, refer to “Note 4. Financing Arrangements” and “Note 13. Subsequent Event” in the condensed consolidated financial statements in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net cash, cash equivalents, and restricted cash provided by (used in) operating, investing, and financing activities and the net increase in the balance of cash, cash equivalents, and restricted cash (in thousands):</w:t>
      </w:r>
    </w:p>
    <w:tbl>
      <w:tblPr>
        <w:tblLayout w:type="fixed"/>
        <w:tblInd w:w="0" w:type="dxa"/>
        <w:tblCellMar>
          <w:top w:w="0" w:type="dxa"/>
          <w:left w:w="0" w:type="dxa"/>
          <w:bottom w:w="0" w:type="dxa"/>
          <w:right w:w="0" w:type="dxa"/>
        </w:tblCellMar>
      </w:tblPr>
      <w:tr>
        <w:trPr>
          <w:trHeight w:val="237"/>
        </w:trPr>
        <w:tc>
          <w:tcPr>
            <w:tcW w:w="702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2"/>
        </w:trPr>
        <w:tc>
          <w:tcPr>
            <w:tcW w:w="70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r>
      <w:tr>
        <w:trPr>
          <w:trHeight w:val="22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w:t>
            </w:r>
          </w:p>
        </w:tc>
      </w:tr>
      <w:tr>
        <w:trPr>
          <w:trHeight w:val="22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37,147</w:t>
            </w:r>
          </w:p>
        </w:tc>
      </w:tr>
      <w:tr>
        <w:trPr>
          <w:trHeight w:val="228"/>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47"/>
        </w:trPr>
        <w:tc>
          <w:tcPr>
            <w:tcW w:w="702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Net increase in cash, cash equivalents, and restricted cash </w:t>
            </w:r>
            <w:r>
              <w:rPr>
                <w:rFonts w:ascii="Times New Roman" w:cs="Times New Roman" w:eastAsia="Times New Roman" w:hAnsi="Times New Roman"/>
                <w:sz w:val="23"/>
                <w:szCs w:val="23"/>
                <w:color w:val="auto"/>
                <w:vertAlign w:val="superscript"/>
              </w:rPr>
              <w:t>(1)</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60" w:hanging="330"/>
        <w:spacing w:after="0" w:line="241"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31, 2025, as a result of the decision by the Italian Supreme Court, the SNIA Litigation Guarantee was terminated, and the restriction on the cash deposit held as collateral was released. For additional information, refer to “Note 5. Commitments and Contingencies” in the condensed consolidated financial statements in this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2025 increased $14.0 million compared to the same prior year period, primarily due to higher customer collections resulting from an increase in sales, as well as lower payments to vendors and for restructuring activities, partially offset by an increase in annual incentive payouts and higher cash outflows for inventories.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increased $4.3 million compared to the same prior year period, primarily due to an increase in purchases of property, plant, and equipment of $4.4 million, principally related to purchases and development of internal-use software.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2025 decreased $41.6 million compared to the same prior year period, primarily due to a decrease in proceeds from net debt borrowings and repayments of $55.6 million, partially offset by the payment of the ALung contingent consideration arrangement during the three months ended March 31, 2024 of $13.8 million.</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Report in “Part I, Item 1. Financial Statements, Note 2. Derivatives and Risk Management,” “Part I, Item 2. Management’s Discussion and Analysis of Financial Condition and Results of Operations,” and “Part II, Item 1A. Risk Factors” and in LivaNova’s 2024 Form 10-K in “Part II, Item 7. Management’s Discussion and Analysis of Financial Condition and Results of Operations” and “Part I, Item 1A. Risk Factors.”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March 31, 2025, the design and operation of the Company’s disclosure controls and procedures were effective to accomplish their objectives at the reasonable assurance level.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There have been no changes in LivaNova’s internal control over financial reporting (as defined in Rules 13a-15(f) and 15d-15(f) under the Exchange Act) during the quarter ended March 31, 2025 that have materially affected, or are reasonably likely to materially affect, LivaNova’s internal control over financial reporting.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1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a description of LivaNova’s material pending legal and regulatory proceedings and settlements, refer to “Note 5. Commitments and Contingencies” in the Company’s condensed consolidated financial statements included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1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Other than as described below, there have been no material changes in LivaNova’s risk factors from those disclosed in Part I, Item 1A of the Company’s 2024 Annual Report on Form 10-K.</w:t>
      </w:r>
    </w:p>
    <w:p>
      <w:pPr>
        <w:spacing w:after="0" w:line="3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export and import costs and other trade restrictions as well as uncertainty over global tariffs could materially adversely affect LivaNova’s business and results of operations.</w:t>
      </w:r>
    </w:p>
    <w:p>
      <w:pPr>
        <w:spacing w:after="0" w:line="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Recently, the U.S. government announced substantial changes in U.S. trade policy and trade agreements, including imposing tariffs on certain foreign goods. In response to these tariffs, certain foreign governments, including China, have retaliated by imposing tariffs on certain U.S. goods. A significant number of LivaNova’s Cardiopulmonary products and component parts are sourced and produced outside of the U.S., including in Italy and Germany. Similarly, LivaNova manufactures its Neuromodulation products in the U.S., which are then often distributed internationally. To the extent tariffs or other similar trade restrictions are implemented by the U.S., other countries, and/or trade blocs in connection with a global trade war, such actions would increase the cost of LivaNova’s products, which may affect the competitiveness of the Company’s products relative to manufacturers not affected by such actions. Increased tariffs could require LivaNova to increase its prices, which could decrease demand for its products, and in certain cases, the Company may be unable to implement price increases. While the Company continues to assess these developments, it may not be able to fully mitigate the impacts of tariffs. Further, uncertainty surrounding the scope and duration of trade actions by the U.S. and potential retaliatory trade actions by other countries and/or trade blocs has constrained LivaNova’s ability to fully plan for and implement related mitigation strategies.</w:t>
      </w: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factors described above may have a material adverse effect on LivaNova’s business, results of operations, cash flows,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DEFAULTS UPON SENIOR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MINE SAFETY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 OTHER INFORMATION</w:t>
      </w:r>
    </w:p>
    <w:p>
      <w:pPr>
        <w:spacing w:after="0" w:line="1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During the quarter ended March 31, 2025,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Pursuant to Section 13(r) of the Exchange Act of 1934</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LivaNova’s gross revenue and net profits attributable to the above-mentioned Iranian activities were $5.1 million and $3.0 million, respectively, for the three months ended March 31, 2025.</w:t>
      </w:r>
    </w:p>
    <w:p>
      <w:pPr>
        <w:spacing w:after="0" w:line="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LivaNova believes its activities are consistent with applicable law, including U.S., UK, European Union, and other applicable sanctions laws, though such laws are complex and continue to evolve rapidly. The Company intends to continue its business in Iran.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13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80" w:type="dxa"/>
            <w:vAlign w:val="bottom"/>
            <w:vMerge w:val="restart"/>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8"/>
              </w:rPr>
              <w:t>31.1*</w:t>
            </w:r>
          </w:p>
        </w:tc>
        <w:tc>
          <w:tcPr>
            <w:tcW w:w="100" w:type="dxa"/>
            <w:vAlign w:val="bottom"/>
            <w:tcBorders>
              <w:top w:val="single" w:sz="8" w:color="CCEEFF"/>
            </w:tcBorders>
            <w:shd w:val="clear" w:color="auto" w:fill="CCEEFF"/>
          </w:tcPr>
          <w:p>
            <w:pPr>
              <w:spacing w:after="0"/>
              <w:rPr>
                <w:sz w:val="19"/>
                <w:szCs w:val="19"/>
                <w:color w:val="auto"/>
              </w:rPr>
            </w:pPr>
          </w:p>
        </w:tc>
        <w:tc>
          <w:tcPr>
            <w:tcW w:w="10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2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31.2*</w:t>
            </w:r>
          </w:p>
        </w:tc>
        <w:tc>
          <w:tcPr>
            <w:tcW w:w="100" w:type="dxa"/>
            <w:vAlign w:val="bottom"/>
          </w:tcPr>
          <w:p>
            <w:pPr>
              <w:spacing w:after="0"/>
              <w:rPr>
                <w:sz w:val="19"/>
                <w:szCs w:val="19"/>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0000FF"/>
                <w:w w:val="98"/>
              </w:rPr>
              <w:t>32.1*</w:t>
            </w:r>
          </w:p>
        </w:tc>
        <w:tc>
          <w:tcPr>
            <w:tcW w:w="100" w:type="dxa"/>
            <w:vAlign w:val="bottom"/>
            <w:shd w:val="clear" w:color="auto" w:fill="CCEEFF"/>
          </w:tcPr>
          <w:p>
            <w:pPr>
              <w:spacing w:after="0"/>
              <w:rPr>
                <w:sz w:val="15"/>
                <w:szCs w:val="15"/>
                <w:color w:val="auto"/>
              </w:rPr>
            </w:pPr>
          </w:p>
        </w:tc>
        <w:tc>
          <w:tcPr>
            <w:tcW w:w="100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of LivaNova PLC pursuant to Section 906 of the Sarbanes-Oxley</w:t>
            </w:r>
          </w:p>
        </w:tc>
        <w:tc>
          <w:tcPr>
            <w:tcW w:w="0" w:type="dxa"/>
            <w:vAlign w:val="bottom"/>
          </w:tcPr>
          <w:p>
            <w:pPr>
              <w:spacing w:after="0"/>
              <w:rPr>
                <w:sz w:val="1"/>
                <w:szCs w:val="1"/>
                <w:color w:val="auto"/>
              </w:rPr>
            </w:pPr>
          </w:p>
        </w:tc>
      </w:tr>
      <w:tr>
        <w:trPr>
          <w:trHeight w:val="233"/>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83"/>
        </w:trPr>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15"/>
                <w:szCs w:val="15"/>
                <w:color w:val="auto"/>
              </w:rPr>
            </w:pP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XBRL: (i) the Condensed Consolidated Statements of</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Income (Loss) for the three months ended March 31, 2025 and 2024, (ii) the Condensed Consolidated Statements of Comprehensive Loss</w:t>
            </w: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for the three months ended March 31, 2025 and 2024, (iii) the Condensed Consolidated Balance Sheets as of March 31, 2025 and</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December 31, 2024, (iv) the Condensed Consolidated Statements of Cash Flows for the three months ended March 31, 2025 and 2024, and</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 the Notes to the Condensed Consolidated Financial Statements</w:t>
            </w:r>
          </w:p>
        </w:tc>
        <w:tc>
          <w:tcPr>
            <w:tcW w:w="0" w:type="dxa"/>
            <w:vAlign w:val="bottom"/>
          </w:tcPr>
          <w:p>
            <w:pPr>
              <w:spacing w:after="0"/>
              <w:rPr>
                <w:sz w:val="1"/>
                <w:szCs w:val="1"/>
                <w:color w:val="auto"/>
              </w:rPr>
            </w:pPr>
          </w:p>
        </w:tc>
      </w:tr>
      <w:tr>
        <w:trPr>
          <w:trHeight w:val="228"/>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9"/>
                <w:szCs w:val="19"/>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3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5"/>
        </w:trPr>
        <w:tc>
          <w:tcPr>
            <w:tcW w:w="10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6" w:name="page37"/>
    <w:bookmarkEnd w:id="36"/>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13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2000" w:val="left"/>
          <w:tab w:leader="none" w:pos="270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33655</wp:posOffset>
            </wp:positionV>
            <wp:extent cx="42233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23385" cy="8255"/>
                    </a:xfrm>
                    <a:prstGeom prst="rect">
                      <a:avLst/>
                    </a:prstGeom>
                    <a:noFill/>
                  </pic:spPr>
                </pic:pic>
              </a:graphicData>
            </a:graphic>
          </wp:anchor>
        </w:drawing>
      </w:r>
    </w:p>
    <w:p>
      <w:pPr>
        <w:spacing w:after="0" w:line="4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3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9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2000" w:val="left"/>
          <w:tab w:leader="none" w:pos="270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33655</wp:posOffset>
            </wp:positionV>
            <wp:extent cx="42233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23385" cy="8255"/>
                    </a:xfrm>
                    <a:prstGeom prst="rect">
                      <a:avLst/>
                    </a:prstGeom>
                    <a:noFill/>
                  </pic:spPr>
                </pic:pic>
              </a:graphicData>
            </a:graphic>
          </wp:anchor>
        </w:drawing>
      </w:r>
    </w:p>
    <w:p>
      <w:pPr>
        <w:spacing w:after="0" w:line="4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3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Vladimir Makatsaria, certify that:</w:t>
      </w:r>
    </w:p>
    <w:p>
      <w:pPr>
        <w:spacing w:after="0" w:line="115" w:lineRule="exact"/>
        <w:rPr>
          <w:sz w:val="20"/>
          <w:szCs w:val="20"/>
          <w:color w:val="auto"/>
        </w:rPr>
      </w:pPr>
    </w:p>
    <w:p>
      <w:pPr>
        <w:ind w:firstLine="330"/>
        <w:spacing w:after="0" w:line="280" w:lineRule="auto"/>
        <w:tabs>
          <w:tab w:leader="none" w:pos="6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5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firstLine="330"/>
        <w:spacing w:after="0" w:line="264"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7, 2025</w:t>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3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Alex Shvartsburg, certify that:</w:t>
      </w:r>
    </w:p>
    <w:p>
      <w:pPr>
        <w:spacing w:after="0" w:line="115" w:lineRule="exact"/>
        <w:rPr>
          <w:sz w:val="20"/>
          <w:szCs w:val="20"/>
          <w:color w:val="auto"/>
        </w:rPr>
      </w:pPr>
    </w:p>
    <w:p>
      <w:pPr>
        <w:ind w:firstLine="330"/>
        <w:spacing w:after="0" w:line="280" w:lineRule="auto"/>
        <w:tabs>
          <w:tab w:leader="none" w:pos="6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5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sz w:val="20"/>
          <w:szCs w:val="20"/>
          <w:color w:val="auto"/>
        </w:rPr>
      </w:pPr>
    </w:p>
    <w:p>
      <w:pPr>
        <w:jc w:val="both"/>
        <w:ind w:firstLine="330"/>
        <w:spacing w:after="0" w:line="264"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7, 2025</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ectPr>
          <w:pgSz w:w="11900" w:h="16838" w:orient="portrait"/>
          <w:cols w:equalWidth="0" w:num="1">
            <w:col w:w="11240"/>
          </w:cols>
          <w:pgMar w:left="320" w:top="104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23"/>
        <w:spacing w:after="0" w:line="373" w:lineRule="auto"/>
        <w:rPr>
          <w:sz w:val="20"/>
          <w:szCs w:val="20"/>
          <w:color w:val="auto"/>
        </w:rPr>
      </w:pPr>
      <w:r>
        <w:rPr>
          <w:rFonts w:ascii="Times New Roman" w:cs="Times New Roman" w:eastAsia="Times New Roman" w:hAnsi="Times New Roman"/>
          <w:sz w:val="18"/>
          <w:szCs w:val="18"/>
          <w:color w:val="auto"/>
        </w:rPr>
        <w:t>Each of Vladimir Makatsaria,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32" w:lineRule="exact"/>
        <w:rPr>
          <w:sz w:val="20"/>
          <w:szCs w:val="20"/>
          <w:color w:val="auto"/>
        </w:rPr>
      </w:pPr>
    </w:p>
    <w:p>
      <w:pPr>
        <w:jc w:val="both"/>
        <w:ind w:firstLine="532"/>
        <w:spacing w:after="0" w:line="373" w:lineRule="auto"/>
        <w:tabs>
          <w:tab w:leader="none" w:pos="8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and its consolidated subsidiaries for the quarterly period ended March 31, 2025, as filed with the Securities and Exchange Commission on the date hereof (the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20" w:hanging="288"/>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7, 2025</w:t>
      </w:r>
    </w:p>
    <w:p>
      <w:pPr>
        <w:spacing w:after="0" w:line="2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ind w:firstLine="323"/>
        <w:spacing w:after="0" w:line="29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amp;"/>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2025-05-07T13:41:18Z</dcterms:created>
  <dcterms:modified xsi:type="dcterms:W3CDTF">2025-05-07T13:41:18Z</dcterms:modified>
</cp:coreProperties>
</file>