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429895</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August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2842895</wp:posOffset>
            </wp:positionH>
            <wp:positionV relativeFrom="paragraph">
              <wp:posOffset>167640</wp:posOffset>
            </wp:positionV>
            <wp:extent cx="1465580" cy="460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5580" cy="4603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7" w:lineRule="exact"/>
        <w:rPr>
          <w:sz w:val="24"/>
          <w:szCs w:val="24"/>
          <w:color w:val="auto"/>
        </w:rPr>
      </w:pPr>
    </w:p>
    <w:tbl>
      <w:tblPr>
        <w:tblLayout w:type="fixed"/>
        <w:tblInd w:w="1320" w:type="dxa"/>
        <w:tblCellMar>
          <w:top w:w="0" w:type="dxa"/>
          <w:left w:w="0" w:type="dxa"/>
          <w:bottom w:w="0" w:type="dxa"/>
          <w:right w:w="0" w:type="dxa"/>
        </w:tblCellMar>
      </w:tblPr>
      <w:tr>
        <w:trPr>
          <w:trHeight w:val="233"/>
        </w:trPr>
        <w:tc>
          <w:tcPr>
            <w:tcW w:w="214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England and Wales</w:t>
            </w:r>
          </w:p>
        </w:tc>
        <w:tc>
          <w:tcPr>
            <w:tcW w:w="4480" w:type="dxa"/>
            <w:vAlign w:val="bottom"/>
          </w:tcPr>
          <w:p>
            <w:pPr>
              <w:jc w:val="center"/>
              <w:ind w:right="91"/>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31"/>
              <w:spacing w:after="0"/>
              <w:rPr>
                <w:sz w:val="20"/>
                <w:szCs w:val="20"/>
                <w:color w:val="auto"/>
              </w:rPr>
            </w:pPr>
            <w:r>
              <w:rPr>
                <w:rFonts w:ascii="Arial" w:cs="Arial" w:eastAsia="Arial" w:hAnsi="Arial"/>
                <w:sz w:val="18"/>
                <w:szCs w:val="18"/>
                <w:b w:val="1"/>
                <w:bCs w:val="1"/>
                <w:color w:val="auto"/>
                <w:w w:val="89"/>
              </w:rPr>
              <w:t>98-1268150</w:t>
            </w:r>
          </w:p>
        </w:tc>
      </w:tr>
      <w:tr>
        <w:trPr>
          <w:trHeight w:val="254"/>
        </w:trPr>
        <w:tc>
          <w:tcPr>
            <w:tcW w:w="2140" w:type="dxa"/>
            <w:vAlign w:val="bottom"/>
          </w:tcPr>
          <w:p>
            <w:pPr>
              <w:jc w:val="center"/>
              <w:ind w:right="111"/>
              <w:spacing w:after="0"/>
              <w:rPr>
                <w:sz w:val="20"/>
                <w:szCs w:val="20"/>
                <w:color w:val="auto"/>
              </w:rPr>
            </w:pPr>
            <w:r>
              <w:rPr>
                <w:rFonts w:ascii="Arial" w:cs="Arial" w:eastAsia="Arial" w:hAnsi="Arial"/>
                <w:sz w:val="18"/>
                <w:szCs w:val="18"/>
                <w:color w:val="auto"/>
                <w:w w:val="90"/>
              </w:rPr>
              <w:t>(State or Other Jurisdiction</w:t>
            </w:r>
          </w:p>
        </w:tc>
        <w:tc>
          <w:tcPr>
            <w:tcW w:w="4480" w:type="dxa"/>
            <w:vAlign w:val="bottom"/>
          </w:tcPr>
          <w:p>
            <w:pPr>
              <w:ind w:left="164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191"/>
              <w:spacing w:after="0"/>
              <w:rPr>
                <w:sz w:val="20"/>
                <w:szCs w:val="20"/>
                <w:color w:val="auto"/>
              </w:rPr>
            </w:pPr>
            <w:r>
              <w:rPr>
                <w:rFonts w:ascii="Arial" w:cs="Arial" w:eastAsia="Arial" w:hAnsi="Arial"/>
                <w:sz w:val="18"/>
                <w:szCs w:val="18"/>
                <w:color w:val="auto"/>
                <w:w w:val="93"/>
              </w:rPr>
              <w:t>(IRS Employer</w:t>
            </w:r>
          </w:p>
        </w:tc>
      </w:tr>
      <w:tr>
        <w:trPr>
          <w:trHeight w:val="229"/>
        </w:trPr>
        <w:tc>
          <w:tcPr>
            <w:tcW w:w="2140" w:type="dxa"/>
            <w:vAlign w:val="bottom"/>
          </w:tcPr>
          <w:p>
            <w:pPr>
              <w:jc w:val="center"/>
              <w:ind w:right="51"/>
              <w:spacing w:after="0"/>
              <w:rPr>
                <w:sz w:val="20"/>
                <w:szCs w:val="20"/>
                <w:color w:val="auto"/>
              </w:rPr>
            </w:pPr>
            <w:r>
              <w:rPr>
                <w:rFonts w:ascii="Arial" w:cs="Arial" w:eastAsia="Arial" w:hAnsi="Arial"/>
                <w:sz w:val="18"/>
                <w:szCs w:val="18"/>
                <w:color w:val="auto"/>
                <w:w w:val="94"/>
              </w:rPr>
              <w:t>of Incorporation)</w:t>
            </w:r>
          </w:p>
        </w:tc>
        <w:tc>
          <w:tcPr>
            <w:tcW w:w="4480" w:type="dxa"/>
            <w:vAlign w:val="bottom"/>
          </w:tcPr>
          <w:p>
            <w:pPr>
              <w:jc w:val="center"/>
              <w:ind w:right="111"/>
              <w:spacing w:after="0"/>
              <w:rPr>
                <w:sz w:val="20"/>
                <w:szCs w:val="20"/>
                <w:color w:val="auto"/>
              </w:rPr>
            </w:pPr>
            <w:r>
              <w:rPr>
                <w:rFonts w:ascii="Arial" w:cs="Arial" w:eastAsia="Arial" w:hAnsi="Arial"/>
                <w:sz w:val="18"/>
                <w:szCs w:val="18"/>
                <w:color w:val="auto"/>
                <w:w w:val="92"/>
              </w:rPr>
              <w:t>File Number)</w:t>
            </w:r>
          </w:p>
        </w:tc>
        <w:tc>
          <w:tcPr>
            <w:tcW w:w="1660" w:type="dxa"/>
            <w:vAlign w:val="bottom"/>
          </w:tcPr>
          <w:p>
            <w:pPr>
              <w:jc w:val="center"/>
              <w:ind w:left="231"/>
              <w:spacing w:after="0"/>
              <w:rPr>
                <w:sz w:val="20"/>
                <w:szCs w:val="20"/>
                <w:color w:val="auto"/>
              </w:rPr>
            </w:pPr>
            <w:r>
              <w:rPr>
                <w:rFonts w:ascii="Arial" w:cs="Arial" w:eastAsia="Arial" w:hAnsi="Arial"/>
                <w:sz w:val="18"/>
                <w:szCs w:val="18"/>
                <w:color w:val="auto"/>
                <w:w w:val="95"/>
              </w:rPr>
              <w:t>Identification No.)</w:t>
            </w:r>
          </w:p>
        </w:tc>
      </w:tr>
      <w:tr>
        <w:trPr>
          <w:trHeight w:val="558"/>
        </w:trPr>
        <w:tc>
          <w:tcPr>
            <w:tcW w:w="2140" w:type="dxa"/>
            <w:vAlign w:val="bottom"/>
          </w:tcPr>
          <w:p>
            <w:pPr>
              <w:spacing w:after="0"/>
              <w:rPr>
                <w:sz w:val="24"/>
                <w:szCs w:val="24"/>
                <w:color w:val="auto"/>
              </w:rPr>
            </w:pPr>
          </w:p>
        </w:tc>
        <w:tc>
          <w:tcPr>
            <w:tcW w:w="448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20 Eastbourne Terrace</w:t>
            </w:r>
          </w:p>
        </w:tc>
        <w:tc>
          <w:tcPr>
            <w:tcW w:w="1660" w:type="dxa"/>
            <w:vAlign w:val="bottom"/>
          </w:tcPr>
          <w:p>
            <w:pPr>
              <w:spacing w:after="0"/>
              <w:rPr>
                <w:sz w:val="24"/>
                <w:szCs w:val="24"/>
                <w:color w:val="auto"/>
              </w:rPr>
            </w:pPr>
          </w:p>
        </w:tc>
      </w:tr>
      <w:tr>
        <w:trPr>
          <w:trHeight w:val="215"/>
        </w:trPr>
        <w:tc>
          <w:tcPr>
            <w:tcW w:w="2140" w:type="dxa"/>
            <w:vAlign w:val="bottom"/>
          </w:tcPr>
          <w:p>
            <w:pPr>
              <w:spacing w:after="0"/>
              <w:rPr>
                <w:sz w:val="18"/>
                <w:szCs w:val="18"/>
                <w:color w:val="auto"/>
              </w:rPr>
            </w:pPr>
          </w:p>
        </w:tc>
        <w:tc>
          <w:tcPr>
            <w:tcW w:w="4480" w:type="dxa"/>
            <w:vAlign w:val="bottom"/>
          </w:tcPr>
          <w:p>
            <w:pPr>
              <w:jc w:val="center"/>
              <w:ind w:right="51"/>
              <w:spacing w:after="0"/>
              <w:rPr>
                <w:sz w:val="20"/>
                <w:szCs w:val="20"/>
                <w:color w:val="auto"/>
              </w:rPr>
            </w:pPr>
            <w:r>
              <w:rPr>
                <w:rFonts w:ascii="Arial" w:cs="Arial" w:eastAsia="Arial" w:hAnsi="Arial"/>
                <w:sz w:val="18"/>
                <w:szCs w:val="18"/>
                <w:b w:val="1"/>
                <w:bCs w:val="1"/>
                <w:color w:val="auto"/>
                <w:w w:val="93"/>
              </w:rPr>
              <w:t>London, W2 6LG</w:t>
            </w:r>
          </w:p>
        </w:tc>
        <w:tc>
          <w:tcPr>
            <w:tcW w:w="1660" w:type="dxa"/>
            <w:vAlign w:val="bottom"/>
          </w:tcPr>
          <w:p>
            <w:pPr>
              <w:spacing w:after="0"/>
              <w:rPr>
                <w:sz w:val="18"/>
                <w:szCs w:val="18"/>
                <w:color w:val="auto"/>
              </w:rPr>
            </w:pPr>
          </w:p>
        </w:tc>
      </w:tr>
      <w:tr>
        <w:trPr>
          <w:trHeight w:val="219"/>
        </w:trPr>
        <w:tc>
          <w:tcPr>
            <w:tcW w:w="2140" w:type="dxa"/>
            <w:vAlign w:val="bottom"/>
          </w:tcPr>
          <w:p>
            <w:pPr>
              <w:spacing w:after="0"/>
              <w:rPr>
                <w:sz w:val="19"/>
                <w:szCs w:val="19"/>
                <w:color w:val="auto"/>
              </w:rPr>
            </w:pPr>
          </w:p>
        </w:tc>
        <w:tc>
          <w:tcPr>
            <w:tcW w:w="4480" w:type="dxa"/>
            <w:vAlign w:val="bottom"/>
          </w:tcPr>
          <w:p>
            <w:pPr>
              <w:jc w:val="center"/>
              <w:ind w:right="71"/>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29"/>
        </w:trPr>
        <w:tc>
          <w:tcPr>
            <w:tcW w:w="2140" w:type="dxa"/>
            <w:vAlign w:val="bottom"/>
          </w:tcPr>
          <w:p>
            <w:pPr>
              <w:spacing w:after="0"/>
              <w:rPr>
                <w:sz w:val="19"/>
                <w:szCs w:val="19"/>
                <w:color w:val="auto"/>
              </w:rPr>
            </w:pPr>
          </w:p>
        </w:tc>
        <w:tc>
          <w:tcPr>
            <w:tcW w:w="4480" w:type="dxa"/>
            <w:vAlign w:val="bottom"/>
          </w:tcPr>
          <w:p>
            <w:pPr>
              <w:jc w:val="center"/>
              <w:ind w:right="71"/>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19"/>
                <w:szCs w:val="19"/>
                <w:color w:val="auto"/>
              </w:rPr>
            </w:pPr>
          </w:p>
        </w:tc>
      </w:tr>
      <w:tr>
        <w:trPr>
          <w:trHeight w:val="442"/>
        </w:trPr>
        <w:tc>
          <w:tcPr>
            <w:tcW w:w="2140" w:type="dxa"/>
            <w:vAlign w:val="bottom"/>
          </w:tcPr>
          <w:p>
            <w:pPr>
              <w:spacing w:after="0"/>
              <w:rPr>
                <w:sz w:val="24"/>
                <w:szCs w:val="24"/>
                <w:color w:val="auto"/>
              </w:rPr>
            </w:pPr>
          </w:p>
        </w:tc>
        <w:tc>
          <w:tcPr>
            <w:tcW w:w="448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+44 20 33250660</w:t>
            </w:r>
          </w:p>
        </w:tc>
        <w:tc>
          <w:tcPr>
            <w:tcW w:w="1660" w:type="dxa"/>
            <w:vAlign w:val="bottom"/>
          </w:tcPr>
          <w:p>
            <w:pPr>
              <w:spacing w:after="0"/>
              <w:rPr>
                <w:sz w:val="24"/>
                <w:szCs w:val="24"/>
                <w:color w:val="auto"/>
              </w:rPr>
            </w:pPr>
          </w:p>
        </w:tc>
      </w:tr>
      <w:tr>
        <w:trPr>
          <w:trHeight w:val="229"/>
        </w:trPr>
        <w:tc>
          <w:tcPr>
            <w:tcW w:w="2140" w:type="dxa"/>
            <w:vAlign w:val="bottom"/>
          </w:tcPr>
          <w:p>
            <w:pPr>
              <w:spacing w:after="0"/>
              <w:rPr>
                <w:sz w:val="19"/>
                <w:szCs w:val="19"/>
                <w:color w:val="auto"/>
              </w:rPr>
            </w:pPr>
          </w:p>
        </w:tc>
        <w:tc>
          <w:tcPr>
            <w:tcW w:w="4480" w:type="dxa"/>
            <w:vAlign w:val="bottom"/>
          </w:tcPr>
          <w:p>
            <w:pPr>
              <w:jc w:val="center"/>
              <w:ind w:right="51"/>
              <w:spacing w:after="0"/>
              <w:rPr>
                <w:sz w:val="20"/>
                <w:szCs w:val="20"/>
                <w:color w:val="auto"/>
              </w:rPr>
            </w:pPr>
            <w:r>
              <w:rPr>
                <w:rFonts w:ascii="Arial" w:cs="Arial" w:eastAsia="Arial" w:hAnsi="Arial"/>
                <w:sz w:val="18"/>
                <w:szCs w:val="18"/>
                <w:color w:val="auto"/>
                <w:w w:val="90"/>
              </w:rPr>
              <w:t>(Registrant’s Telephone Number, Including Area Code)</w:t>
            </w:r>
          </w:p>
        </w:tc>
        <w:tc>
          <w:tcPr>
            <w:tcW w:w="1660" w:type="dxa"/>
            <w:vAlign w:val="bottom"/>
          </w:tcPr>
          <w:p>
            <w:pPr>
              <w:spacing w:after="0"/>
              <w:rPr>
                <w:sz w:val="19"/>
                <w:szCs w:val="19"/>
                <w:color w:val="auto"/>
              </w:rPr>
            </w:pPr>
          </w:p>
        </w:tc>
      </w:tr>
    </w:tbl>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5" w:lineRule="exact"/>
        <w:rPr>
          <w:sz w:val="24"/>
          <w:szCs w:val="24"/>
          <w:color w:val="auto"/>
        </w:rPr>
      </w:pPr>
    </w:p>
    <w:p>
      <w:pPr>
        <w:ind w:right="440"/>
        <w:spacing w:after="0" w:line="274"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9" w:lineRule="exact"/>
        <w:rPr>
          <w:sz w:val="24"/>
          <w:szCs w:val="24"/>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277"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277"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277" w:lineRule="exact"/>
        <w:rPr>
          <w:rFonts w:ascii="MS PGothic" w:cs="MS PGothic" w:eastAsia="MS PGothic" w:hAnsi="MS PGothic"/>
          <w:sz w:val="21"/>
          <w:szCs w:val="21"/>
          <w:color w:val="auto"/>
        </w:rPr>
      </w:pPr>
    </w:p>
    <w:p>
      <w:pPr>
        <w:ind w:right="3000" w:firstLine="7"/>
        <w:spacing w:after="0" w:line="401" w:lineRule="auto"/>
        <w:tabs>
          <w:tab w:leader="none" w:pos="233"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3"/>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Name on each exchange on which registered</w:t>
            </w:r>
          </w:p>
        </w:tc>
      </w:tr>
      <w:tr>
        <w:trPr>
          <w:trHeight w:val="222"/>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Market</w:t>
            </w:r>
          </w:p>
        </w:tc>
      </w:tr>
    </w:tbl>
    <w:p>
      <w:pPr>
        <w:spacing w:after="0" w:line="308" w:lineRule="exact"/>
        <w:rPr>
          <w:sz w:val="24"/>
          <w:szCs w:val="24"/>
          <w:color w:val="auto"/>
        </w:rPr>
      </w:pPr>
    </w:p>
    <w:p>
      <w:pPr>
        <w:ind w:right="20"/>
        <w:spacing w:after="0" w:line="27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4" w:lineRule="exact"/>
        <w:rPr>
          <w:sz w:val="24"/>
          <w:szCs w:val="24"/>
          <w:color w:val="auto"/>
        </w:rPr>
      </w:pPr>
    </w:p>
    <w:p>
      <w:pPr>
        <w:ind w:left="7800"/>
        <w:spacing w:after="0" w:line="207"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1" w:lineRule="exact"/>
        <w:rPr>
          <w:sz w:val="24"/>
          <w:szCs w:val="24"/>
          <w:color w:val="auto"/>
        </w:rPr>
      </w:pPr>
    </w:p>
    <w:p>
      <w:pPr>
        <w:spacing w:after="0" w:line="27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9" w:right="339" w:bottom="1440" w:gutter="0" w:footer="0" w:header="0"/>
        </w:sectPr>
      </w:pPr>
    </w:p>
    <w:p>
      <w:pPr>
        <w:spacing w:after="0" w:line="31"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499745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214630</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0" w:lineRule="exact"/>
        <w:rPr>
          <w:sz w:val="20"/>
          <w:szCs w:val="20"/>
          <w:color w:val="auto"/>
        </w:rPr>
      </w:pPr>
    </w:p>
    <w:p>
      <w:pPr>
        <w:ind w:right="180" w:firstLine="644"/>
        <w:spacing w:after="0" w:line="274" w:lineRule="auto"/>
        <w:rPr>
          <w:sz w:val="20"/>
          <w:szCs w:val="20"/>
          <w:color w:val="auto"/>
        </w:rPr>
      </w:pPr>
      <w:r>
        <w:rPr>
          <w:rFonts w:ascii="Arial" w:cs="Arial" w:eastAsia="Arial" w:hAnsi="Arial"/>
          <w:sz w:val="16"/>
          <w:szCs w:val="16"/>
          <w:color w:val="auto"/>
        </w:rPr>
        <w:t xml:space="preserve">On August 3, 2022, LivaNova PLC (the “Company”) issued a press release announcing financial results for the quarter ended June 30, 2022. The Company will host a business update conference call and webcast today, August 3, 2022, at 1 p.m. London time (8 a.m. Eastern Daylight Time), during which the Company will discuss the financial results. The conference call will be available through the LivaNova website at </w:t>
      </w:r>
      <w:r>
        <w:rPr>
          <w:rFonts w:ascii="Arial" w:cs="Arial" w:eastAsia="Arial" w:hAnsi="Arial"/>
          <w:sz w:val="16"/>
          <w:szCs w:val="16"/>
          <w:color w:val="0070C0"/>
        </w:rPr>
        <w:t>www.livanova.com</w:t>
      </w:r>
      <w:r>
        <w:rPr>
          <w:rFonts w:ascii="Arial" w:cs="Arial" w:eastAsia="Arial" w:hAnsi="Arial"/>
          <w:sz w:val="16"/>
          <w:szCs w:val="16"/>
          <w:color w:val="auto"/>
        </w:rPr>
        <w:t>.</w:t>
      </w:r>
    </w:p>
    <w:p>
      <w:pPr>
        <w:spacing w:after="0" w:line="175" w:lineRule="exact"/>
        <w:rPr>
          <w:sz w:val="20"/>
          <w:szCs w:val="20"/>
          <w:color w:val="auto"/>
        </w:rPr>
      </w:pPr>
    </w:p>
    <w:p>
      <w:pPr>
        <w:ind w:right="20" w:firstLine="644"/>
        <w:spacing w:after="0" w:line="229" w:lineRule="auto"/>
        <w:rPr>
          <w:sz w:val="20"/>
          <w:szCs w:val="20"/>
          <w:color w:val="auto"/>
        </w:rPr>
      </w:pPr>
      <w:r>
        <w:rPr>
          <w:rFonts w:ascii="Arial" w:cs="Arial" w:eastAsia="Arial" w:hAnsi="Arial"/>
          <w:sz w:val="18"/>
          <w:szCs w:val="18"/>
          <w:color w:val="auto"/>
        </w:rPr>
        <w:t>A copy of the Company’s press release related to the foregoing matters is attached hereto as Exhibit 99.1. The information in Exhibit 99.1 is being furnished and shall not be deemed “filed” for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5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8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456"/>
        </w:trPr>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w w:val="93"/>
              </w:rPr>
              <w:t>Exhibit</w:t>
            </w:r>
          </w:p>
        </w:tc>
        <w:tc>
          <w:tcPr>
            <w:tcW w:w="940" w:type="dxa"/>
            <w:vAlign w:val="bottom"/>
          </w:tcPr>
          <w:p>
            <w:pPr>
              <w:spacing w:after="0"/>
              <w:rPr>
                <w:sz w:val="24"/>
                <w:szCs w:val="24"/>
                <w:color w:val="auto"/>
              </w:rPr>
            </w:pPr>
          </w:p>
        </w:tc>
        <w:tc>
          <w:tcPr>
            <w:tcW w:w="970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463"/>
        </w:trPr>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940" w:type="dxa"/>
            <w:vAlign w:val="bottom"/>
          </w:tcPr>
          <w:p>
            <w:pPr>
              <w:spacing w:after="0"/>
              <w:rPr>
                <w:sz w:val="24"/>
                <w:szCs w:val="24"/>
                <w:color w:val="auto"/>
              </w:rPr>
            </w:pPr>
          </w:p>
        </w:tc>
        <w:tc>
          <w:tcPr>
            <w:tcW w:w="970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of LivaNova PLC dated August 3, 2022</w:t>
              </w:r>
            </w:hyperlink>
          </w:p>
        </w:tc>
      </w:tr>
      <w:tr>
        <w:trPr>
          <w:trHeight w:val="20"/>
        </w:trPr>
        <w:tc>
          <w:tcPr>
            <w:tcW w:w="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80" w:type="dxa"/>
            <w:vAlign w:val="bottom"/>
            <w:gridSpan w:val="2"/>
            <w:shd w:val="clear" w:color="auto" w:fill="0000FF"/>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249"/>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940" w:type="dxa"/>
            <w:vAlign w:val="bottom"/>
          </w:tcPr>
          <w:p>
            <w:pPr>
              <w:spacing w:after="0"/>
              <w:rPr>
                <w:sz w:val="21"/>
                <w:szCs w:val="21"/>
                <w:color w:val="auto"/>
              </w:rPr>
            </w:pPr>
          </w:p>
        </w:tc>
        <w:tc>
          <w:tcPr>
            <w:tcW w:w="97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96"/>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53" w:lineRule="exact"/>
        <w:rPr>
          <w:sz w:val="20"/>
          <w:szCs w:val="20"/>
          <w:color w:val="auto"/>
        </w:rPr>
      </w:pPr>
    </w:p>
    <w:p>
      <w:pPr>
        <w:ind w:firstLine="644"/>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31" w:lineRule="exact"/>
        <w:rPr>
          <w:sz w:val="20"/>
          <w:szCs w:val="20"/>
          <w:color w:val="auto"/>
        </w:rPr>
      </w:pPr>
    </w:p>
    <w:p>
      <w:pPr>
        <w:jc w:val="right"/>
        <w:ind w:right="3420"/>
        <w:spacing w:after="0"/>
        <w:tabs>
          <w:tab w:leader="none" w:pos="5220" w:val="left"/>
        </w:tabs>
        <w:rPr>
          <w:sz w:val="20"/>
          <w:szCs w:val="20"/>
          <w:color w:val="auto"/>
        </w:rPr>
      </w:pPr>
      <w:r>
        <w:rPr>
          <w:rFonts w:ascii="Arial" w:cs="Arial" w:eastAsia="Arial" w:hAnsi="Arial"/>
          <w:sz w:val="18"/>
          <w:szCs w:val="18"/>
          <w:color w:val="auto"/>
        </w:rPr>
        <w:t>Date: August 3, 2022</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Keyna Skeffington</w:t>
      </w:r>
    </w:p>
    <w:p>
      <w:pPr>
        <w:spacing w:after="0" w:line="61" w:lineRule="exact"/>
        <w:rPr>
          <w:sz w:val="20"/>
          <w:szCs w:val="20"/>
          <w:color w:val="auto"/>
        </w:rPr>
      </w:pPr>
    </w:p>
    <w:p>
      <w:pPr>
        <w:jc w:val="right"/>
        <w:ind w:right="3380"/>
        <w:spacing w:after="0"/>
        <w:rPr>
          <w:sz w:val="20"/>
          <w:szCs w:val="20"/>
          <w:color w:val="auto"/>
        </w:rPr>
      </w:pPr>
      <w:r>
        <w:rPr>
          <w:rFonts w:ascii="Arial" w:cs="Arial" w:eastAsia="Arial" w:hAnsi="Arial"/>
          <w:sz w:val="18"/>
          <w:szCs w:val="18"/>
          <w:color w:val="auto"/>
        </w:rPr>
        <w:t>Name: Keyna Skeffington</w:t>
      </w:r>
    </w:p>
    <w:p>
      <w:pPr>
        <w:spacing w:after="0" w:line="2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Title: Senior Vice President &amp; General Counsel</w:t>
      </w:r>
    </w:p>
    <w:p>
      <w:pPr>
        <w:sectPr>
          <w:pgSz w:w="11900" w:h="16838" w:orient="portrait"/>
          <w:cols w:equalWidth="0" w:num="1">
            <w:col w:w="10920"/>
          </w:cols>
          <w:pgMar w:left="320" w:top="1007" w:right="659" w:bottom="1440" w:gutter="0" w:footer="0" w:header="0"/>
        </w:sectPr>
      </w:pPr>
    </w:p>
    <w:bookmarkStart w:id="3" w:name="page4"/>
    <w:bookmarkEnd w:id="3"/>
    <w:p>
      <w:pPr>
        <w:spacing w:after="0" w:line="202"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1670050" cy="477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0050" cy="47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20"/>
          <w:szCs w:val="20"/>
          <w:color w:val="6D207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9"/>
          <w:szCs w:val="29"/>
          <w:color w:val="6D2077"/>
        </w:rPr>
        <w:t>LivaNova Reports Second-Quarter 2022 Results</w:t>
      </w:r>
    </w:p>
    <w:p>
      <w:pPr>
        <w:spacing w:after="0" w:line="200" w:lineRule="exact"/>
        <w:rPr>
          <w:sz w:val="20"/>
          <w:szCs w:val="20"/>
          <w:color w:val="auto"/>
        </w:rPr>
      </w:pPr>
    </w:p>
    <w:p>
      <w:pPr>
        <w:spacing w:after="0" w:line="382" w:lineRule="exact"/>
        <w:rPr>
          <w:sz w:val="20"/>
          <w:szCs w:val="20"/>
          <w:color w:val="auto"/>
        </w:rPr>
      </w:pPr>
    </w:p>
    <w:p>
      <w:pPr>
        <w:ind w:right="20"/>
        <w:spacing w:after="0" w:line="381" w:lineRule="auto"/>
        <w:rPr>
          <w:sz w:val="20"/>
          <w:szCs w:val="20"/>
          <w:color w:val="auto"/>
        </w:rPr>
      </w:pPr>
      <w:r>
        <w:rPr>
          <w:rFonts w:ascii="Arial" w:cs="Arial" w:eastAsia="Arial" w:hAnsi="Arial"/>
          <w:sz w:val="20"/>
          <w:szCs w:val="20"/>
          <w:b w:val="1"/>
          <w:bCs w:val="1"/>
          <w:color w:val="auto"/>
        </w:rPr>
        <w:t xml:space="preserve">London, August 3, 2022 – </w:t>
      </w:r>
      <w:r>
        <w:rPr>
          <w:rFonts w:ascii="Arial" w:cs="Arial" w:eastAsia="Arial" w:hAnsi="Arial"/>
          <w:sz w:val="20"/>
          <w:szCs w:val="20"/>
          <w:color w:val="auto"/>
        </w:rPr>
        <w:t>LivaNova PLC (Nasdaq: LIVN), a market-leading medical technology and innovation company, today</w:t>
      </w:r>
      <w:r>
        <w:rPr>
          <w:rFonts w:ascii="Arial" w:cs="Arial" w:eastAsia="Arial" w:hAnsi="Arial"/>
          <w:sz w:val="20"/>
          <w:szCs w:val="20"/>
          <w:b w:val="1"/>
          <w:bCs w:val="1"/>
          <w:color w:val="auto"/>
        </w:rPr>
        <w:t xml:space="preserve"> </w:t>
      </w:r>
      <w:r>
        <w:rPr>
          <w:rFonts w:ascii="Arial" w:cs="Arial" w:eastAsia="Arial" w:hAnsi="Arial"/>
          <w:sz w:val="20"/>
          <w:szCs w:val="20"/>
          <w:color w:val="auto"/>
        </w:rPr>
        <w:t>reported results for the quarter ended June 30, 2022.</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Summary and Highlights</w:t>
      </w:r>
      <w:r>
        <w:rPr>
          <w:rFonts w:ascii="Arial" w:cs="Arial" w:eastAsia="Arial" w:hAnsi="Arial"/>
          <w:sz w:val="25"/>
          <w:szCs w:val="25"/>
          <w:b w:val="1"/>
          <w:bCs w:val="1"/>
          <w:color w:val="auto"/>
          <w:vertAlign w:val="superscript"/>
        </w:rPr>
        <w:t>1</w:t>
      </w:r>
    </w:p>
    <w:p>
      <w:pPr>
        <w:spacing w:after="0" w:line="193" w:lineRule="exact"/>
        <w:rPr>
          <w:sz w:val="20"/>
          <w:szCs w:val="20"/>
          <w:color w:val="auto"/>
        </w:rPr>
      </w:pPr>
    </w:p>
    <w:p>
      <w:pPr>
        <w:ind w:left="320" w:hanging="232"/>
        <w:spacing w:after="0" w:line="272" w:lineRule="auto"/>
        <w:tabs>
          <w:tab w:leader="none" w:pos="26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Revenue of $254.2 million for the quarter, decreased 3.9 percent on a reported basis and increased 0.5 percent on a constant-currency basis, as compared to the prior-year period</w:t>
      </w:r>
    </w:p>
    <w:p>
      <w:pPr>
        <w:spacing w:after="0" w:line="109" w:lineRule="exact"/>
        <w:rPr>
          <w:rFonts w:ascii="Arial" w:cs="Arial" w:eastAsia="Arial" w:hAnsi="Arial"/>
          <w:sz w:val="20"/>
          <w:szCs w:val="20"/>
          <w:b w:val="1"/>
          <w:bCs w:val="1"/>
          <w:color w:val="auto"/>
        </w:rPr>
      </w:pPr>
    </w:p>
    <w:p>
      <w:pPr>
        <w:ind w:left="320" w:hanging="232"/>
        <w:spacing w:after="0" w:line="272" w:lineRule="auto"/>
        <w:tabs>
          <w:tab w:leader="none" w:pos="268" w:val="left"/>
        </w:tabs>
        <w:numPr>
          <w:ilvl w:val="0"/>
          <w:numId w:val="2"/>
        </w:numPr>
        <w:rPr>
          <w:rFonts w:ascii="Arial" w:cs="Arial" w:eastAsia="Arial" w:hAnsi="Arial"/>
          <w:sz w:val="20"/>
          <w:szCs w:val="20"/>
          <w:color w:val="auto"/>
        </w:rPr>
      </w:pPr>
      <w:r>
        <w:rPr>
          <w:rFonts w:ascii="Arial" w:cs="Arial" w:eastAsia="Arial" w:hAnsi="Arial"/>
          <w:sz w:val="20"/>
          <w:szCs w:val="20"/>
          <w:color w:val="auto"/>
        </w:rPr>
        <w:t>Revenue, excluding sales from the Heart Valves business which was divested effective June 1, 2021, increased 1.8 percent on a reported basis and 6.5 percent on a constant-currency basis, as compared to the prior-year period</w:t>
      </w:r>
    </w:p>
    <w:p>
      <w:pPr>
        <w:spacing w:after="0" w:line="122" w:lineRule="exact"/>
        <w:rPr>
          <w:rFonts w:ascii="Arial" w:cs="Arial" w:eastAsia="Arial" w:hAnsi="Arial"/>
          <w:sz w:val="20"/>
          <w:szCs w:val="20"/>
          <w:color w:val="auto"/>
        </w:rPr>
      </w:pPr>
    </w:p>
    <w:p>
      <w:pPr>
        <w:ind w:left="280" w:hanging="192"/>
        <w:spacing w:after="0"/>
        <w:tabs>
          <w:tab w:leader="none" w:pos="280" w:val="left"/>
        </w:tabs>
        <w:numPr>
          <w:ilvl w:val="0"/>
          <w:numId w:val="2"/>
        </w:numPr>
        <w:rPr>
          <w:rFonts w:ascii="Arial" w:cs="Arial" w:eastAsia="Arial" w:hAnsi="Arial"/>
          <w:sz w:val="20"/>
          <w:szCs w:val="20"/>
          <w:color w:val="auto"/>
        </w:rPr>
      </w:pPr>
      <w:r>
        <w:rPr>
          <w:rFonts w:ascii="Arial" w:cs="Arial" w:eastAsia="Arial" w:hAnsi="Arial"/>
          <w:sz w:val="20"/>
          <w:szCs w:val="20"/>
          <w:color w:val="auto"/>
        </w:rPr>
        <w:t>U.S. GAAP diluted earnings per share were $0.30 and adjusted diluted earnings per share were $0.53</w:t>
      </w:r>
    </w:p>
    <w:p>
      <w:pPr>
        <w:spacing w:after="0" w:line="145" w:lineRule="exact"/>
        <w:rPr>
          <w:rFonts w:ascii="Arial" w:cs="Arial" w:eastAsia="Arial" w:hAnsi="Arial"/>
          <w:sz w:val="20"/>
          <w:szCs w:val="20"/>
          <w:color w:val="auto"/>
        </w:rPr>
      </w:pPr>
    </w:p>
    <w:p>
      <w:pPr>
        <w:ind w:left="320" w:right="20" w:hanging="232"/>
        <w:spacing w:after="0" w:line="272" w:lineRule="auto"/>
        <w:tabs>
          <w:tab w:leader="none" w:pos="268" w:val="left"/>
        </w:tabs>
        <w:numPr>
          <w:ilvl w:val="0"/>
          <w:numId w:val="2"/>
        </w:numPr>
        <w:rPr>
          <w:rFonts w:ascii="Arial" w:cs="Arial" w:eastAsia="Arial" w:hAnsi="Arial"/>
          <w:sz w:val="20"/>
          <w:szCs w:val="20"/>
          <w:color w:val="auto"/>
        </w:rPr>
      </w:pPr>
      <w:r>
        <w:rPr>
          <w:rFonts w:ascii="Arial" w:cs="Arial" w:eastAsia="Arial" w:hAnsi="Arial"/>
          <w:sz w:val="20"/>
          <w:szCs w:val="20"/>
          <w:color w:val="auto"/>
        </w:rPr>
        <w:t>Closed term loan facilities in July 2022 for an aggregate principal amount of up to $350 million and repaid in full and terminated the prior $220 million bridge facility</w:t>
      </w:r>
    </w:p>
    <w:p>
      <w:pPr>
        <w:spacing w:after="0" w:line="109" w:lineRule="exact"/>
        <w:rPr>
          <w:rFonts w:ascii="Arial" w:cs="Arial" w:eastAsia="Arial" w:hAnsi="Arial"/>
          <w:sz w:val="20"/>
          <w:szCs w:val="20"/>
          <w:color w:val="auto"/>
        </w:rPr>
      </w:pPr>
    </w:p>
    <w:p>
      <w:pPr>
        <w:ind w:left="320" w:hanging="232"/>
        <w:spacing w:after="0" w:line="272" w:lineRule="auto"/>
        <w:tabs>
          <w:tab w:leader="none" w:pos="268"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Received New Technology Add-on Payment (NTAP) approval from the U.S. Centers for Medicare and Medicaid for the Hemolung Respiratory Assist System for in-patient care</w:t>
      </w:r>
    </w:p>
    <w:p>
      <w:pPr>
        <w:spacing w:after="0" w:line="122" w:lineRule="exact"/>
        <w:rPr>
          <w:rFonts w:ascii="Arial" w:cs="Arial" w:eastAsia="Arial" w:hAnsi="Arial"/>
          <w:sz w:val="20"/>
          <w:szCs w:val="20"/>
          <w:color w:val="auto"/>
        </w:rPr>
      </w:pPr>
    </w:p>
    <w:p>
      <w:pPr>
        <w:ind w:left="320" w:hanging="232"/>
        <w:spacing w:after="0" w:line="272" w:lineRule="auto"/>
        <w:tabs>
          <w:tab w:leader="none" w:pos="268" w:val="left"/>
        </w:tabs>
        <w:numPr>
          <w:ilvl w:val="0"/>
          <w:numId w:val="2"/>
        </w:numPr>
        <w:rPr>
          <w:rFonts w:ascii="Arial" w:cs="Arial" w:eastAsia="Arial" w:hAnsi="Arial"/>
          <w:sz w:val="20"/>
          <w:szCs w:val="20"/>
          <w:color w:val="auto"/>
        </w:rPr>
      </w:pPr>
      <w:r>
        <w:rPr>
          <w:rFonts w:ascii="Arial" w:cs="Arial" w:eastAsia="Arial" w:hAnsi="Arial"/>
          <w:sz w:val="20"/>
          <w:szCs w:val="20"/>
          <w:color w:val="auto"/>
        </w:rPr>
        <w:t>Updating full-year 2022 outlook to reflect foreign currency headwinds and supply chain pressures, including the inflationary environment</w:t>
      </w:r>
    </w:p>
    <w:p>
      <w:pPr>
        <w:spacing w:after="0" w:line="200" w:lineRule="exact"/>
        <w:rPr>
          <w:sz w:val="20"/>
          <w:szCs w:val="20"/>
          <w:color w:val="auto"/>
        </w:rPr>
      </w:pPr>
    </w:p>
    <w:p>
      <w:pPr>
        <w:spacing w:after="0" w:line="205" w:lineRule="exact"/>
        <w:rPr>
          <w:sz w:val="20"/>
          <w:szCs w:val="20"/>
          <w:color w:val="auto"/>
        </w:rPr>
      </w:pPr>
    </w:p>
    <w:p>
      <w:pPr>
        <w:jc w:val="both"/>
        <w:spacing w:after="0" w:line="351" w:lineRule="auto"/>
        <w:rPr>
          <w:sz w:val="20"/>
          <w:szCs w:val="20"/>
          <w:color w:val="auto"/>
        </w:rPr>
      </w:pPr>
      <w:r>
        <w:rPr>
          <w:rFonts w:ascii="Arial" w:cs="Arial" w:eastAsia="Arial" w:hAnsi="Arial"/>
          <w:sz w:val="20"/>
          <w:szCs w:val="20"/>
          <w:color w:val="auto"/>
        </w:rPr>
        <w:t>“We delivered revenue growth in the second quarter, excluding foreign currency headwinds, driven by our Cardiopulmonary and Neuromodulation businesses,” said Damien McDonald, Chief Executive Officer of LivaNova. “Based on our first-half performance, we now forecast higher full-year revenue growth on strong demand in Cardiopulmonary. To reflect the impact of foreign currency and increased supply chain pressures, we now expect lower adjusted earnings and free cash flow. We are committed to executing on our core growth drivers, delivering on our extensive clinical and product pipeline opportunities, and improving profitability and cash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1704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04340" cy="8255"/>
                    </a:xfrm>
                    <a:prstGeom prst="rect">
                      <a:avLst/>
                    </a:prstGeom>
                    <a:noFill/>
                  </pic:spPr>
                </pic:pic>
              </a:graphicData>
            </a:graphic>
          </wp:anchor>
        </w:drawing>
      </w:r>
    </w:p>
    <w:p>
      <w:pPr>
        <w:spacing w:after="0" w:line="244" w:lineRule="exact"/>
        <w:rPr>
          <w:sz w:val="20"/>
          <w:szCs w:val="20"/>
          <w:color w:val="auto"/>
        </w:rPr>
      </w:pPr>
    </w:p>
    <w:p>
      <w:pPr>
        <w:ind w:left="80" w:hanging="73"/>
        <w:spacing w:after="0" w:line="226" w:lineRule="auto"/>
        <w:tabs>
          <w:tab w:leader="none" w:pos="71" w:val="left"/>
        </w:tabs>
        <w:numPr>
          <w:ilvl w:val="0"/>
          <w:numId w:val="3"/>
        </w:numPr>
        <w:rPr>
          <w:rFonts w:ascii="Arial" w:cs="Arial" w:eastAsia="Arial" w:hAnsi="Arial"/>
          <w:sz w:val="13"/>
          <w:szCs w:val="13"/>
          <w:color w:val="auto"/>
          <w:vertAlign w:val="superscript"/>
        </w:rPr>
      </w:pPr>
      <w:r>
        <w:rPr>
          <w:rFonts w:ascii="Arial" w:cs="Arial" w:eastAsia="Arial" w:hAnsi="Arial"/>
          <w:sz w:val="10"/>
          <w:szCs w:val="10"/>
          <w:color w:val="auto"/>
        </w:rPr>
        <w:t>Constant-currency percent change, revenue excluding sales from the Heart Valves business, adjusted operating income, adjusted diluted earnings per share and adjusted free cash flow are non-GAAP measures. For an explanation of these and other non-GAAP measures used in this release, see the section entitled "Use of Non-GAAP Financial Measures." For reconciliations of certain non-GAAP measures, see the tables that accompany this press release.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Second-Quarter 2022 Results</w:t>
      </w: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sales for the second quarter of 2022 by segment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0" w:type="dxa"/>
            <w:vAlign w:val="bottom"/>
            <w:gridSpan w:val="4"/>
          </w:tcPr>
          <w:p>
            <w:pPr>
              <w:jc w:val="center"/>
              <w:ind w:left="511"/>
              <w:spacing w:after="0"/>
              <w:rPr>
                <w:sz w:val="20"/>
                <w:szCs w:val="20"/>
                <w:color w:val="auto"/>
              </w:rPr>
            </w:pPr>
            <w:r>
              <w:rPr>
                <w:rFonts w:ascii="Arial" w:cs="Arial" w:eastAsia="Arial" w:hAnsi="Arial"/>
                <w:sz w:val="18"/>
                <w:szCs w:val="18"/>
                <w:b w:val="1"/>
                <w:bCs w:val="1"/>
                <w:color w:val="auto"/>
                <w:w w:val="98"/>
              </w:rPr>
              <w:t>Three Months Ended</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60" w:type="dxa"/>
            <w:vAlign w:val="bottom"/>
          </w:tcPr>
          <w:p>
            <w:pPr>
              <w:ind w:left="420"/>
              <w:spacing w:after="0"/>
              <w:rPr>
                <w:sz w:val="20"/>
                <w:szCs w:val="20"/>
                <w:color w:val="auto"/>
              </w:rPr>
            </w:pPr>
            <w:r>
              <w:rPr>
                <w:rFonts w:ascii="Arial" w:cs="Arial" w:eastAsia="Arial" w:hAnsi="Arial"/>
                <w:sz w:val="20"/>
                <w:szCs w:val="20"/>
                <w:b w:val="1"/>
                <w:bCs w:val="1"/>
                <w:color w:val="auto"/>
              </w:rPr>
              <w:t>Constant-</w:t>
            </w:r>
          </w:p>
        </w:tc>
      </w:tr>
      <w:tr>
        <w:trPr>
          <w:trHeight w:val="161"/>
        </w:trPr>
        <w:tc>
          <w:tcPr>
            <w:tcW w:w="3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right="580"/>
              <w:spacing w:after="0" w:line="141" w:lineRule="exact"/>
              <w:rPr>
                <w:sz w:val="20"/>
                <w:szCs w:val="20"/>
                <w:color w:val="auto"/>
              </w:rPr>
            </w:pPr>
            <w:r>
              <w:rPr>
                <w:rFonts w:ascii="Arial" w:cs="Arial" w:eastAsia="Arial" w:hAnsi="Arial"/>
                <w:sz w:val="16"/>
                <w:szCs w:val="16"/>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ind w:left="420"/>
              <w:spacing w:after="0" w:line="161" w:lineRule="exact"/>
              <w:rPr>
                <w:sz w:val="20"/>
                <w:szCs w:val="20"/>
                <w:color w:val="auto"/>
              </w:rPr>
            </w:pPr>
            <w:r>
              <w:rPr>
                <w:rFonts w:ascii="Arial" w:cs="Arial" w:eastAsia="Arial" w:hAnsi="Arial"/>
                <w:sz w:val="17"/>
                <w:szCs w:val="17"/>
                <w:b w:val="1"/>
                <w:bCs w:val="1"/>
                <w:color w:val="auto"/>
              </w:rPr>
              <w:t>Currency</w:t>
            </w:r>
          </w:p>
        </w:tc>
      </w:tr>
      <w:tr>
        <w:trPr>
          <w:trHeight w:val="248"/>
        </w:trPr>
        <w:tc>
          <w:tcPr>
            <w:tcW w:w="4940" w:type="dxa"/>
            <w:vAlign w:val="bottom"/>
            <w:gridSpan w:val="3"/>
          </w:tcPr>
          <w:p>
            <w:pPr>
              <w:ind w:left="4460"/>
              <w:spacing w:after="0"/>
              <w:rPr>
                <w:sz w:val="20"/>
                <w:szCs w:val="20"/>
                <w:color w:val="auto"/>
              </w:rPr>
            </w:pPr>
            <w:r>
              <w:rPr>
                <w:rFonts w:ascii="Arial" w:cs="Arial" w:eastAsia="Arial" w:hAnsi="Arial"/>
                <w:sz w:val="18"/>
                <w:szCs w:val="18"/>
                <w:b w:val="1"/>
                <w:bCs w:val="1"/>
                <w:color w:val="auto"/>
              </w:rPr>
              <w:t>2022</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20" w:type="dxa"/>
            <w:vAlign w:val="bottom"/>
            <w:gridSpan w:val="2"/>
          </w:tcPr>
          <w:p>
            <w:pPr>
              <w:ind w:left="400"/>
              <w:spacing w:after="0"/>
              <w:rPr>
                <w:sz w:val="20"/>
                <w:szCs w:val="20"/>
                <w:color w:val="auto"/>
              </w:rPr>
            </w:pPr>
            <w:r>
              <w:rPr>
                <w:rFonts w:ascii="Arial" w:cs="Arial" w:eastAsia="Arial" w:hAnsi="Arial"/>
                <w:sz w:val="20"/>
                <w:szCs w:val="20"/>
                <w:b w:val="1"/>
                <w:bCs w:val="1"/>
                <w:color w:val="auto"/>
              </w:rPr>
              <w:t>% Change</w:t>
            </w:r>
          </w:p>
        </w:tc>
        <w:tc>
          <w:tcPr>
            <w:tcW w:w="1760" w:type="dxa"/>
            <w:vAlign w:val="bottom"/>
          </w:tcPr>
          <w:p>
            <w:pPr>
              <w:ind w:left="400"/>
              <w:spacing w:after="0"/>
              <w:rPr>
                <w:sz w:val="20"/>
                <w:szCs w:val="20"/>
                <w:color w:val="auto"/>
              </w:rPr>
            </w:pPr>
            <w:r>
              <w:rPr>
                <w:rFonts w:ascii="Arial" w:cs="Arial" w:eastAsia="Arial" w:hAnsi="Arial"/>
                <w:sz w:val="20"/>
                <w:szCs w:val="20"/>
                <w:b w:val="1"/>
                <w:bCs w:val="1"/>
                <w:color w:val="auto"/>
              </w:rPr>
              <w:t>% Change</w:t>
            </w:r>
          </w:p>
        </w:tc>
      </w:tr>
      <w:tr>
        <w:trPr>
          <w:trHeight w:val="222"/>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Cardiopulmonary</w:t>
            </w:r>
          </w:p>
        </w:tc>
        <w:tc>
          <w:tcPr>
            <w:tcW w:w="1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8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8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6.7 %</w:t>
            </w:r>
          </w:p>
        </w:tc>
        <w:tc>
          <w:tcPr>
            <w:tcW w:w="80" w:type="dxa"/>
            <w:vAlign w:val="bottom"/>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14.3 %</w:t>
            </w:r>
          </w:p>
        </w:tc>
      </w:tr>
      <w:tr>
        <w:trPr>
          <w:trHeight w:val="228"/>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Neuromodulation</w:t>
            </w:r>
          </w:p>
        </w:tc>
        <w:tc>
          <w:tcPr>
            <w:tcW w:w="660" w:type="dxa"/>
            <w:vAlign w:val="bottom"/>
          </w:tcPr>
          <w:p>
            <w:pPr>
              <w:jc w:val="right"/>
              <w:spacing w:after="0"/>
              <w:rPr>
                <w:sz w:val="20"/>
                <w:szCs w:val="20"/>
                <w:color w:val="auto"/>
              </w:rPr>
            </w:pPr>
            <w:r>
              <w:rPr>
                <w:rFonts w:ascii="Arial" w:cs="Arial" w:eastAsia="Arial" w:hAnsi="Arial"/>
                <w:sz w:val="18"/>
                <w:szCs w:val="18"/>
                <w:color w:val="auto"/>
              </w:rPr>
              <w:t>117.8</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117.6</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28"/>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Advanced Circulatory Support</w:t>
            </w:r>
          </w:p>
        </w:tc>
        <w:tc>
          <w:tcPr>
            <w:tcW w:w="66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28"/>
        </w:trPr>
        <w:tc>
          <w:tcPr>
            <w:tcW w:w="3640" w:type="dxa"/>
            <w:vAlign w:val="bottom"/>
            <w:tcBorders>
              <w:bottom w:val="single" w:sz="8" w:color="auto"/>
            </w:tcBorders>
          </w:tcPr>
          <w:p>
            <w:pPr>
              <w:ind w:left="20"/>
              <w:spacing w:after="0" w:line="228"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8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r>
      <w:tr>
        <w:trPr>
          <w:trHeight w:val="222"/>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Total Net Sales</w:t>
            </w:r>
          </w:p>
        </w:tc>
        <w:tc>
          <w:tcPr>
            <w:tcW w:w="660" w:type="dxa"/>
            <w:vAlign w:val="bottom"/>
          </w:tcPr>
          <w:p>
            <w:pPr>
              <w:jc w:val="right"/>
              <w:spacing w:after="0"/>
              <w:rPr>
                <w:sz w:val="20"/>
                <w:szCs w:val="20"/>
                <w:color w:val="auto"/>
              </w:rPr>
            </w:pPr>
            <w:r>
              <w:rPr>
                <w:rFonts w:ascii="Arial" w:cs="Arial" w:eastAsia="Arial" w:hAnsi="Arial"/>
                <w:sz w:val="18"/>
                <w:szCs w:val="18"/>
                <w:color w:val="auto"/>
              </w:rPr>
              <w:t>254.2</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264.5</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28"/>
        </w:trPr>
        <w:tc>
          <w:tcPr>
            <w:tcW w:w="3640" w:type="dxa"/>
            <w:vAlign w:val="bottom"/>
            <w:tcBorders>
              <w:bottom w:val="single" w:sz="8" w:color="auto"/>
            </w:tcBorders>
          </w:tcPr>
          <w:p>
            <w:pPr>
              <w:ind w:left="140"/>
              <w:spacing w:after="0" w:line="228" w:lineRule="exact"/>
              <w:rPr>
                <w:sz w:val="20"/>
                <w:szCs w:val="20"/>
                <w:color w:val="auto"/>
              </w:rPr>
            </w:pPr>
            <w:r>
              <w:rPr>
                <w:rFonts w:ascii="Arial" w:cs="Arial" w:eastAsia="Arial" w:hAnsi="Arial"/>
                <w:sz w:val="18"/>
                <w:szCs w:val="18"/>
                <w:color w:val="auto"/>
              </w:rPr>
              <w:t>Less: Heart Valves</w:t>
            </w:r>
            <w:r>
              <w:rPr>
                <w:rFonts w:ascii="Arial" w:cs="Arial" w:eastAsia="Arial" w:hAnsi="Arial"/>
                <w:sz w:val="23"/>
                <w:szCs w:val="23"/>
                <w:color w:val="auto"/>
                <w:vertAlign w:val="superscript"/>
              </w:rPr>
              <w:t>(1)</w:t>
            </w:r>
          </w:p>
        </w:tc>
        <w:tc>
          <w:tcPr>
            <w:tcW w:w="8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2"/>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Total Net Sales, Excluding Heart Valves</w:t>
            </w:r>
          </w:p>
        </w:tc>
        <w:tc>
          <w:tcPr>
            <w:tcW w:w="660" w:type="dxa"/>
            <w:vAlign w:val="bottom"/>
          </w:tcPr>
          <w:p>
            <w:pPr>
              <w:jc w:val="right"/>
              <w:spacing w:after="0"/>
              <w:rPr>
                <w:sz w:val="20"/>
                <w:szCs w:val="20"/>
                <w:color w:val="auto"/>
              </w:rPr>
            </w:pPr>
            <w:r>
              <w:rPr>
                <w:rFonts w:ascii="Arial" w:cs="Arial" w:eastAsia="Arial" w:hAnsi="Arial"/>
                <w:sz w:val="18"/>
                <w:szCs w:val="18"/>
                <w:color w:val="auto"/>
              </w:rPr>
              <w:t>$254.2</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$249.8</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0"/>
        </w:trPr>
        <w:tc>
          <w:tcPr>
            <w:tcW w:w="3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240" w:hanging="233"/>
        <w:spacing w:after="0" w:line="245" w:lineRule="auto"/>
        <w:tabs>
          <w:tab w:leader="none" w:pos="189" w:val="left"/>
        </w:tabs>
        <w:numPr>
          <w:ilvl w:val="0"/>
          <w:numId w:val="4"/>
        </w:numPr>
        <w:rPr>
          <w:rFonts w:ascii="Arial" w:cs="Arial" w:eastAsia="Arial" w:hAnsi="Arial"/>
          <w:sz w:val="16"/>
          <w:szCs w:val="16"/>
          <w:color w:val="auto"/>
        </w:rPr>
      </w:pPr>
      <w:r>
        <w:rPr>
          <w:rFonts w:ascii="Arial" w:cs="Arial" w:eastAsia="Arial" w:hAnsi="Arial"/>
          <w:sz w:val="16"/>
          <w:szCs w:val="16"/>
          <w:color w:val="auto"/>
        </w:rPr>
        <w:t>Note: Numbers may not add precisely due to rounding. Constant-currency percent change and Total Net Sales, Excluding Heart Valves are non-GAAP metrics. For an explanation of these and other non-GAAP metrics used in this release, see the section entitled "Use of Non-GAAP Financial Measures."</w:t>
      </w:r>
    </w:p>
    <w:p>
      <w:pPr>
        <w:ind w:left="240"/>
        <w:spacing w:after="0" w:line="206" w:lineRule="auto"/>
        <w:rPr>
          <w:sz w:val="20"/>
          <w:szCs w:val="20"/>
          <w:color w:val="auto"/>
        </w:rPr>
      </w:pPr>
      <w:r>
        <w:rPr>
          <w:rFonts w:ascii="Arial" w:cs="Arial" w:eastAsia="Arial" w:hAnsi="Arial"/>
          <w:sz w:val="16"/>
          <w:szCs w:val="16"/>
          <w:color w:val="auto"/>
        </w:rPr>
        <w:t>For reconciliations of certain non-GAAP metrics, see the tables that accompany this press release.</w:t>
      </w:r>
    </w:p>
    <w:p>
      <w:pPr>
        <w:ind w:left="360" w:hanging="353"/>
        <w:spacing w:after="0" w:line="209" w:lineRule="auto"/>
        <w:tabs>
          <w:tab w:leader="none" w:pos="36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Three-month period ended June 30, 2021 includes the results of the Heart Valves business, which was divested effective June 1, 2021.</w:t>
      </w:r>
    </w:p>
    <w:p>
      <w:pPr>
        <w:spacing w:after="0" w:line="200" w:lineRule="exact"/>
        <w:rPr>
          <w:sz w:val="20"/>
          <w:szCs w:val="20"/>
          <w:color w:val="auto"/>
        </w:rPr>
      </w:pPr>
    </w:p>
    <w:p>
      <w:pPr>
        <w:spacing w:after="0" w:line="272"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All revenue growth rates below reflect comparable, constant-currency growth. Constant-currency growth accounts for the impact from fluctuations in the various currencies in which the Company operates as compared to reported growth.</w:t>
      </w:r>
    </w:p>
    <w:p>
      <w:pPr>
        <w:spacing w:after="0" w:line="180" w:lineRule="exact"/>
        <w:rPr>
          <w:sz w:val="20"/>
          <w:szCs w:val="20"/>
          <w:color w:val="auto"/>
        </w:rPr>
      </w:pPr>
    </w:p>
    <w:p>
      <w:pPr>
        <w:jc w:val="both"/>
        <w:spacing w:after="0" w:line="365" w:lineRule="auto"/>
        <w:rPr>
          <w:sz w:val="20"/>
          <w:szCs w:val="20"/>
          <w:color w:val="auto"/>
        </w:rPr>
      </w:pPr>
      <w:r>
        <w:rPr>
          <w:rFonts w:ascii="Arial" w:cs="Arial" w:eastAsia="Arial" w:hAnsi="Arial"/>
          <w:sz w:val="20"/>
          <w:szCs w:val="20"/>
          <w:b w:val="1"/>
          <w:bCs w:val="1"/>
          <w:color w:val="auto"/>
        </w:rPr>
        <w:t xml:space="preserve">Cardiopulmonary </w:t>
      </w:r>
      <w:r>
        <w:rPr>
          <w:rFonts w:ascii="Arial" w:cs="Arial" w:eastAsia="Arial" w:hAnsi="Arial"/>
          <w:sz w:val="20"/>
          <w:szCs w:val="20"/>
          <w:color w:val="auto"/>
        </w:rPr>
        <w:t>revenue increased 14.3 percent versus the second quarter of 2021 with growth across all regions. This</w:t>
      </w:r>
      <w:r>
        <w:rPr>
          <w:rFonts w:ascii="Arial" w:cs="Arial" w:eastAsia="Arial" w:hAnsi="Arial"/>
          <w:sz w:val="20"/>
          <w:szCs w:val="20"/>
          <w:b w:val="1"/>
          <w:bCs w:val="1"/>
          <w:color w:val="auto"/>
        </w:rPr>
        <w:t xml:space="preserve"> </w:t>
      </w:r>
      <w:r>
        <w:rPr>
          <w:rFonts w:ascii="Arial" w:cs="Arial" w:eastAsia="Arial" w:hAnsi="Arial"/>
          <w:sz w:val="20"/>
          <w:szCs w:val="20"/>
          <w:color w:val="auto"/>
        </w:rPr>
        <w:t>growth was primarily driven by oxygenator sales due to an increase in cardiac surgery procedures and strength in heart-lung machine sales in the Rest of World and U.S. regions.</w:t>
      </w:r>
    </w:p>
    <w:p>
      <w:pPr>
        <w:spacing w:after="0" w:line="172" w:lineRule="exact"/>
        <w:rPr>
          <w:sz w:val="20"/>
          <w:szCs w:val="20"/>
          <w:color w:val="auto"/>
        </w:rPr>
      </w:pPr>
    </w:p>
    <w:p>
      <w:pPr>
        <w:jc w:val="both"/>
        <w:spacing w:after="0" w:line="381" w:lineRule="auto"/>
        <w:rPr>
          <w:sz w:val="20"/>
          <w:szCs w:val="20"/>
          <w:color w:val="auto"/>
        </w:rPr>
      </w:pPr>
      <w:r>
        <w:rPr>
          <w:rFonts w:ascii="Arial" w:cs="Arial" w:eastAsia="Arial" w:hAnsi="Arial"/>
          <w:sz w:val="20"/>
          <w:szCs w:val="20"/>
          <w:b w:val="1"/>
          <w:bCs w:val="1"/>
          <w:color w:val="auto"/>
        </w:rPr>
        <w:t xml:space="preserve">Neuromodulation </w:t>
      </w:r>
      <w:r>
        <w:rPr>
          <w:rFonts w:ascii="Arial" w:cs="Arial" w:eastAsia="Arial" w:hAnsi="Arial"/>
          <w:sz w:val="20"/>
          <w:szCs w:val="20"/>
          <w:color w:val="auto"/>
        </w:rPr>
        <w:t>revenue increased 2.3 percent versus the second quarter of 2021 driven by the Europe and Rest of World</w:t>
      </w:r>
      <w:r>
        <w:rPr>
          <w:rFonts w:ascii="Arial" w:cs="Arial" w:eastAsia="Arial" w:hAnsi="Arial"/>
          <w:sz w:val="20"/>
          <w:szCs w:val="20"/>
          <w:b w:val="1"/>
          <w:bCs w:val="1"/>
          <w:color w:val="auto"/>
        </w:rPr>
        <w:t xml:space="preserve"> </w:t>
      </w:r>
      <w:r>
        <w:rPr>
          <w:rFonts w:ascii="Arial" w:cs="Arial" w:eastAsia="Arial" w:hAnsi="Arial"/>
          <w:sz w:val="20"/>
          <w:szCs w:val="20"/>
          <w:color w:val="auto"/>
        </w:rPr>
        <w:t>regions and by favorable pricing in the U.S., partially offset by lower implant volumes.</w:t>
      </w:r>
    </w:p>
    <w:p>
      <w:pPr>
        <w:spacing w:after="0" w:line="156" w:lineRule="exact"/>
        <w:rPr>
          <w:sz w:val="20"/>
          <w:szCs w:val="20"/>
          <w:color w:val="auto"/>
        </w:rPr>
      </w:pPr>
    </w:p>
    <w:p>
      <w:pPr>
        <w:jc w:val="both"/>
        <w:spacing w:after="0" w:line="365" w:lineRule="auto"/>
        <w:rPr>
          <w:sz w:val="20"/>
          <w:szCs w:val="20"/>
          <w:color w:val="auto"/>
        </w:rPr>
      </w:pPr>
      <w:r>
        <w:rPr>
          <w:rFonts w:ascii="Arial" w:cs="Arial" w:eastAsia="Arial" w:hAnsi="Arial"/>
          <w:sz w:val="20"/>
          <w:szCs w:val="20"/>
          <w:b w:val="1"/>
          <w:bCs w:val="1"/>
          <w:color w:val="auto"/>
        </w:rPr>
        <w:t xml:space="preserve">Advanced Circulatory Support (ACS) </w:t>
      </w:r>
      <w:r>
        <w:rPr>
          <w:rFonts w:ascii="Arial" w:cs="Arial" w:eastAsia="Arial" w:hAnsi="Arial"/>
          <w:sz w:val="20"/>
          <w:szCs w:val="20"/>
          <w:color w:val="auto"/>
        </w:rPr>
        <w:t>revenue decreased 29.1 percent compared to the second quarter of 2021 primarily due</w:t>
      </w:r>
      <w:r>
        <w:rPr>
          <w:rFonts w:ascii="Arial" w:cs="Arial" w:eastAsia="Arial" w:hAnsi="Arial"/>
          <w:sz w:val="20"/>
          <w:szCs w:val="20"/>
          <w:b w:val="1"/>
          <w:bCs w:val="1"/>
          <w:color w:val="auto"/>
        </w:rPr>
        <w:t xml:space="preserve"> </w:t>
      </w:r>
      <w:r>
        <w:rPr>
          <w:rFonts w:ascii="Arial" w:cs="Arial" w:eastAsia="Arial" w:hAnsi="Arial"/>
          <w:sz w:val="20"/>
          <w:szCs w:val="20"/>
          <w:color w:val="auto"/>
        </w:rPr>
        <w:t>to a reduction in patients treated with extracorporeal membrane oxygenation (ECMO) related to fewer severe COVID-19 cases and hospital staffing challenges, partially offset by growth in non-COVID-19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Financial Performance</w:t>
      </w:r>
      <w:r>
        <w:rPr>
          <w:rFonts w:ascii="Arial" w:cs="Arial" w:eastAsia="Arial" w:hAnsi="Arial"/>
          <w:sz w:val="25"/>
          <w:szCs w:val="25"/>
          <w:b w:val="1"/>
          <w:bCs w:val="1"/>
          <w:i w:val="1"/>
          <w:iCs w:val="1"/>
          <w:color w:val="auto"/>
          <w:vertAlign w:val="superscript"/>
        </w:rPr>
        <w:t>2</w:t>
      </w:r>
    </w:p>
    <w:p>
      <w:pPr>
        <w:spacing w:after="0" w:line="287"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On a U.S. GAAP basis, second-quarter 2022 operating income was $31.8 million, as compared to an operating loss of $36.3 million for the second quarter of 2021. Adjusted operating income for the second quarter of 2022 was $33.4 million, as compared to $37.9 million for the second quarter of 2021.</w:t>
      </w:r>
    </w:p>
    <w:p>
      <w:pPr>
        <w:spacing w:after="0" w:line="207"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On a U.S. GAAP basis, second-quarter 2022 diluted earnings per share was $0.30, as compared to a diluted loss per share of $1.15 in the second quarter of 2021. Second-quarter 2022 adjusted diluted earnings per share was $0.53, as compared to $0.50 per share in the second quarter of 2021.</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Updated Full-Year 2022 Outlook</w:t>
      </w:r>
    </w:p>
    <w:p>
      <w:pPr>
        <w:spacing w:after="0" w:line="344"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LivaNova now expects revenue for full-year 2022 to grow between 4 and 6 percent on a constant-currency basis, excluding the impact of the Heart Valves divestiture. Foreign currency is now expected to be a 4 to 5 percent headwind.</w:t>
      </w:r>
    </w:p>
    <w:p>
      <w:pPr>
        <w:spacing w:after="0" w:line="204"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Adjusted diluted earnings per share for 2022 are now expected to be in the range of $2.25 to $2.45, assuming a fully diluted share count of 54 million for full-year 2022. In 2022, the Company now estimates that adjusted free cash flow will be in the range of $60 to $80 million.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 Instructions</w:t>
      </w:r>
    </w:p>
    <w:p>
      <w:pPr>
        <w:spacing w:after="0" w:line="344" w:lineRule="exact"/>
        <w:rPr>
          <w:sz w:val="20"/>
          <w:szCs w:val="20"/>
          <w:color w:val="auto"/>
        </w:rPr>
      </w:pPr>
    </w:p>
    <w:p>
      <w:pPr>
        <w:jc w:val="both"/>
        <w:spacing w:after="0" w:line="373" w:lineRule="auto"/>
        <w:rPr>
          <w:sz w:val="20"/>
          <w:szCs w:val="20"/>
          <w:color w:val="auto"/>
        </w:rPr>
      </w:pPr>
      <w:r>
        <w:rPr>
          <w:rFonts w:ascii="Arial" w:cs="Arial" w:eastAsia="Arial" w:hAnsi="Arial"/>
          <w:sz w:val="19"/>
          <w:szCs w:val="19"/>
          <w:color w:val="auto"/>
        </w:rPr>
        <w:t xml:space="preserve">The Company will host a live audiocast at 1 p.m. London time (8 a.m. EDT) on Wednesday, August 3, 2022 that will be accessible at </w:t>
      </w:r>
      <w:r>
        <w:rPr>
          <w:rFonts w:ascii="Arial" w:cs="Arial" w:eastAsia="Arial" w:hAnsi="Arial"/>
          <w:sz w:val="19"/>
          <w:szCs w:val="19"/>
          <w:u w:val="single" w:color="auto"/>
          <w:color w:val="0E32E1"/>
        </w:rPr>
        <w:t>www.livanova.com/events</w:t>
      </w:r>
      <w:r>
        <w:rPr>
          <w:rFonts w:ascii="Arial" w:cs="Arial" w:eastAsia="Arial" w:hAnsi="Arial"/>
          <w:sz w:val="19"/>
          <w:szCs w:val="19"/>
          <w:color w:val="auto"/>
        </w:rPr>
        <w:t xml:space="preserve">. Listeners should register in advance and log on approximately 10 minutes in advance to ensure proper setup. To listen to the conference call by telephone, dial +1 844 200 6205 (if dialing from within the U.S.) or +1 929 526 1599 (if dialing from outside the U.S.). The conference call access code is 469820. Within 24 hours of the audiocast, a replay will be available at </w:t>
      </w:r>
      <w:r>
        <w:rPr>
          <w:rFonts w:ascii="Arial" w:cs="Arial" w:eastAsia="Arial" w:hAnsi="Arial"/>
          <w:sz w:val="19"/>
          <w:szCs w:val="19"/>
          <w:u w:val="single" w:color="auto"/>
          <w:color w:val="0E32E1"/>
        </w:rPr>
        <w:t>www.livanova.com/events</w:t>
      </w:r>
      <w:r>
        <w:rPr>
          <w:rFonts w:ascii="Arial" w:cs="Arial" w:eastAsia="Arial" w:hAnsi="Arial"/>
          <w:sz w:val="19"/>
          <w:szCs w:val="19"/>
          <w:color w:val="auto"/>
        </w:rPr>
        <w:t>, where it will be archived and accessible for approximately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1250950</wp:posOffset>
            </wp:positionV>
            <wp:extent cx="17043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04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80" w:hanging="73"/>
        <w:spacing w:after="0" w:line="214" w:lineRule="auto"/>
        <w:tabs>
          <w:tab w:leader="none" w:pos="72" w:val="left"/>
        </w:tabs>
        <w:numPr>
          <w:ilvl w:val="0"/>
          <w:numId w:val="6"/>
        </w:numPr>
        <w:rPr>
          <w:rFonts w:ascii="Arial" w:cs="Arial" w:eastAsia="Arial" w:hAnsi="Arial"/>
          <w:sz w:val="14"/>
          <w:szCs w:val="14"/>
          <w:color w:val="auto"/>
          <w:vertAlign w:val="superscript"/>
        </w:rPr>
      </w:pPr>
      <w:r>
        <w:rPr>
          <w:rFonts w:ascii="Arial" w:cs="Arial" w:eastAsia="Arial" w:hAnsi="Arial"/>
          <w:sz w:val="11"/>
          <w:szCs w:val="11"/>
          <w:color w:val="auto"/>
        </w:rPr>
        <w:t>During the fourth quarter of 2021, the Company identified and rectified an error related to foreign currency exchange rates utilized to calculate inventory and cost of sales for the years ended December 31, 2017 through 2020 and the nine months ended September 30, 2021. Accordingly, prior period results on a GAAP and non-GAAP basis were revised. See the section entitled "Supplemental Unaudited Revised Financial Information and Non-GAAP Measures" in the Form 8-K furnished on February 23, 2022.</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6D2077"/>
        </w:rPr>
        <w:t>About LivaNova</w:t>
      </w:r>
    </w:p>
    <w:p>
      <w:pPr>
        <w:spacing w:after="0" w:line="320" w:lineRule="exact"/>
        <w:rPr>
          <w:sz w:val="20"/>
          <w:szCs w:val="20"/>
          <w:color w:val="auto"/>
        </w:rPr>
      </w:pPr>
    </w:p>
    <w:p>
      <w:pPr>
        <w:jc w:val="both"/>
        <w:spacing w:after="0" w:line="351" w:lineRule="auto"/>
        <w:rPr>
          <w:sz w:val="20"/>
          <w:szCs w:val="20"/>
          <w:color w:val="auto"/>
        </w:rPr>
      </w:pPr>
      <w:r>
        <w:rPr>
          <w:rFonts w:ascii="Arial" w:cs="Arial" w:eastAsia="Arial" w:hAnsi="Arial"/>
          <w:sz w:val="20"/>
          <w:szCs w:val="20"/>
          <w:color w:val="auto"/>
        </w:rPr>
        <w:t xml:space="preserve">LivaNova PLC is a global medical technology and innovation company built on nearly five decades of experience and a relentless commitment to provide hope for patients and their families through innovative medical technologies, delivering life-changing improvements for both the Head and Heart. Headquartered in London, LivaNova employs approximately 3,000 employees and has a presence in more than 100 countries for the benefit of patients, healthcare professionals and healthcare systems worldwide. For more information, please visit </w:t>
      </w:r>
      <w:r>
        <w:rPr>
          <w:rFonts w:ascii="Arial" w:cs="Arial" w:eastAsia="Arial" w:hAnsi="Arial"/>
          <w:sz w:val="20"/>
          <w:szCs w:val="20"/>
          <w:u w:val="single" w:color="auto"/>
          <w:color w:val="0E32E1"/>
        </w:rPr>
        <w:t>www.livanova.com</w:t>
      </w:r>
      <w:r>
        <w:rPr>
          <w:rFonts w:ascii="Arial" w:cs="Arial" w:eastAsia="Arial" w:hAnsi="Arial"/>
          <w:sz w:val="20"/>
          <w:szCs w:val="20"/>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6D2077"/>
        </w:rPr>
        <w:t>Use of Non-GAAP Financial Measures</w:t>
      </w:r>
    </w:p>
    <w:p>
      <w:pPr>
        <w:spacing w:after="0" w:line="320" w:lineRule="exact"/>
        <w:rPr>
          <w:sz w:val="20"/>
          <w:szCs w:val="20"/>
          <w:color w:val="auto"/>
        </w:rPr>
      </w:pPr>
    </w:p>
    <w:p>
      <w:pPr>
        <w:jc w:val="both"/>
        <w:spacing w:after="0" w:line="351" w:lineRule="auto"/>
        <w:rPr>
          <w:sz w:val="20"/>
          <w:szCs w:val="20"/>
          <w:color w:val="auto"/>
        </w:rPr>
      </w:pPr>
      <w:r>
        <w:rPr>
          <w:rFonts w:ascii="Arial" w:cs="Arial" w:eastAsia="Arial" w:hAnsi="Arial"/>
          <w:sz w:val="20"/>
          <w:szCs w:val="20"/>
          <w:color w:val="auto"/>
        </w:rPr>
        <w:t>In this press release, management has disclosed financial measurements that present financial information not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operating performance measures as prescribed by GAAP.</w:t>
      </w:r>
    </w:p>
    <w:p>
      <w:pPr>
        <w:spacing w:after="0" w:line="210" w:lineRule="exact"/>
        <w:rPr>
          <w:sz w:val="20"/>
          <w:szCs w:val="20"/>
          <w:color w:val="auto"/>
        </w:rPr>
      </w:pPr>
    </w:p>
    <w:p>
      <w:pPr>
        <w:jc w:val="both"/>
        <w:spacing w:after="0" w:line="351" w:lineRule="auto"/>
        <w:rPr>
          <w:sz w:val="20"/>
          <w:szCs w:val="20"/>
          <w:color w:val="auto"/>
        </w:rPr>
      </w:pPr>
      <w:r>
        <w:rPr>
          <w:rFonts w:ascii="Arial" w:cs="Arial" w:eastAsia="Arial" w:hAnsi="Arial"/>
          <w:sz w:val="20"/>
          <w:szCs w:val="20"/>
          <w:color w:val="auto"/>
        </w:rPr>
        <w:t>Unless otherwise noted, all sales growth rates in this release reflect comparable, constant-currency growth. Management believes that referring to comparable, constant-currency growth is the most useful way to evaluate the sales performance of LivaNova and to compare the sales performance of current periods to prior periods on a consistent basis. Constant-currency growth, a non-GAAP financial measure, measures the change in sales between current and prior-year periods using average exchange rates in effect during the applicable prior-year period.</w:t>
      </w:r>
    </w:p>
    <w:p>
      <w:pPr>
        <w:spacing w:after="0" w:line="211" w:lineRule="exact"/>
        <w:rPr>
          <w:sz w:val="20"/>
          <w:szCs w:val="20"/>
          <w:color w:val="auto"/>
        </w:rPr>
      </w:pPr>
    </w:p>
    <w:p>
      <w:pPr>
        <w:jc w:val="both"/>
        <w:spacing w:after="0" w:line="350" w:lineRule="auto"/>
        <w:rPr>
          <w:sz w:val="20"/>
          <w:szCs w:val="20"/>
          <w:color w:val="auto"/>
        </w:rPr>
      </w:pPr>
      <w:r>
        <w:rPr>
          <w:rFonts w:ascii="Arial" w:cs="Arial" w:eastAsia="Arial" w:hAnsi="Arial"/>
          <w:sz w:val="20"/>
          <w:szCs w:val="20"/>
          <w:color w:val="auto"/>
        </w:rPr>
        <w:t>LivaNova calculates forward-looking non-GAAP financial measures based on internal forecasts that omit certain amounts that would be included in GAAP financial measures. For example, forward-looking net sales growth projections are estimated on a constant-currency basis and exclude the impact of foreign currency fluctuations. Forward-looking non-GAAP adjusted diluted earnings per share guidance exclude other items such as, but not limited to, changes in fair value of derivatives and contingent consideration arrangements and asset impairment charges that would be included in comparable GAAP financial measures. The most directly comparable GAAP measure for constant-currency net sales, non-GAAP adjusted tax rate and adjusted diluted earnings per share are net sales, the effective tax rate and earnings per share, respectively. The most directly comparable GAAP measure for adjusted free cash flow is net cash provided by operating activities. However, non-GAAP financial adjustments on a forward-looking basis are subject to uncertainty and variability as they are dependent 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46" w:lineRule="exact"/>
        <w:rPr>
          <w:sz w:val="20"/>
          <w:szCs w:val="20"/>
          <w:color w:val="auto"/>
        </w:rPr>
      </w:pPr>
    </w:p>
    <w:p>
      <w:pPr>
        <w:jc w:val="both"/>
        <w:spacing w:after="0" w:line="351" w:lineRule="auto"/>
        <w:rPr>
          <w:sz w:val="20"/>
          <w:szCs w:val="20"/>
          <w:color w:val="auto"/>
        </w:rPr>
      </w:pPr>
      <w:r>
        <w:rPr>
          <w:rFonts w:ascii="Arial" w:cs="Arial" w:eastAsia="Arial" w:hAnsi="Arial"/>
          <w:sz w:val="20"/>
          <w:szCs w:val="20"/>
          <w:color w:val="auto"/>
        </w:rPr>
        <w:t>many factors, including but not limited to, the effect of foreign currency exchange fluctuations, impacts from potential acquisitions or divestitures, the ultimate outcome of legal proceedings, gains or losses on the potential sale of businesses or other assets, restructuring costs, merger and integration activities, changes in fair value of derivatives and contingent consideration arrangements, asset impairment charges and the tax impact of the aforementioned items, tax law changes or other tax matters. Accordingly, forward-looking GAAP financial measures and reconciliations to the most directly comparable forward-looking GAAP financial measures are not available without unreasonable effort.</w:t>
      </w:r>
    </w:p>
    <w:p>
      <w:pPr>
        <w:spacing w:after="0" w:line="210" w:lineRule="exact"/>
        <w:rPr>
          <w:sz w:val="20"/>
          <w:szCs w:val="20"/>
          <w:color w:val="auto"/>
        </w:rPr>
      </w:pPr>
    </w:p>
    <w:p>
      <w:pPr>
        <w:jc w:val="both"/>
        <w:spacing w:after="0" w:line="350" w:lineRule="auto"/>
        <w:rPr>
          <w:sz w:val="20"/>
          <w:szCs w:val="20"/>
          <w:color w:val="auto"/>
        </w:rPr>
      </w:pPr>
      <w:r>
        <w:rPr>
          <w:rFonts w:ascii="Arial" w:cs="Arial" w:eastAsia="Arial" w:hAnsi="Arial"/>
          <w:sz w:val="20"/>
          <w:szCs w:val="20"/>
          <w:color w:val="auto"/>
        </w:rPr>
        <w:t>The Company also believes adjusted financial measures such as adjusted gross profit percentage, adjusted selling, general and administrative expense, adjusted research and development expense, adjusted other operating expenses, adjusted operating income, adjusted income tax expense, adjusted net income and adjusted diluted earnings per share, are measures by which LivaNova generally uses to facilitate management review of the operational performance of the company, to serve as a basis for strategic planning and to assist in the design of compensation incentive plans. Additionally, the Company also uses the non-GAAP liquidity measure adjusted free cash flow.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6D2077"/>
        </w:rPr>
        <w:t>Safe Harbor Statement</w:t>
      </w:r>
    </w:p>
    <w:p>
      <w:pPr>
        <w:spacing w:after="0" w:line="320" w:lineRule="exact"/>
        <w:rPr>
          <w:sz w:val="20"/>
          <w:szCs w:val="20"/>
          <w:color w:val="auto"/>
        </w:rPr>
      </w:pPr>
    </w:p>
    <w:p>
      <w:pPr>
        <w:jc w:val="both"/>
        <w:spacing w:after="0" w:line="350" w:lineRule="auto"/>
        <w:rPr>
          <w:sz w:val="20"/>
          <w:szCs w:val="20"/>
          <w:color w:val="auto"/>
        </w:rPr>
      </w:pPr>
      <w:r>
        <w:rPr>
          <w:rFonts w:ascii="Arial" w:cs="Arial" w:eastAsia="Arial" w:hAnsi="Arial"/>
          <w:sz w:val="20"/>
          <w:szCs w:val="20"/>
          <w:color w:val="auto"/>
        </w:rPr>
        <w:t>Certain statements in this press release, other than purely historical information, are “forward-looking statements” within the meaning of the Private Securities Litigation Reform Act of 1995, Section 27A of the Securities Act of 1933 and Section 21E of the Securities Exchange Act of 1934, as amended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"outlook,"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146" w:lineRule="exact"/>
        <w:rPr>
          <w:sz w:val="20"/>
          <w:szCs w:val="20"/>
          <w:color w:val="auto"/>
        </w:rPr>
      </w:pPr>
    </w:p>
    <w:p>
      <w:pPr>
        <w:jc w:val="both"/>
        <w:spacing w:after="0" w:line="350" w:lineRule="auto"/>
        <w:rPr>
          <w:sz w:val="20"/>
          <w:szCs w:val="20"/>
          <w:color w:val="auto"/>
        </w:rPr>
      </w:pPr>
      <w:r>
        <w:rPr>
          <w:rFonts w:ascii="Arial" w:cs="Arial" w:eastAsia="Arial" w:hAnsi="Arial"/>
          <w:sz w:val="20"/>
          <w:szCs w:val="20"/>
          <w:color w:val="auto"/>
        </w:rPr>
        <w:t>place undue reliance on forward-looking statements. Investors are cautioned that all such statements involve risks and uncertainties, including without limitation, statements concerning achieving a stronger future, driving sustainable growth and value to our shareholders, projected net sales, adjusted diluted earnings per share, cash flow from operations, capital expenditures, depreciation and amortization, advancing our growth, driving product launches and funding our equity investments, executing on our synergy targets and retaining our focus, energy and discipline as a company, and serving the needs of our customers and patients. Important factors that may cause actual results to differ include, but are not limited to: (i) risks related to reductions, interruptions or increasing costs related to the supply of raw materials and components and the distribution of finished products, including as a result of inflation and war and related to inflationary pressure; (ii) volatility in the global market and worldwide economic conditions, including volatility caused by the invasion of Ukraine, inflation, changes to existing trade agreements and relationships between the U.S. and other countries including the implementation of sanctions; (iii) risks relating to the outbreak and spread of COVID-19 and its variants around the world, including market volatility, reductions in business operations and reduction in medical procedures; (iv) non-U.S. operational and economic risks and concerns including the effect of changes in foreign exchange rates on quarterly operating results; (v) failure to retain key personnel, prevent labor shortages, or manage labor costs; (vi) changes in technology, including the development of superior or alternative technology or devices by competitors and/or competition from providers of alternative medical therapies; (vii) losses or costs from pending or future lawsuits and governmental investigations, including any amount of liability or damages imposed by the Appeals Court or the Supreme Court of Italy with respect to SNIA S.p.A.; (viiii) failure to develop and commercialize new products and the rate and degree of market acceptance of such products; (ix) failure to obtain approvals or maintain the current regulatory approvals for our products’ approved indications; (x) failure to comply with, or changes in, laws, regulations or administrative practices affecting government regulation of our products, including, but not limited to, U.S. Food and Drug Administration (“FDA”) laws and regulations; (xi) changes in customer spending patterns; (xii) failure to establish, expand or maintain market acceptance of our products for the treatment of our approved indications; (xiii) any legislative or administrative reform to the healthcare system, including the U.S. Medicare or Medicaid systems or international reimbursement systems, that significantly reduces reimbursement for our products or procedures or denies coverage for such products or procedures or enhances coverage for competitive products or procedures, as well as adverse decisions by administrators of such systems on coverage or reimbursement issues relating to our products; (xiv) failure to obtain or maintain coverage and reimbursement for our products’ approved indications and risks related to cost containment efforts of healthcare purchasing organizations; (xv) unfavorable results from clinical studies or failure to meet milestones; (xvi) risks relating to our indebtedness under the exchangeable senior notes, our revolving credit facility and our 2022 Term Facilities; (xvii) effectiveness of our internal controls over financial reporting; (xviii) changes in our profitability and/or failure to</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46" w:lineRule="exact"/>
        <w:rPr>
          <w:sz w:val="20"/>
          <w:szCs w:val="20"/>
          <w:color w:val="auto"/>
        </w:rPr>
      </w:pPr>
    </w:p>
    <w:p>
      <w:pPr>
        <w:jc w:val="both"/>
        <w:spacing w:after="0" w:line="368" w:lineRule="auto"/>
        <w:rPr>
          <w:sz w:val="20"/>
          <w:szCs w:val="20"/>
          <w:color w:val="auto"/>
        </w:rPr>
      </w:pPr>
      <w:r>
        <w:rPr>
          <w:rFonts w:ascii="Arial" w:cs="Arial" w:eastAsia="Arial" w:hAnsi="Arial"/>
          <w:sz w:val="19"/>
          <w:szCs w:val="19"/>
          <w:color w:val="auto"/>
        </w:rPr>
        <w:t>manage costs and expenses; (xix) fluctuations in future quarterly operating results and/or variations in sales and operating expenses relative to estimates; (xx) cyber-attacks or other disruptions to our information technology systems; (xxi) product liability, intellectual property, shareholder-related, environmental-related, income tax and other litigation, disputes, losses and costs; (xxii) protection, expiration and validity of our intellectual property; (xxiii) failure to comply with applicable U.S. laws and regulations, including federal and state privacy and security laws and regulations, and applicable non-U.S. laws and regulations;</w:t>
      </w:r>
    </w:p>
    <w:p>
      <w:pPr>
        <w:spacing w:after="0" w:line="3" w:lineRule="exact"/>
        <w:rPr>
          <w:sz w:val="20"/>
          <w:szCs w:val="20"/>
          <w:color w:val="auto"/>
        </w:rPr>
      </w:pPr>
    </w:p>
    <w:p>
      <w:pPr>
        <w:jc w:val="both"/>
        <w:ind w:firstLine="7"/>
        <w:spacing w:after="0" w:line="351" w:lineRule="auto"/>
        <w:tabs>
          <w:tab w:leader="none" w:pos="544" w:val="left"/>
        </w:tabs>
        <w:numPr>
          <w:ilvl w:val="0"/>
          <w:numId w:val="7"/>
        </w:numPr>
        <w:rPr>
          <w:rFonts w:ascii="Arial" w:cs="Arial" w:eastAsia="Arial" w:hAnsi="Arial"/>
          <w:sz w:val="20"/>
          <w:szCs w:val="20"/>
          <w:color w:val="auto"/>
        </w:rPr>
      </w:pPr>
      <w:r>
        <w:rPr>
          <w:rFonts w:ascii="Arial" w:cs="Arial" w:eastAsia="Arial" w:hAnsi="Arial"/>
          <w:sz w:val="20"/>
          <w:szCs w:val="20"/>
          <w:color w:val="auto"/>
        </w:rPr>
        <w:t>harsh weather or natural disasters, including as a result of climate change, that interrupt our business operations or the business operations of our hospital-customers or failure to comply with evolving environmental laws; (xxv) failure of new acquisitions to further our strategic objectives or strengthen our existing businesses; (xxvi) changes in tax laws and regulations, including exposure to additional income tax liabilities; (xxvii) changes in our common stock price; and (xxviii) activist investors causing disruptions to the business.</w:t>
      </w:r>
    </w:p>
    <w:p>
      <w:pPr>
        <w:spacing w:after="0" w:line="211" w:lineRule="exact"/>
        <w:rPr>
          <w:sz w:val="20"/>
          <w:szCs w:val="20"/>
          <w:color w:val="auto"/>
        </w:rPr>
      </w:pPr>
    </w:p>
    <w:p>
      <w:pPr>
        <w:jc w:val="both"/>
        <w:spacing w:after="0" w:line="352" w:lineRule="auto"/>
        <w:rPr>
          <w:sz w:val="20"/>
          <w:szCs w:val="20"/>
          <w:color w:val="auto"/>
        </w:rPr>
      </w:pPr>
      <w:r>
        <w:rPr>
          <w:rFonts w:ascii="Arial" w:cs="Arial" w:eastAsia="Arial" w:hAnsi="Arial"/>
          <w:sz w:val="20"/>
          <w:szCs w:val="20"/>
          <w:color w:val="auto"/>
        </w:rPr>
        <w:t>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and other documents filed from time to time with the United States Securities and Exchange Commission by LivaNova.</w:t>
      </w:r>
    </w:p>
    <w:p>
      <w:pPr>
        <w:spacing w:after="0" w:line="208" w:lineRule="exact"/>
        <w:rPr>
          <w:sz w:val="20"/>
          <w:szCs w:val="20"/>
          <w:color w:val="auto"/>
        </w:rPr>
      </w:pPr>
    </w:p>
    <w:p>
      <w:pPr>
        <w:jc w:val="both"/>
        <w:spacing w:after="0" w:line="351" w:lineRule="auto"/>
        <w:rPr>
          <w:sz w:val="20"/>
          <w:szCs w:val="20"/>
          <w:color w:val="auto"/>
        </w:rPr>
      </w:pPr>
      <w:r>
        <w:rPr>
          <w:rFonts w:ascii="Arial" w:cs="Arial" w:eastAsia="Arial" w:hAnsi="Arial"/>
          <w:sz w:val="20"/>
          <w:szCs w:val="20"/>
          <w:color w:val="auto"/>
        </w:rPr>
        <w:t>We caution you not to place undue reliance on any forward-looking statements, which are made only as of the date of this press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21"/>
          <w:szCs w:val="21"/>
          <w:color w:val="auto"/>
        </w:rPr>
        <w:t>Briana Gotlin</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0"/>
          <w:szCs w:val="20"/>
          <w:color w:val="auto"/>
        </w:rPr>
        <w:t>Director, Investor Relations</w:t>
      </w:r>
    </w:p>
    <w:p>
      <w:pPr>
        <w:ind w:left="80"/>
        <w:spacing w:after="0" w:line="238" w:lineRule="auto"/>
        <w:rPr>
          <w:sz w:val="20"/>
          <w:szCs w:val="20"/>
          <w:color w:val="auto"/>
        </w:rPr>
      </w:pPr>
      <w:r>
        <w:rPr>
          <w:rFonts w:ascii="Arial" w:cs="Arial" w:eastAsia="Arial" w:hAnsi="Arial"/>
          <w:sz w:val="20"/>
          <w:szCs w:val="20"/>
          <w:color w:val="auto"/>
        </w:rPr>
        <w:t>Phone: +1 281 895 2382</w:t>
      </w:r>
    </w:p>
    <w:p>
      <w:pPr>
        <w:ind w:left="80"/>
        <w:spacing w:after="0"/>
        <w:rPr>
          <w:sz w:val="20"/>
          <w:szCs w:val="20"/>
          <w:color w:val="auto"/>
        </w:rPr>
      </w:pPr>
      <w:r>
        <w:rPr>
          <w:rFonts w:ascii="Arial" w:cs="Arial" w:eastAsia="Arial" w:hAnsi="Arial"/>
          <w:sz w:val="20"/>
          <w:szCs w:val="20"/>
          <w:color w:val="auto"/>
        </w:rPr>
        <w:t>e-mail: InvestorRelations@livanova.com</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6" w:lineRule="exact"/>
        <w:rPr>
          <w:sz w:val="20"/>
          <w:szCs w:val="20"/>
          <w:color w:val="auto"/>
        </w:rPr>
      </w:pPr>
    </w:p>
    <w:tbl>
      <w:tblPr>
        <w:tblLayout w:type="fixed"/>
        <w:tblInd w:w="1" w:type="dxa"/>
        <w:tblCellMar>
          <w:top w:w="0" w:type="dxa"/>
          <w:left w:w="0" w:type="dxa"/>
          <w:bottom w:w="0" w:type="dxa"/>
          <w:right w:w="0" w:type="dxa"/>
        </w:tblCellMar>
      </w:tblPr>
      <w:tr>
        <w:trPr>
          <w:trHeight w:val="228"/>
        </w:trPr>
        <w:tc>
          <w:tcPr>
            <w:tcW w:w="4460" w:type="dxa"/>
            <w:vAlign w:val="bottom"/>
          </w:tcPr>
          <w:p>
            <w:pPr>
              <w:spacing w:after="0"/>
              <w:rPr>
                <w:sz w:val="20"/>
                <w:szCs w:val="20"/>
                <w:color w:val="auto"/>
              </w:rPr>
            </w:pPr>
            <w:r>
              <w:rPr>
                <w:rFonts w:ascii="Arial" w:cs="Arial" w:eastAsia="Arial" w:hAnsi="Arial"/>
                <w:sz w:val="18"/>
                <w:szCs w:val="18"/>
                <w:b w:val="1"/>
                <w:bCs w:val="1"/>
                <w:color w:val="auto"/>
              </w:rPr>
              <w:t>LIVANOVA PLC</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6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gridSpan w:val="5"/>
            <w:vMerge w:val="restart"/>
          </w:tcPr>
          <w:p>
            <w:pPr>
              <w:jc w:val="right"/>
              <w:ind w:right="240"/>
              <w:spacing w:after="0"/>
              <w:rPr>
                <w:sz w:val="20"/>
                <w:szCs w:val="20"/>
                <w:color w:val="auto"/>
              </w:rPr>
            </w:pPr>
            <w:r>
              <w:rPr>
                <w:rFonts w:ascii="Arial" w:cs="Arial" w:eastAsia="Arial" w:hAnsi="Arial"/>
                <w:sz w:val="18"/>
                <w:szCs w:val="18"/>
                <w:b w:val="1"/>
                <w:bCs w:val="1"/>
                <w:color w:val="auto"/>
              </w:rPr>
              <w:t>Three Months Ended June 30,</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6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5"/>
            <w:vMerge w:val="continue"/>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3"/>
            <w:vMerge w:val="restart"/>
          </w:tcPr>
          <w:p>
            <w:pPr>
              <w:jc w:val="right"/>
              <w:ind w:right="240"/>
              <w:spacing w:after="0"/>
              <w:rPr>
                <w:sz w:val="20"/>
                <w:szCs w:val="20"/>
                <w:color w:val="auto"/>
              </w:rPr>
            </w:pPr>
            <w:r>
              <w:rPr>
                <w:rFonts w:ascii="Arial" w:cs="Arial" w:eastAsia="Arial" w:hAnsi="Arial"/>
                <w:sz w:val="18"/>
                <w:szCs w:val="18"/>
                <w:b w:val="1"/>
                <w:bCs w:val="1"/>
                <w:color w:val="auto"/>
              </w:rPr>
              <w:t>% Change at Actual</w:t>
            </w:r>
          </w:p>
        </w:tc>
        <w:tc>
          <w:tcPr>
            <w:tcW w:w="1840" w:type="dxa"/>
            <w:vAlign w:val="bottom"/>
          </w:tcPr>
          <w:p>
            <w:pPr>
              <w:jc w:val="center"/>
              <w:spacing w:after="0" w:line="168" w:lineRule="exact"/>
              <w:rPr>
                <w:sz w:val="20"/>
                <w:szCs w:val="20"/>
                <w:color w:val="auto"/>
              </w:rPr>
            </w:pPr>
            <w:r>
              <w:rPr>
                <w:rFonts w:ascii="Arial" w:cs="Arial" w:eastAsia="Arial" w:hAnsi="Arial"/>
                <w:sz w:val="18"/>
                <w:szCs w:val="18"/>
                <w:b w:val="1"/>
                <w:bCs w:val="1"/>
                <w:color w:val="auto"/>
                <w:w w:val="99"/>
              </w:rPr>
              <w:t>% Change at</w:t>
            </w:r>
          </w:p>
        </w:tc>
        <w:tc>
          <w:tcPr>
            <w:tcW w:w="0" w:type="dxa"/>
            <w:vAlign w:val="bottom"/>
          </w:tcPr>
          <w:p>
            <w:pPr>
              <w:spacing w:after="0"/>
              <w:rPr>
                <w:sz w:val="1"/>
                <w:szCs w:val="1"/>
                <w:color w:val="auto"/>
              </w:rPr>
            </w:pPr>
          </w:p>
        </w:tc>
      </w:tr>
      <w:tr>
        <w:trPr>
          <w:trHeight w:val="174"/>
        </w:trPr>
        <w:tc>
          <w:tcPr>
            <w:tcW w:w="4460" w:type="dxa"/>
            <w:vAlign w:val="bottom"/>
          </w:tcPr>
          <w:p>
            <w:pPr>
              <w:spacing w:after="0"/>
              <w:rPr>
                <w:sz w:val="15"/>
                <w:szCs w:val="15"/>
                <w:color w:val="auto"/>
              </w:rPr>
            </w:pPr>
          </w:p>
        </w:tc>
        <w:tc>
          <w:tcPr>
            <w:tcW w:w="1340" w:type="dxa"/>
            <w:vAlign w:val="bottom"/>
            <w:vMerge w:val="restart"/>
          </w:tcPr>
          <w:p>
            <w:pPr>
              <w:jc w:val="right"/>
              <w:ind w:right="39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1320" w:type="dxa"/>
            <w:vAlign w:val="bottom"/>
            <w:vMerge w:val="restart"/>
          </w:tcPr>
          <w:p>
            <w:pPr>
              <w:jc w:val="right"/>
              <w:ind w:right="37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2000" w:type="dxa"/>
            <w:vAlign w:val="bottom"/>
            <w:gridSpan w:val="3"/>
            <w:vMerge w:val="continue"/>
          </w:tcPr>
          <w:p>
            <w:pPr>
              <w:spacing w:after="0"/>
              <w:rPr>
                <w:sz w:val="15"/>
                <w:szCs w:val="15"/>
                <w:color w:val="auto"/>
              </w:rPr>
            </w:pPr>
          </w:p>
        </w:tc>
        <w:tc>
          <w:tcPr>
            <w:tcW w:w="1840" w:type="dxa"/>
            <w:vAlign w:val="bottom"/>
          </w:tcPr>
          <w:p>
            <w:pPr>
              <w:jc w:val="center"/>
              <w:spacing w:after="0" w:line="175" w:lineRule="exact"/>
              <w:rPr>
                <w:sz w:val="20"/>
                <w:szCs w:val="20"/>
                <w:color w:val="auto"/>
              </w:rPr>
            </w:pPr>
            <w:r>
              <w:rPr>
                <w:rFonts w:ascii="Arial" w:cs="Arial" w:eastAsia="Arial" w:hAnsi="Arial"/>
                <w:sz w:val="18"/>
                <w:szCs w:val="18"/>
                <w:b w:val="1"/>
                <w:bCs w:val="1"/>
                <w:color w:val="auto"/>
                <w:w w:val="99"/>
              </w:rPr>
              <w:t>Constant-Currency</w:t>
            </w:r>
          </w:p>
        </w:tc>
        <w:tc>
          <w:tcPr>
            <w:tcW w:w="0" w:type="dxa"/>
            <w:vAlign w:val="bottom"/>
          </w:tcPr>
          <w:p>
            <w:pPr>
              <w:spacing w:after="0"/>
              <w:rPr>
                <w:sz w:val="1"/>
                <w:szCs w:val="1"/>
                <w:color w:val="auto"/>
              </w:rPr>
            </w:pPr>
          </w:p>
        </w:tc>
      </w:tr>
      <w:tr>
        <w:trPr>
          <w:trHeight w:val="228"/>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Cardiopulmonary</w:t>
            </w: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Currency Rates</w:t>
            </w:r>
          </w:p>
        </w:tc>
        <w:tc>
          <w:tcPr>
            <w:tcW w:w="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8"/>
                <w:szCs w:val="18"/>
                <w:b w:val="1"/>
                <w:bCs w:val="1"/>
                <w:color w:val="auto"/>
                <w:w w:val="93"/>
              </w:rPr>
              <w:t xml:space="preserve">Rates </w:t>
            </w:r>
            <w:r>
              <w:rPr>
                <w:rFonts w:ascii="Arial" w:cs="Arial" w:eastAsia="Arial" w:hAnsi="Arial"/>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208"/>
        </w:trPr>
        <w:tc>
          <w:tcPr>
            <w:tcW w:w="446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60" w:type="dxa"/>
            <w:vAlign w:val="bottom"/>
          </w:tcPr>
          <w:p>
            <w:pPr>
              <w:ind w:left="100"/>
              <w:spacing w:after="0"/>
              <w:rPr>
                <w:sz w:val="20"/>
                <w:szCs w:val="20"/>
                <w:color w:val="auto"/>
              </w:rPr>
            </w:pPr>
            <w:r>
              <w:rPr>
                <w:rFonts w:ascii="Arial" w:cs="Arial" w:eastAsia="Arial" w:hAnsi="Arial"/>
                <w:sz w:val="18"/>
                <w:szCs w:val="18"/>
                <w:color w:val="auto"/>
              </w:rPr>
              <w:t>US</w:t>
            </w:r>
          </w:p>
        </w:tc>
        <w:tc>
          <w:tcPr>
            <w:tcW w:w="134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8"/>
        </w:trPr>
        <w:tc>
          <w:tcPr>
            <w:tcW w:w="4460" w:type="dxa"/>
            <w:vAlign w:val="bottom"/>
          </w:tcPr>
          <w:p>
            <w:pPr>
              <w:ind w:left="100"/>
              <w:spacing w:after="0"/>
              <w:rPr>
                <w:sz w:val="20"/>
                <w:szCs w:val="20"/>
                <w:color w:val="auto"/>
              </w:rPr>
            </w:pPr>
            <w:r>
              <w:rPr>
                <w:rFonts w:ascii="Arial" w:cs="Arial" w:eastAsia="Arial" w:hAnsi="Arial"/>
                <w:sz w:val="18"/>
                <w:szCs w:val="18"/>
                <w:color w:val="auto"/>
              </w:rPr>
              <w:t>Europe</w:t>
            </w:r>
          </w:p>
        </w:tc>
        <w:tc>
          <w:tcPr>
            <w:tcW w:w="134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35.1</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28"/>
        </w:trPr>
        <w:tc>
          <w:tcPr>
            <w:tcW w:w="446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30.9 %</w:t>
            </w:r>
          </w:p>
        </w:tc>
        <w:tc>
          <w:tcPr>
            <w:tcW w:w="0" w:type="dxa"/>
            <w:vAlign w:val="bottom"/>
          </w:tcPr>
          <w:p>
            <w:pPr>
              <w:spacing w:after="0"/>
              <w:rPr>
                <w:sz w:val="1"/>
                <w:szCs w:val="1"/>
                <w:color w:val="auto"/>
              </w:rPr>
            </w:pPr>
          </w:p>
        </w:tc>
      </w:tr>
      <w:tr>
        <w:trPr>
          <w:trHeight w:val="222"/>
        </w:trPr>
        <w:tc>
          <w:tcPr>
            <w:tcW w:w="4460" w:type="dxa"/>
            <w:vAlign w:val="bottom"/>
          </w:tcPr>
          <w:p>
            <w:pPr>
              <w:ind w:left="2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18"/>
        </w:trPr>
        <w:tc>
          <w:tcPr>
            <w:tcW w:w="4460" w:type="dxa"/>
            <w:vAlign w:val="bottom"/>
          </w:tcPr>
          <w:p>
            <w:pPr>
              <w:spacing w:after="0"/>
              <w:rPr>
                <w:sz w:val="20"/>
                <w:szCs w:val="20"/>
                <w:color w:val="auto"/>
              </w:rPr>
            </w:pPr>
            <w:r>
              <w:rPr>
                <w:rFonts w:ascii="Arial" w:cs="Arial" w:eastAsia="Arial" w:hAnsi="Arial"/>
                <w:sz w:val="18"/>
                <w:szCs w:val="18"/>
                <w:b w:val="1"/>
                <w:bCs w:val="1"/>
                <w:color w:val="auto"/>
              </w:rPr>
              <w:t>Neuromodulation</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tcPr>
          <w:p>
            <w:pPr>
              <w:ind w:left="100"/>
              <w:spacing w:after="0"/>
              <w:rPr>
                <w:sz w:val="20"/>
                <w:szCs w:val="20"/>
                <w:color w:val="auto"/>
              </w:rPr>
            </w:pPr>
            <w:r>
              <w:rPr>
                <w:rFonts w:ascii="Arial" w:cs="Arial" w:eastAsia="Arial" w:hAnsi="Arial"/>
                <w:sz w:val="18"/>
                <w:szCs w:val="18"/>
                <w:color w:val="auto"/>
              </w:rPr>
              <w:t>US</w:t>
            </w:r>
          </w:p>
        </w:tc>
        <w:tc>
          <w:tcPr>
            <w:tcW w:w="134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91.8</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8"/>
        </w:trPr>
        <w:tc>
          <w:tcPr>
            <w:tcW w:w="4460" w:type="dxa"/>
            <w:vAlign w:val="bottom"/>
          </w:tcPr>
          <w:p>
            <w:pPr>
              <w:ind w:left="100"/>
              <w:spacing w:after="0"/>
              <w:rPr>
                <w:sz w:val="20"/>
                <w:szCs w:val="20"/>
                <w:color w:val="auto"/>
              </w:rPr>
            </w:pPr>
            <w:r>
              <w:rPr>
                <w:rFonts w:ascii="Arial" w:cs="Arial" w:eastAsia="Arial" w:hAnsi="Arial"/>
                <w:sz w:val="18"/>
                <w:szCs w:val="18"/>
                <w:color w:val="auto"/>
              </w:rPr>
              <w:t>Europe</w:t>
            </w:r>
          </w:p>
        </w:tc>
        <w:tc>
          <w:tcPr>
            <w:tcW w:w="13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28"/>
        </w:trPr>
        <w:tc>
          <w:tcPr>
            <w:tcW w:w="446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22"/>
        </w:trPr>
        <w:tc>
          <w:tcPr>
            <w:tcW w:w="4460" w:type="dxa"/>
            <w:vAlign w:val="bottom"/>
          </w:tcPr>
          <w:p>
            <w:pPr>
              <w:ind w:left="2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18"/>
        </w:trPr>
        <w:tc>
          <w:tcPr>
            <w:tcW w:w="4460" w:type="dxa"/>
            <w:vAlign w:val="bottom"/>
          </w:tcPr>
          <w:p>
            <w:pPr>
              <w:spacing w:after="0"/>
              <w:rPr>
                <w:sz w:val="20"/>
                <w:szCs w:val="20"/>
                <w:color w:val="auto"/>
              </w:rPr>
            </w:pPr>
            <w:r>
              <w:rPr>
                <w:rFonts w:ascii="Arial" w:cs="Arial" w:eastAsia="Arial" w:hAnsi="Arial"/>
                <w:sz w:val="18"/>
                <w:szCs w:val="18"/>
                <w:b w:val="1"/>
                <w:bCs w:val="1"/>
                <w:color w:val="auto"/>
              </w:rPr>
              <w:t>Advanced Circulatory Support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tcPr>
          <w:p>
            <w:pPr>
              <w:ind w:left="100"/>
              <w:spacing w:after="0"/>
              <w:rPr>
                <w:sz w:val="20"/>
                <w:szCs w:val="20"/>
                <w:color w:val="auto"/>
              </w:rPr>
            </w:pPr>
            <w:r>
              <w:rPr>
                <w:rFonts w:ascii="Arial" w:cs="Arial" w:eastAsia="Arial" w:hAnsi="Arial"/>
                <w:sz w:val="18"/>
                <w:szCs w:val="18"/>
                <w:color w:val="auto"/>
              </w:rPr>
              <w:t>US</w:t>
            </w:r>
          </w:p>
        </w:tc>
        <w:tc>
          <w:tcPr>
            <w:tcW w:w="13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(32.2)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8"/>
        </w:trPr>
        <w:tc>
          <w:tcPr>
            <w:tcW w:w="4460" w:type="dxa"/>
            <w:vAlign w:val="bottom"/>
          </w:tcPr>
          <w:p>
            <w:pPr>
              <w:ind w:left="100"/>
              <w:spacing w:after="0"/>
              <w:rPr>
                <w:sz w:val="20"/>
                <w:szCs w:val="20"/>
                <w:color w:val="auto"/>
              </w:rPr>
            </w:pPr>
            <w:r>
              <w:rPr>
                <w:rFonts w:ascii="Arial" w:cs="Arial" w:eastAsia="Arial" w:hAnsi="Arial"/>
                <w:sz w:val="18"/>
                <w:szCs w:val="18"/>
                <w:color w:val="auto"/>
              </w:rPr>
              <w:t>Europe</w:t>
            </w:r>
          </w:p>
        </w:tc>
        <w:tc>
          <w:tcPr>
            <w:tcW w:w="13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000" w:type="dxa"/>
            <w:vAlign w:val="bottom"/>
            <w:gridSpan w:val="3"/>
          </w:tcPr>
          <w:p>
            <w:pPr>
              <w:ind w:left="1600"/>
              <w:spacing w:after="0"/>
              <w:rPr>
                <w:sz w:val="20"/>
                <w:szCs w:val="20"/>
                <w:color w:val="auto"/>
              </w:rPr>
            </w:pPr>
            <w:r>
              <w:rPr>
                <w:rFonts w:ascii="Arial" w:cs="Arial" w:eastAsia="Arial" w:hAnsi="Arial"/>
                <w:sz w:val="18"/>
                <w:szCs w:val="18"/>
                <w:color w:val="auto"/>
              </w:rPr>
              <w:t>NM</w:t>
            </w:r>
          </w:p>
        </w:tc>
        <w:tc>
          <w:tcPr>
            <w:tcW w:w="18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8"/>
        </w:trPr>
        <w:tc>
          <w:tcPr>
            <w:tcW w:w="446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000" w:type="dxa"/>
            <w:vAlign w:val="bottom"/>
            <w:gridSpan w:val="3"/>
          </w:tcPr>
          <w:p>
            <w:pPr>
              <w:ind w:left="1600"/>
              <w:spacing w:after="0"/>
              <w:rPr>
                <w:sz w:val="20"/>
                <w:szCs w:val="20"/>
                <w:color w:val="auto"/>
              </w:rPr>
            </w:pPr>
            <w:r>
              <w:rPr>
                <w:rFonts w:ascii="Arial" w:cs="Arial" w:eastAsia="Arial" w:hAnsi="Arial"/>
                <w:sz w:val="18"/>
                <w:szCs w:val="18"/>
                <w:color w:val="auto"/>
              </w:rPr>
              <w:t>NM</w:t>
            </w:r>
          </w:p>
        </w:tc>
        <w:tc>
          <w:tcPr>
            <w:tcW w:w="18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2"/>
        </w:trPr>
        <w:tc>
          <w:tcPr>
            <w:tcW w:w="4460" w:type="dxa"/>
            <w:vAlign w:val="bottom"/>
          </w:tcPr>
          <w:p>
            <w:pPr>
              <w:ind w:left="2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(29.6)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8"/>
        </w:trPr>
        <w:tc>
          <w:tcPr>
            <w:tcW w:w="446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60" w:type="dxa"/>
            <w:vAlign w:val="bottom"/>
          </w:tcPr>
          <w:p>
            <w:pPr>
              <w:ind w:left="100"/>
              <w:spacing w:after="0"/>
              <w:rPr>
                <w:sz w:val="20"/>
                <w:szCs w:val="20"/>
                <w:color w:val="auto"/>
              </w:rPr>
            </w:pPr>
            <w:r>
              <w:rPr>
                <w:rFonts w:ascii="Arial" w:cs="Arial" w:eastAsia="Arial" w:hAnsi="Arial"/>
                <w:sz w:val="18"/>
                <w:szCs w:val="18"/>
                <w:color w:val="auto"/>
              </w:rPr>
              <w:t>US</w:t>
            </w:r>
          </w:p>
        </w:tc>
        <w:tc>
          <w:tcPr>
            <w:tcW w:w="1440" w:type="dxa"/>
            <w:vAlign w:val="bottom"/>
            <w:gridSpan w:val="2"/>
            <w:vMerge w:val="continue"/>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4460" w:type="dxa"/>
            <w:vAlign w:val="bottom"/>
          </w:tcPr>
          <w:p>
            <w:pPr>
              <w:ind w:left="100"/>
              <w:spacing w:after="0"/>
              <w:rPr>
                <w:sz w:val="20"/>
                <w:szCs w:val="20"/>
                <w:color w:val="auto"/>
              </w:rPr>
            </w:pPr>
            <w:r>
              <w:rPr>
                <w:rFonts w:ascii="Arial" w:cs="Arial" w:eastAsia="Arial" w:hAnsi="Arial"/>
                <w:sz w:val="18"/>
                <w:szCs w:val="18"/>
                <w:color w:val="auto"/>
              </w:rPr>
              <w:t>Europe</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6.1</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8"/>
        </w:trPr>
        <w:tc>
          <w:tcPr>
            <w:tcW w:w="446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(83.9)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22"/>
        </w:trPr>
        <w:tc>
          <w:tcPr>
            <w:tcW w:w="4460" w:type="dxa"/>
            <w:vAlign w:val="bottom"/>
          </w:tcPr>
          <w:p>
            <w:pPr>
              <w:ind w:left="2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(92.5)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8"/>
        </w:trPr>
        <w:tc>
          <w:tcPr>
            <w:tcW w:w="446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tcPr>
          <w:p>
            <w:pPr>
              <w:ind w:left="100"/>
              <w:spacing w:after="0"/>
              <w:rPr>
                <w:sz w:val="20"/>
                <w:szCs w:val="20"/>
                <w:color w:val="auto"/>
              </w:rPr>
            </w:pPr>
            <w:r>
              <w:rPr>
                <w:rFonts w:ascii="Arial" w:cs="Arial" w:eastAsia="Arial" w:hAnsi="Arial"/>
                <w:sz w:val="18"/>
                <w:szCs w:val="18"/>
                <w:color w:val="auto"/>
              </w:rPr>
              <w:t>US</w:t>
            </w:r>
          </w:p>
        </w:tc>
        <w:tc>
          <w:tcPr>
            <w:tcW w:w="1340" w:type="dxa"/>
            <w:vAlign w:val="bottom"/>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144.3</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0"/>
        </w:trPr>
        <w:tc>
          <w:tcPr>
            <w:tcW w:w="4460" w:type="dxa"/>
            <w:vAlign w:val="bottom"/>
          </w:tcPr>
          <w:p>
            <w:pPr>
              <w:ind w:left="100"/>
              <w:spacing w:after="0" w:line="241"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34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56.0</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(15.5) %</w:t>
            </w: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22"/>
        </w:trPr>
        <w:tc>
          <w:tcPr>
            <w:tcW w:w="4460" w:type="dxa"/>
            <w:vAlign w:val="bottom"/>
          </w:tcPr>
          <w:p>
            <w:pPr>
              <w:ind w:left="2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421" w:right="20" w:hanging="421"/>
        <w:spacing w:after="0" w:line="231" w:lineRule="auto"/>
        <w:tabs>
          <w:tab w:leader="none" w:pos="421"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Constant-currency growth, a non-GAAP financial measure, measures the change in sales between current and prior-year periods using average exchange rates in effect during the applicable prior-year period.</w:t>
      </w:r>
    </w:p>
    <w:p>
      <w:pPr>
        <w:spacing w:after="0" w:line="21" w:lineRule="exact"/>
        <w:rPr>
          <w:rFonts w:ascii="Arial" w:cs="Arial" w:eastAsia="Arial" w:hAnsi="Arial"/>
          <w:sz w:val="16"/>
          <w:szCs w:val="16"/>
          <w:color w:val="auto"/>
        </w:rPr>
      </w:pPr>
    </w:p>
    <w:p>
      <w:pPr>
        <w:ind w:left="421" w:right="500" w:hanging="421"/>
        <w:spacing w:after="0" w:line="231" w:lineRule="auto"/>
        <w:tabs>
          <w:tab w:leader="none" w:pos="421" w:val="left"/>
        </w:tabs>
        <w:numPr>
          <w:ilvl w:val="0"/>
          <w:numId w:val="8"/>
        </w:numPr>
        <w:rPr>
          <w:rFonts w:ascii="Arial" w:cs="Arial" w:eastAsia="Arial" w:hAnsi="Arial"/>
          <w:sz w:val="16"/>
          <w:szCs w:val="16"/>
          <w:color w:val="auto"/>
        </w:rPr>
      </w:pPr>
      <w:r>
        <w:rPr>
          <w:rFonts w:ascii="Arial" w:cs="Arial" w:eastAsia="Arial" w:hAnsi="Arial"/>
          <w:sz w:val="16"/>
          <w:szCs w:val="16"/>
          <w:color w:val="auto"/>
        </w:rPr>
        <w:t>Europe sales include those countries in which we have a direct sales presence, whereas European countries in which we sell through distributors are included in “Rest of World.”</w:t>
      </w:r>
    </w:p>
    <w:p>
      <w:pPr>
        <w:spacing w:after="0" w:line="22" w:lineRule="exact"/>
        <w:rPr>
          <w:sz w:val="20"/>
          <w:szCs w:val="20"/>
          <w:color w:val="auto"/>
        </w:rPr>
      </w:pPr>
    </w:p>
    <w:p>
      <w:pPr>
        <w:ind w:left="1"/>
        <w:spacing w:after="0"/>
        <w:tabs>
          <w:tab w:leader="none" w:pos="401" w:val="left"/>
        </w:tabs>
        <w:rPr>
          <w:sz w:val="20"/>
          <w:szCs w:val="20"/>
          <w:color w:val="auto"/>
        </w:rPr>
      </w:pPr>
      <w:r>
        <w:rPr>
          <w:rFonts w:ascii="Arial" w:cs="Arial" w:eastAsia="Arial" w:hAnsi="Arial"/>
          <w:sz w:val="16"/>
          <w:szCs w:val="16"/>
          <w:color w:val="auto"/>
        </w:rPr>
        <w:t>NM</w:t>
        <w:tab/>
        <w:t>Indicates that variance as a percentage is not meaningful.</w:t>
      </w:r>
    </w:p>
    <w:p>
      <w:pPr>
        <w:spacing w:after="0" w:line="31" w:lineRule="exact"/>
        <w:rPr>
          <w:sz w:val="20"/>
          <w:szCs w:val="20"/>
          <w:color w:val="auto"/>
        </w:rPr>
      </w:pPr>
    </w:p>
    <w:p>
      <w:pPr>
        <w:ind w:left="421" w:hanging="421"/>
        <w:spacing w:after="0"/>
        <w:tabs>
          <w:tab w:leader="none" w:pos="42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sales results presented are unaudited.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181"/>
          </w:cols>
          <w:pgMar w:left="359" w:top="1440" w:right="35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1" w:type="dxa"/>
        <w:tblCellMar>
          <w:top w:w="0" w:type="dxa"/>
          <w:left w:w="0" w:type="dxa"/>
          <w:bottom w:w="0" w:type="dxa"/>
          <w:right w:w="0" w:type="dxa"/>
        </w:tblCellMar>
      </w:tblPr>
      <w:tr>
        <w:trPr>
          <w:trHeight w:val="228"/>
        </w:trPr>
        <w:tc>
          <w:tcPr>
            <w:tcW w:w="4460" w:type="dxa"/>
            <w:vAlign w:val="bottom"/>
          </w:tcPr>
          <w:p>
            <w:pPr>
              <w:spacing w:after="0"/>
              <w:rPr>
                <w:sz w:val="20"/>
                <w:szCs w:val="20"/>
                <w:color w:val="auto"/>
              </w:rPr>
            </w:pPr>
            <w:r>
              <w:rPr>
                <w:rFonts w:ascii="Arial" w:cs="Arial" w:eastAsia="Arial" w:hAnsi="Arial"/>
                <w:sz w:val="18"/>
                <w:szCs w:val="18"/>
                <w:b w:val="1"/>
                <w:bCs w:val="1"/>
                <w:color w:val="auto"/>
              </w:rPr>
              <w:t>LIVANOVA PLC</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6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6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3"/>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 Change at Actual</w:t>
            </w:r>
          </w:p>
        </w:tc>
        <w:tc>
          <w:tcPr>
            <w:tcW w:w="1840" w:type="dxa"/>
            <w:vAlign w:val="bottom"/>
          </w:tcPr>
          <w:p>
            <w:pPr>
              <w:jc w:val="center"/>
              <w:spacing w:after="0" w:line="168" w:lineRule="exact"/>
              <w:rPr>
                <w:sz w:val="20"/>
                <w:szCs w:val="20"/>
                <w:color w:val="auto"/>
              </w:rPr>
            </w:pPr>
            <w:r>
              <w:rPr>
                <w:rFonts w:ascii="Arial" w:cs="Arial" w:eastAsia="Arial" w:hAnsi="Arial"/>
                <w:sz w:val="18"/>
                <w:szCs w:val="18"/>
                <w:b w:val="1"/>
                <w:bCs w:val="1"/>
                <w:color w:val="auto"/>
                <w:w w:val="99"/>
              </w:rPr>
              <w:t>% Change at</w:t>
            </w:r>
          </w:p>
        </w:tc>
        <w:tc>
          <w:tcPr>
            <w:tcW w:w="0" w:type="dxa"/>
            <w:vAlign w:val="bottom"/>
          </w:tcPr>
          <w:p>
            <w:pPr>
              <w:spacing w:after="0"/>
              <w:rPr>
                <w:sz w:val="1"/>
                <w:szCs w:val="1"/>
                <w:color w:val="auto"/>
              </w:rPr>
            </w:pPr>
          </w:p>
        </w:tc>
      </w:tr>
      <w:tr>
        <w:trPr>
          <w:trHeight w:val="174"/>
        </w:trPr>
        <w:tc>
          <w:tcPr>
            <w:tcW w:w="4460" w:type="dxa"/>
            <w:vAlign w:val="bottom"/>
          </w:tcPr>
          <w:p>
            <w:pPr>
              <w:spacing w:after="0"/>
              <w:rPr>
                <w:sz w:val="15"/>
                <w:szCs w:val="15"/>
                <w:color w:val="auto"/>
              </w:rPr>
            </w:pPr>
          </w:p>
        </w:tc>
        <w:tc>
          <w:tcPr>
            <w:tcW w:w="1340" w:type="dxa"/>
            <w:vAlign w:val="bottom"/>
            <w:vMerge w:val="restart"/>
          </w:tcPr>
          <w:p>
            <w:pPr>
              <w:jc w:val="right"/>
              <w:ind w:right="39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1320" w:type="dxa"/>
            <w:vAlign w:val="bottom"/>
            <w:vMerge w:val="restart"/>
          </w:tcPr>
          <w:p>
            <w:pPr>
              <w:jc w:val="right"/>
              <w:ind w:right="37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2000" w:type="dxa"/>
            <w:vAlign w:val="bottom"/>
            <w:gridSpan w:val="3"/>
            <w:vMerge w:val="continue"/>
          </w:tcPr>
          <w:p>
            <w:pPr>
              <w:spacing w:after="0"/>
              <w:rPr>
                <w:sz w:val="15"/>
                <w:szCs w:val="15"/>
                <w:color w:val="auto"/>
              </w:rPr>
            </w:pPr>
          </w:p>
        </w:tc>
        <w:tc>
          <w:tcPr>
            <w:tcW w:w="1840" w:type="dxa"/>
            <w:vAlign w:val="bottom"/>
          </w:tcPr>
          <w:p>
            <w:pPr>
              <w:jc w:val="center"/>
              <w:spacing w:after="0" w:line="175" w:lineRule="exact"/>
              <w:rPr>
                <w:sz w:val="20"/>
                <w:szCs w:val="20"/>
                <w:color w:val="auto"/>
              </w:rPr>
            </w:pPr>
            <w:r>
              <w:rPr>
                <w:rFonts w:ascii="Arial" w:cs="Arial" w:eastAsia="Arial" w:hAnsi="Arial"/>
                <w:sz w:val="18"/>
                <w:szCs w:val="18"/>
                <w:b w:val="1"/>
                <w:bCs w:val="1"/>
                <w:color w:val="auto"/>
                <w:w w:val="99"/>
              </w:rPr>
              <w:t>Constant-Currency</w:t>
            </w:r>
          </w:p>
        </w:tc>
        <w:tc>
          <w:tcPr>
            <w:tcW w:w="0" w:type="dxa"/>
            <w:vAlign w:val="bottom"/>
          </w:tcPr>
          <w:p>
            <w:pPr>
              <w:spacing w:after="0"/>
              <w:rPr>
                <w:sz w:val="1"/>
                <w:szCs w:val="1"/>
                <w:color w:val="auto"/>
              </w:rPr>
            </w:pPr>
          </w:p>
        </w:tc>
      </w:tr>
      <w:tr>
        <w:trPr>
          <w:trHeight w:val="228"/>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Cardiopulmonary</w:t>
            </w: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Currency Rates</w:t>
            </w:r>
          </w:p>
        </w:tc>
        <w:tc>
          <w:tcPr>
            <w:tcW w:w="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18"/>
                <w:szCs w:val="18"/>
                <w:b w:val="1"/>
                <w:bCs w:val="1"/>
                <w:color w:val="auto"/>
                <w:w w:val="93"/>
              </w:rPr>
              <w:t xml:space="preserve">Rates </w:t>
            </w:r>
            <w:r>
              <w:rPr>
                <w:rFonts w:ascii="Arial" w:cs="Arial" w:eastAsia="Arial" w:hAnsi="Arial"/>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208"/>
        </w:trPr>
        <w:tc>
          <w:tcPr>
            <w:tcW w:w="446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60" w:type="dxa"/>
            <w:vAlign w:val="bottom"/>
          </w:tcPr>
          <w:p>
            <w:pPr>
              <w:ind w:left="100"/>
              <w:spacing w:after="0"/>
              <w:rPr>
                <w:sz w:val="20"/>
                <w:szCs w:val="20"/>
                <w:color w:val="auto"/>
              </w:rPr>
            </w:pPr>
            <w:r>
              <w:rPr>
                <w:rFonts w:ascii="Arial" w:cs="Arial" w:eastAsia="Arial" w:hAnsi="Arial"/>
                <w:sz w:val="18"/>
                <w:szCs w:val="18"/>
                <w:color w:val="auto"/>
              </w:rPr>
              <w:t>US</w:t>
            </w:r>
          </w:p>
        </w:tc>
        <w:tc>
          <w:tcPr>
            <w:tcW w:w="134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$73.1</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8"/>
        </w:trPr>
        <w:tc>
          <w:tcPr>
            <w:tcW w:w="4460" w:type="dxa"/>
            <w:vAlign w:val="bottom"/>
          </w:tcPr>
          <w:p>
            <w:pPr>
              <w:ind w:left="100"/>
              <w:spacing w:after="0"/>
              <w:rPr>
                <w:sz w:val="20"/>
                <w:szCs w:val="20"/>
                <w:color w:val="auto"/>
              </w:rPr>
            </w:pPr>
            <w:r>
              <w:rPr>
                <w:rFonts w:ascii="Arial" w:cs="Arial" w:eastAsia="Arial" w:hAnsi="Arial"/>
                <w:sz w:val="18"/>
                <w:szCs w:val="18"/>
                <w:color w:val="auto"/>
              </w:rPr>
              <w:t>Europe</w:t>
            </w:r>
          </w:p>
        </w:tc>
        <w:tc>
          <w:tcPr>
            <w:tcW w:w="134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65.8</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28"/>
        </w:trPr>
        <w:tc>
          <w:tcPr>
            <w:tcW w:w="446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r>
        <w:trPr>
          <w:trHeight w:val="222"/>
        </w:trPr>
        <w:tc>
          <w:tcPr>
            <w:tcW w:w="4460" w:type="dxa"/>
            <w:vAlign w:val="bottom"/>
          </w:tcPr>
          <w:p>
            <w:pPr>
              <w:ind w:left="2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18"/>
        </w:trPr>
        <w:tc>
          <w:tcPr>
            <w:tcW w:w="4460" w:type="dxa"/>
            <w:vAlign w:val="bottom"/>
          </w:tcPr>
          <w:p>
            <w:pPr>
              <w:spacing w:after="0"/>
              <w:rPr>
                <w:sz w:val="20"/>
                <w:szCs w:val="20"/>
                <w:color w:val="auto"/>
              </w:rPr>
            </w:pPr>
            <w:r>
              <w:rPr>
                <w:rFonts w:ascii="Arial" w:cs="Arial" w:eastAsia="Arial" w:hAnsi="Arial"/>
                <w:sz w:val="18"/>
                <w:szCs w:val="18"/>
                <w:b w:val="1"/>
                <w:bCs w:val="1"/>
                <w:color w:val="auto"/>
              </w:rPr>
              <w:t>Neuromodulation</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tcPr>
          <w:p>
            <w:pPr>
              <w:ind w:left="100"/>
              <w:spacing w:after="0"/>
              <w:rPr>
                <w:sz w:val="20"/>
                <w:szCs w:val="20"/>
                <w:color w:val="auto"/>
              </w:rPr>
            </w:pPr>
            <w:r>
              <w:rPr>
                <w:rFonts w:ascii="Arial" w:cs="Arial" w:eastAsia="Arial" w:hAnsi="Arial"/>
                <w:sz w:val="18"/>
                <w:szCs w:val="18"/>
                <w:color w:val="auto"/>
              </w:rPr>
              <w:t>US</w:t>
            </w:r>
          </w:p>
        </w:tc>
        <w:tc>
          <w:tcPr>
            <w:tcW w:w="1340" w:type="dxa"/>
            <w:vAlign w:val="bottom"/>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174.1</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8"/>
        </w:trPr>
        <w:tc>
          <w:tcPr>
            <w:tcW w:w="4460" w:type="dxa"/>
            <w:vAlign w:val="bottom"/>
          </w:tcPr>
          <w:p>
            <w:pPr>
              <w:ind w:left="100"/>
              <w:spacing w:after="0"/>
              <w:rPr>
                <w:sz w:val="20"/>
                <w:szCs w:val="20"/>
                <w:color w:val="auto"/>
              </w:rPr>
            </w:pPr>
            <w:r>
              <w:rPr>
                <w:rFonts w:ascii="Arial" w:cs="Arial" w:eastAsia="Arial" w:hAnsi="Arial"/>
                <w:sz w:val="18"/>
                <w:szCs w:val="18"/>
                <w:color w:val="auto"/>
              </w:rPr>
              <w:t>Europe</w:t>
            </w:r>
          </w:p>
        </w:tc>
        <w:tc>
          <w:tcPr>
            <w:tcW w:w="134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26.3</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28"/>
        </w:trPr>
        <w:tc>
          <w:tcPr>
            <w:tcW w:w="446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22"/>
        </w:trPr>
        <w:tc>
          <w:tcPr>
            <w:tcW w:w="4460" w:type="dxa"/>
            <w:vAlign w:val="bottom"/>
          </w:tcPr>
          <w:p>
            <w:pPr>
              <w:ind w:left="2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18"/>
        </w:trPr>
        <w:tc>
          <w:tcPr>
            <w:tcW w:w="4460" w:type="dxa"/>
            <w:vAlign w:val="bottom"/>
          </w:tcPr>
          <w:p>
            <w:pPr>
              <w:spacing w:after="0"/>
              <w:rPr>
                <w:sz w:val="20"/>
                <w:szCs w:val="20"/>
                <w:color w:val="auto"/>
              </w:rPr>
            </w:pPr>
            <w:r>
              <w:rPr>
                <w:rFonts w:ascii="Arial" w:cs="Arial" w:eastAsia="Arial" w:hAnsi="Arial"/>
                <w:sz w:val="18"/>
                <w:szCs w:val="18"/>
                <w:b w:val="1"/>
                <w:bCs w:val="1"/>
                <w:color w:val="auto"/>
              </w:rPr>
              <w:t>Advanced Circulatory Support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tcPr>
          <w:p>
            <w:pPr>
              <w:ind w:left="100"/>
              <w:spacing w:after="0"/>
              <w:rPr>
                <w:sz w:val="20"/>
                <w:szCs w:val="20"/>
                <w:color w:val="auto"/>
              </w:rPr>
            </w:pPr>
            <w:r>
              <w:rPr>
                <w:rFonts w:ascii="Arial" w:cs="Arial" w:eastAsia="Arial" w:hAnsi="Arial"/>
                <w:sz w:val="18"/>
                <w:szCs w:val="18"/>
                <w:color w:val="auto"/>
              </w:rPr>
              <w:t>US</w:t>
            </w:r>
          </w:p>
        </w:tc>
        <w:tc>
          <w:tcPr>
            <w:tcW w:w="13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25.5</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(22.6)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8"/>
        </w:trPr>
        <w:tc>
          <w:tcPr>
            <w:tcW w:w="4460" w:type="dxa"/>
            <w:vAlign w:val="bottom"/>
          </w:tcPr>
          <w:p>
            <w:pPr>
              <w:ind w:left="100"/>
              <w:spacing w:after="0"/>
              <w:rPr>
                <w:sz w:val="20"/>
                <w:szCs w:val="20"/>
                <w:color w:val="auto"/>
              </w:rPr>
            </w:pPr>
            <w:r>
              <w:rPr>
                <w:rFonts w:ascii="Arial" w:cs="Arial" w:eastAsia="Arial" w:hAnsi="Arial"/>
                <w:sz w:val="18"/>
                <w:szCs w:val="18"/>
                <w:color w:val="auto"/>
              </w:rPr>
              <w:t>Europe</w:t>
            </w: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000" w:type="dxa"/>
            <w:vAlign w:val="bottom"/>
            <w:gridSpan w:val="3"/>
          </w:tcPr>
          <w:p>
            <w:pPr>
              <w:ind w:left="1600"/>
              <w:spacing w:after="0"/>
              <w:rPr>
                <w:sz w:val="20"/>
                <w:szCs w:val="20"/>
                <w:color w:val="auto"/>
              </w:rPr>
            </w:pPr>
            <w:r>
              <w:rPr>
                <w:rFonts w:ascii="Arial" w:cs="Arial" w:eastAsia="Arial" w:hAnsi="Arial"/>
                <w:sz w:val="18"/>
                <w:szCs w:val="18"/>
                <w:color w:val="auto"/>
              </w:rPr>
              <w:t>NM</w:t>
            </w:r>
          </w:p>
        </w:tc>
        <w:tc>
          <w:tcPr>
            <w:tcW w:w="18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8"/>
        </w:trPr>
        <w:tc>
          <w:tcPr>
            <w:tcW w:w="446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000" w:type="dxa"/>
            <w:vAlign w:val="bottom"/>
            <w:gridSpan w:val="3"/>
          </w:tcPr>
          <w:p>
            <w:pPr>
              <w:ind w:left="1600"/>
              <w:spacing w:after="0"/>
              <w:rPr>
                <w:sz w:val="20"/>
                <w:szCs w:val="20"/>
                <w:color w:val="auto"/>
              </w:rPr>
            </w:pPr>
            <w:r>
              <w:rPr>
                <w:rFonts w:ascii="Arial" w:cs="Arial" w:eastAsia="Arial" w:hAnsi="Arial"/>
                <w:sz w:val="18"/>
                <w:szCs w:val="18"/>
                <w:color w:val="auto"/>
              </w:rPr>
              <w:t>NM</w:t>
            </w:r>
          </w:p>
        </w:tc>
        <w:tc>
          <w:tcPr>
            <w:tcW w:w="18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2"/>
        </w:trPr>
        <w:tc>
          <w:tcPr>
            <w:tcW w:w="4460" w:type="dxa"/>
            <w:vAlign w:val="bottom"/>
          </w:tcPr>
          <w:p>
            <w:pPr>
              <w:ind w:left="2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(19.9)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8"/>
        </w:trPr>
        <w:tc>
          <w:tcPr>
            <w:tcW w:w="446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60" w:type="dxa"/>
            <w:vAlign w:val="bottom"/>
          </w:tcPr>
          <w:p>
            <w:pPr>
              <w:ind w:left="100"/>
              <w:spacing w:after="0"/>
              <w:rPr>
                <w:sz w:val="20"/>
                <w:szCs w:val="20"/>
                <w:color w:val="auto"/>
              </w:rPr>
            </w:pPr>
            <w:r>
              <w:rPr>
                <w:rFonts w:ascii="Arial" w:cs="Arial" w:eastAsia="Arial" w:hAnsi="Arial"/>
                <w:sz w:val="18"/>
                <w:szCs w:val="18"/>
                <w:color w:val="auto"/>
              </w:rPr>
              <w:t>US</w:t>
            </w:r>
          </w:p>
        </w:tc>
        <w:tc>
          <w:tcPr>
            <w:tcW w:w="1440" w:type="dxa"/>
            <w:vAlign w:val="bottom"/>
            <w:gridSpan w:val="2"/>
            <w:vMerge w:val="continue"/>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4460" w:type="dxa"/>
            <w:vAlign w:val="bottom"/>
          </w:tcPr>
          <w:p>
            <w:pPr>
              <w:ind w:left="100"/>
              <w:spacing w:after="0"/>
              <w:rPr>
                <w:sz w:val="20"/>
                <w:szCs w:val="20"/>
                <w:color w:val="auto"/>
              </w:rPr>
            </w:pPr>
            <w:r>
              <w:rPr>
                <w:rFonts w:ascii="Arial" w:cs="Arial" w:eastAsia="Arial" w:hAnsi="Arial"/>
                <w:sz w:val="18"/>
                <w:szCs w:val="18"/>
                <w:color w:val="auto"/>
              </w:rPr>
              <w:t>Europe</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14.4</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8"/>
        </w:trPr>
        <w:tc>
          <w:tcPr>
            <w:tcW w:w="446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(87.2)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22"/>
        </w:trPr>
        <w:tc>
          <w:tcPr>
            <w:tcW w:w="4460" w:type="dxa"/>
            <w:vAlign w:val="bottom"/>
          </w:tcPr>
          <w:p>
            <w:pPr>
              <w:ind w:left="2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(93.7)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8"/>
        </w:trPr>
        <w:tc>
          <w:tcPr>
            <w:tcW w:w="446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tcPr>
          <w:p>
            <w:pPr>
              <w:ind w:left="100"/>
              <w:spacing w:after="0"/>
              <w:rPr>
                <w:sz w:val="20"/>
                <w:szCs w:val="20"/>
                <w:color w:val="auto"/>
              </w:rPr>
            </w:pPr>
            <w:r>
              <w:rPr>
                <w:rFonts w:ascii="Arial" w:cs="Arial" w:eastAsia="Arial" w:hAnsi="Arial"/>
                <w:sz w:val="18"/>
                <w:szCs w:val="18"/>
                <w:color w:val="auto"/>
              </w:rPr>
              <w:t>US</w:t>
            </w:r>
          </w:p>
        </w:tc>
        <w:tc>
          <w:tcPr>
            <w:tcW w:w="1340" w:type="dxa"/>
            <w:vAlign w:val="bottom"/>
          </w:tcPr>
          <w:p>
            <w:pPr>
              <w:jc w:val="right"/>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277.7</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0"/>
        </w:trPr>
        <w:tc>
          <w:tcPr>
            <w:tcW w:w="4460" w:type="dxa"/>
            <w:vAlign w:val="bottom"/>
          </w:tcPr>
          <w:p>
            <w:pPr>
              <w:ind w:left="100"/>
              <w:spacing w:after="0" w:line="241"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(2)</w:t>
            </w:r>
          </w:p>
        </w:tc>
        <w:tc>
          <w:tcPr>
            <w:tcW w:w="134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106.9</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(13.4) %</w:t>
            </w: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22"/>
        </w:trPr>
        <w:tc>
          <w:tcPr>
            <w:tcW w:w="4460" w:type="dxa"/>
            <w:vAlign w:val="bottom"/>
          </w:tcPr>
          <w:p>
            <w:pPr>
              <w:ind w:left="2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421" w:right="20" w:hanging="421"/>
        <w:spacing w:after="0" w:line="231" w:lineRule="auto"/>
        <w:tabs>
          <w:tab w:leader="none" w:pos="421"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Constant-currency growth, a non-GAAP financial measure, measures the change in sales between current and prior-year periods using average exchange rates in effect during the applicable prior-year period.</w:t>
      </w:r>
    </w:p>
    <w:p>
      <w:pPr>
        <w:spacing w:after="0" w:line="21" w:lineRule="exact"/>
        <w:rPr>
          <w:rFonts w:ascii="Arial" w:cs="Arial" w:eastAsia="Arial" w:hAnsi="Arial"/>
          <w:sz w:val="16"/>
          <w:szCs w:val="16"/>
          <w:color w:val="auto"/>
        </w:rPr>
      </w:pPr>
    </w:p>
    <w:p>
      <w:pPr>
        <w:ind w:left="421" w:right="500" w:hanging="421"/>
        <w:spacing w:after="0" w:line="231" w:lineRule="auto"/>
        <w:tabs>
          <w:tab w:leader="none" w:pos="421" w:val="left"/>
        </w:tabs>
        <w:numPr>
          <w:ilvl w:val="0"/>
          <w:numId w:val="10"/>
        </w:numPr>
        <w:rPr>
          <w:rFonts w:ascii="Arial" w:cs="Arial" w:eastAsia="Arial" w:hAnsi="Arial"/>
          <w:sz w:val="16"/>
          <w:szCs w:val="16"/>
          <w:color w:val="auto"/>
        </w:rPr>
      </w:pPr>
      <w:r>
        <w:rPr>
          <w:rFonts w:ascii="Arial" w:cs="Arial" w:eastAsia="Arial" w:hAnsi="Arial"/>
          <w:sz w:val="16"/>
          <w:szCs w:val="16"/>
          <w:color w:val="auto"/>
        </w:rPr>
        <w:t>Europe sales include those countries in which we have a direct sales presence, whereas European countries in which we sell through distributors are included in “Rest of World.”</w:t>
      </w:r>
    </w:p>
    <w:p>
      <w:pPr>
        <w:spacing w:after="0" w:line="22" w:lineRule="exact"/>
        <w:rPr>
          <w:sz w:val="20"/>
          <w:szCs w:val="20"/>
          <w:color w:val="auto"/>
        </w:rPr>
      </w:pPr>
    </w:p>
    <w:p>
      <w:pPr>
        <w:ind w:left="1"/>
        <w:spacing w:after="0"/>
        <w:tabs>
          <w:tab w:leader="none" w:pos="401" w:val="left"/>
        </w:tabs>
        <w:rPr>
          <w:sz w:val="20"/>
          <w:szCs w:val="20"/>
          <w:color w:val="auto"/>
        </w:rPr>
      </w:pPr>
      <w:r>
        <w:rPr>
          <w:rFonts w:ascii="Arial" w:cs="Arial" w:eastAsia="Arial" w:hAnsi="Arial"/>
          <w:sz w:val="16"/>
          <w:szCs w:val="16"/>
          <w:color w:val="auto"/>
        </w:rPr>
        <w:t>NM</w:t>
        <w:tab/>
        <w:t>Indicates that variance as a percentage is not meaningful.</w:t>
      </w:r>
    </w:p>
    <w:p>
      <w:pPr>
        <w:spacing w:after="0" w:line="31" w:lineRule="exact"/>
        <w:rPr>
          <w:sz w:val="20"/>
          <w:szCs w:val="20"/>
          <w:color w:val="auto"/>
        </w:rPr>
      </w:pPr>
    </w:p>
    <w:p>
      <w:pPr>
        <w:ind w:left="421" w:hanging="421"/>
        <w:spacing w:after="0"/>
        <w:tabs>
          <w:tab w:leader="none" w:pos="42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sales results presented are unaudited. Numbers may not add precisely due to rounding.</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181"/>
          </w:cols>
          <w:pgMar w:left="359" w:top="1440" w:right="359" w:bottom="1440" w:gutter="0" w:footer="0" w:header="0"/>
        </w:sectPr>
      </w:pPr>
    </w:p>
    <w:bookmarkStart w:id="12" w:name="page13"/>
    <w:bookmarkEnd w:id="12"/>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31" w:lineRule="exact"/>
        <w:rPr>
          <w:sz w:val="20"/>
          <w:szCs w:val="20"/>
          <w:color w:val="auto"/>
        </w:rPr>
      </w:pPr>
    </w:p>
    <w:p>
      <w:pPr>
        <w:ind w:right="5100"/>
        <w:spacing w:after="0" w:line="289" w:lineRule="auto"/>
        <w:rPr>
          <w:sz w:val="20"/>
          <w:szCs w:val="20"/>
          <w:color w:val="auto"/>
        </w:rPr>
      </w:pPr>
      <w:r>
        <w:rPr>
          <w:rFonts w:ascii="Arial" w:cs="Arial" w:eastAsia="Arial" w:hAnsi="Arial"/>
          <w:sz w:val="18"/>
          <w:szCs w:val="18"/>
          <w:b w:val="1"/>
          <w:bCs w:val="1"/>
          <w:color w:val="auto"/>
        </w:rPr>
        <w:t>CONDENSED CONSOLIDATED STATEMENTS OF INCOME - UNAUDITED (U.S. dollars in millions, except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3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22"/>
        </w:trPr>
        <w:tc>
          <w:tcPr>
            <w:tcW w:w="54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 Change</w:t>
            </w:r>
          </w:p>
        </w:tc>
      </w:tr>
      <w:tr>
        <w:trPr>
          <w:trHeight w:val="222"/>
        </w:trPr>
        <w:tc>
          <w:tcPr>
            <w:tcW w:w="65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680" w:type="dxa"/>
            <w:vAlign w:val="bottom"/>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$264.5</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8"/>
        </w:trPr>
        <w:tc>
          <w:tcPr>
            <w:tcW w:w="5400" w:type="dxa"/>
            <w:vAlign w:val="bottom"/>
          </w:tcPr>
          <w:p>
            <w:pPr>
              <w:spacing w:after="0"/>
              <w:rPr>
                <w:sz w:val="20"/>
                <w:szCs w:val="20"/>
                <w:color w:val="auto"/>
              </w:rPr>
            </w:pPr>
            <w:r>
              <w:rPr>
                <w:rFonts w:ascii="Arial" w:cs="Arial" w:eastAsia="Arial" w:hAnsi="Arial"/>
                <w:sz w:val="18"/>
                <w:szCs w:val="18"/>
                <w:color w:val="auto"/>
              </w:rPr>
              <w:t>Cost of sales</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r>
        <w:trPr>
          <w:trHeight w:val="222"/>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Gross profit</w:t>
            </w:r>
          </w:p>
        </w:tc>
        <w:tc>
          <w:tcPr>
            <w:tcW w:w="680" w:type="dxa"/>
            <w:vAlign w:val="bottom"/>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08"/>
        </w:trPr>
        <w:tc>
          <w:tcPr>
            <w:tcW w:w="5400" w:type="dxa"/>
            <w:vAlign w:val="bottom"/>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r>
      <w:tr>
        <w:trPr>
          <w:trHeight w:val="228"/>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8"/>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8"/>
        </w:trPr>
        <w:tc>
          <w:tcPr>
            <w:tcW w:w="5400" w:type="dxa"/>
            <w:vAlign w:val="bottom"/>
          </w:tcPr>
          <w:p>
            <w:pPr>
              <w:ind w:left="120"/>
              <w:spacing w:after="0"/>
              <w:rPr>
                <w:sz w:val="20"/>
                <w:szCs w:val="20"/>
                <w:color w:val="auto"/>
              </w:rPr>
            </w:pPr>
            <w:r>
              <w:rPr>
                <w:rFonts w:ascii="Arial" w:cs="Arial" w:eastAsia="Arial" w:hAnsi="Arial"/>
                <w:sz w:val="18"/>
                <w:szCs w:val="18"/>
                <w:color w:val="auto"/>
              </w:rPr>
              <w:t>Other operating expenses</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w:t>
            </w:r>
          </w:p>
        </w:tc>
      </w:tr>
      <w:tr>
        <w:trPr>
          <w:trHeight w:val="222"/>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8"/>
        </w:trPr>
        <w:tc>
          <w:tcPr>
            <w:tcW w:w="5400" w:type="dxa"/>
            <w:vAlign w:val="bottom"/>
          </w:tcPr>
          <w:p>
            <w:pPr>
              <w:ind w:left="120"/>
              <w:spacing w:after="0"/>
              <w:rPr>
                <w:sz w:val="20"/>
                <w:szCs w:val="20"/>
                <w:color w:val="auto"/>
              </w:rPr>
            </w:pPr>
            <w:r>
              <w:rPr>
                <w:rFonts w:ascii="Arial" w:cs="Arial" w:eastAsia="Arial" w:hAnsi="Arial"/>
                <w:sz w:val="18"/>
                <w:szCs w:val="18"/>
                <w:color w:val="auto"/>
              </w:rPr>
              <w:t>Foreign exchange and other income/(expense)</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Income (loss) before tax</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w:t>
            </w:r>
          </w:p>
        </w:tc>
      </w:tr>
      <w:tr>
        <w:trPr>
          <w:trHeight w:val="222"/>
        </w:trPr>
        <w:tc>
          <w:tcPr>
            <w:tcW w:w="540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r>
        <w:trPr>
          <w:trHeight w:val="222"/>
        </w:trPr>
        <w:tc>
          <w:tcPr>
            <w:tcW w:w="65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6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(129.1)%</w:t>
            </w:r>
          </w:p>
        </w:tc>
      </w:tr>
      <w:tr>
        <w:trPr>
          <w:trHeight w:val="20"/>
        </w:trPr>
        <w:tc>
          <w:tcPr>
            <w:tcW w:w="54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410"/>
        </w:trPr>
        <w:tc>
          <w:tcPr>
            <w:tcW w:w="6580" w:type="dxa"/>
            <w:vAlign w:val="bottom"/>
            <w:gridSpan w:val="2"/>
          </w:tcPr>
          <w:p>
            <w:pPr>
              <w:spacing w:after="0"/>
              <w:rPr>
                <w:sz w:val="20"/>
                <w:szCs w:val="20"/>
                <w:color w:val="auto"/>
              </w:rPr>
            </w:pPr>
            <w:r>
              <w:rPr>
                <w:rFonts w:ascii="Arial" w:cs="Arial" w:eastAsia="Arial" w:hAnsi="Arial"/>
                <w:sz w:val="18"/>
                <w:szCs w:val="18"/>
                <w:color w:val="auto"/>
              </w:rPr>
              <w:t>Basic income (loss)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28"/>
        </w:trPr>
        <w:tc>
          <w:tcPr>
            <w:tcW w:w="6580" w:type="dxa"/>
            <w:vAlign w:val="bottom"/>
            <w:gridSpan w:val="2"/>
          </w:tcPr>
          <w:p>
            <w:pPr>
              <w:spacing w:after="0"/>
              <w:rPr>
                <w:sz w:val="20"/>
                <w:szCs w:val="20"/>
                <w:color w:val="auto"/>
              </w:rPr>
            </w:pPr>
            <w:r>
              <w:rPr>
                <w:rFonts w:ascii="Arial" w:cs="Arial" w:eastAsia="Arial" w:hAnsi="Arial"/>
                <w:sz w:val="18"/>
                <w:szCs w:val="18"/>
                <w:color w:val="auto"/>
              </w:rPr>
              <w:t>Diluted income (loss)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43"/>
        </w:trPr>
        <w:tc>
          <w:tcPr>
            <w:tcW w:w="658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28"/>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68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8"/>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68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 Numbers may not add precisely due to rounding.</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20"/>
          </w:cols>
          <w:pgMar w:left="340" w:top="1440" w:right="339" w:bottom="1440" w:gutter="0" w:footer="0" w:header="0"/>
        </w:sectPr>
      </w:pPr>
    </w:p>
    <w:bookmarkStart w:id="13" w:name="page14"/>
    <w:bookmarkEnd w:id="13"/>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Adjusted Financial Measures (U.S. dollars in millions, except per share amounts)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43"/>
        </w:trPr>
        <w:tc>
          <w:tcPr>
            <w:tcW w:w="6020" w:type="dxa"/>
            <w:vAlign w:val="bottom"/>
          </w:tcPr>
          <w:p>
            <w:pPr>
              <w:spacing w:after="0"/>
              <w:rPr>
                <w:sz w:val="24"/>
                <w:szCs w:val="24"/>
                <w:color w:val="auto"/>
              </w:rPr>
            </w:pPr>
          </w:p>
        </w:tc>
        <w:tc>
          <w:tcPr>
            <w:tcW w:w="364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 June 30,</w:t>
            </w:r>
          </w:p>
        </w:tc>
        <w:tc>
          <w:tcPr>
            <w:tcW w:w="1560" w:type="dxa"/>
            <w:vAlign w:val="bottom"/>
          </w:tcPr>
          <w:p>
            <w:pPr>
              <w:spacing w:after="0"/>
              <w:rPr>
                <w:sz w:val="24"/>
                <w:szCs w:val="24"/>
                <w:color w:val="auto"/>
              </w:rPr>
            </w:pPr>
          </w:p>
        </w:tc>
      </w:tr>
      <w:tr>
        <w:trPr>
          <w:trHeight w:val="222"/>
        </w:trPr>
        <w:tc>
          <w:tcPr>
            <w:tcW w:w="60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ind w:right="171"/>
              <w:spacing w:after="0" w:line="222" w:lineRule="exact"/>
              <w:rPr>
                <w:sz w:val="20"/>
                <w:szCs w:val="20"/>
                <w:color w:val="auto"/>
              </w:rPr>
            </w:pPr>
            <w:r>
              <w:rPr>
                <w:rFonts w:ascii="Arial" w:cs="Arial" w:eastAsia="Arial" w:hAnsi="Arial"/>
                <w:sz w:val="18"/>
                <w:szCs w:val="18"/>
                <w:b w:val="1"/>
                <w:bCs w:val="1"/>
                <w:color w:val="auto"/>
              </w:rPr>
              <w:t xml:space="preserve">% Change </w:t>
            </w:r>
            <w:r>
              <w:rPr>
                <w:rFonts w:ascii="Arial" w:cs="Arial" w:eastAsia="Arial" w:hAnsi="Arial"/>
                <w:sz w:val="23"/>
                <w:szCs w:val="23"/>
                <w:b w:val="1"/>
                <w:bCs w:val="1"/>
                <w:color w:val="auto"/>
                <w:vertAlign w:val="superscript"/>
              </w:rPr>
              <w:t>(1)</w:t>
            </w:r>
          </w:p>
        </w:tc>
      </w:tr>
      <w:tr>
        <w:trPr>
          <w:trHeight w:val="224"/>
        </w:trPr>
        <w:tc>
          <w:tcPr>
            <w:tcW w:w="7100" w:type="dxa"/>
            <w:vAlign w:val="bottom"/>
            <w:gridSpan w:val="2"/>
          </w:tcPr>
          <w:p>
            <w:pPr>
              <w:spacing w:after="0" w:line="224" w:lineRule="exact"/>
              <w:rPr>
                <w:sz w:val="20"/>
                <w:szCs w:val="20"/>
                <w:color w:val="auto"/>
              </w:rPr>
            </w:pPr>
            <w:r>
              <w:rPr>
                <w:rFonts w:ascii="Arial" w:cs="Arial" w:eastAsia="Arial" w:hAnsi="Arial"/>
                <w:sz w:val="18"/>
                <w:szCs w:val="18"/>
                <w:color w:val="auto"/>
              </w:rPr>
              <w:t xml:space="preserve">Adjusted SG&amp;A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$101.1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8"/>
        </w:trPr>
        <w:tc>
          <w:tcPr>
            <w:tcW w:w="7100" w:type="dxa"/>
            <w:vAlign w:val="bottom"/>
            <w:gridSpan w:val="2"/>
          </w:tcPr>
          <w:p>
            <w:pPr>
              <w:spacing w:after="0" w:line="229" w:lineRule="exact"/>
              <w:rPr>
                <w:sz w:val="20"/>
                <w:szCs w:val="20"/>
                <w:color w:val="auto"/>
              </w:rPr>
            </w:pPr>
            <w:r>
              <w:rPr>
                <w:rFonts w:ascii="Arial" w:cs="Arial" w:eastAsia="Arial" w:hAnsi="Arial"/>
                <w:sz w:val="18"/>
                <w:szCs w:val="18"/>
                <w:color w:val="auto"/>
              </w:rPr>
              <w:t xml:space="preserve">Adjusted R&amp;D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8"/>
        </w:trPr>
        <w:tc>
          <w:tcPr>
            <w:tcW w:w="7100" w:type="dxa"/>
            <w:vAlign w:val="bottom"/>
            <w:gridSpan w:val="2"/>
          </w:tcPr>
          <w:p>
            <w:pPr>
              <w:spacing w:after="0" w:line="229" w:lineRule="exact"/>
              <w:rPr>
                <w:sz w:val="20"/>
                <w:szCs w:val="20"/>
                <w:color w:val="auto"/>
              </w:rPr>
            </w:pPr>
            <w:r>
              <w:rPr>
                <w:rFonts w:ascii="Arial" w:cs="Arial" w:eastAsia="Arial" w:hAnsi="Arial"/>
                <w:sz w:val="18"/>
                <w:szCs w:val="18"/>
                <w:color w:val="auto"/>
              </w:rPr>
              <w:t xml:space="preserve">Adjusted operating income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8"/>
        </w:trPr>
        <w:tc>
          <w:tcPr>
            <w:tcW w:w="7100" w:type="dxa"/>
            <w:vAlign w:val="bottom"/>
            <w:gridSpan w:val="2"/>
          </w:tcPr>
          <w:p>
            <w:pPr>
              <w:spacing w:after="0" w:line="229" w:lineRule="exact"/>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15.6 %</w:t>
            </w:r>
          </w:p>
        </w:tc>
      </w:tr>
      <w:tr>
        <w:trPr>
          <w:trHeight w:val="297"/>
        </w:trPr>
        <w:tc>
          <w:tcPr>
            <w:tcW w:w="7100" w:type="dxa"/>
            <w:vAlign w:val="bottom"/>
            <w:gridSpan w:val="2"/>
          </w:tcPr>
          <w:p>
            <w:pPr>
              <w:spacing w:after="0"/>
              <w:rPr>
                <w:sz w:val="20"/>
                <w:szCs w:val="20"/>
                <w:color w:val="auto"/>
              </w:rPr>
            </w:pPr>
            <w:r>
              <w:rPr>
                <w:rFonts w:ascii="Arial" w:cs="Arial" w:eastAsia="Arial" w:hAnsi="Arial"/>
                <w:sz w:val="18"/>
                <w:szCs w:val="18"/>
                <w:color w:val="auto"/>
              </w:rPr>
              <w:t xml:space="preserve">Adjusted diluted earnings per share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6.5 %</w:t>
            </w:r>
          </w:p>
        </w:tc>
      </w:tr>
    </w:tbl>
    <w:p>
      <w:pPr>
        <w:spacing w:after="0" w:line="52" w:lineRule="exact"/>
        <w:rPr>
          <w:sz w:val="20"/>
          <w:szCs w:val="20"/>
          <w:color w:val="auto"/>
        </w:rPr>
      </w:pPr>
    </w:p>
    <w:p>
      <w:pPr>
        <w:ind w:left="480" w:right="20" w:hanging="356"/>
        <w:spacing w:after="0" w:line="231"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20" w:type="dxa"/>
            <w:vAlign w:val="bottom"/>
          </w:tcPr>
          <w:p>
            <w:pPr>
              <w:spacing w:after="0"/>
              <w:rPr>
                <w:sz w:val="22"/>
                <w:szCs w:val="22"/>
                <w:color w:val="auto"/>
              </w:rPr>
            </w:pPr>
          </w:p>
        </w:tc>
        <w:tc>
          <w:tcPr>
            <w:tcW w:w="4440" w:type="dxa"/>
            <w:vAlign w:val="bottom"/>
            <w:gridSpan w:val="5"/>
          </w:tcPr>
          <w:p>
            <w:pPr>
              <w:ind w:left="620"/>
              <w:spacing w:after="0"/>
              <w:rPr>
                <w:sz w:val="20"/>
                <w:szCs w:val="20"/>
                <w:color w:val="auto"/>
              </w:rPr>
            </w:pPr>
            <w:r>
              <w:rPr>
                <w:rFonts w:ascii="Arial" w:cs="Arial" w:eastAsia="Arial" w:hAnsi="Arial"/>
                <w:sz w:val="18"/>
                <w:szCs w:val="18"/>
                <w:b w:val="1"/>
                <w:bCs w:val="1"/>
                <w:color w:val="auto"/>
              </w:rPr>
              <w:t>GAAP Three Months Ended June 30,</w:t>
            </w:r>
          </w:p>
        </w:tc>
        <w:tc>
          <w:tcPr>
            <w:tcW w:w="4360" w:type="dxa"/>
            <w:vAlign w:val="bottom"/>
            <w:gridSpan w:val="3"/>
          </w:tcPr>
          <w:p>
            <w:pPr>
              <w:jc w:val="right"/>
              <w:ind w:right="311"/>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Three Months Ended June 30,</w:t>
            </w:r>
          </w:p>
        </w:tc>
      </w:tr>
      <w:tr>
        <w:trPr>
          <w:trHeight w:val="222"/>
        </w:trPr>
        <w:tc>
          <w:tcPr>
            <w:tcW w:w="24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120" w:type="dxa"/>
            <w:vAlign w:val="bottom"/>
            <w:tcBorders>
              <w:top w:val="single" w:sz="8" w:color="auto"/>
              <w:bottom w:val="single" w:sz="8" w:color="auto"/>
            </w:tcBorders>
          </w:tcPr>
          <w:p>
            <w:pPr>
              <w:jc w:val="right"/>
              <w:ind w:right="77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120" w:type="dxa"/>
            <w:vAlign w:val="bottom"/>
            <w:tcBorders>
              <w:top w:val="single" w:sz="8" w:color="auto"/>
              <w:bottom w:val="single" w:sz="8" w:color="auto"/>
            </w:tcBorders>
          </w:tcPr>
          <w:p>
            <w:pPr>
              <w:jc w:val="right"/>
              <w:ind w:right="77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140" w:type="dxa"/>
            <w:vAlign w:val="bottom"/>
            <w:tcBorders>
              <w:top w:val="single" w:sz="8" w:color="auto"/>
              <w:bottom w:val="single" w:sz="8" w:color="auto"/>
            </w:tcBorders>
          </w:tcPr>
          <w:p>
            <w:pPr>
              <w:jc w:val="right"/>
              <w:ind w:right="771"/>
              <w:spacing w:after="0"/>
              <w:rPr>
                <w:sz w:val="20"/>
                <w:szCs w:val="20"/>
                <w:color w:val="auto"/>
              </w:rPr>
            </w:pPr>
            <w:r>
              <w:rPr>
                <w:rFonts w:ascii="Arial" w:cs="Arial" w:eastAsia="Arial" w:hAnsi="Arial"/>
                <w:sz w:val="18"/>
                <w:szCs w:val="18"/>
                <w:b w:val="1"/>
                <w:bCs w:val="1"/>
                <w:color w:val="auto"/>
              </w:rPr>
              <w:t>2021</w:t>
            </w:r>
          </w:p>
        </w:tc>
      </w:tr>
      <w:tr>
        <w:trPr>
          <w:trHeight w:val="222"/>
        </w:trPr>
        <w:tc>
          <w:tcPr>
            <w:tcW w:w="38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720" w:type="dxa"/>
            <w:vAlign w:val="bottom"/>
          </w:tcPr>
          <w:p>
            <w:pPr>
              <w:jc w:val="right"/>
              <w:spacing w:after="0"/>
              <w:rPr>
                <w:sz w:val="20"/>
                <w:szCs w:val="20"/>
                <w:color w:val="auto"/>
              </w:rPr>
            </w:pPr>
            <w:r>
              <w:rPr>
                <w:rFonts w:ascii="Arial" w:cs="Arial" w:eastAsia="Arial" w:hAnsi="Arial"/>
                <w:sz w:val="18"/>
                <w:szCs w:val="18"/>
                <w:color w:val="auto"/>
              </w:rPr>
              <w:t>72.5 %</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65.1 %</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69.3 %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69.2 %</w:t>
            </w:r>
          </w:p>
        </w:tc>
      </w:tr>
      <w:tr>
        <w:trPr>
          <w:trHeight w:val="228"/>
        </w:trPr>
        <w:tc>
          <w:tcPr>
            <w:tcW w:w="3800" w:type="dxa"/>
            <w:vAlign w:val="bottom"/>
            <w:gridSpan w:val="2"/>
          </w:tcPr>
          <w:p>
            <w:pPr>
              <w:spacing w:after="0"/>
              <w:rPr>
                <w:sz w:val="20"/>
                <w:szCs w:val="20"/>
                <w:color w:val="auto"/>
              </w:rPr>
            </w:pPr>
            <w:r>
              <w:rPr>
                <w:rFonts w:ascii="Arial" w:cs="Arial" w:eastAsia="Arial" w:hAnsi="Arial"/>
                <w:sz w:val="18"/>
                <w:szCs w:val="18"/>
                <w:color w:val="auto"/>
              </w:rPr>
              <w:t>SG&amp;A</w:t>
            </w:r>
          </w:p>
        </w:tc>
        <w:tc>
          <w:tcPr>
            <w:tcW w:w="720" w:type="dxa"/>
            <w:vAlign w:val="bottom"/>
          </w:tcPr>
          <w:p>
            <w:pPr>
              <w:jc w:val="right"/>
              <w:spacing w:after="0"/>
              <w:rPr>
                <w:sz w:val="20"/>
                <w:szCs w:val="20"/>
                <w:color w:val="auto"/>
              </w:rPr>
            </w:pPr>
            <w:r>
              <w:rPr>
                <w:rFonts w:ascii="Arial" w:cs="Arial" w:eastAsia="Arial" w:hAnsi="Arial"/>
                <w:sz w:val="18"/>
                <w:szCs w:val="18"/>
                <w:color w:val="auto"/>
              </w:rPr>
              <w:t>45.8 %</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46.4 %</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39.8 %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38.4 %</w:t>
            </w:r>
          </w:p>
        </w:tc>
      </w:tr>
      <w:tr>
        <w:trPr>
          <w:trHeight w:val="228"/>
        </w:trPr>
        <w:tc>
          <w:tcPr>
            <w:tcW w:w="3800" w:type="dxa"/>
            <w:vAlign w:val="bottom"/>
            <w:gridSpan w:val="2"/>
          </w:tcPr>
          <w:p>
            <w:pPr>
              <w:spacing w:after="0"/>
              <w:rPr>
                <w:sz w:val="20"/>
                <w:szCs w:val="20"/>
                <w:color w:val="auto"/>
              </w:rPr>
            </w:pPr>
            <w:r>
              <w:rPr>
                <w:rFonts w:ascii="Arial" w:cs="Arial" w:eastAsia="Arial" w:hAnsi="Arial"/>
                <w:sz w:val="18"/>
                <w:szCs w:val="18"/>
                <w:color w:val="auto"/>
              </w:rPr>
              <w:t>R&amp;D</w:t>
            </w:r>
          </w:p>
        </w:tc>
        <w:tc>
          <w:tcPr>
            <w:tcW w:w="720" w:type="dxa"/>
            <w:vAlign w:val="bottom"/>
          </w:tcPr>
          <w:p>
            <w:pPr>
              <w:jc w:val="right"/>
              <w:spacing w:after="0"/>
              <w:rPr>
                <w:sz w:val="20"/>
                <w:szCs w:val="20"/>
                <w:color w:val="auto"/>
              </w:rPr>
            </w:pPr>
            <w:r>
              <w:rPr>
                <w:rFonts w:ascii="Arial" w:cs="Arial" w:eastAsia="Arial" w:hAnsi="Arial"/>
                <w:sz w:val="18"/>
                <w:szCs w:val="18"/>
                <w:color w:val="auto"/>
              </w:rPr>
              <w:t>13.5 %</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19.9 %</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16.4 %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16.5 %</w:t>
            </w:r>
          </w:p>
        </w:tc>
      </w:tr>
      <w:tr>
        <w:trPr>
          <w:trHeight w:val="228"/>
        </w:trPr>
        <w:tc>
          <w:tcPr>
            <w:tcW w:w="38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720" w:type="dxa"/>
            <w:vAlign w:val="bottom"/>
          </w:tcPr>
          <w:p>
            <w:pPr>
              <w:jc w:val="right"/>
              <w:spacing w:after="0"/>
              <w:rPr>
                <w:sz w:val="20"/>
                <w:szCs w:val="20"/>
                <w:color w:val="auto"/>
              </w:rPr>
            </w:pPr>
            <w:r>
              <w:rPr>
                <w:rFonts w:ascii="Arial" w:cs="Arial" w:eastAsia="Arial" w:hAnsi="Arial"/>
                <w:sz w:val="18"/>
                <w:szCs w:val="18"/>
                <w:color w:val="auto"/>
              </w:rPr>
              <w:t>12.5 %</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13.1 %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14.3 %</w:t>
            </w:r>
          </w:p>
        </w:tc>
      </w:tr>
      <w:tr>
        <w:trPr>
          <w:trHeight w:val="228"/>
        </w:trPr>
        <w:tc>
          <w:tcPr>
            <w:tcW w:w="38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720" w:type="dxa"/>
            <w:vAlign w:val="bottom"/>
          </w:tcPr>
          <w:p>
            <w:pPr>
              <w:jc w:val="right"/>
              <w:spacing w:after="0"/>
              <w:rPr>
                <w:sz w:val="20"/>
                <w:szCs w:val="20"/>
                <w:color w:val="auto"/>
              </w:rPr>
            </w:pPr>
            <w:r>
              <w:rPr>
                <w:rFonts w:ascii="Arial" w:cs="Arial" w:eastAsia="Arial" w:hAnsi="Arial"/>
                <w:sz w:val="18"/>
                <w:szCs w:val="18"/>
                <w:color w:val="auto"/>
              </w:rPr>
              <w:t>6.5 %</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9.3 %</w:t>
            </w:r>
          </w:p>
        </w:tc>
      </w:tr>
      <w:tr>
        <w:trPr>
          <w:trHeight w:val="228"/>
        </w:trPr>
        <w:tc>
          <w:tcPr>
            <w:tcW w:w="3800" w:type="dxa"/>
            <w:vAlign w:val="bottom"/>
            <w:gridSpan w:val="2"/>
          </w:tcPr>
          <w:p>
            <w:pPr>
              <w:spacing w:after="0"/>
              <w:rPr>
                <w:sz w:val="20"/>
                <w:szCs w:val="20"/>
                <w:color w:val="auto"/>
              </w:rPr>
            </w:pPr>
            <w:r>
              <w:rPr>
                <w:rFonts w:ascii="Arial" w:cs="Arial" w:eastAsia="Arial" w:hAnsi="Arial"/>
                <w:sz w:val="18"/>
                <w:szCs w:val="18"/>
                <w:color w:val="auto"/>
              </w:rPr>
              <w:t>Income tax rate</w:t>
            </w:r>
          </w:p>
        </w:tc>
        <w:tc>
          <w:tcPr>
            <w:tcW w:w="720" w:type="dxa"/>
            <w:vAlign w:val="bottom"/>
          </w:tcPr>
          <w:p>
            <w:pPr>
              <w:jc w:val="right"/>
              <w:spacing w:after="0"/>
              <w:rPr>
                <w:sz w:val="20"/>
                <w:szCs w:val="20"/>
                <w:color w:val="auto"/>
              </w:rPr>
            </w:pPr>
            <w:r>
              <w:rPr>
                <w:rFonts w:ascii="Arial" w:cs="Arial" w:eastAsia="Arial" w:hAnsi="Arial"/>
                <w:sz w:val="18"/>
                <w:szCs w:val="18"/>
                <w:color w:val="auto"/>
              </w:rPr>
              <w:t>13.2 %</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14.1 %</w:t>
            </w:r>
          </w:p>
        </w:tc>
      </w:tr>
    </w:tbl>
    <w:p>
      <w:pPr>
        <w:spacing w:after="0" w:line="122" w:lineRule="exact"/>
        <w:rPr>
          <w:sz w:val="20"/>
          <w:szCs w:val="20"/>
          <w:color w:val="auto"/>
        </w:rPr>
      </w:pPr>
    </w:p>
    <w:p>
      <w:pPr>
        <w:ind w:left="440" w:right="20" w:hanging="330"/>
        <w:spacing w:after="0" w:line="231" w:lineRule="auto"/>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20"/>
          </w:cols>
          <w:pgMar w:left="340" w:top="1440" w:right="339" w:bottom="1440" w:gutter="0" w:footer="0" w:header="0"/>
          <w:type w:val="continuous"/>
        </w:sectPr>
      </w:pPr>
    </w:p>
    <w:bookmarkStart w:id="14" w:name="page15"/>
    <w:bookmarkEnd w:id="14"/>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31" w:lineRule="exact"/>
        <w:rPr>
          <w:sz w:val="20"/>
          <w:szCs w:val="20"/>
          <w:color w:val="auto"/>
        </w:rPr>
      </w:pPr>
    </w:p>
    <w:p>
      <w:pPr>
        <w:ind w:right="5100"/>
        <w:spacing w:after="0" w:line="289" w:lineRule="auto"/>
        <w:rPr>
          <w:sz w:val="20"/>
          <w:szCs w:val="20"/>
          <w:color w:val="auto"/>
        </w:rPr>
      </w:pPr>
      <w:r>
        <w:rPr>
          <w:rFonts w:ascii="Arial" w:cs="Arial" w:eastAsia="Arial" w:hAnsi="Arial"/>
          <w:sz w:val="18"/>
          <w:szCs w:val="18"/>
          <w:b w:val="1"/>
          <w:bCs w:val="1"/>
          <w:color w:val="auto"/>
        </w:rPr>
        <w:t>CONDENSED CONSOLIDATED STATEMENTS OF INCOME - UNAUDITED (U.S. dollars in millions, except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3140" w:type="dxa"/>
            <w:vAlign w:val="bottom"/>
            <w:tcBorders>
              <w:bottom w:val="single" w:sz="8" w:color="auto"/>
            </w:tcBorders>
            <w:gridSpan w:val="4"/>
          </w:tcPr>
          <w:p>
            <w:pPr>
              <w:ind w:left="760"/>
              <w:spacing w:after="0"/>
              <w:rPr>
                <w:sz w:val="20"/>
                <w:szCs w:val="20"/>
                <w:color w:val="auto"/>
              </w:rPr>
            </w:pPr>
            <w:r>
              <w:rPr>
                <w:rFonts w:ascii="Arial" w:cs="Arial" w:eastAsia="Arial" w:hAnsi="Arial"/>
                <w:sz w:val="18"/>
                <w:szCs w:val="18"/>
                <w:b w:val="1"/>
                <w:bCs w:val="1"/>
                <w:color w:val="auto"/>
              </w:rPr>
              <w:t>Six Months Ended June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22"/>
        </w:trPr>
        <w:tc>
          <w:tcPr>
            <w:tcW w:w="5400" w:type="dxa"/>
            <w:vAlign w:val="bottom"/>
          </w:tcPr>
          <w:p>
            <w:pPr>
              <w:spacing w:after="0"/>
              <w:rPr>
                <w:sz w:val="19"/>
                <w:szCs w:val="19"/>
                <w:color w:val="auto"/>
              </w:rPr>
            </w:pPr>
          </w:p>
        </w:tc>
        <w:tc>
          <w:tcPr>
            <w:tcW w:w="118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 Change</w:t>
            </w:r>
          </w:p>
        </w:tc>
      </w:tr>
      <w:tr>
        <w:trPr>
          <w:trHeight w:val="222"/>
        </w:trPr>
        <w:tc>
          <w:tcPr>
            <w:tcW w:w="65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680" w:type="dxa"/>
            <w:vAlign w:val="bottom"/>
          </w:tcPr>
          <w:p>
            <w:pPr>
              <w:jc w:val="right"/>
              <w:spacing w:after="0"/>
              <w:rPr>
                <w:sz w:val="20"/>
                <w:szCs w:val="20"/>
                <w:color w:val="auto"/>
              </w:rPr>
            </w:pPr>
            <w:r>
              <w:rPr>
                <w:rFonts w:ascii="Arial" w:cs="Arial" w:eastAsia="Arial" w:hAnsi="Arial"/>
                <w:sz w:val="18"/>
                <w:szCs w:val="18"/>
                <w:color w:val="auto"/>
              </w:rPr>
              <w:t>$494.3</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$512.1</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8"/>
        </w:trPr>
        <w:tc>
          <w:tcPr>
            <w:tcW w:w="5400" w:type="dxa"/>
            <w:vAlign w:val="bottom"/>
          </w:tcPr>
          <w:p>
            <w:pPr>
              <w:spacing w:after="0"/>
              <w:rPr>
                <w:sz w:val="20"/>
                <w:szCs w:val="20"/>
                <w:color w:val="auto"/>
              </w:rPr>
            </w:pPr>
            <w:r>
              <w:rPr>
                <w:rFonts w:ascii="Arial" w:cs="Arial" w:eastAsia="Arial" w:hAnsi="Arial"/>
                <w:sz w:val="18"/>
                <w:szCs w:val="18"/>
                <w:color w:val="auto"/>
              </w:rPr>
              <w:t>Cost of sales</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r>
        <w:trPr>
          <w:trHeight w:val="222"/>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Gross profit</w:t>
            </w:r>
          </w:p>
        </w:tc>
        <w:tc>
          <w:tcPr>
            <w:tcW w:w="680" w:type="dxa"/>
            <w:vAlign w:val="bottom"/>
          </w:tcPr>
          <w:p>
            <w:pPr>
              <w:jc w:val="right"/>
              <w:spacing w:after="0"/>
              <w:rPr>
                <w:sz w:val="20"/>
                <w:szCs w:val="20"/>
                <w:color w:val="auto"/>
              </w:rPr>
            </w:pPr>
            <w:r>
              <w:rPr>
                <w:rFonts w:ascii="Arial" w:cs="Arial" w:eastAsia="Arial" w:hAnsi="Arial"/>
                <w:sz w:val="18"/>
                <w:szCs w:val="18"/>
                <w:color w:val="auto"/>
              </w:rPr>
              <w:t>352.8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08"/>
        </w:trPr>
        <w:tc>
          <w:tcPr>
            <w:tcW w:w="5400" w:type="dxa"/>
            <w:vAlign w:val="bottom"/>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r>
      <w:tr>
        <w:trPr>
          <w:trHeight w:val="228"/>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8"/>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8"/>
        </w:trPr>
        <w:tc>
          <w:tcPr>
            <w:tcW w:w="5400" w:type="dxa"/>
            <w:vAlign w:val="bottom"/>
          </w:tcPr>
          <w:p>
            <w:pPr>
              <w:ind w:left="120"/>
              <w:spacing w:after="0"/>
              <w:rPr>
                <w:sz w:val="20"/>
                <w:szCs w:val="20"/>
                <w:color w:val="auto"/>
              </w:rPr>
            </w:pPr>
            <w:r>
              <w:rPr>
                <w:rFonts w:ascii="Arial" w:cs="Arial" w:eastAsia="Arial" w:hAnsi="Arial"/>
                <w:sz w:val="18"/>
                <w:szCs w:val="18"/>
                <w:color w:val="auto"/>
              </w:rPr>
              <w:t>Other operating expenses</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w:t>
            </w:r>
          </w:p>
        </w:tc>
      </w:tr>
      <w:tr>
        <w:trPr>
          <w:trHeight w:val="222"/>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8"/>
        </w:trPr>
        <w:tc>
          <w:tcPr>
            <w:tcW w:w="5400" w:type="dxa"/>
            <w:vAlign w:val="bottom"/>
          </w:tcPr>
          <w:p>
            <w:pPr>
              <w:ind w:left="120"/>
              <w:spacing w:after="0"/>
              <w:rPr>
                <w:sz w:val="20"/>
                <w:szCs w:val="20"/>
                <w:color w:val="auto"/>
              </w:rPr>
            </w:pPr>
            <w:r>
              <w:rPr>
                <w:rFonts w:ascii="Arial" w:cs="Arial" w:eastAsia="Arial" w:hAnsi="Arial"/>
                <w:sz w:val="18"/>
                <w:szCs w:val="18"/>
                <w:color w:val="auto"/>
              </w:rPr>
              <w:t>Foreign exchange and other income/(expense)</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Income (loss) before tax</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w:t>
            </w:r>
          </w:p>
        </w:tc>
      </w:tr>
      <w:tr>
        <w:trPr>
          <w:trHeight w:val="222"/>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Income tax 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8"/>
        </w:trPr>
        <w:tc>
          <w:tcPr>
            <w:tcW w:w="5400" w:type="dxa"/>
            <w:vAlign w:val="bottom"/>
          </w:tcPr>
          <w:p>
            <w:pPr>
              <w:ind w:left="120"/>
              <w:spacing w:after="0"/>
              <w:rPr>
                <w:sz w:val="20"/>
                <w:szCs w:val="20"/>
                <w:color w:val="auto"/>
              </w:rPr>
            </w:pPr>
            <w:r>
              <w:rPr>
                <w:rFonts w:ascii="Arial" w:cs="Arial" w:eastAsia="Arial" w:hAnsi="Arial"/>
                <w:sz w:val="18"/>
                <w:szCs w:val="18"/>
                <w:color w:val="auto"/>
              </w:rPr>
              <w:t>Losses from equity method investments</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r>
      <w:tr>
        <w:trPr>
          <w:trHeight w:val="222"/>
        </w:trPr>
        <w:tc>
          <w:tcPr>
            <w:tcW w:w="65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6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(122.3)%</w:t>
            </w:r>
          </w:p>
        </w:tc>
      </w:tr>
      <w:tr>
        <w:trPr>
          <w:trHeight w:val="20"/>
        </w:trPr>
        <w:tc>
          <w:tcPr>
            <w:tcW w:w="54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410"/>
        </w:trPr>
        <w:tc>
          <w:tcPr>
            <w:tcW w:w="6580" w:type="dxa"/>
            <w:vAlign w:val="bottom"/>
            <w:gridSpan w:val="2"/>
          </w:tcPr>
          <w:p>
            <w:pPr>
              <w:spacing w:after="0"/>
              <w:rPr>
                <w:sz w:val="20"/>
                <w:szCs w:val="20"/>
                <w:color w:val="auto"/>
              </w:rPr>
            </w:pPr>
            <w:r>
              <w:rPr>
                <w:rFonts w:ascii="Arial" w:cs="Arial" w:eastAsia="Arial" w:hAnsi="Arial"/>
                <w:sz w:val="18"/>
                <w:szCs w:val="18"/>
                <w:color w:val="auto"/>
              </w:rPr>
              <w:t>Basic income (loss)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28"/>
        </w:trPr>
        <w:tc>
          <w:tcPr>
            <w:tcW w:w="6580" w:type="dxa"/>
            <w:vAlign w:val="bottom"/>
            <w:gridSpan w:val="2"/>
          </w:tcPr>
          <w:p>
            <w:pPr>
              <w:spacing w:after="0"/>
              <w:rPr>
                <w:sz w:val="20"/>
                <w:szCs w:val="20"/>
                <w:color w:val="auto"/>
              </w:rPr>
            </w:pPr>
            <w:r>
              <w:rPr>
                <w:rFonts w:ascii="Arial" w:cs="Arial" w:eastAsia="Arial" w:hAnsi="Arial"/>
                <w:sz w:val="18"/>
                <w:szCs w:val="18"/>
                <w:color w:val="auto"/>
              </w:rPr>
              <w:t>Diluted income (loss)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43"/>
        </w:trPr>
        <w:tc>
          <w:tcPr>
            <w:tcW w:w="658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28"/>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68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8"/>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68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20"/>
          </w:cols>
          <w:pgMar w:left="340" w:top="1440" w:right="339" w:bottom="1440" w:gutter="0" w:footer="0" w:header="0"/>
        </w:sectPr>
      </w:pPr>
    </w:p>
    <w:bookmarkStart w:id="15" w:name="page16"/>
    <w:bookmarkEnd w:id="15"/>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Adjusted Financial Measures (U.S. dollars in millions, except per share amounts)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43"/>
        </w:trPr>
        <w:tc>
          <w:tcPr>
            <w:tcW w:w="6020" w:type="dxa"/>
            <w:vAlign w:val="bottom"/>
          </w:tcPr>
          <w:p>
            <w:pPr>
              <w:spacing w:after="0"/>
              <w:rPr>
                <w:sz w:val="24"/>
                <w:szCs w:val="24"/>
                <w:color w:val="auto"/>
              </w:rPr>
            </w:pPr>
          </w:p>
        </w:tc>
        <w:tc>
          <w:tcPr>
            <w:tcW w:w="3640" w:type="dxa"/>
            <w:vAlign w:val="bottom"/>
            <w:gridSpan w:val="5"/>
          </w:tcPr>
          <w:p>
            <w:pPr>
              <w:ind w:left="600"/>
              <w:spacing w:after="0"/>
              <w:rPr>
                <w:sz w:val="20"/>
                <w:szCs w:val="20"/>
                <w:color w:val="auto"/>
              </w:rPr>
            </w:pPr>
            <w:r>
              <w:rPr>
                <w:rFonts w:ascii="Arial" w:cs="Arial" w:eastAsia="Arial" w:hAnsi="Arial"/>
                <w:sz w:val="18"/>
                <w:szCs w:val="18"/>
                <w:b w:val="1"/>
                <w:bCs w:val="1"/>
                <w:color w:val="auto"/>
              </w:rPr>
              <w:t>Six Months Ended June 30,</w:t>
            </w:r>
          </w:p>
        </w:tc>
        <w:tc>
          <w:tcPr>
            <w:tcW w:w="1560" w:type="dxa"/>
            <w:vAlign w:val="bottom"/>
          </w:tcPr>
          <w:p>
            <w:pPr>
              <w:spacing w:after="0"/>
              <w:rPr>
                <w:sz w:val="24"/>
                <w:szCs w:val="24"/>
                <w:color w:val="auto"/>
              </w:rPr>
            </w:pPr>
          </w:p>
        </w:tc>
      </w:tr>
      <w:tr>
        <w:trPr>
          <w:trHeight w:val="222"/>
        </w:trPr>
        <w:tc>
          <w:tcPr>
            <w:tcW w:w="60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ind w:right="171"/>
              <w:spacing w:after="0" w:line="222" w:lineRule="exact"/>
              <w:rPr>
                <w:sz w:val="20"/>
                <w:szCs w:val="20"/>
                <w:color w:val="auto"/>
              </w:rPr>
            </w:pPr>
            <w:r>
              <w:rPr>
                <w:rFonts w:ascii="Arial" w:cs="Arial" w:eastAsia="Arial" w:hAnsi="Arial"/>
                <w:sz w:val="18"/>
                <w:szCs w:val="18"/>
                <w:b w:val="1"/>
                <w:bCs w:val="1"/>
                <w:color w:val="auto"/>
              </w:rPr>
              <w:t xml:space="preserve">% Change </w:t>
            </w:r>
            <w:r>
              <w:rPr>
                <w:rFonts w:ascii="Arial" w:cs="Arial" w:eastAsia="Arial" w:hAnsi="Arial"/>
                <w:sz w:val="23"/>
                <w:szCs w:val="23"/>
                <w:b w:val="1"/>
                <w:bCs w:val="1"/>
                <w:color w:val="auto"/>
                <w:vertAlign w:val="superscript"/>
              </w:rPr>
              <w:t>(1)</w:t>
            </w:r>
          </w:p>
        </w:tc>
      </w:tr>
      <w:tr>
        <w:trPr>
          <w:trHeight w:val="224"/>
        </w:trPr>
        <w:tc>
          <w:tcPr>
            <w:tcW w:w="7100" w:type="dxa"/>
            <w:vAlign w:val="bottom"/>
            <w:gridSpan w:val="2"/>
          </w:tcPr>
          <w:p>
            <w:pPr>
              <w:spacing w:after="0" w:line="224" w:lineRule="exact"/>
              <w:rPr>
                <w:sz w:val="20"/>
                <w:szCs w:val="20"/>
                <w:color w:val="auto"/>
              </w:rPr>
            </w:pPr>
            <w:r>
              <w:rPr>
                <w:rFonts w:ascii="Arial" w:cs="Arial" w:eastAsia="Arial" w:hAnsi="Arial"/>
                <w:sz w:val="18"/>
                <w:szCs w:val="18"/>
                <w:color w:val="auto"/>
              </w:rPr>
              <w:t xml:space="preserve">Adjusted SG&amp;A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$203.0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$197.8</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28"/>
        </w:trPr>
        <w:tc>
          <w:tcPr>
            <w:tcW w:w="7100" w:type="dxa"/>
            <w:vAlign w:val="bottom"/>
            <w:gridSpan w:val="2"/>
          </w:tcPr>
          <w:p>
            <w:pPr>
              <w:spacing w:after="0" w:line="229" w:lineRule="exact"/>
              <w:rPr>
                <w:sz w:val="20"/>
                <w:szCs w:val="20"/>
                <w:color w:val="auto"/>
              </w:rPr>
            </w:pPr>
            <w:r>
              <w:rPr>
                <w:rFonts w:ascii="Arial" w:cs="Arial" w:eastAsia="Arial" w:hAnsi="Arial"/>
                <w:sz w:val="18"/>
                <w:szCs w:val="18"/>
                <w:color w:val="auto"/>
              </w:rPr>
              <w:t xml:space="preserve">Adjusted R&amp;D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8"/>
        </w:trPr>
        <w:tc>
          <w:tcPr>
            <w:tcW w:w="7100" w:type="dxa"/>
            <w:vAlign w:val="bottom"/>
            <w:gridSpan w:val="2"/>
          </w:tcPr>
          <w:p>
            <w:pPr>
              <w:spacing w:after="0" w:line="229" w:lineRule="exact"/>
              <w:rPr>
                <w:sz w:val="20"/>
                <w:szCs w:val="20"/>
                <w:color w:val="auto"/>
              </w:rPr>
            </w:pPr>
            <w:r>
              <w:rPr>
                <w:rFonts w:ascii="Arial" w:cs="Arial" w:eastAsia="Arial" w:hAnsi="Arial"/>
                <w:sz w:val="18"/>
                <w:szCs w:val="18"/>
                <w:color w:val="auto"/>
              </w:rPr>
              <w:t xml:space="preserve">Adjusted operating income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8"/>
        </w:trPr>
        <w:tc>
          <w:tcPr>
            <w:tcW w:w="7100" w:type="dxa"/>
            <w:vAlign w:val="bottom"/>
            <w:gridSpan w:val="2"/>
          </w:tcPr>
          <w:p>
            <w:pPr>
              <w:spacing w:after="0" w:line="229" w:lineRule="exact"/>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32.1 %</w:t>
            </w:r>
          </w:p>
        </w:tc>
      </w:tr>
      <w:tr>
        <w:trPr>
          <w:trHeight w:val="297"/>
        </w:trPr>
        <w:tc>
          <w:tcPr>
            <w:tcW w:w="7100" w:type="dxa"/>
            <w:vAlign w:val="bottom"/>
            <w:gridSpan w:val="2"/>
          </w:tcPr>
          <w:p>
            <w:pPr>
              <w:spacing w:after="0"/>
              <w:rPr>
                <w:sz w:val="20"/>
                <w:szCs w:val="20"/>
                <w:color w:val="auto"/>
              </w:rPr>
            </w:pPr>
            <w:r>
              <w:rPr>
                <w:rFonts w:ascii="Arial" w:cs="Arial" w:eastAsia="Arial" w:hAnsi="Arial"/>
                <w:sz w:val="18"/>
                <w:szCs w:val="18"/>
                <w:color w:val="auto"/>
              </w:rPr>
              <w:t xml:space="preserve">Adjusted diluted earnings per share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21.2 %</w:t>
            </w:r>
          </w:p>
        </w:tc>
      </w:tr>
    </w:tbl>
    <w:p>
      <w:pPr>
        <w:spacing w:after="0" w:line="52" w:lineRule="exact"/>
        <w:rPr>
          <w:sz w:val="20"/>
          <w:szCs w:val="20"/>
          <w:color w:val="auto"/>
        </w:rPr>
      </w:pPr>
    </w:p>
    <w:p>
      <w:pPr>
        <w:ind w:left="480" w:right="20" w:hanging="356"/>
        <w:spacing w:after="0" w:line="231" w:lineRule="auto"/>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20" w:type="dxa"/>
            <w:vAlign w:val="bottom"/>
          </w:tcPr>
          <w:p>
            <w:pPr>
              <w:spacing w:after="0"/>
              <w:rPr>
                <w:sz w:val="22"/>
                <w:szCs w:val="22"/>
                <w:color w:val="auto"/>
              </w:rPr>
            </w:pPr>
          </w:p>
        </w:tc>
        <w:tc>
          <w:tcPr>
            <w:tcW w:w="3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GAAP Six Months Ended June 30,</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Six Months Ended June 30,</w:t>
            </w:r>
          </w:p>
        </w:tc>
      </w:tr>
      <w:tr>
        <w:trPr>
          <w:trHeight w:val="222"/>
        </w:trPr>
        <w:tc>
          <w:tcPr>
            <w:tcW w:w="2420" w:type="dxa"/>
            <w:vAlign w:val="bottom"/>
          </w:tcPr>
          <w:p>
            <w:pPr>
              <w:spacing w:after="0"/>
              <w:rPr>
                <w:sz w:val="19"/>
                <w:szCs w:val="19"/>
                <w:color w:val="auto"/>
              </w:rPr>
            </w:pPr>
          </w:p>
        </w:tc>
        <w:tc>
          <w:tcPr>
            <w:tcW w:w="13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14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b w:val="1"/>
                <w:bCs w:val="1"/>
                <w:color w:val="auto"/>
              </w:rPr>
              <w:t>2021</w:t>
            </w:r>
          </w:p>
        </w:tc>
      </w:tr>
      <w:tr>
        <w:trPr>
          <w:trHeight w:val="222"/>
        </w:trPr>
        <w:tc>
          <w:tcPr>
            <w:tcW w:w="38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720" w:type="dxa"/>
            <w:vAlign w:val="bottom"/>
          </w:tcPr>
          <w:p>
            <w:pPr>
              <w:jc w:val="right"/>
              <w:spacing w:after="0"/>
              <w:rPr>
                <w:sz w:val="20"/>
                <w:szCs w:val="20"/>
                <w:color w:val="auto"/>
              </w:rPr>
            </w:pPr>
            <w:r>
              <w:rPr>
                <w:rFonts w:ascii="Arial" w:cs="Arial" w:eastAsia="Arial" w:hAnsi="Arial"/>
                <w:sz w:val="18"/>
                <w:szCs w:val="18"/>
                <w:color w:val="auto"/>
              </w:rPr>
              <w:t>71.4 %</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65.6 %</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70.1 %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68.6 %</w:t>
            </w:r>
          </w:p>
        </w:tc>
      </w:tr>
      <w:tr>
        <w:trPr>
          <w:trHeight w:val="228"/>
        </w:trPr>
        <w:tc>
          <w:tcPr>
            <w:tcW w:w="3800" w:type="dxa"/>
            <w:vAlign w:val="bottom"/>
            <w:gridSpan w:val="2"/>
          </w:tcPr>
          <w:p>
            <w:pPr>
              <w:spacing w:after="0"/>
              <w:rPr>
                <w:sz w:val="20"/>
                <w:szCs w:val="20"/>
                <w:color w:val="auto"/>
              </w:rPr>
            </w:pPr>
            <w:r>
              <w:rPr>
                <w:rFonts w:ascii="Arial" w:cs="Arial" w:eastAsia="Arial" w:hAnsi="Arial"/>
                <w:sz w:val="18"/>
                <w:szCs w:val="18"/>
                <w:color w:val="auto"/>
              </w:rPr>
              <w:t>SG&amp;A</w:t>
            </w:r>
          </w:p>
        </w:tc>
        <w:tc>
          <w:tcPr>
            <w:tcW w:w="720" w:type="dxa"/>
            <w:vAlign w:val="bottom"/>
          </w:tcPr>
          <w:p>
            <w:pPr>
              <w:jc w:val="right"/>
              <w:spacing w:after="0"/>
              <w:rPr>
                <w:sz w:val="20"/>
                <w:szCs w:val="20"/>
                <w:color w:val="auto"/>
              </w:rPr>
            </w:pPr>
            <w:r>
              <w:rPr>
                <w:rFonts w:ascii="Arial" w:cs="Arial" w:eastAsia="Arial" w:hAnsi="Arial"/>
                <w:sz w:val="18"/>
                <w:szCs w:val="18"/>
                <w:color w:val="auto"/>
              </w:rPr>
              <w:t>47.5 %</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46.6 %</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41.1 %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38.6 %</w:t>
            </w:r>
          </w:p>
        </w:tc>
      </w:tr>
      <w:tr>
        <w:trPr>
          <w:trHeight w:val="228"/>
        </w:trPr>
        <w:tc>
          <w:tcPr>
            <w:tcW w:w="3800" w:type="dxa"/>
            <w:vAlign w:val="bottom"/>
            <w:gridSpan w:val="2"/>
          </w:tcPr>
          <w:p>
            <w:pPr>
              <w:spacing w:after="0"/>
              <w:rPr>
                <w:sz w:val="20"/>
                <w:szCs w:val="20"/>
                <w:color w:val="auto"/>
              </w:rPr>
            </w:pPr>
            <w:r>
              <w:rPr>
                <w:rFonts w:ascii="Arial" w:cs="Arial" w:eastAsia="Arial" w:hAnsi="Arial"/>
                <w:sz w:val="18"/>
                <w:szCs w:val="18"/>
                <w:color w:val="auto"/>
              </w:rPr>
              <w:t>R&amp;D</w:t>
            </w:r>
          </w:p>
        </w:tc>
        <w:tc>
          <w:tcPr>
            <w:tcW w:w="720" w:type="dxa"/>
            <w:vAlign w:val="bottom"/>
          </w:tcPr>
          <w:p>
            <w:pPr>
              <w:jc w:val="right"/>
              <w:spacing w:after="0"/>
              <w:rPr>
                <w:sz w:val="20"/>
                <w:szCs w:val="20"/>
                <w:color w:val="auto"/>
              </w:rPr>
            </w:pPr>
            <w:r>
              <w:rPr>
                <w:rFonts w:ascii="Arial" w:cs="Arial" w:eastAsia="Arial" w:hAnsi="Arial"/>
                <w:sz w:val="18"/>
                <w:szCs w:val="18"/>
                <w:color w:val="auto"/>
              </w:rPr>
              <w:t>15.2 %</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16.6 %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16.7 %</w:t>
            </w:r>
          </w:p>
        </w:tc>
      </w:tr>
      <w:tr>
        <w:trPr>
          <w:trHeight w:val="228"/>
        </w:trPr>
        <w:tc>
          <w:tcPr>
            <w:tcW w:w="38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720" w:type="dxa"/>
            <w:vAlign w:val="bottom"/>
          </w:tcPr>
          <w:p>
            <w:pPr>
              <w:jc w:val="right"/>
              <w:spacing w:after="0"/>
              <w:rPr>
                <w:sz w:val="20"/>
                <w:szCs w:val="20"/>
                <w:color w:val="auto"/>
              </w:rPr>
            </w:pPr>
            <w:r>
              <w:rPr>
                <w:rFonts w:ascii="Arial" w:cs="Arial" w:eastAsia="Arial" w:hAnsi="Arial"/>
                <w:sz w:val="18"/>
                <w:szCs w:val="18"/>
                <w:color w:val="auto"/>
              </w:rPr>
              <w:t>8.3 %</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13.3 %</w:t>
            </w:r>
          </w:p>
        </w:tc>
      </w:tr>
      <w:tr>
        <w:trPr>
          <w:trHeight w:val="228"/>
        </w:trPr>
        <w:tc>
          <w:tcPr>
            <w:tcW w:w="38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720" w:type="dxa"/>
            <w:vAlign w:val="bottom"/>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11.0 %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8.1 %</w:t>
            </w:r>
          </w:p>
        </w:tc>
      </w:tr>
      <w:tr>
        <w:trPr>
          <w:trHeight w:val="228"/>
        </w:trPr>
        <w:tc>
          <w:tcPr>
            <w:tcW w:w="3800" w:type="dxa"/>
            <w:vAlign w:val="bottom"/>
            <w:gridSpan w:val="2"/>
          </w:tcPr>
          <w:p>
            <w:pPr>
              <w:spacing w:after="0"/>
              <w:rPr>
                <w:sz w:val="20"/>
                <w:szCs w:val="20"/>
                <w:color w:val="auto"/>
              </w:rPr>
            </w:pPr>
            <w:r>
              <w:rPr>
                <w:rFonts w:ascii="Arial" w:cs="Arial" w:eastAsia="Arial" w:hAnsi="Arial"/>
                <w:sz w:val="18"/>
                <w:szCs w:val="18"/>
                <w:color w:val="auto"/>
              </w:rPr>
              <w:t>Income tax rate</w:t>
            </w:r>
          </w:p>
        </w:tc>
        <w:tc>
          <w:tcPr>
            <w:tcW w:w="720" w:type="dxa"/>
            <w:vAlign w:val="bottom"/>
          </w:tcPr>
          <w:p>
            <w:pPr>
              <w:jc w:val="right"/>
              <w:spacing w:after="0"/>
              <w:rPr>
                <w:sz w:val="20"/>
                <w:szCs w:val="20"/>
                <w:color w:val="auto"/>
              </w:rPr>
            </w:pPr>
            <w:r>
              <w:rPr>
                <w:rFonts w:ascii="Arial" w:cs="Arial" w:eastAsia="Arial" w:hAnsi="Arial"/>
                <w:sz w:val="18"/>
                <w:szCs w:val="18"/>
                <w:color w:val="auto"/>
              </w:rPr>
              <w:t>20.6 %</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12.4 %</w:t>
            </w:r>
          </w:p>
        </w:tc>
      </w:tr>
    </w:tbl>
    <w:p>
      <w:pPr>
        <w:spacing w:after="0" w:line="122" w:lineRule="exact"/>
        <w:rPr>
          <w:sz w:val="20"/>
          <w:szCs w:val="20"/>
          <w:color w:val="auto"/>
        </w:rPr>
      </w:pPr>
    </w:p>
    <w:p>
      <w:pPr>
        <w:ind w:left="440" w:right="20" w:hanging="330"/>
        <w:spacing w:after="0" w:line="231" w:lineRule="auto"/>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20"/>
          </w:cols>
          <w:pgMar w:left="340" w:top="1440"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124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4700" cy="8255"/>
                    </a:xfrm>
                    <a:prstGeom prst="rect">
                      <a:avLst/>
                    </a:prstGeom>
                    <a:noFill/>
                  </pic:spPr>
                </pic:pic>
              </a:graphicData>
            </a:graphic>
          </wp:anchor>
        </w:drawing>
      </w:r>
    </w:p>
    <w:p>
      <w:pPr>
        <w:spacing w:after="0" w:line="2" w:lineRule="exact"/>
        <w:rPr>
          <w:sz w:val="20"/>
          <w:szCs w:val="20"/>
          <w:color w:val="auto"/>
        </w:rPr>
      </w:pPr>
    </w:p>
    <w:p>
      <w:pPr>
        <w:ind w:left="5680"/>
        <w:spacing w:after="0"/>
        <w:rPr>
          <w:sz w:val="20"/>
          <w:szCs w:val="20"/>
          <w:color w:val="auto"/>
        </w:rPr>
      </w:pPr>
      <w:r>
        <w:rPr>
          <w:rFonts w:ascii="Arial" w:cs="Arial" w:eastAsia="Arial" w:hAnsi="Arial"/>
          <w:sz w:val="14"/>
          <w:szCs w:val="14"/>
          <w:b w:val="1"/>
          <w:bCs w:val="1"/>
          <w:color w:val="auto"/>
        </w:rPr>
        <w:t>Specified Items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2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Merger and</w:t>
            </w:r>
          </w:p>
        </w:tc>
        <w:tc>
          <w:tcPr>
            <w:tcW w:w="9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center"/>
              <w:ind w:right="17"/>
              <w:spacing w:after="0" w:line="114" w:lineRule="exact"/>
              <w:rPr>
                <w:sz w:val="20"/>
                <w:szCs w:val="20"/>
                <w:color w:val="auto"/>
              </w:rPr>
            </w:pPr>
            <w:r>
              <w:rPr>
                <w:rFonts w:ascii="Arial" w:cs="Arial" w:eastAsia="Arial" w:hAnsi="Arial"/>
                <w:sz w:val="13"/>
                <w:szCs w:val="13"/>
                <w:b w:val="1"/>
                <w:bCs w:val="1"/>
                <w:color w:val="auto"/>
                <w:w w:val="96"/>
              </w:rPr>
              <w:t>Depreciation</w:t>
            </w:r>
          </w:p>
        </w:tc>
        <w:tc>
          <w:tcPr>
            <w:tcW w:w="9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w w:val="95"/>
              </w:rPr>
              <w:t>Certain Legal,</w:t>
            </w:r>
          </w:p>
        </w:tc>
        <w:tc>
          <w:tcPr>
            <w:tcW w:w="1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Stock-based</w:t>
            </w:r>
          </w:p>
        </w:tc>
        <w:tc>
          <w:tcPr>
            <w:tcW w:w="9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3"/>
              </w:rPr>
              <w:t>Certain</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900" w:type="dxa"/>
            <w:vAlign w:val="bottom"/>
            <w:vMerge w:val="continue"/>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Restructuring</w:t>
            </w:r>
          </w:p>
        </w:tc>
        <w:tc>
          <w:tcPr>
            <w:tcW w:w="9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4"/>
              </w:rPr>
              <w:t>and</w:t>
            </w: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Financing</w:t>
            </w:r>
          </w:p>
        </w:tc>
        <w:tc>
          <w:tcPr>
            <w:tcW w:w="10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Contingent</w:t>
            </w:r>
          </w:p>
        </w:tc>
        <w:tc>
          <w:tcPr>
            <w:tcW w:w="10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Certain Tax</w:t>
            </w:r>
          </w:p>
        </w:tc>
        <w:tc>
          <w:tcPr>
            <w:tcW w:w="880" w:type="dxa"/>
            <w:vAlign w:val="bottom"/>
            <w:vMerge w:val="continue"/>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Adjusted</w:t>
            </w:r>
          </w:p>
        </w:tc>
        <w:tc>
          <w:tcPr>
            <w:tcW w:w="0" w:type="dxa"/>
            <w:vAlign w:val="bottom"/>
          </w:tcPr>
          <w:p>
            <w:pPr>
              <w:spacing w:after="0"/>
              <w:rPr>
                <w:sz w:val="1"/>
                <w:szCs w:val="1"/>
                <w:color w:val="auto"/>
              </w:rPr>
            </w:pPr>
          </w:p>
        </w:tc>
      </w:tr>
      <w:tr>
        <w:trPr>
          <w:trHeight w:val="121"/>
        </w:trPr>
        <w:tc>
          <w:tcPr>
            <w:tcW w:w="21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Three Months Ended</w:t>
            </w:r>
          </w:p>
        </w:tc>
        <w:tc>
          <w:tcPr>
            <w:tcW w:w="800" w:type="dxa"/>
            <w:vAlign w:val="bottom"/>
            <w:vMerge w:val="continue"/>
          </w:tcPr>
          <w:p>
            <w:pPr>
              <w:spacing w:after="0"/>
              <w:rPr>
                <w:sz w:val="10"/>
                <w:szCs w:val="10"/>
                <w:color w:val="auto"/>
              </w:rPr>
            </w:pPr>
          </w:p>
        </w:tc>
        <w:tc>
          <w:tcPr>
            <w:tcW w:w="9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Integration</w:t>
            </w:r>
          </w:p>
        </w:tc>
        <w:tc>
          <w:tcPr>
            <w:tcW w:w="960" w:type="dxa"/>
            <w:vAlign w:val="bottom"/>
            <w:vMerge w:val="continue"/>
          </w:tcPr>
          <w:p>
            <w:pPr>
              <w:spacing w:after="0"/>
              <w:rPr>
                <w:sz w:val="10"/>
                <w:szCs w:val="10"/>
                <w:color w:val="auto"/>
              </w:rPr>
            </w:pPr>
          </w:p>
        </w:tc>
        <w:tc>
          <w:tcPr>
            <w:tcW w:w="9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8"/>
              </w:rPr>
              <w:t>Amortization</w:t>
            </w:r>
          </w:p>
        </w:tc>
        <w:tc>
          <w:tcPr>
            <w:tcW w:w="920" w:type="dxa"/>
            <w:vAlign w:val="bottom"/>
            <w:vMerge w:val="continue"/>
          </w:tcPr>
          <w:p>
            <w:pPr>
              <w:spacing w:after="0"/>
              <w:rPr>
                <w:sz w:val="10"/>
                <w:szCs w:val="10"/>
                <w:color w:val="auto"/>
              </w:rPr>
            </w:pPr>
          </w:p>
        </w:tc>
        <w:tc>
          <w:tcPr>
            <w:tcW w:w="1000" w:type="dxa"/>
            <w:vAlign w:val="bottom"/>
          </w:tcPr>
          <w:p>
            <w:pPr>
              <w:jc w:val="center"/>
              <w:ind w:right="17"/>
              <w:spacing w:after="0" w:line="121" w:lineRule="exact"/>
              <w:rPr>
                <w:sz w:val="20"/>
                <w:szCs w:val="20"/>
                <w:color w:val="auto"/>
              </w:rPr>
            </w:pPr>
            <w:r>
              <w:rPr>
                <w:rFonts w:ascii="Arial" w:cs="Arial" w:eastAsia="Arial" w:hAnsi="Arial"/>
                <w:sz w:val="13"/>
                <w:szCs w:val="13"/>
                <w:b w:val="1"/>
                <w:bCs w:val="1"/>
                <w:color w:val="auto"/>
                <w:w w:val="96"/>
              </w:rPr>
              <w:t>Consideration</w:t>
            </w:r>
          </w:p>
        </w:tc>
        <w:tc>
          <w:tcPr>
            <w:tcW w:w="10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Compensation</w:t>
            </w:r>
          </w:p>
        </w:tc>
        <w:tc>
          <w:tcPr>
            <w:tcW w:w="920" w:type="dxa"/>
            <w:vAlign w:val="bottom"/>
            <w:vMerge w:val="continue"/>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Interest</w:t>
            </w: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vMerge w:val="continue"/>
          </w:tcPr>
          <w:p>
            <w:pPr>
              <w:spacing w:after="0"/>
              <w:rPr>
                <w:sz w:val="10"/>
                <w:szCs w:val="10"/>
                <w:color w:val="auto"/>
              </w:rPr>
            </w:pPr>
          </w:p>
        </w:tc>
        <w:tc>
          <w:tcPr>
            <w:tcW w:w="8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Financial</w:t>
            </w:r>
          </w:p>
        </w:tc>
        <w:tc>
          <w:tcPr>
            <w:tcW w:w="9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8"/>
              </w:rPr>
              <w:t>Expenses</w:t>
            </w:r>
          </w:p>
        </w:tc>
        <w:tc>
          <w:tcPr>
            <w:tcW w:w="960" w:type="dxa"/>
            <w:vAlign w:val="bottom"/>
          </w:tcPr>
          <w:p>
            <w:pPr>
              <w:jc w:val="center"/>
              <w:ind w:right="37"/>
              <w:spacing w:after="0" w:line="121" w:lineRule="exact"/>
              <w:rPr>
                <w:sz w:val="20"/>
                <w:szCs w:val="20"/>
                <w:color w:val="auto"/>
              </w:rPr>
            </w:pPr>
            <w:r>
              <w:rPr>
                <w:rFonts w:ascii="Arial" w:cs="Arial" w:eastAsia="Arial" w:hAnsi="Arial"/>
                <w:sz w:val="13"/>
                <w:szCs w:val="13"/>
                <w:b w:val="1"/>
                <w:bCs w:val="1"/>
                <w:color w:val="auto"/>
                <w:w w:val="95"/>
              </w:rPr>
              <w:t>Expenses</w:t>
            </w:r>
          </w:p>
        </w:tc>
        <w:tc>
          <w:tcPr>
            <w:tcW w:w="920" w:type="dxa"/>
            <w:vAlign w:val="bottom"/>
          </w:tcPr>
          <w:p>
            <w:pPr>
              <w:jc w:val="center"/>
              <w:ind w:right="37"/>
              <w:spacing w:after="0" w:line="121" w:lineRule="exact"/>
              <w:rPr>
                <w:sz w:val="20"/>
                <w:szCs w:val="20"/>
                <w:color w:val="auto"/>
              </w:rPr>
            </w:pPr>
            <w:r>
              <w:rPr>
                <w:rFonts w:ascii="Arial" w:cs="Arial" w:eastAsia="Arial" w:hAnsi="Arial"/>
                <w:sz w:val="13"/>
                <w:szCs w:val="13"/>
                <w:b w:val="1"/>
                <w:bCs w:val="1"/>
                <w:color w:val="auto"/>
                <w:w w:val="95"/>
              </w:rPr>
              <w:t>Expenses</w:t>
            </w:r>
          </w:p>
        </w:tc>
        <w:tc>
          <w:tcPr>
            <w:tcW w:w="9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Transactions</w:t>
            </w:r>
          </w:p>
        </w:tc>
        <w:tc>
          <w:tcPr>
            <w:tcW w:w="10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4"/>
              </w:rPr>
              <w:t>and Other</w:t>
            </w:r>
          </w:p>
        </w:tc>
        <w:tc>
          <w:tcPr>
            <w:tcW w:w="1000" w:type="dxa"/>
            <w:vAlign w:val="bottom"/>
          </w:tcPr>
          <w:p>
            <w:pPr>
              <w:jc w:val="center"/>
              <w:ind w:right="37"/>
              <w:spacing w:after="0" w:line="121" w:lineRule="exact"/>
              <w:rPr>
                <w:sz w:val="20"/>
                <w:szCs w:val="20"/>
                <w:color w:val="auto"/>
              </w:rPr>
            </w:pPr>
            <w:r>
              <w:rPr>
                <w:rFonts w:ascii="Arial" w:cs="Arial" w:eastAsia="Arial" w:hAnsi="Arial"/>
                <w:sz w:val="13"/>
                <w:szCs w:val="13"/>
                <w:b w:val="1"/>
                <w:bCs w:val="1"/>
                <w:color w:val="auto"/>
                <w:w w:val="94"/>
              </w:rPr>
              <w:t>Costs</w:t>
            </w:r>
          </w:p>
        </w:tc>
        <w:tc>
          <w:tcPr>
            <w:tcW w:w="920" w:type="dxa"/>
            <w:vAlign w:val="bottom"/>
          </w:tcPr>
          <w:p>
            <w:pPr>
              <w:jc w:val="center"/>
              <w:ind w:right="17"/>
              <w:spacing w:after="0" w:line="121" w:lineRule="exact"/>
              <w:rPr>
                <w:sz w:val="20"/>
                <w:szCs w:val="20"/>
                <w:color w:val="auto"/>
              </w:rPr>
            </w:pPr>
            <w:r>
              <w:rPr>
                <w:rFonts w:ascii="Arial" w:cs="Arial" w:eastAsia="Arial" w:hAnsi="Arial"/>
                <w:sz w:val="13"/>
                <w:szCs w:val="13"/>
                <w:b w:val="1"/>
                <w:bCs w:val="1"/>
                <w:color w:val="auto"/>
                <w:w w:val="96"/>
              </w:rPr>
              <w:t>Adjustments</w:t>
            </w:r>
          </w:p>
        </w:tc>
        <w:tc>
          <w:tcPr>
            <w:tcW w:w="8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Adjustments</w:t>
            </w:r>
          </w:p>
        </w:tc>
        <w:tc>
          <w:tcPr>
            <w:tcW w:w="8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Financial</w:t>
            </w:r>
          </w:p>
        </w:tc>
        <w:tc>
          <w:tcPr>
            <w:tcW w:w="0" w:type="dxa"/>
            <w:vAlign w:val="bottom"/>
          </w:tcPr>
          <w:p>
            <w:pPr>
              <w:spacing w:after="0"/>
              <w:rPr>
                <w:sz w:val="1"/>
                <w:szCs w:val="1"/>
                <w:color w:val="auto"/>
              </w:rPr>
            </w:pPr>
          </w:p>
        </w:tc>
      </w:tr>
      <w:tr>
        <w:trPr>
          <w:trHeight w:val="170"/>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June 30, 2022</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(B)</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$69.8</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($3.7)</w:t>
            </w:r>
          </w:p>
        </w:tc>
        <w:tc>
          <w:tcPr>
            <w:tcW w:w="920" w:type="dxa"/>
            <w:vAlign w:val="bottom"/>
          </w:tcPr>
          <w:p>
            <w:pPr>
              <w:ind w:left="5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$12.5</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($0.6)</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$78.0</w:t>
            </w: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800" w:type="dxa"/>
            <w:vAlign w:val="bottom"/>
          </w:tcPr>
          <w:p>
            <w:pPr>
              <w:jc w:val="right"/>
              <w:spacing w:after="0"/>
              <w:rPr>
                <w:sz w:val="20"/>
                <w:szCs w:val="20"/>
                <w:color w:val="auto"/>
              </w:rPr>
            </w:pPr>
            <w:r>
              <w:rPr>
                <w:rFonts w:ascii="Arial" w:cs="Arial" w:eastAsia="Arial" w:hAnsi="Arial"/>
                <w:sz w:val="13"/>
                <w:szCs w:val="13"/>
                <w:color w:val="auto"/>
              </w:rPr>
              <w:t>72.5 %</w:t>
            </w:r>
          </w:p>
        </w:tc>
        <w:tc>
          <w:tcPr>
            <w:tcW w:w="90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1.5 %</w:t>
            </w:r>
          </w:p>
        </w:tc>
        <w:tc>
          <w:tcPr>
            <w:tcW w:w="920" w:type="dxa"/>
            <w:vAlign w:val="bottom"/>
          </w:tcPr>
          <w:p>
            <w:pPr>
              <w:ind w:left="600"/>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(4.9)%</w:t>
            </w:r>
          </w:p>
        </w:tc>
        <w:tc>
          <w:tcPr>
            <w:tcW w:w="1000" w:type="dxa"/>
            <w:vAlign w:val="bottom"/>
          </w:tcPr>
          <w:p>
            <w:pPr>
              <w:jc w:val="right"/>
              <w:spacing w:after="0"/>
              <w:rPr>
                <w:sz w:val="20"/>
                <w:szCs w:val="20"/>
                <w:color w:val="auto"/>
              </w:rPr>
            </w:pPr>
            <w:r>
              <w:rPr>
                <w:rFonts w:ascii="Arial" w:cs="Arial" w:eastAsia="Arial" w:hAnsi="Arial"/>
                <w:sz w:val="13"/>
                <w:szCs w:val="13"/>
                <w:color w:val="auto"/>
              </w:rPr>
              <w:t>0.2 %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ind w:left="600"/>
              <w:spacing w:after="0"/>
              <w:rPr>
                <w:sz w:val="20"/>
                <w:szCs w:val="20"/>
                <w:color w:val="auto"/>
              </w:rPr>
            </w:pPr>
            <w:r>
              <w:rPr>
                <w:rFonts w:ascii="Arial" w:cs="Arial" w:eastAsia="Arial" w:hAnsi="Arial"/>
                <w:sz w:val="13"/>
                <w:szCs w:val="13"/>
                <w:color w:val="auto"/>
                <w:w w:val="92"/>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69.3 %</w:t>
            </w:r>
          </w:p>
        </w:tc>
        <w:tc>
          <w:tcPr>
            <w:tcW w:w="0" w:type="dxa"/>
            <w:vAlign w:val="bottom"/>
          </w:tcPr>
          <w:p>
            <w:pPr>
              <w:spacing w:after="0"/>
              <w:rPr>
                <w:sz w:val="1"/>
                <w:szCs w:val="1"/>
                <w:color w:val="auto"/>
              </w:rPr>
            </w:pPr>
          </w:p>
        </w:tc>
      </w:tr>
      <w:tr>
        <w:trPr>
          <w:trHeight w:val="151"/>
        </w:trPr>
        <w:tc>
          <w:tcPr>
            <w:tcW w:w="2100" w:type="dxa"/>
            <w:vAlign w:val="bottom"/>
          </w:tcPr>
          <w:p>
            <w:pPr>
              <w:ind w:left="20"/>
              <w:spacing w:after="0" w:line="151" w:lineRule="exact"/>
              <w:rPr>
                <w:sz w:val="20"/>
                <w:szCs w:val="20"/>
                <w:color w:val="auto"/>
              </w:rPr>
            </w:pPr>
            <w:r>
              <w:rPr>
                <w:rFonts w:ascii="Arial" w:cs="Arial" w:eastAsia="Arial" w:hAnsi="Arial"/>
                <w:sz w:val="14"/>
                <w:szCs w:val="14"/>
                <w:color w:val="auto"/>
              </w:rPr>
              <w:t>Selling, general and</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0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116.5</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(2.9)</w:t>
            </w:r>
          </w:p>
        </w:tc>
        <w:tc>
          <w:tcPr>
            <w:tcW w:w="920" w:type="dxa"/>
            <w:vAlign w:val="bottom"/>
          </w:tcPr>
          <w:p>
            <w:pPr>
              <w:ind w:left="6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(4.8)</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(7.8)</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ind w:left="6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101.1</w:t>
            </w:r>
          </w:p>
        </w:tc>
        <w:tc>
          <w:tcPr>
            <w:tcW w:w="0" w:type="dxa"/>
            <w:vAlign w:val="bottom"/>
          </w:tcPr>
          <w:p>
            <w:pPr>
              <w:spacing w:after="0"/>
              <w:rPr>
                <w:sz w:val="1"/>
                <w:szCs w:val="1"/>
                <w:color w:val="auto"/>
              </w:rPr>
            </w:pPr>
          </w:p>
        </w:tc>
      </w:tr>
      <w:tr>
        <w:trPr>
          <w:trHeight w:val="151"/>
        </w:trPr>
        <w:tc>
          <w:tcPr>
            <w:tcW w:w="2100" w:type="dxa"/>
            <w:vAlign w:val="bottom"/>
          </w:tcPr>
          <w:p>
            <w:pPr>
              <w:ind w:left="20"/>
              <w:spacing w:after="0" w:line="151" w:lineRule="exact"/>
              <w:rPr>
                <w:sz w:val="20"/>
                <w:szCs w:val="20"/>
                <w:color w:val="auto"/>
              </w:rPr>
            </w:pPr>
            <w:r>
              <w:rPr>
                <w:rFonts w:ascii="Arial" w:cs="Arial" w:eastAsia="Arial" w:hAnsi="Arial"/>
                <w:sz w:val="14"/>
                <w:szCs w:val="14"/>
                <w:color w:val="auto"/>
              </w:rPr>
              <w:t>Selling, general and</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100" w:type="dxa"/>
            <w:vAlign w:val="bottom"/>
          </w:tcPr>
          <w:p>
            <w:pPr>
              <w:ind w:left="20"/>
              <w:spacing w:after="0" w:line="135" w:lineRule="exact"/>
              <w:rPr>
                <w:sz w:val="20"/>
                <w:szCs w:val="20"/>
                <w:color w:val="auto"/>
              </w:rPr>
            </w:pPr>
            <w:r>
              <w:rPr>
                <w:rFonts w:ascii="Arial" w:cs="Arial" w:eastAsia="Arial" w:hAnsi="Arial"/>
                <w:sz w:val="14"/>
                <w:szCs w:val="14"/>
                <w:color w:val="auto"/>
              </w:rPr>
              <w:t>administrative as a percent of</w:t>
            </w: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1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800" w:type="dxa"/>
            <w:vAlign w:val="bottom"/>
          </w:tcPr>
          <w:p>
            <w:pPr>
              <w:jc w:val="right"/>
              <w:spacing w:after="0"/>
              <w:rPr>
                <w:sz w:val="20"/>
                <w:szCs w:val="20"/>
                <w:color w:val="auto"/>
              </w:rPr>
            </w:pPr>
            <w:r>
              <w:rPr>
                <w:rFonts w:ascii="Arial" w:cs="Arial" w:eastAsia="Arial" w:hAnsi="Arial"/>
                <w:sz w:val="13"/>
                <w:szCs w:val="13"/>
                <w:color w:val="auto"/>
              </w:rPr>
              <w:t>45.8 %</w:t>
            </w:r>
          </w:p>
        </w:tc>
        <w:tc>
          <w:tcPr>
            <w:tcW w:w="90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(1.1)%</w:t>
            </w:r>
          </w:p>
        </w:tc>
        <w:tc>
          <w:tcPr>
            <w:tcW w:w="920" w:type="dxa"/>
            <w:vAlign w:val="bottom"/>
          </w:tcPr>
          <w:p>
            <w:pPr>
              <w:ind w:left="600"/>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(1.9)%</w:t>
            </w:r>
          </w:p>
        </w:tc>
        <w:tc>
          <w:tcPr>
            <w:tcW w:w="1000" w:type="dxa"/>
            <w:vAlign w:val="bottom"/>
          </w:tcPr>
          <w:p>
            <w:pPr>
              <w:jc w:val="right"/>
              <w:spacing w:after="0"/>
              <w:rPr>
                <w:sz w:val="20"/>
                <w:szCs w:val="20"/>
                <w:color w:val="auto"/>
              </w:rPr>
            </w:pPr>
            <w:r>
              <w:rPr>
                <w:rFonts w:ascii="Arial" w:cs="Arial" w:eastAsia="Arial" w:hAnsi="Arial"/>
                <w:sz w:val="13"/>
                <w:szCs w:val="13"/>
                <w:color w:val="auto"/>
              </w:rPr>
              <w:t>(3.1)%</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ind w:left="600"/>
              <w:spacing w:after="0"/>
              <w:rPr>
                <w:sz w:val="20"/>
                <w:szCs w:val="20"/>
                <w:color w:val="auto"/>
              </w:rPr>
            </w:pPr>
            <w:r>
              <w:rPr>
                <w:rFonts w:ascii="Arial" w:cs="Arial" w:eastAsia="Arial" w:hAnsi="Arial"/>
                <w:sz w:val="13"/>
                <w:szCs w:val="13"/>
                <w:color w:val="auto"/>
                <w:w w:val="92"/>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39.8 %</w:t>
            </w: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34.2</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ind w:left="6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10.6</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(3.2)</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ind w:left="6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41.8</w:t>
            </w:r>
          </w:p>
        </w:tc>
        <w:tc>
          <w:tcPr>
            <w:tcW w:w="0" w:type="dxa"/>
            <w:vAlign w:val="bottom"/>
          </w:tcPr>
          <w:p>
            <w:pPr>
              <w:spacing w:after="0"/>
              <w:rPr>
                <w:sz w:val="1"/>
                <w:szCs w:val="1"/>
                <w:color w:val="auto"/>
              </w:rPr>
            </w:pPr>
          </w:p>
        </w:tc>
      </w:tr>
      <w:tr>
        <w:trPr>
          <w:trHeight w:val="151"/>
        </w:trPr>
        <w:tc>
          <w:tcPr>
            <w:tcW w:w="2100" w:type="dxa"/>
            <w:vAlign w:val="bottom"/>
          </w:tcPr>
          <w:p>
            <w:pPr>
              <w:ind w:left="20"/>
              <w:spacing w:after="0" w:line="151" w:lineRule="exact"/>
              <w:rPr>
                <w:sz w:val="20"/>
                <w:szCs w:val="20"/>
                <w:color w:val="auto"/>
              </w:rPr>
            </w:pPr>
            <w:r>
              <w:rPr>
                <w:rFonts w:ascii="Arial" w:cs="Arial" w:eastAsia="Arial" w:hAnsi="Arial"/>
                <w:sz w:val="14"/>
                <w:szCs w:val="14"/>
                <w:color w:val="auto"/>
              </w:rPr>
              <w:t>Research and development as</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00" w:type="dxa"/>
            <w:vAlign w:val="bottom"/>
          </w:tcPr>
          <w:p>
            <w:pPr>
              <w:ind w:left="20"/>
              <w:spacing w:after="0"/>
              <w:rPr>
                <w:sz w:val="20"/>
                <w:szCs w:val="20"/>
                <w:color w:val="auto"/>
              </w:rPr>
            </w:pPr>
            <w:r>
              <w:rPr>
                <w:rFonts w:ascii="Arial" w:cs="Arial" w:eastAsia="Arial" w:hAnsi="Arial"/>
                <w:sz w:val="14"/>
                <w:szCs w:val="14"/>
                <w:color w:val="auto"/>
              </w:rPr>
              <w:t>a percent of net sales</w:t>
            </w:r>
          </w:p>
        </w:tc>
        <w:tc>
          <w:tcPr>
            <w:tcW w:w="800" w:type="dxa"/>
            <w:vAlign w:val="bottom"/>
          </w:tcPr>
          <w:p>
            <w:pPr>
              <w:jc w:val="right"/>
              <w:spacing w:after="0"/>
              <w:rPr>
                <w:sz w:val="20"/>
                <w:szCs w:val="20"/>
                <w:color w:val="auto"/>
              </w:rPr>
            </w:pPr>
            <w:r>
              <w:rPr>
                <w:rFonts w:ascii="Arial" w:cs="Arial" w:eastAsia="Arial" w:hAnsi="Arial"/>
                <w:sz w:val="13"/>
                <w:szCs w:val="13"/>
                <w:color w:val="auto"/>
              </w:rPr>
              <w:t>13.5 %</w:t>
            </w:r>
          </w:p>
        </w:tc>
        <w:tc>
          <w:tcPr>
            <w:tcW w:w="90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ind w:left="600"/>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4.2 %</w:t>
            </w:r>
          </w:p>
        </w:tc>
        <w:tc>
          <w:tcPr>
            <w:tcW w:w="1000" w:type="dxa"/>
            <w:vAlign w:val="bottom"/>
          </w:tcPr>
          <w:p>
            <w:pPr>
              <w:jc w:val="right"/>
              <w:spacing w:after="0"/>
              <w:rPr>
                <w:sz w:val="20"/>
                <w:szCs w:val="20"/>
                <w:color w:val="auto"/>
              </w:rPr>
            </w:pPr>
            <w:r>
              <w:rPr>
                <w:rFonts w:ascii="Arial" w:cs="Arial" w:eastAsia="Arial" w:hAnsi="Arial"/>
                <w:sz w:val="13"/>
                <w:szCs w:val="13"/>
                <w:color w:val="auto"/>
              </w:rPr>
              <w:t>(1.2)%</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ind w:left="600"/>
              <w:spacing w:after="0"/>
              <w:rPr>
                <w:sz w:val="20"/>
                <w:szCs w:val="20"/>
                <w:color w:val="auto"/>
              </w:rPr>
            </w:pPr>
            <w:r>
              <w:rPr>
                <w:rFonts w:ascii="Arial" w:cs="Arial" w:eastAsia="Arial" w:hAnsi="Arial"/>
                <w:sz w:val="13"/>
                <w:szCs w:val="13"/>
                <w:color w:val="auto"/>
                <w:w w:val="92"/>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16.4 %</w:t>
            </w: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rPr>
                <w:sz w:val="20"/>
                <w:szCs w:val="20"/>
                <w:color w:val="auto"/>
              </w:rPr>
            </w:pPr>
            <w:r>
              <w:rPr>
                <w:rFonts w:ascii="Arial" w:cs="Arial" w:eastAsia="Arial" w:hAnsi="Arial"/>
                <w:sz w:val="14"/>
                <w:szCs w:val="14"/>
                <w:color w:val="auto"/>
              </w:rPr>
              <w:t>Other operating expenses</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1.9</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(0.2)</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(0.6)</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ind w:left="6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(1.1)</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ind w:left="6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31.8</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0.2</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0.6</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6.6</w:t>
            </w:r>
          </w:p>
        </w:tc>
        <w:tc>
          <w:tcPr>
            <w:tcW w:w="920" w:type="dxa"/>
            <w:vAlign w:val="bottom"/>
          </w:tcPr>
          <w:p>
            <w:pPr>
              <w:ind w:left="6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(17.3)</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11.5</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ind w:left="6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33.4</w:t>
            </w: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rPr>
                <w:sz w:val="20"/>
                <w:szCs w:val="20"/>
                <w:color w:val="auto"/>
              </w:rPr>
            </w:pPr>
            <w:r>
              <w:rPr>
                <w:rFonts w:ascii="Arial" w:cs="Arial" w:eastAsia="Arial" w:hAnsi="Arial"/>
                <w:sz w:val="14"/>
                <w:szCs w:val="14"/>
                <w:color w:val="auto"/>
              </w:rPr>
              <w:t>Operating margin percent</w:t>
            </w:r>
          </w:p>
        </w:tc>
        <w:tc>
          <w:tcPr>
            <w:tcW w:w="800" w:type="dxa"/>
            <w:vAlign w:val="bottom"/>
          </w:tcPr>
          <w:p>
            <w:pPr>
              <w:jc w:val="right"/>
              <w:spacing w:after="0"/>
              <w:rPr>
                <w:sz w:val="20"/>
                <w:szCs w:val="20"/>
                <w:color w:val="auto"/>
              </w:rPr>
            </w:pPr>
            <w:r>
              <w:rPr>
                <w:rFonts w:ascii="Arial" w:cs="Arial" w:eastAsia="Arial" w:hAnsi="Arial"/>
                <w:sz w:val="13"/>
                <w:szCs w:val="13"/>
                <w:color w:val="auto"/>
              </w:rPr>
              <w:t>12.5 %</w:t>
            </w:r>
          </w:p>
        </w:tc>
        <w:tc>
          <w:tcPr>
            <w:tcW w:w="900" w:type="dxa"/>
            <w:vAlign w:val="bottom"/>
          </w:tcPr>
          <w:p>
            <w:pPr>
              <w:jc w:val="right"/>
              <w:spacing w:after="0"/>
              <w:rPr>
                <w:sz w:val="20"/>
                <w:szCs w:val="20"/>
                <w:color w:val="auto"/>
              </w:rPr>
            </w:pPr>
            <w:r>
              <w:rPr>
                <w:rFonts w:ascii="Arial" w:cs="Arial" w:eastAsia="Arial" w:hAnsi="Arial"/>
                <w:sz w:val="13"/>
                <w:szCs w:val="13"/>
                <w:color w:val="auto"/>
              </w:rPr>
              <w:t>0.1 %</w:t>
            </w:r>
          </w:p>
        </w:tc>
        <w:tc>
          <w:tcPr>
            <w:tcW w:w="960" w:type="dxa"/>
            <w:vAlign w:val="bottom"/>
          </w:tcPr>
          <w:p>
            <w:pPr>
              <w:jc w:val="right"/>
              <w:spacing w:after="0"/>
              <w:rPr>
                <w:sz w:val="20"/>
                <w:szCs w:val="20"/>
                <w:color w:val="auto"/>
              </w:rPr>
            </w:pPr>
            <w:r>
              <w:rPr>
                <w:rFonts w:ascii="Arial" w:cs="Arial" w:eastAsia="Arial" w:hAnsi="Arial"/>
                <w:sz w:val="13"/>
                <w:szCs w:val="13"/>
                <w:color w:val="auto"/>
              </w:rPr>
              <w:t>0.2 %</w:t>
            </w:r>
          </w:p>
        </w:tc>
        <w:tc>
          <w:tcPr>
            <w:tcW w:w="920" w:type="dxa"/>
            <w:vAlign w:val="bottom"/>
          </w:tcPr>
          <w:p>
            <w:pPr>
              <w:jc w:val="right"/>
              <w:spacing w:after="0"/>
              <w:rPr>
                <w:sz w:val="20"/>
                <w:szCs w:val="20"/>
                <w:color w:val="auto"/>
              </w:rPr>
            </w:pPr>
            <w:r>
              <w:rPr>
                <w:rFonts w:ascii="Arial" w:cs="Arial" w:eastAsia="Arial" w:hAnsi="Arial"/>
                <w:sz w:val="13"/>
                <w:szCs w:val="13"/>
                <w:color w:val="auto"/>
              </w:rPr>
              <w:t>2.6 %</w:t>
            </w:r>
          </w:p>
        </w:tc>
        <w:tc>
          <w:tcPr>
            <w:tcW w:w="920" w:type="dxa"/>
            <w:vAlign w:val="bottom"/>
          </w:tcPr>
          <w:p>
            <w:pPr>
              <w:ind w:left="600"/>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(6.8)%</w:t>
            </w:r>
          </w:p>
        </w:tc>
        <w:tc>
          <w:tcPr>
            <w:tcW w:w="1000" w:type="dxa"/>
            <w:vAlign w:val="bottom"/>
          </w:tcPr>
          <w:p>
            <w:pPr>
              <w:jc w:val="right"/>
              <w:spacing w:after="0"/>
              <w:rPr>
                <w:sz w:val="20"/>
                <w:szCs w:val="20"/>
                <w:color w:val="auto"/>
              </w:rPr>
            </w:pPr>
            <w:r>
              <w:rPr>
                <w:rFonts w:ascii="Arial" w:cs="Arial" w:eastAsia="Arial" w:hAnsi="Arial"/>
                <w:sz w:val="13"/>
                <w:szCs w:val="13"/>
                <w:color w:val="auto"/>
              </w:rPr>
              <w:t>4.5 %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ind w:left="600"/>
              <w:spacing w:after="0"/>
              <w:rPr>
                <w:sz w:val="20"/>
                <w:szCs w:val="20"/>
                <w:color w:val="auto"/>
              </w:rPr>
            </w:pPr>
            <w:r>
              <w:rPr>
                <w:rFonts w:ascii="Arial" w:cs="Arial" w:eastAsia="Arial" w:hAnsi="Arial"/>
                <w:sz w:val="13"/>
                <w:szCs w:val="13"/>
                <w:color w:val="auto"/>
                <w:w w:val="92"/>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13.1 %</w:t>
            </w: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2.5</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0.4</w:t>
            </w:r>
          </w:p>
        </w:tc>
        <w:tc>
          <w:tcPr>
            <w:tcW w:w="920" w:type="dxa"/>
            <w:vAlign w:val="bottom"/>
          </w:tcPr>
          <w:p>
            <w:pPr>
              <w:ind w:left="6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0.4</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0.1</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(2.1)</w:t>
            </w:r>
          </w:p>
        </w:tc>
        <w:tc>
          <w:tcPr>
            <w:tcW w:w="880" w:type="dxa"/>
            <w:vAlign w:val="bottom"/>
          </w:tcPr>
          <w:p>
            <w:pPr>
              <w:ind w:left="6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rPr>
                <w:sz w:val="20"/>
                <w:szCs w:val="20"/>
                <w:color w:val="auto"/>
              </w:rPr>
            </w:pPr>
            <w:r>
              <w:rPr>
                <w:rFonts w:ascii="Arial" w:cs="Arial" w:eastAsia="Arial" w:hAnsi="Arial"/>
                <w:sz w:val="14"/>
                <w:szCs w:val="14"/>
                <w:color w:val="auto"/>
              </w:rPr>
              <w:t>Income tax rate</w:t>
            </w:r>
          </w:p>
        </w:tc>
        <w:tc>
          <w:tcPr>
            <w:tcW w:w="800" w:type="dxa"/>
            <w:vAlign w:val="bottom"/>
          </w:tcPr>
          <w:p>
            <w:pPr>
              <w:jc w:val="right"/>
              <w:spacing w:after="0"/>
              <w:rPr>
                <w:sz w:val="20"/>
                <w:szCs w:val="20"/>
                <w:color w:val="auto"/>
              </w:rPr>
            </w:pPr>
            <w:r>
              <w:rPr>
                <w:rFonts w:ascii="Arial" w:cs="Arial" w:eastAsia="Arial" w:hAnsi="Arial"/>
                <w:sz w:val="13"/>
                <w:szCs w:val="13"/>
                <w:color w:val="auto"/>
              </w:rPr>
              <w:t>13.2 %</w:t>
            </w:r>
          </w:p>
        </w:tc>
        <w:tc>
          <w:tcPr>
            <w:tcW w:w="90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3.3 %</w:t>
            </w:r>
          </w:p>
        </w:tc>
        <w:tc>
          <w:tcPr>
            <w:tcW w:w="920" w:type="dxa"/>
            <w:vAlign w:val="bottom"/>
          </w:tcPr>
          <w:p>
            <w:pPr>
              <w:jc w:val="right"/>
              <w:spacing w:after="0"/>
              <w:rPr>
                <w:sz w:val="20"/>
                <w:szCs w:val="20"/>
                <w:color w:val="auto"/>
              </w:rPr>
            </w:pPr>
            <w:r>
              <w:rPr>
                <w:rFonts w:ascii="Arial" w:cs="Arial" w:eastAsia="Arial" w:hAnsi="Arial"/>
                <w:sz w:val="13"/>
                <w:szCs w:val="13"/>
                <w:color w:val="auto"/>
              </w:rPr>
              <w:t>6.6 %</w:t>
            </w:r>
          </w:p>
        </w:tc>
        <w:tc>
          <w:tcPr>
            <w:tcW w:w="920" w:type="dxa"/>
            <w:vAlign w:val="bottom"/>
          </w:tcPr>
          <w:p>
            <w:pPr>
              <w:ind w:left="600"/>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(2.5)%</w:t>
            </w:r>
          </w:p>
        </w:tc>
        <w:tc>
          <w:tcPr>
            <w:tcW w:w="1000" w:type="dxa"/>
            <w:vAlign w:val="bottom"/>
          </w:tcPr>
          <w:p>
            <w:pPr>
              <w:jc w:val="right"/>
              <w:spacing w:after="0"/>
              <w:rPr>
                <w:sz w:val="20"/>
                <w:szCs w:val="20"/>
                <w:color w:val="auto"/>
              </w:rPr>
            </w:pPr>
            <w:r>
              <w:rPr>
                <w:rFonts w:ascii="Arial" w:cs="Arial" w:eastAsia="Arial" w:hAnsi="Arial"/>
                <w:sz w:val="13"/>
                <w:szCs w:val="13"/>
                <w:color w:val="auto"/>
              </w:rPr>
              <w:t>1.2 %</w:t>
            </w:r>
          </w:p>
        </w:tc>
        <w:tc>
          <w:tcPr>
            <w:tcW w:w="920" w:type="dxa"/>
            <w:vAlign w:val="bottom"/>
          </w:tcPr>
          <w:p>
            <w:pPr>
              <w:jc w:val="right"/>
              <w:spacing w:after="0"/>
              <w:rPr>
                <w:sz w:val="20"/>
                <w:szCs w:val="20"/>
                <w:color w:val="auto"/>
              </w:rPr>
            </w:pPr>
            <w:r>
              <w:rPr>
                <w:rFonts w:ascii="Arial" w:cs="Arial" w:eastAsia="Arial" w:hAnsi="Arial"/>
                <w:sz w:val="13"/>
                <w:szCs w:val="13"/>
                <w:color w:val="auto"/>
              </w:rPr>
              <w:t>N/A</w:t>
            </w:r>
          </w:p>
        </w:tc>
        <w:tc>
          <w:tcPr>
            <w:tcW w:w="880" w:type="dxa"/>
            <w:vAlign w:val="bottom"/>
          </w:tcPr>
          <w:p>
            <w:pPr>
              <w:ind w:left="600"/>
              <w:spacing w:after="0"/>
              <w:rPr>
                <w:sz w:val="20"/>
                <w:szCs w:val="20"/>
                <w:color w:val="auto"/>
              </w:rPr>
            </w:pPr>
            <w:r>
              <w:rPr>
                <w:rFonts w:ascii="Arial" w:cs="Arial" w:eastAsia="Arial" w:hAnsi="Arial"/>
                <w:sz w:val="13"/>
                <w:szCs w:val="13"/>
                <w:color w:val="auto"/>
                <w:w w:val="92"/>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4.8 %</w:t>
            </w: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16.4</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0.2</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0.6</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6.1</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(1.5)</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(17.7)</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11.4</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2.1</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10.9</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151"/>
        </w:trPr>
        <w:tc>
          <w:tcPr>
            <w:tcW w:w="2100" w:type="dxa"/>
            <w:vAlign w:val="bottom"/>
          </w:tcPr>
          <w:p>
            <w:pPr>
              <w:ind w:left="20"/>
              <w:spacing w:after="0" w:line="151" w:lineRule="exact"/>
              <w:rPr>
                <w:sz w:val="20"/>
                <w:szCs w:val="20"/>
                <w:color w:val="auto"/>
              </w:rPr>
            </w:pPr>
            <w:r>
              <w:rPr>
                <w:rFonts w:ascii="Arial" w:cs="Arial" w:eastAsia="Arial" w:hAnsi="Arial"/>
                <w:sz w:val="14"/>
                <w:szCs w:val="14"/>
                <w:color w:val="auto"/>
              </w:rPr>
              <w:t>Net income as a percent of net</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00" w:type="dxa"/>
            <w:vAlign w:val="bottom"/>
          </w:tcPr>
          <w:p>
            <w:pPr>
              <w:ind w:left="20"/>
              <w:spacing w:after="0"/>
              <w:rPr>
                <w:sz w:val="20"/>
                <w:szCs w:val="20"/>
                <w:color w:val="auto"/>
              </w:rPr>
            </w:pPr>
            <w:r>
              <w:rPr>
                <w:rFonts w:ascii="Arial" w:cs="Arial" w:eastAsia="Arial" w:hAnsi="Arial"/>
                <w:sz w:val="14"/>
                <w:szCs w:val="14"/>
                <w:color w:val="auto"/>
              </w:rPr>
              <w:t>sales</w:t>
            </w:r>
          </w:p>
        </w:tc>
        <w:tc>
          <w:tcPr>
            <w:tcW w:w="800" w:type="dxa"/>
            <w:vAlign w:val="bottom"/>
          </w:tcPr>
          <w:p>
            <w:pPr>
              <w:jc w:val="right"/>
              <w:spacing w:after="0"/>
              <w:rPr>
                <w:sz w:val="20"/>
                <w:szCs w:val="20"/>
                <w:color w:val="auto"/>
              </w:rPr>
            </w:pPr>
            <w:r>
              <w:rPr>
                <w:rFonts w:ascii="Arial" w:cs="Arial" w:eastAsia="Arial" w:hAnsi="Arial"/>
                <w:sz w:val="13"/>
                <w:szCs w:val="13"/>
                <w:color w:val="auto"/>
              </w:rPr>
              <w:t>6.5 %</w:t>
            </w:r>
          </w:p>
        </w:tc>
        <w:tc>
          <w:tcPr>
            <w:tcW w:w="900" w:type="dxa"/>
            <w:vAlign w:val="bottom"/>
          </w:tcPr>
          <w:p>
            <w:pPr>
              <w:jc w:val="right"/>
              <w:spacing w:after="0"/>
              <w:rPr>
                <w:sz w:val="20"/>
                <w:szCs w:val="20"/>
                <w:color w:val="auto"/>
              </w:rPr>
            </w:pPr>
            <w:r>
              <w:rPr>
                <w:rFonts w:ascii="Arial" w:cs="Arial" w:eastAsia="Arial" w:hAnsi="Arial"/>
                <w:sz w:val="13"/>
                <w:szCs w:val="13"/>
                <w:color w:val="auto"/>
              </w:rPr>
              <w:t>0.1 %</w:t>
            </w:r>
          </w:p>
        </w:tc>
        <w:tc>
          <w:tcPr>
            <w:tcW w:w="960" w:type="dxa"/>
            <w:vAlign w:val="bottom"/>
          </w:tcPr>
          <w:p>
            <w:pPr>
              <w:jc w:val="right"/>
              <w:spacing w:after="0"/>
              <w:rPr>
                <w:sz w:val="20"/>
                <w:szCs w:val="20"/>
                <w:color w:val="auto"/>
              </w:rPr>
            </w:pPr>
            <w:r>
              <w:rPr>
                <w:rFonts w:ascii="Arial" w:cs="Arial" w:eastAsia="Arial" w:hAnsi="Arial"/>
                <w:sz w:val="13"/>
                <w:szCs w:val="13"/>
                <w:color w:val="auto"/>
              </w:rPr>
              <w:t>0.2 %</w:t>
            </w:r>
          </w:p>
        </w:tc>
        <w:tc>
          <w:tcPr>
            <w:tcW w:w="920" w:type="dxa"/>
            <w:vAlign w:val="bottom"/>
          </w:tcPr>
          <w:p>
            <w:pPr>
              <w:jc w:val="right"/>
              <w:spacing w:after="0"/>
              <w:rPr>
                <w:sz w:val="20"/>
                <w:szCs w:val="20"/>
                <w:color w:val="auto"/>
              </w:rPr>
            </w:pPr>
            <w:r>
              <w:rPr>
                <w:rFonts w:ascii="Arial" w:cs="Arial" w:eastAsia="Arial" w:hAnsi="Arial"/>
                <w:sz w:val="13"/>
                <w:szCs w:val="13"/>
                <w:color w:val="auto"/>
              </w:rPr>
              <w:t>2.4 %</w:t>
            </w:r>
          </w:p>
        </w:tc>
        <w:tc>
          <w:tcPr>
            <w:tcW w:w="920" w:type="dxa"/>
            <w:vAlign w:val="bottom"/>
          </w:tcPr>
          <w:p>
            <w:pPr>
              <w:jc w:val="right"/>
              <w:spacing w:after="0"/>
              <w:rPr>
                <w:sz w:val="20"/>
                <w:szCs w:val="20"/>
                <w:color w:val="auto"/>
              </w:rPr>
            </w:pPr>
            <w:r>
              <w:rPr>
                <w:rFonts w:ascii="Arial" w:cs="Arial" w:eastAsia="Arial" w:hAnsi="Arial"/>
                <w:sz w:val="13"/>
                <w:szCs w:val="13"/>
                <w:color w:val="auto"/>
              </w:rPr>
              <w:t>(0.6)%</w:t>
            </w:r>
          </w:p>
        </w:tc>
        <w:tc>
          <w:tcPr>
            <w:tcW w:w="1000" w:type="dxa"/>
            <w:vAlign w:val="bottom"/>
          </w:tcPr>
          <w:p>
            <w:pPr>
              <w:jc w:val="right"/>
              <w:spacing w:after="0"/>
              <w:rPr>
                <w:sz w:val="20"/>
                <w:szCs w:val="20"/>
                <w:color w:val="auto"/>
              </w:rPr>
            </w:pPr>
            <w:r>
              <w:rPr>
                <w:rFonts w:ascii="Arial" w:cs="Arial" w:eastAsia="Arial" w:hAnsi="Arial"/>
                <w:sz w:val="13"/>
                <w:szCs w:val="13"/>
                <w:color w:val="auto"/>
              </w:rPr>
              <w:t>(7.0)%</w:t>
            </w:r>
          </w:p>
        </w:tc>
        <w:tc>
          <w:tcPr>
            <w:tcW w:w="1000" w:type="dxa"/>
            <w:vAlign w:val="bottom"/>
          </w:tcPr>
          <w:p>
            <w:pPr>
              <w:jc w:val="right"/>
              <w:spacing w:after="0"/>
              <w:rPr>
                <w:sz w:val="20"/>
                <w:szCs w:val="20"/>
                <w:color w:val="auto"/>
              </w:rPr>
            </w:pPr>
            <w:r>
              <w:rPr>
                <w:rFonts w:ascii="Arial" w:cs="Arial" w:eastAsia="Arial" w:hAnsi="Arial"/>
                <w:sz w:val="13"/>
                <w:szCs w:val="13"/>
                <w:color w:val="auto"/>
              </w:rPr>
              <w:t>4.5 %</w:t>
            </w:r>
          </w:p>
        </w:tc>
        <w:tc>
          <w:tcPr>
            <w:tcW w:w="920" w:type="dxa"/>
            <w:vAlign w:val="bottom"/>
          </w:tcPr>
          <w:p>
            <w:pPr>
              <w:jc w:val="right"/>
              <w:spacing w:after="0"/>
              <w:rPr>
                <w:sz w:val="20"/>
                <w:szCs w:val="20"/>
                <w:color w:val="auto"/>
              </w:rPr>
            </w:pPr>
            <w:r>
              <w:rPr>
                <w:rFonts w:ascii="Arial" w:cs="Arial" w:eastAsia="Arial" w:hAnsi="Arial"/>
                <w:sz w:val="13"/>
                <w:szCs w:val="13"/>
                <w:color w:val="auto"/>
              </w:rPr>
              <w:t>0.8 %</w:t>
            </w:r>
          </w:p>
        </w:tc>
        <w:tc>
          <w:tcPr>
            <w:tcW w:w="880" w:type="dxa"/>
            <w:vAlign w:val="bottom"/>
          </w:tcPr>
          <w:p>
            <w:pPr>
              <w:jc w:val="right"/>
              <w:spacing w:after="0"/>
              <w:rPr>
                <w:sz w:val="20"/>
                <w:szCs w:val="20"/>
                <w:color w:val="auto"/>
              </w:rPr>
            </w:pPr>
            <w:r>
              <w:rPr>
                <w:rFonts w:ascii="Arial" w:cs="Arial" w:eastAsia="Arial" w:hAnsi="Arial"/>
                <w:sz w:val="13"/>
                <w:szCs w:val="13"/>
                <w:color w:val="auto"/>
              </w:rPr>
              <w:t>4.3 %</w:t>
            </w:r>
          </w:p>
        </w:tc>
        <w:tc>
          <w:tcPr>
            <w:tcW w:w="820" w:type="dxa"/>
            <w:vAlign w:val="bottom"/>
          </w:tcPr>
          <w:p>
            <w:pPr>
              <w:jc w:val="right"/>
              <w:spacing w:after="0"/>
              <w:rPr>
                <w:sz w:val="20"/>
                <w:szCs w:val="20"/>
                <w:color w:val="auto"/>
              </w:rPr>
            </w:pPr>
            <w:r>
              <w:rPr>
                <w:rFonts w:ascii="Arial" w:cs="Arial" w:eastAsia="Arial" w:hAnsi="Arial"/>
                <w:sz w:val="13"/>
                <w:szCs w:val="13"/>
                <w:color w:val="auto"/>
              </w:rPr>
              <w:t>11.2 %</w:t>
            </w: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$0.30</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$0.01</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$0.11</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($0.03)</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($0.33)</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$0.21</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$0.04</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$0.20</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$0.53</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three months ended June 30, 2022 include:</w:t>
      </w:r>
    </w:p>
    <w:p>
      <w:pPr>
        <w:spacing w:after="0" w:line="45" w:lineRule="exact"/>
        <w:rPr>
          <w:sz w:val="20"/>
          <w:szCs w:val="20"/>
          <w:color w:val="auto"/>
        </w:rPr>
      </w:pPr>
    </w:p>
    <w:p>
      <w:pPr>
        <w:ind w:left="340" w:hanging="315"/>
        <w:spacing w:after="0"/>
        <w:tabs>
          <w:tab w:leader="none" w:pos="340" w:val="left"/>
        </w:tabs>
        <w:numPr>
          <w:ilvl w:val="0"/>
          <w:numId w:val="16"/>
        </w:numPr>
        <w:rPr>
          <w:rFonts w:ascii="Arial" w:cs="Arial" w:eastAsia="Arial" w:hAnsi="Arial"/>
          <w:sz w:val="14"/>
          <w:szCs w:val="14"/>
          <w:b w:val="1"/>
          <w:bCs w:val="1"/>
          <w:color w:val="auto"/>
        </w:rPr>
      </w:pPr>
      <w:r>
        <w:rPr>
          <w:rFonts w:ascii="Arial" w:cs="Arial" w:eastAsia="Arial" w:hAnsi="Arial"/>
          <w:sz w:val="14"/>
          <w:szCs w:val="14"/>
          <w:color w:val="auto"/>
        </w:rPr>
        <w:t>Merger and integration expenses related to the acquisition of ALung Technologies, Inc.</w:t>
      </w:r>
    </w:p>
    <w:p>
      <w:pPr>
        <w:spacing w:after="0" w:line="26" w:lineRule="exact"/>
        <w:rPr>
          <w:rFonts w:ascii="Arial" w:cs="Arial" w:eastAsia="Arial" w:hAnsi="Arial"/>
          <w:sz w:val="14"/>
          <w:szCs w:val="14"/>
          <w:b w:val="1"/>
          <w:bCs w:val="1"/>
          <w:color w:val="auto"/>
        </w:rPr>
      </w:pPr>
    </w:p>
    <w:p>
      <w:pPr>
        <w:ind w:left="340" w:hanging="315"/>
        <w:spacing w:after="0"/>
        <w:tabs>
          <w:tab w:leader="none" w:pos="340" w:val="left"/>
        </w:tabs>
        <w:numPr>
          <w:ilvl w:val="0"/>
          <w:numId w:val="16"/>
        </w:numPr>
        <w:rPr>
          <w:rFonts w:ascii="Arial" w:cs="Arial" w:eastAsia="Arial" w:hAnsi="Arial"/>
          <w:sz w:val="14"/>
          <w:szCs w:val="14"/>
          <w:b w:val="1"/>
          <w:bCs w:val="1"/>
          <w:color w:val="auto"/>
        </w:rPr>
      </w:pPr>
      <w:r>
        <w:rPr>
          <w:rFonts w:ascii="Arial" w:cs="Arial" w:eastAsia="Arial" w:hAnsi="Arial"/>
          <w:sz w:val="14"/>
          <w:szCs w:val="14"/>
          <w:color w:val="auto"/>
        </w:rPr>
        <w:t>Restructuring expenses related to organizational changes</w:t>
      </w:r>
    </w:p>
    <w:p>
      <w:pPr>
        <w:spacing w:after="0" w:line="26" w:lineRule="exact"/>
        <w:rPr>
          <w:rFonts w:ascii="Arial" w:cs="Arial" w:eastAsia="Arial" w:hAnsi="Arial"/>
          <w:sz w:val="14"/>
          <w:szCs w:val="14"/>
          <w:b w:val="1"/>
          <w:bCs w:val="1"/>
          <w:color w:val="auto"/>
        </w:rPr>
      </w:pPr>
    </w:p>
    <w:p>
      <w:pPr>
        <w:ind w:left="340" w:hanging="315"/>
        <w:spacing w:after="0"/>
        <w:tabs>
          <w:tab w:leader="none" w:pos="340" w:val="left"/>
        </w:tabs>
        <w:numPr>
          <w:ilvl w:val="0"/>
          <w:numId w:val="16"/>
        </w:numPr>
        <w:rPr>
          <w:rFonts w:ascii="Arial" w:cs="Arial" w:eastAsia="Arial" w:hAnsi="Arial"/>
          <w:sz w:val="14"/>
          <w:szCs w:val="14"/>
          <w:b w:val="1"/>
          <w:bCs w:val="1"/>
          <w:color w:val="auto"/>
        </w:rPr>
      </w:pPr>
      <w:r>
        <w:rPr>
          <w:rFonts w:ascii="Arial" w:cs="Arial" w:eastAsia="Arial" w:hAnsi="Arial"/>
          <w:sz w:val="14"/>
          <w:szCs w:val="14"/>
          <w:color w:val="auto"/>
        </w:rPr>
        <w:t>Includes depreciation and amortization associated with purchase price accounting</w:t>
      </w:r>
    </w:p>
    <w:p>
      <w:pPr>
        <w:spacing w:after="0" w:line="26" w:lineRule="exact"/>
        <w:rPr>
          <w:rFonts w:ascii="Arial" w:cs="Arial" w:eastAsia="Arial" w:hAnsi="Arial"/>
          <w:sz w:val="14"/>
          <w:szCs w:val="14"/>
          <w:b w:val="1"/>
          <w:bCs w:val="1"/>
          <w:color w:val="auto"/>
        </w:rPr>
      </w:pPr>
    </w:p>
    <w:p>
      <w:pPr>
        <w:ind w:left="340" w:hanging="315"/>
        <w:spacing w:after="0"/>
        <w:tabs>
          <w:tab w:leader="none" w:pos="340" w:val="left"/>
        </w:tabs>
        <w:numPr>
          <w:ilvl w:val="0"/>
          <w:numId w:val="16"/>
        </w:numPr>
        <w:rPr>
          <w:rFonts w:ascii="Arial" w:cs="Arial" w:eastAsia="Arial" w:hAnsi="Arial"/>
          <w:sz w:val="14"/>
          <w:szCs w:val="14"/>
          <w:b w:val="1"/>
          <w:bCs w:val="1"/>
          <w:color w:val="auto"/>
        </w:rPr>
      </w:pPr>
      <w:r>
        <w:rPr>
          <w:rFonts w:ascii="Arial" w:cs="Arial" w:eastAsia="Arial" w:hAnsi="Arial"/>
          <w:sz w:val="14"/>
          <w:szCs w:val="14"/>
          <w:color w:val="auto"/>
        </w:rPr>
        <w:t>Mark-to-market adjustments for the exchangeable option feature and capped call derivatives</w:t>
      </w:r>
    </w:p>
    <w:p>
      <w:pPr>
        <w:spacing w:after="0" w:line="26" w:lineRule="exact"/>
        <w:rPr>
          <w:rFonts w:ascii="Arial" w:cs="Arial" w:eastAsia="Arial" w:hAnsi="Arial"/>
          <w:sz w:val="14"/>
          <w:szCs w:val="14"/>
          <w:b w:val="1"/>
          <w:bCs w:val="1"/>
          <w:color w:val="auto"/>
        </w:rPr>
      </w:pPr>
    </w:p>
    <w:p>
      <w:pPr>
        <w:ind w:left="340" w:right="140" w:hanging="315"/>
        <w:spacing w:after="0" w:line="227" w:lineRule="auto"/>
        <w:tabs>
          <w:tab w:leader="none" w:pos="340" w:val="left"/>
        </w:tabs>
        <w:numPr>
          <w:ilvl w:val="0"/>
          <w:numId w:val="16"/>
        </w:numPr>
        <w:rPr>
          <w:rFonts w:ascii="Arial" w:cs="Arial" w:eastAsia="Arial" w:hAnsi="Arial"/>
          <w:sz w:val="14"/>
          <w:szCs w:val="14"/>
          <w:b w:val="1"/>
          <w:bCs w:val="1"/>
          <w:color w:val="auto"/>
        </w:rPr>
      </w:pPr>
      <w:r>
        <w:rPr>
          <w:rFonts w:ascii="Arial" w:cs="Arial" w:eastAsia="Arial" w:hAnsi="Arial"/>
          <w:sz w:val="14"/>
          <w:szCs w:val="14"/>
          <w:color w:val="auto"/>
        </w:rPr>
        <w:t>3T Heater-Cooler litigation provision, legal expenses primarily related to 3T Heater-Cooler defense, costs related to the SNIA matter, other matters and remeasurement of contingent consideration related to acquisitions</w:t>
      </w:r>
    </w:p>
    <w:p>
      <w:pPr>
        <w:spacing w:after="0" w:line="17" w:lineRule="exact"/>
        <w:rPr>
          <w:rFonts w:ascii="Arial" w:cs="Arial" w:eastAsia="Arial" w:hAnsi="Arial"/>
          <w:sz w:val="14"/>
          <w:szCs w:val="14"/>
          <w:b w:val="1"/>
          <w:bCs w:val="1"/>
          <w:color w:val="auto"/>
        </w:rPr>
      </w:pPr>
    </w:p>
    <w:p>
      <w:pPr>
        <w:ind w:left="340" w:hanging="315"/>
        <w:spacing w:after="0"/>
        <w:tabs>
          <w:tab w:leader="none" w:pos="340" w:val="left"/>
        </w:tabs>
        <w:numPr>
          <w:ilvl w:val="0"/>
          <w:numId w:val="16"/>
        </w:numPr>
        <w:rPr>
          <w:rFonts w:ascii="Arial" w:cs="Arial" w:eastAsia="Arial" w:hAnsi="Arial"/>
          <w:sz w:val="14"/>
          <w:szCs w:val="14"/>
          <w:b w:val="1"/>
          <w:bCs w:val="1"/>
          <w:color w:val="auto"/>
        </w:rPr>
      </w:pPr>
      <w:r>
        <w:rPr>
          <w:rFonts w:ascii="Arial" w:cs="Arial" w:eastAsia="Arial" w:hAnsi="Arial"/>
          <w:sz w:val="14"/>
          <w:szCs w:val="14"/>
          <w:color w:val="auto"/>
        </w:rPr>
        <w:t>Non-cash expenses associated with stock-based compensation costs</w:t>
      </w:r>
    </w:p>
    <w:p>
      <w:pPr>
        <w:spacing w:after="0" w:line="26" w:lineRule="exact"/>
        <w:rPr>
          <w:rFonts w:ascii="Arial" w:cs="Arial" w:eastAsia="Arial" w:hAnsi="Arial"/>
          <w:sz w:val="14"/>
          <w:szCs w:val="14"/>
          <w:b w:val="1"/>
          <w:bCs w:val="1"/>
          <w:color w:val="auto"/>
        </w:rPr>
      </w:pPr>
    </w:p>
    <w:p>
      <w:pPr>
        <w:ind w:left="340" w:hanging="315"/>
        <w:spacing w:after="0"/>
        <w:tabs>
          <w:tab w:leader="none" w:pos="340" w:val="left"/>
        </w:tabs>
        <w:numPr>
          <w:ilvl w:val="0"/>
          <w:numId w:val="16"/>
        </w:numPr>
        <w:rPr>
          <w:rFonts w:ascii="Arial" w:cs="Arial" w:eastAsia="Arial" w:hAnsi="Arial"/>
          <w:sz w:val="14"/>
          <w:szCs w:val="14"/>
          <w:b w:val="1"/>
          <w:bCs w:val="1"/>
          <w:color w:val="auto"/>
        </w:rPr>
      </w:pPr>
      <w:r>
        <w:rPr>
          <w:rFonts w:ascii="Arial" w:cs="Arial" w:eastAsia="Arial" w:hAnsi="Arial"/>
          <w:sz w:val="14"/>
          <w:szCs w:val="14"/>
          <w:color w:val="auto"/>
        </w:rPr>
        <w:t>Relates to discrete tax items, R&amp;D tax credits and the tax impact of intercompany transactions</w:t>
      </w:r>
    </w:p>
    <w:p>
      <w:pPr>
        <w:spacing w:after="0" w:line="26" w:lineRule="exact"/>
        <w:rPr>
          <w:rFonts w:ascii="Arial" w:cs="Arial" w:eastAsia="Arial" w:hAnsi="Arial"/>
          <w:sz w:val="14"/>
          <w:szCs w:val="14"/>
          <w:b w:val="1"/>
          <w:bCs w:val="1"/>
          <w:color w:val="auto"/>
        </w:rPr>
      </w:pPr>
    </w:p>
    <w:p>
      <w:pPr>
        <w:ind w:left="340" w:hanging="315"/>
        <w:spacing w:after="0"/>
        <w:tabs>
          <w:tab w:leader="none" w:pos="340" w:val="left"/>
        </w:tabs>
        <w:numPr>
          <w:ilvl w:val="0"/>
          <w:numId w:val="16"/>
        </w:numPr>
        <w:rPr>
          <w:rFonts w:ascii="Arial" w:cs="Arial" w:eastAsia="Arial" w:hAnsi="Arial"/>
          <w:sz w:val="14"/>
          <w:szCs w:val="14"/>
          <w:b w:val="1"/>
          <w:bCs w:val="1"/>
          <w:color w:val="auto"/>
        </w:rPr>
      </w:pPr>
      <w:r>
        <w:rPr>
          <w:rFonts w:ascii="Arial" w:cs="Arial" w:eastAsia="Arial" w:hAnsi="Arial"/>
          <w:sz w:val="14"/>
          <w:szCs w:val="14"/>
          <w:color w:val="auto"/>
        </w:rPr>
        <w:t>Non-cash interest expense on the Cash Exchangeable Senior Notes and 2021 Revolving Credit Facility, and interest expense on the 2022 Bridge Loan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Numbers may not add precisely due to rounding.</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20"/>
          </w:cols>
          <w:pgMar w:left="320" w:top="802" w:right="359" w:bottom="1440" w:gutter="0" w:footer="0" w:header="0"/>
        </w:sectPr>
      </w:pPr>
    </w:p>
    <w:bookmarkStart w:id="17" w:name="page18"/>
    <w:bookmarkEnd w:id="17"/>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1964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6455" cy="8255"/>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4"/>
          <w:szCs w:val="14"/>
          <w:b w:val="1"/>
          <w:bCs w:val="1"/>
          <w:color w:val="auto"/>
        </w:rPr>
        <w:t>Specified Items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4"/>
              </w:rPr>
              <w:t>Merger and</w:t>
            </w:r>
          </w:p>
        </w:tc>
        <w:tc>
          <w:tcPr>
            <w:tcW w:w="9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center"/>
              <w:ind w:right="17"/>
              <w:spacing w:after="0" w:line="114" w:lineRule="exact"/>
              <w:rPr>
                <w:sz w:val="20"/>
                <w:szCs w:val="20"/>
                <w:color w:val="auto"/>
              </w:rPr>
            </w:pPr>
            <w:r>
              <w:rPr>
                <w:rFonts w:ascii="Arial" w:cs="Arial" w:eastAsia="Arial" w:hAnsi="Arial"/>
                <w:sz w:val="13"/>
                <w:szCs w:val="13"/>
                <w:b w:val="1"/>
                <w:bCs w:val="1"/>
                <w:color w:val="auto"/>
                <w:w w:val="96"/>
              </w:rPr>
              <w:t>Depreciation</w:t>
            </w:r>
          </w:p>
        </w:tc>
        <w:tc>
          <w:tcPr>
            <w:tcW w:w="6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w w:val="95"/>
              </w:rPr>
              <w:t>Certain Legal,</w:t>
            </w:r>
          </w:p>
        </w:tc>
        <w:tc>
          <w:tcPr>
            <w:tcW w:w="1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Stock-based</w:t>
            </w:r>
          </w:p>
        </w:tc>
        <w:tc>
          <w:tcPr>
            <w:tcW w:w="9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3"/>
              </w:rPr>
              <w:t>Certain</w:t>
            </w: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9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Three Months</w:t>
            </w: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GAAP</w:t>
            </w:r>
          </w:p>
        </w:tc>
        <w:tc>
          <w:tcPr>
            <w:tcW w:w="820" w:type="dxa"/>
            <w:vAlign w:val="bottom"/>
            <w:vMerge w:val="continue"/>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Restructuring</w:t>
            </w:r>
          </w:p>
        </w:tc>
        <w:tc>
          <w:tcPr>
            <w:tcW w:w="9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4"/>
              </w:rPr>
              <w:t>and</w:t>
            </w:r>
          </w:p>
        </w:tc>
        <w:tc>
          <w:tcPr>
            <w:tcW w:w="60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6"/>
              </w:rPr>
              <w:t>Heart</w:t>
            </w:r>
          </w:p>
        </w:tc>
        <w:tc>
          <w:tcPr>
            <w:tcW w:w="90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6"/>
              </w:rPr>
              <w:t>Production</w:t>
            </w: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Financing</w:t>
            </w:r>
          </w:p>
        </w:tc>
        <w:tc>
          <w:tcPr>
            <w:tcW w:w="10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Contingent</w:t>
            </w:r>
          </w:p>
        </w:tc>
        <w:tc>
          <w:tcPr>
            <w:tcW w:w="10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Certain Tax</w:t>
            </w:r>
          </w:p>
        </w:tc>
        <w:tc>
          <w:tcPr>
            <w:tcW w:w="880" w:type="dxa"/>
            <w:vAlign w:val="bottom"/>
            <w:vMerge w:val="continue"/>
          </w:tcPr>
          <w:p>
            <w:pPr>
              <w:spacing w:after="0"/>
              <w:rPr>
                <w:sz w:val="10"/>
                <w:szCs w:val="10"/>
                <w:color w:val="auto"/>
              </w:rPr>
            </w:pPr>
          </w:p>
        </w:tc>
        <w:tc>
          <w:tcPr>
            <w:tcW w:w="74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8"/>
              </w:rPr>
              <w:t>Integration</w:t>
            </w:r>
          </w:p>
        </w:tc>
        <w:tc>
          <w:tcPr>
            <w:tcW w:w="960" w:type="dxa"/>
            <w:vAlign w:val="bottom"/>
            <w:vMerge w:val="continue"/>
          </w:tcPr>
          <w:p>
            <w:pPr>
              <w:spacing w:after="0"/>
              <w:rPr>
                <w:sz w:val="10"/>
                <w:szCs w:val="10"/>
                <w:color w:val="auto"/>
              </w:rPr>
            </w:pPr>
          </w:p>
        </w:tc>
        <w:tc>
          <w:tcPr>
            <w:tcW w:w="920" w:type="dxa"/>
            <w:vAlign w:val="bottom"/>
          </w:tcPr>
          <w:p>
            <w:pPr>
              <w:jc w:val="center"/>
              <w:ind w:right="17"/>
              <w:spacing w:after="0" w:line="121" w:lineRule="exact"/>
              <w:rPr>
                <w:sz w:val="20"/>
                <w:szCs w:val="20"/>
                <w:color w:val="auto"/>
              </w:rPr>
            </w:pPr>
            <w:r>
              <w:rPr>
                <w:rFonts w:ascii="Arial" w:cs="Arial" w:eastAsia="Arial" w:hAnsi="Arial"/>
                <w:sz w:val="13"/>
                <w:szCs w:val="13"/>
                <w:b w:val="1"/>
                <w:bCs w:val="1"/>
                <w:color w:val="auto"/>
                <w:w w:val="95"/>
              </w:rPr>
              <w:t>Amortization</w:t>
            </w:r>
          </w:p>
        </w:tc>
        <w:tc>
          <w:tcPr>
            <w:tcW w:w="6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00" w:type="dxa"/>
            <w:vAlign w:val="bottom"/>
          </w:tcPr>
          <w:p>
            <w:pPr>
              <w:jc w:val="center"/>
              <w:ind w:right="17"/>
              <w:spacing w:after="0" w:line="121" w:lineRule="exact"/>
              <w:rPr>
                <w:sz w:val="20"/>
                <w:szCs w:val="20"/>
                <w:color w:val="auto"/>
              </w:rPr>
            </w:pPr>
            <w:r>
              <w:rPr>
                <w:rFonts w:ascii="Arial" w:cs="Arial" w:eastAsia="Arial" w:hAnsi="Arial"/>
                <w:sz w:val="13"/>
                <w:szCs w:val="13"/>
                <w:b w:val="1"/>
                <w:bCs w:val="1"/>
                <w:color w:val="auto"/>
                <w:w w:val="96"/>
              </w:rPr>
              <w:t>Consideration</w:t>
            </w:r>
          </w:p>
        </w:tc>
        <w:tc>
          <w:tcPr>
            <w:tcW w:w="10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Compensation</w:t>
            </w:r>
          </w:p>
        </w:tc>
        <w:tc>
          <w:tcPr>
            <w:tcW w:w="920" w:type="dxa"/>
            <w:vAlign w:val="bottom"/>
            <w:vMerge w:val="continue"/>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Interest</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60" w:type="dxa"/>
            <w:vAlign w:val="bottom"/>
          </w:tcPr>
          <w:p>
            <w:pPr>
              <w:ind w:left="20"/>
              <w:spacing w:after="0" w:line="121" w:lineRule="exact"/>
              <w:rPr>
                <w:sz w:val="20"/>
                <w:szCs w:val="20"/>
                <w:color w:val="auto"/>
              </w:rPr>
            </w:pPr>
            <w:r>
              <w:rPr>
                <w:rFonts w:ascii="Arial" w:cs="Arial" w:eastAsia="Arial" w:hAnsi="Arial"/>
                <w:sz w:val="13"/>
                <w:szCs w:val="13"/>
                <w:b w:val="1"/>
                <w:bCs w:val="1"/>
                <w:color w:val="auto"/>
              </w:rPr>
              <w:t>Ended</w:t>
            </w:r>
          </w:p>
        </w:tc>
        <w:tc>
          <w:tcPr>
            <w:tcW w:w="7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Financial</w:t>
            </w:r>
          </w:p>
        </w:tc>
        <w:tc>
          <w:tcPr>
            <w:tcW w:w="820" w:type="dxa"/>
            <w:vAlign w:val="bottom"/>
          </w:tcPr>
          <w:p>
            <w:pPr>
              <w:jc w:val="center"/>
              <w:ind w:right="17"/>
              <w:spacing w:after="0" w:line="121" w:lineRule="exact"/>
              <w:rPr>
                <w:sz w:val="20"/>
                <w:szCs w:val="20"/>
                <w:color w:val="auto"/>
              </w:rPr>
            </w:pPr>
            <w:r>
              <w:rPr>
                <w:rFonts w:ascii="Arial" w:cs="Arial" w:eastAsia="Arial" w:hAnsi="Arial"/>
                <w:sz w:val="13"/>
                <w:szCs w:val="13"/>
                <w:b w:val="1"/>
                <w:bCs w:val="1"/>
                <w:color w:val="auto"/>
                <w:w w:val="95"/>
              </w:rPr>
              <w:t>Expenses</w:t>
            </w:r>
          </w:p>
        </w:tc>
        <w:tc>
          <w:tcPr>
            <w:tcW w:w="960" w:type="dxa"/>
            <w:vAlign w:val="bottom"/>
          </w:tcPr>
          <w:p>
            <w:pPr>
              <w:jc w:val="center"/>
              <w:ind w:right="37"/>
              <w:spacing w:after="0" w:line="121" w:lineRule="exact"/>
              <w:rPr>
                <w:sz w:val="20"/>
                <w:szCs w:val="20"/>
                <w:color w:val="auto"/>
              </w:rPr>
            </w:pPr>
            <w:r>
              <w:rPr>
                <w:rFonts w:ascii="Arial" w:cs="Arial" w:eastAsia="Arial" w:hAnsi="Arial"/>
                <w:sz w:val="13"/>
                <w:szCs w:val="13"/>
                <w:b w:val="1"/>
                <w:bCs w:val="1"/>
                <w:color w:val="auto"/>
                <w:w w:val="95"/>
              </w:rPr>
              <w:t>Expenses</w:t>
            </w:r>
          </w:p>
        </w:tc>
        <w:tc>
          <w:tcPr>
            <w:tcW w:w="920" w:type="dxa"/>
            <w:vAlign w:val="bottom"/>
          </w:tcPr>
          <w:p>
            <w:pPr>
              <w:jc w:val="center"/>
              <w:ind w:right="37"/>
              <w:spacing w:after="0" w:line="121" w:lineRule="exact"/>
              <w:rPr>
                <w:sz w:val="20"/>
                <w:szCs w:val="20"/>
                <w:color w:val="auto"/>
              </w:rPr>
            </w:pPr>
            <w:r>
              <w:rPr>
                <w:rFonts w:ascii="Arial" w:cs="Arial" w:eastAsia="Arial" w:hAnsi="Arial"/>
                <w:sz w:val="13"/>
                <w:szCs w:val="13"/>
                <w:b w:val="1"/>
                <w:bCs w:val="1"/>
                <w:color w:val="auto"/>
                <w:w w:val="95"/>
              </w:rPr>
              <w:t>Expenses</w:t>
            </w:r>
          </w:p>
        </w:tc>
        <w:tc>
          <w:tcPr>
            <w:tcW w:w="600" w:type="dxa"/>
            <w:vAlign w:val="bottom"/>
          </w:tcPr>
          <w:p>
            <w:pPr>
              <w:jc w:val="center"/>
              <w:ind w:right="17"/>
              <w:spacing w:after="0" w:line="121" w:lineRule="exact"/>
              <w:rPr>
                <w:sz w:val="20"/>
                <w:szCs w:val="20"/>
                <w:color w:val="auto"/>
              </w:rPr>
            </w:pPr>
            <w:r>
              <w:rPr>
                <w:rFonts w:ascii="Arial" w:cs="Arial" w:eastAsia="Arial" w:hAnsi="Arial"/>
                <w:sz w:val="13"/>
                <w:szCs w:val="13"/>
                <w:b w:val="1"/>
                <w:bCs w:val="1"/>
                <w:color w:val="auto"/>
                <w:w w:val="96"/>
              </w:rPr>
              <w:t>Valves</w:t>
            </w:r>
          </w:p>
        </w:tc>
        <w:tc>
          <w:tcPr>
            <w:tcW w:w="9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Remediation</w:t>
            </w:r>
          </w:p>
        </w:tc>
        <w:tc>
          <w:tcPr>
            <w:tcW w:w="9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Transactions</w:t>
            </w:r>
          </w:p>
        </w:tc>
        <w:tc>
          <w:tcPr>
            <w:tcW w:w="10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4"/>
              </w:rPr>
              <w:t>and Other</w:t>
            </w:r>
          </w:p>
        </w:tc>
        <w:tc>
          <w:tcPr>
            <w:tcW w:w="1000" w:type="dxa"/>
            <w:vAlign w:val="bottom"/>
          </w:tcPr>
          <w:p>
            <w:pPr>
              <w:jc w:val="center"/>
              <w:ind w:right="17"/>
              <w:spacing w:after="0" w:line="121" w:lineRule="exact"/>
              <w:rPr>
                <w:sz w:val="20"/>
                <w:szCs w:val="20"/>
                <w:color w:val="auto"/>
              </w:rPr>
            </w:pPr>
            <w:r>
              <w:rPr>
                <w:rFonts w:ascii="Arial" w:cs="Arial" w:eastAsia="Arial" w:hAnsi="Arial"/>
                <w:sz w:val="13"/>
                <w:szCs w:val="13"/>
                <w:b w:val="1"/>
                <w:bCs w:val="1"/>
                <w:color w:val="auto"/>
                <w:w w:val="99"/>
              </w:rPr>
              <w:t>Costs</w:t>
            </w:r>
          </w:p>
        </w:tc>
        <w:tc>
          <w:tcPr>
            <w:tcW w:w="920" w:type="dxa"/>
            <w:vAlign w:val="bottom"/>
          </w:tcPr>
          <w:p>
            <w:pPr>
              <w:jc w:val="center"/>
              <w:ind w:right="17"/>
              <w:spacing w:after="0" w:line="121" w:lineRule="exact"/>
              <w:rPr>
                <w:sz w:val="20"/>
                <w:szCs w:val="20"/>
                <w:color w:val="auto"/>
              </w:rPr>
            </w:pPr>
            <w:r>
              <w:rPr>
                <w:rFonts w:ascii="Arial" w:cs="Arial" w:eastAsia="Arial" w:hAnsi="Arial"/>
                <w:sz w:val="13"/>
                <w:szCs w:val="13"/>
                <w:b w:val="1"/>
                <w:bCs w:val="1"/>
                <w:color w:val="auto"/>
                <w:w w:val="96"/>
              </w:rPr>
              <w:t>Adjustments</w:t>
            </w:r>
          </w:p>
        </w:tc>
        <w:tc>
          <w:tcPr>
            <w:tcW w:w="8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Adjustments</w:t>
            </w:r>
          </w:p>
        </w:tc>
        <w:tc>
          <w:tcPr>
            <w:tcW w:w="740" w:type="dxa"/>
            <w:vAlign w:val="bottom"/>
          </w:tcPr>
          <w:p>
            <w:pPr>
              <w:ind w:left="100"/>
              <w:spacing w:after="0" w:line="121"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70"/>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June 30, 2021</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(B)</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w:t>
            </w: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(F)</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(J)</w:t>
            </w: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Measures</w:t>
            </w:r>
          </w:p>
        </w:tc>
        <w:tc>
          <w:tcPr>
            <w:tcW w:w="0" w:type="dxa"/>
            <w:vAlign w:val="bottom"/>
          </w:tcPr>
          <w:p>
            <w:pPr>
              <w:spacing w:after="0"/>
              <w:rPr>
                <w:sz w:val="1"/>
                <w:szCs w:val="1"/>
                <w:color w:val="auto"/>
              </w:rPr>
            </w:pPr>
          </w:p>
        </w:tc>
      </w:tr>
      <w:tr>
        <w:trPr>
          <w:trHeight w:val="188"/>
        </w:trPr>
        <w:tc>
          <w:tcPr>
            <w:tcW w:w="96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$92.2</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($3.9)</w:t>
            </w:r>
          </w:p>
        </w:tc>
        <w:tc>
          <w:tcPr>
            <w:tcW w:w="6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($0.4)</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($5.2)</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($1.1)</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$81.5</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line="151" w:lineRule="exact"/>
              <w:rPr>
                <w:sz w:val="20"/>
                <w:szCs w:val="20"/>
                <w:color w:val="auto"/>
              </w:rPr>
            </w:pPr>
            <w:r>
              <w:rPr>
                <w:rFonts w:ascii="Arial" w:cs="Arial" w:eastAsia="Arial" w:hAnsi="Arial"/>
                <w:sz w:val="14"/>
                <w:szCs w:val="14"/>
                <w:color w:val="auto"/>
              </w:rPr>
              <w:t>Gross profit</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rPr>
              <w:t>percent</w:t>
            </w:r>
          </w:p>
        </w:tc>
        <w:tc>
          <w:tcPr>
            <w:tcW w:w="720" w:type="dxa"/>
            <w:vAlign w:val="bottom"/>
          </w:tcPr>
          <w:p>
            <w:pPr>
              <w:jc w:val="right"/>
              <w:spacing w:after="0"/>
              <w:rPr>
                <w:sz w:val="20"/>
                <w:szCs w:val="20"/>
                <w:color w:val="auto"/>
              </w:rPr>
            </w:pPr>
            <w:r>
              <w:rPr>
                <w:rFonts w:ascii="Arial" w:cs="Arial" w:eastAsia="Arial" w:hAnsi="Arial"/>
                <w:sz w:val="13"/>
                <w:szCs w:val="13"/>
                <w:color w:val="auto"/>
              </w:rPr>
              <w:t>65.1 %</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1.5 %</w:t>
            </w:r>
          </w:p>
        </w:tc>
        <w:tc>
          <w:tcPr>
            <w:tcW w:w="60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0.1 %</w:t>
            </w:r>
          </w:p>
        </w:tc>
        <w:tc>
          <w:tcPr>
            <w:tcW w:w="920" w:type="dxa"/>
            <w:vAlign w:val="bottom"/>
          </w:tcPr>
          <w:p>
            <w:pPr>
              <w:ind w:left="600"/>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2.0 %</w:t>
            </w:r>
          </w:p>
        </w:tc>
        <w:tc>
          <w:tcPr>
            <w:tcW w:w="1000" w:type="dxa"/>
            <w:vAlign w:val="bottom"/>
          </w:tcPr>
          <w:p>
            <w:pPr>
              <w:jc w:val="right"/>
              <w:spacing w:after="0"/>
              <w:rPr>
                <w:sz w:val="20"/>
                <w:szCs w:val="20"/>
                <w:color w:val="auto"/>
              </w:rPr>
            </w:pPr>
            <w:r>
              <w:rPr>
                <w:rFonts w:ascii="Arial" w:cs="Arial" w:eastAsia="Arial" w:hAnsi="Arial"/>
                <w:sz w:val="13"/>
                <w:szCs w:val="13"/>
                <w:color w:val="auto"/>
              </w:rPr>
              <w:t>0.4 %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ind w:left="600"/>
              <w:spacing w:after="0"/>
              <w:rPr>
                <w:sz w:val="20"/>
                <w:szCs w:val="20"/>
                <w:color w:val="auto"/>
              </w:rPr>
            </w:pPr>
            <w:r>
              <w:rPr>
                <w:rFonts w:ascii="Arial" w:cs="Arial" w:eastAsia="Arial" w:hAnsi="Arial"/>
                <w:sz w:val="13"/>
                <w:szCs w:val="13"/>
                <w:color w:val="auto"/>
                <w:w w:val="92"/>
              </w:rPr>
              <w:t>— %</w:t>
            </w:r>
          </w:p>
        </w:tc>
        <w:tc>
          <w:tcPr>
            <w:tcW w:w="740" w:type="dxa"/>
            <w:vAlign w:val="bottom"/>
          </w:tcPr>
          <w:p>
            <w:pPr>
              <w:jc w:val="right"/>
              <w:spacing w:after="0"/>
              <w:rPr>
                <w:sz w:val="20"/>
                <w:szCs w:val="20"/>
                <w:color w:val="auto"/>
              </w:rPr>
            </w:pPr>
            <w:r>
              <w:rPr>
                <w:rFonts w:ascii="Arial" w:cs="Arial" w:eastAsia="Arial" w:hAnsi="Arial"/>
                <w:sz w:val="13"/>
                <w:szCs w:val="13"/>
                <w:color w:val="auto"/>
              </w:rPr>
              <w:t>69.2 %</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line="151" w:lineRule="exact"/>
              <w:rPr>
                <w:sz w:val="20"/>
                <w:szCs w:val="20"/>
                <w:color w:val="auto"/>
              </w:rPr>
            </w:pPr>
            <w:r>
              <w:rPr>
                <w:rFonts w:ascii="Arial" w:cs="Arial" w:eastAsia="Arial" w:hAnsi="Arial"/>
                <w:sz w:val="14"/>
                <w:szCs w:val="14"/>
                <w:color w:val="auto"/>
              </w:rPr>
              <w:t>Selling,</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general and</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122.7</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(3.1)</w:t>
            </w:r>
          </w:p>
        </w:tc>
        <w:tc>
          <w:tcPr>
            <w:tcW w:w="6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ind w:left="6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(12.2)</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(6.0)</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ind w:left="60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101.5</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line="151" w:lineRule="exact"/>
              <w:rPr>
                <w:sz w:val="20"/>
                <w:szCs w:val="20"/>
                <w:color w:val="auto"/>
              </w:rPr>
            </w:pPr>
            <w:r>
              <w:rPr>
                <w:rFonts w:ascii="Arial" w:cs="Arial" w:eastAsia="Arial" w:hAnsi="Arial"/>
                <w:sz w:val="14"/>
                <w:szCs w:val="14"/>
                <w:color w:val="auto"/>
              </w:rPr>
              <w:t>Selling,</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general and</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administrative</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as a percent</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rPr>
              <w:t>of net sales</w:t>
            </w:r>
          </w:p>
        </w:tc>
        <w:tc>
          <w:tcPr>
            <w:tcW w:w="720" w:type="dxa"/>
            <w:vAlign w:val="bottom"/>
          </w:tcPr>
          <w:p>
            <w:pPr>
              <w:jc w:val="right"/>
              <w:spacing w:after="0"/>
              <w:rPr>
                <w:sz w:val="20"/>
                <w:szCs w:val="20"/>
                <w:color w:val="auto"/>
              </w:rPr>
            </w:pPr>
            <w:r>
              <w:rPr>
                <w:rFonts w:ascii="Arial" w:cs="Arial" w:eastAsia="Arial" w:hAnsi="Arial"/>
                <w:sz w:val="13"/>
                <w:szCs w:val="13"/>
                <w:color w:val="auto"/>
              </w:rPr>
              <w:t>46.4 %</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(1.2)%</w:t>
            </w:r>
          </w:p>
        </w:tc>
        <w:tc>
          <w:tcPr>
            <w:tcW w:w="60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ind w:left="600"/>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(4.6)%</w:t>
            </w:r>
          </w:p>
        </w:tc>
        <w:tc>
          <w:tcPr>
            <w:tcW w:w="1000" w:type="dxa"/>
            <w:vAlign w:val="bottom"/>
          </w:tcPr>
          <w:p>
            <w:pPr>
              <w:jc w:val="right"/>
              <w:spacing w:after="0"/>
              <w:rPr>
                <w:sz w:val="20"/>
                <w:szCs w:val="20"/>
                <w:color w:val="auto"/>
              </w:rPr>
            </w:pPr>
            <w:r>
              <w:rPr>
                <w:rFonts w:ascii="Arial" w:cs="Arial" w:eastAsia="Arial" w:hAnsi="Arial"/>
                <w:sz w:val="13"/>
                <w:szCs w:val="13"/>
                <w:color w:val="auto"/>
              </w:rPr>
              <w:t>(2.3)%</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ind w:left="600"/>
              <w:spacing w:after="0"/>
              <w:rPr>
                <w:sz w:val="20"/>
                <w:szCs w:val="20"/>
                <w:color w:val="auto"/>
              </w:rPr>
            </w:pPr>
            <w:r>
              <w:rPr>
                <w:rFonts w:ascii="Arial" w:cs="Arial" w:eastAsia="Arial" w:hAnsi="Arial"/>
                <w:sz w:val="13"/>
                <w:szCs w:val="13"/>
                <w:color w:val="auto"/>
                <w:w w:val="92"/>
              </w:rPr>
              <w:t>— %</w:t>
            </w:r>
          </w:p>
        </w:tc>
        <w:tc>
          <w:tcPr>
            <w:tcW w:w="740" w:type="dxa"/>
            <w:vAlign w:val="bottom"/>
          </w:tcPr>
          <w:p>
            <w:pPr>
              <w:jc w:val="right"/>
              <w:spacing w:after="0"/>
              <w:rPr>
                <w:sz w:val="20"/>
                <w:szCs w:val="20"/>
                <w:color w:val="auto"/>
              </w:rPr>
            </w:pPr>
            <w:r>
              <w:rPr>
                <w:rFonts w:ascii="Arial" w:cs="Arial" w:eastAsia="Arial" w:hAnsi="Arial"/>
                <w:sz w:val="13"/>
                <w:szCs w:val="13"/>
                <w:color w:val="auto"/>
              </w:rPr>
              <w:t>38.4 %</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line="151" w:lineRule="exact"/>
              <w:rPr>
                <w:sz w:val="20"/>
                <w:szCs w:val="20"/>
                <w:color w:val="auto"/>
              </w:rPr>
            </w:pPr>
            <w:r>
              <w:rPr>
                <w:rFonts w:ascii="Arial" w:cs="Arial" w:eastAsia="Arial" w:hAnsi="Arial"/>
                <w:sz w:val="14"/>
                <w:szCs w:val="14"/>
                <w:color w:val="auto"/>
              </w:rPr>
              <w:t>Research and</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52.6</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ind w:left="6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(6.3)</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(2.8)</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ind w:left="60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43.6</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line="151" w:lineRule="exact"/>
              <w:rPr>
                <w:sz w:val="20"/>
                <w:szCs w:val="20"/>
                <w:color w:val="auto"/>
              </w:rPr>
            </w:pPr>
            <w:r>
              <w:rPr>
                <w:rFonts w:ascii="Arial" w:cs="Arial" w:eastAsia="Arial" w:hAnsi="Arial"/>
                <w:sz w:val="14"/>
                <w:szCs w:val="14"/>
                <w:color w:val="auto"/>
              </w:rPr>
              <w:t>Research and</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development</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as a percent</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rPr>
              <w:t>of net sales</w:t>
            </w:r>
          </w:p>
        </w:tc>
        <w:tc>
          <w:tcPr>
            <w:tcW w:w="720" w:type="dxa"/>
            <w:vAlign w:val="bottom"/>
          </w:tcPr>
          <w:p>
            <w:pPr>
              <w:jc w:val="right"/>
              <w:spacing w:after="0"/>
              <w:rPr>
                <w:sz w:val="20"/>
                <w:szCs w:val="20"/>
                <w:color w:val="auto"/>
              </w:rPr>
            </w:pPr>
            <w:r>
              <w:rPr>
                <w:rFonts w:ascii="Arial" w:cs="Arial" w:eastAsia="Arial" w:hAnsi="Arial"/>
                <w:sz w:val="13"/>
                <w:szCs w:val="13"/>
                <w:color w:val="auto"/>
              </w:rPr>
              <w:t>19.9 %</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60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ind w:left="600"/>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(2.4)%</w:t>
            </w:r>
          </w:p>
        </w:tc>
        <w:tc>
          <w:tcPr>
            <w:tcW w:w="1000" w:type="dxa"/>
            <w:vAlign w:val="bottom"/>
          </w:tcPr>
          <w:p>
            <w:pPr>
              <w:jc w:val="right"/>
              <w:spacing w:after="0"/>
              <w:rPr>
                <w:sz w:val="20"/>
                <w:szCs w:val="20"/>
                <w:color w:val="auto"/>
              </w:rPr>
            </w:pPr>
            <w:r>
              <w:rPr>
                <w:rFonts w:ascii="Arial" w:cs="Arial" w:eastAsia="Arial" w:hAnsi="Arial"/>
                <w:sz w:val="13"/>
                <w:szCs w:val="13"/>
                <w:color w:val="auto"/>
              </w:rPr>
              <w:t>(1.0)%</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ind w:left="600"/>
              <w:spacing w:after="0"/>
              <w:rPr>
                <w:sz w:val="20"/>
                <w:szCs w:val="20"/>
                <w:color w:val="auto"/>
              </w:rPr>
            </w:pPr>
            <w:r>
              <w:rPr>
                <w:rFonts w:ascii="Arial" w:cs="Arial" w:eastAsia="Arial" w:hAnsi="Arial"/>
                <w:sz w:val="13"/>
                <w:szCs w:val="13"/>
                <w:color w:val="auto"/>
                <w:w w:val="92"/>
              </w:rPr>
              <w:t>— %</w:t>
            </w:r>
          </w:p>
        </w:tc>
        <w:tc>
          <w:tcPr>
            <w:tcW w:w="740" w:type="dxa"/>
            <w:vAlign w:val="bottom"/>
          </w:tcPr>
          <w:p>
            <w:pPr>
              <w:jc w:val="right"/>
              <w:spacing w:after="0"/>
              <w:rPr>
                <w:sz w:val="20"/>
                <w:szCs w:val="20"/>
                <w:color w:val="auto"/>
              </w:rPr>
            </w:pPr>
            <w:r>
              <w:rPr>
                <w:rFonts w:ascii="Arial" w:cs="Arial" w:eastAsia="Arial" w:hAnsi="Arial"/>
                <w:sz w:val="13"/>
                <w:szCs w:val="13"/>
                <w:color w:val="auto"/>
              </w:rPr>
              <w:t>16.5 %</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line="151" w:lineRule="exact"/>
              <w:rPr>
                <w:sz w:val="20"/>
                <w:szCs w:val="20"/>
                <w:color w:val="auto"/>
              </w:rPr>
            </w:pPr>
            <w:r>
              <w:rPr>
                <w:rFonts w:ascii="Arial" w:cs="Arial" w:eastAsia="Arial" w:hAnsi="Arial"/>
                <w:sz w:val="14"/>
                <w:szCs w:val="14"/>
                <w:color w:val="auto"/>
              </w:rPr>
              <w:t>Other</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operating</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rPr>
              <w:t>expenses</w:t>
            </w: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33.2</w:t>
            </w:r>
          </w:p>
        </w:tc>
        <w:tc>
          <w:tcPr>
            <w:tcW w:w="820" w:type="dxa"/>
            <w:vAlign w:val="bottom"/>
          </w:tcPr>
          <w:p>
            <w:pPr>
              <w:jc w:val="right"/>
              <w:ind w:right="117"/>
              <w:spacing w:after="0"/>
              <w:rPr>
                <w:sz w:val="20"/>
                <w:szCs w:val="20"/>
                <w:color w:val="auto"/>
              </w:rPr>
            </w:pPr>
            <w:r>
              <w:rPr>
                <w:rFonts w:ascii="Arial" w:cs="Arial" w:eastAsia="Arial" w:hAnsi="Arial"/>
                <w:sz w:val="13"/>
                <w:szCs w:val="13"/>
                <w:color w:val="auto"/>
              </w:rPr>
              <w:t>(0.1)</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(3.6)</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97"/>
              <w:spacing w:after="0"/>
              <w:rPr>
                <w:sz w:val="20"/>
                <w:szCs w:val="20"/>
                <w:color w:val="auto"/>
              </w:rPr>
            </w:pPr>
            <w:r>
              <w:rPr>
                <w:rFonts w:ascii="Arial" w:cs="Arial" w:eastAsia="Arial" w:hAnsi="Arial"/>
                <w:sz w:val="13"/>
                <w:szCs w:val="13"/>
                <w:color w:val="auto"/>
              </w:rPr>
              <w:t>(0.1)</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ind w:left="6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(29.4)</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ind w:left="60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line="151" w:lineRule="exact"/>
              <w:rPr>
                <w:sz w:val="20"/>
                <w:szCs w:val="20"/>
                <w:color w:val="auto"/>
              </w:rPr>
            </w:pPr>
            <w:r>
              <w:rPr>
                <w:rFonts w:ascii="Arial" w:cs="Arial" w:eastAsia="Arial" w:hAnsi="Arial"/>
                <w:sz w:val="14"/>
                <w:szCs w:val="14"/>
                <w:color w:val="auto"/>
              </w:rPr>
              <w:t>Operating</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rPr>
              <w:t>(loss) income</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(36.3)</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0.1</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3.6</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7.0</w:t>
            </w:r>
          </w:p>
        </w:tc>
        <w:tc>
          <w:tcPr>
            <w:tcW w:w="600" w:type="dxa"/>
            <w:vAlign w:val="bottom"/>
          </w:tcPr>
          <w:p>
            <w:pPr>
              <w:jc w:val="right"/>
              <w:ind w:right="137"/>
              <w:spacing w:after="0"/>
              <w:rPr>
                <w:sz w:val="20"/>
                <w:szCs w:val="20"/>
                <w:color w:val="auto"/>
              </w:rPr>
            </w:pPr>
            <w:r>
              <w:rPr>
                <w:rFonts w:ascii="Arial" w:cs="Arial" w:eastAsia="Arial" w:hAnsi="Arial"/>
                <w:sz w:val="13"/>
                <w:szCs w:val="13"/>
                <w:color w:val="auto"/>
              </w:rPr>
              <w:t>0.1</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0.4</w:t>
            </w:r>
          </w:p>
        </w:tc>
        <w:tc>
          <w:tcPr>
            <w:tcW w:w="920" w:type="dxa"/>
            <w:vAlign w:val="bottom"/>
          </w:tcPr>
          <w:p>
            <w:pPr>
              <w:ind w:left="6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53.1</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9.9</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ind w:left="60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37.9</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line="151" w:lineRule="exact"/>
              <w:rPr>
                <w:sz w:val="20"/>
                <w:szCs w:val="20"/>
                <w:color w:val="auto"/>
              </w:rPr>
            </w:pPr>
            <w:r>
              <w:rPr>
                <w:rFonts w:ascii="Arial" w:cs="Arial" w:eastAsia="Arial" w:hAnsi="Arial"/>
                <w:sz w:val="14"/>
                <w:szCs w:val="14"/>
                <w:color w:val="auto"/>
              </w:rPr>
              <w:t>Operating</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margin</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rPr>
              <w:t>percent</w:t>
            </w:r>
          </w:p>
        </w:tc>
        <w:tc>
          <w:tcPr>
            <w:tcW w:w="720" w:type="dxa"/>
            <w:vAlign w:val="bottom"/>
          </w:tcPr>
          <w:p>
            <w:pPr>
              <w:jc w:val="right"/>
              <w:spacing w:after="0"/>
              <w:rPr>
                <w:sz w:val="20"/>
                <w:szCs w:val="20"/>
                <w:color w:val="auto"/>
              </w:rPr>
            </w:pPr>
            <w:r>
              <w:rPr>
                <w:rFonts w:ascii="Arial" w:cs="Arial" w:eastAsia="Arial" w:hAnsi="Arial"/>
                <w:sz w:val="13"/>
                <w:szCs w:val="13"/>
                <w:color w:val="auto"/>
              </w:rPr>
              <w:t>(13.7)%</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1.4 %</w:t>
            </w:r>
          </w:p>
        </w:tc>
        <w:tc>
          <w:tcPr>
            <w:tcW w:w="920" w:type="dxa"/>
            <w:vAlign w:val="bottom"/>
          </w:tcPr>
          <w:p>
            <w:pPr>
              <w:jc w:val="right"/>
              <w:spacing w:after="0"/>
              <w:rPr>
                <w:sz w:val="20"/>
                <w:szCs w:val="20"/>
                <w:color w:val="auto"/>
              </w:rPr>
            </w:pPr>
            <w:r>
              <w:rPr>
                <w:rFonts w:ascii="Arial" w:cs="Arial" w:eastAsia="Arial" w:hAnsi="Arial"/>
                <w:sz w:val="13"/>
                <w:szCs w:val="13"/>
                <w:color w:val="auto"/>
              </w:rPr>
              <w:t>2.6 %</w:t>
            </w:r>
          </w:p>
        </w:tc>
        <w:tc>
          <w:tcPr>
            <w:tcW w:w="60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0.1 %</w:t>
            </w:r>
          </w:p>
        </w:tc>
        <w:tc>
          <w:tcPr>
            <w:tcW w:w="920" w:type="dxa"/>
            <w:vAlign w:val="bottom"/>
          </w:tcPr>
          <w:p>
            <w:pPr>
              <w:ind w:left="600"/>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20.1 %</w:t>
            </w:r>
          </w:p>
        </w:tc>
        <w:tc>
          <w:tcPr>
            <w:tcW w:w="1000" w:type="dxa"/>
            <w:vAlign w:val="bottom"/>
          </w:tcPr>
          <w:p>
            <w:pPr>
              <w:jc w:val="right"/>
              <w:spacing w:after="0"/>
              <w:rPr>
                <w:sz w:val="20"/>
                <w:szCs w:val="20"/>
                <w:color w:val="auto"/>
              </w:rPr>
            </w:pPr>
            <w:r>
              <w:rPr>
                <w:rFonts w:ascii="Arial" w:cs="Arial" w:eastAsia="Arial" w:hAnsi="Arial"/>
                <w:sz w:val="13"/>
                <w:szCs w:val="13"/>
                <w:color w:val="auto"/>
              </w:rPr>
              <w:t>3.7 %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ind w:left="600"/>
              <w:spacing w:after="0"/>
              <w:rPr>
                <w:sz w:val="20"/>
                <w:szCs w:val="20"/>
                <w:color w:val="auto"/>
              </w:rPr>
            </w:pPr>
            <w:r>
              <w:rPr>
                <w:rFonts w:ascii="Arial" w:cs="Arial" w:eastAsia="Arial" w:hAnsi="Arial"/>
                <w:sz w:val="13"/>
                <w:szCs w:val="13"/>
                <w:color w:val="auto"/>
                <w:w w:val="92"/>
              </w:rPr>
              <w:t>— %</w:t>
            </w:r>
          </w:p>
        </w:tc>
        <w:tc>
          <w:tcPr>
            <w:tcW w:w="740" w:type="dxa"/>
            <w:vAlign w:val="bottom"/>
          </w:tcPr>
          <w:p>
            <w:pPr>
              <w:jc w:val="right"/>
              <w:spacing w:after="0"/>
              <w:rPr>
                <w:sz w:val="20"/>
                <w:szCs w:val="20"/>
                <w:color w:val="auto"/>
              </w:rPr>
            </w:pPr>
            <w:r>
              <w:rPr>
                <w:rFonts w:ascii="Arial" w:cs="Arial" w:eastAsia="Arial" w:hAnsi="Arial"/>
                <w:sz w:val="13"/>
                <w:szCs w:val="13"/>
                <w:color w:val="auto"/>
              </w:rPr>
              <w:t>14.3 %</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line="151" w:lineRule="exact"/>
              <w:rPr>
                <w:sz w:val="20"/>
                <w:szCs w:val="20"/>
                <w:color w:val="auto"/>
              </w:rPr>
            </w:pPr>
            <w:r>
              <w:rPr>
                <w:rFonts w:ascii="Arial" w:cs="Arial" w:eastAsia="Arial" w:hAnsi="Arial"/>
                <w:sz w:val="14"/>
                <w:szCs w:val="14"/>
                <w:color w:val="auto"/>
              </w:rPr>
              <w:t>Income tax</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rPr>
              <w:t>expense</w:t>
            </w: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3.9</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0.2</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0.5</w:t>
            </w:r>
          </w:p>
        </w:tc>
        <w:tc>
          <w:tcPr>
            <w:tcW w:w="600" w:type="dxa"/>
            <w:vAlign w:val="bottom"/>
          </w:tcPr>
          <w:p>
            <w:pPr>
              <w:jc w:val="right"/>
              <w:ind w:right="137"/>
              <w:spacing w:after="0"/>
              <w:rPr>
                <w:sz w:val="20"/>
                <w:szCs w:val="20"/>
                <w:color w:val="auto"/>
              </w:rPr>
            </w:pPr>
            <w:r>
              <w:rPr>
                <w:rFonts w:ascii="Arial" w:cs="Arial" w:eastAsia="Arial" w:hAnsi="Arial"/>
                <w:sz w:val="13"/>
                <w:szCs w:val="13"/>
                <w:color w:val="auto"/>
              </w:rPr>
              <w:t>3.6</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0.1</w:t>
            </w:r>
          </w:p>
        </w:tc>
        <w:tc>
          <w:tcPr>
            <w:tcW w:w="920" w:type="dxa"/>
            <w:vAlign w:val="bottom"/>
          </w:tcPr>
          <w:p>
            <w:pPr>
              <w:ind w:left="6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(0.6)</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0.3</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(4.0)</w:t>
            </w:r>
          </w:p>
        </w:tc>
        <w:tc>
          <w:tcPr>
            <w:tcW w:w="880" w:type="dxa"/>
            <w:vAlign w:val="bottom"/>
          </w:tcPr>
          <w:p>
            <w:pPr>
              <w:ind w:left="60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line="151" w:lineRule="exact"/>
              <w:rPr>
                <w:sz w:val="20"/>
                <w:szCs w:val="20"/>
                <w:color w:val="auto"/>
              </w:rPr>
            </w:pPr>
            <w:r>
              <w:rPr>
                <w:rFonts w:ascii="Arial" w:cs="Arial" w:eastAsia="Arial" w:hAnsi="Arial"/>
                <w:sz w:val="14"/>
                <w:szCs w:val="14"/>
                <w:color w:val="auto"/>
              </w:rPr>
              <w:t>Income tax</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rPr>
              <w:t>rate</w:t>
            </w:r>
          </w:p>
        </w:tc>
        <w:tc>
          <w:tcPr>
            <w:tcW w:w="720" w:type="dxa"/>
            <w:vAlign w:val="bottom"/>
          </w:tcPr>
          <w:p>
            <w:pPr>
              <w:jc w:val="right"/>
              <w:spacing w:after="0"/>
              <w:rPr>
                <w:sz w:val="20"/>
                <w:szCs w:val="20"/>
                <w:color w:val="auto"/>
              </w:rPr>
            </w:pPr>
            <w:r>
              <w:rPr>
                <w:rFonts w:ascii="Arial" w:cs="Arial" w:eastAsia="Arial" w:hAnsi="Arial"/>
                <w:sz w:val="13"/>
                <w:szCs w:val="13"/>
                <w:color w:val="auto"/>
              </w:rPr>
              <w:t>(7.4)%</w:t>
            </w:r>
          </w:p>
        </w:tc>
        <w:tc>
          <w:tcPr>
            <w:tcW w:w="820" w:type="dxa"/>
            <w:vAlign w:val="bottom"/>
          </w:tcPr>
          <w:p>
            <w:pPr>
              <w:jc w:val="right"/>
              <w:spacing w:after="0"/>
              <w:rPr>
                <w:sz w:val="20"/>
                <w:szCs w:val="20"/>
                <w:color w:val="auto"/>
              </w:rPr>
            </w:pPr>
            <w:r>
              <w:rPr>
                <w:rFonts w:ascii="Arial" w:cs="Arial" w:eastAsia="Arial" w:hAnsi="Arial"/>
                <w:sz w:val="13"/>
                <w:szCs w:val="13"/>
                <w:color w:val="auto"/>
              </w:rPr>
              <w:t>3.4 %</w:t>
            </w:r>
          </w:p>
        </w:tc>
        <w:tc>
          <w:tcPr>
            <w:tcW w:w="960" w:type="dxa"/>
            <w:vAlign w:val="bottom"/>
          </w:tcPr>
          <w:p>
            <w:pPr>
              <w:jc w:val="right"/>
              <w:spacing w:after="0"/>
              <w:rPr>
                <w:sz w:val="20"/>
                <w:szCs w:val="20"/>
                <w:color w:val="auto"/>
              </w:rPr>
            </w:pPr>
            <w:r>
              <w:rPr>
                <w:rFonts w:ascii="Arial" w:cs="Arial" w:eastAsia="Arial" w:hAnsi="Arial"/>
                <w:sz w:val="13"/>
                <w:szCs w:val="13"/>
                <w:color w:val="auto"/>
              </w:rPr>
              <w:t>5.6 %</w:t>
            </w:r>
          </w:p>
        </w:tc>
        <w:tc>
          <w:tcPr>
            <w:tcW w:w="1520" w:type="dxa"/>
            <w:vAlign w:val="bottom"/>
            <w:gridSpan w:val="2"/>
          </w:tcPr>
          <w:p>
            <w:pPr>
              <w:jc w:val="right"/>
              <w:spacing w:after="0"/>
              <w:rPr>
                <w:sz w:val="20"/>
                <w:szCs w:val="20"/>
                <w:color w:val="auto"/>
              </w:rPr>
            </w:pPr>
            <w:r>
              <w:rPr>
                <w:rFonts w:ascii="Arial" w:cs="Arial" w:eastAsia="Arial" w:hAnsi="Arial"/>
                <w:sz w:val="13"/>
                <w:szCs w:val="13"/>
                <w:color w:val="auto"/>
              </w:rPr>
              <w:t>7.7 % 2,771.5 %</w:t>
            </w:r>
          </w:p>
        </w:tc>
        <w:tc>
          <w:tcPr>
            <w:tcW w:w="900" w:type="dxa"/>
            <w:vAlign w:val="bottom"/>
          </w:tcPr>
          <w:p>
            <w:pPr>
              <w:jc w:val="right"/>
              <w:spacing w:after="0"/>
              <w:rPr>
                <w:sz w:val="20"/>
                <w:szCs w:val="20"/>
                <w:color w:val="auto"/>
              </w:rPr>
            </w:pPr>
            <w:r>
              <w:rPr>
                <w:rFonts w:ascii="Arial" w:cs="Arial" w:eastAsia="Arial" w:hAnsi="Arial"/>
                <w:sz w:val="13"/>
                <w:szCs w:val="13"/>
                <w:color w:val="auto"/>
              </w:rPr>
              <w:t>26.8 %</w:t>
            </w:r>
          </w:p>
        </w:tc>
        <w:tc>
          <w:tcPr>
            <w:tcW w:w="920" w:type="dxa"/>
            <w:vAlign w:val="bottom"/>
          </w:tcPr>
          <w:p>
            <w:pPr>
              <w:ind w:left="600"/>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(1.2)%</w:t>
            </w:r>
          </w:p>
        </w:tc>
        <w:tc>
          <w:tcPr>
            <w:tcW w:w="1000" w:type="dxa"/>
            <w:vAlign w:val="bottom"/>
          </w:tcPr>
          <w:p>
            <w:pPr>
              <w:jc w:val="right"/>
              <w:spacing w:after="0"/>
              <w:rPr>
                <w:sz w:val="20"/>
                <w:szCs w:val="20"/>
                <w:color w:val="auto"/>
              </w:rPr>
            </w:pPr>
            <w:r>
              <w:rPr>
                <w:rFonts w:ascii="Arial" w:cs="Arial" w:eastAsia="Arial" w:hAnsi="Arial"/>
                <w:sz w:val="13"/>
                <w:szCs w:val="13"/>
                <w:color w:val="auto"/>
              </w:rPr>
              <w:t>3.4 %</w:t>
            </w:r>
          </w:p>
        </w:tc>
        <w:tc>
          <w:tcPr>
            <w:tcW w:w="920" w:type="dxa"/>
            <w:vAlign w:val="bottom"/>
          </w:tcPr>
          <w:p>
            <w:pPr>
              <w:jc w:val="right"/>
              <w:spacing w:after="0"/>
              <w:rPr>
                <w:sz w:val="20"/>
                <w:szCs w:val="20"/>
                <w:color w:val="auto"/>
              </w:rPr>
            </w:pPr>
            <w:r>
              <w:rPr>
                <w:rFonts w:ascii="Arial" w:cs="Arial" w:eastAsia="Arial" w:hAnsi="Arial"/>
                <w:sz w:val="13"/>
                <w:szCs w:val="13"/>
                <w:color w:val="auto"/>
              </w:rPr>
              <w:t>N/A</w:t>
            </w:r>
          </w:p>
        </w:tc>
        <w:tc>
          <w:tcPr>
            <w:tcW w:w="880" w:type="dxa"/>
            <w:vAlign w:val="bottom"/>
          </w:tcPr>
          <w:p>
            <w:pPr>
              <w:ind w:left="600"/>
              <w:spacing w:after="0"/>
              <w:rPr>
                <w:sz w:val="20"/>
                <w:szCs w:val="20"/>
                <w:color w:val="auto"/>
              </w:rPr>
            </w:pPr>
            <w:r>
              <w:rPr>
                <w:rFonts w:ascii="Arial" w:cs="Arial" w:eastAsia="Arial" w:hAnsi="Arial"/>
                <w:sz w:val="13"/>
                <w:szCs w:val="13"/>
                <w:color w:val="auto"/>
                <w:w w:val="92"/>
              </w:rPr>
              <w:t>— %</w:t>
            </w:r>
          </w:p>
        </w:tc>
        <w:tc>
          <w:tcPr>
            <w:tcW w:w="740" w:type="dxa"/>
            <w:vAlign w:val="bottom"/>
          </w:tcPr>
          <w:p>
            <w:pPr>
              <w:jc w:val="right"/>
              <w:spacing w:after="0"/>
              <w:rPr>
                <w:sz w:val="20"/>
                <w:szCs w:val="20"/>
                <w:color w:val="auto"/>
              </w:rPr>
            </w:pPr>
            <w:r>
              <w:rPr>
                <w:rFonts w:ascii="Arial" w:cs="Arial" w:eastAsia="Arial" w:hAnsi="Arial"/>
                <w:sz w:val="13"/>
                <w:szCs w:val="13"/>
                <w:color w:val="auto"/>
              </w:rPr>
              <w:t>14.1 %</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line="151" w:lineRule="exact"/>
              <w:rPr>
                <w:sz w:val="20"/>
                <w:szCs w:val="20"/>
                <w:color w:val="auto"/>
              </w:rPr>
            </w:pPr>
            <w:r>
              <w:rPr>
                <w:rFonts w:ascii="Arial" w:cs="Arial" w:eastAsia="Arial" w:hAnsi="Arial"/>
                <w:sz w:val="14"/>
                <w:szCs w:val="14"/>
                <w:color w:val="auto"/>
              </w:rPr>
              <w:t>Net (loss)</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rPr>
              <w:t>income</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(56.5)</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0.1</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3.4</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6.4</w:t>
            </w:r>
          </w:p>
        </w:tc>
        <w:tc>
          <w:tcPr>
            <w:tcW w:w="600" w:type="dxa"/>
            <w:vAlign w:val="bottom"/>
          </w:tcPr>
          <w:p>
            <w:pPr>
              <w:jc w:val="right"/>
              <w:ind w:right="97"/>
              <w:spacing w:after="0"/>
              <w:rPr>
                <w:sz w:val="20"/>
                <w:szCs w:val="20"/>
                <w:color w:val="auto"/>
              </w:rPr>
            </w:pPr>
            <w:r>
              <w:rPr>
                <w:rFonts w:ascii="Arial" w:cs="Arial" w:eastAsia="Arial" w:hAnsi="Arial"/>
                <w:sz w:val="13"/>
                <w:szCs w:val="13"/>
                <w:color w:val="auto"/>
              </w:rPr>
              <w:t>(3.5)</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0.3</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5.7</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50.5</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9.6</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4.0</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4.6</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24.7</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line="151" w:lineRule="exact"/>
              <w:rPr>
                <w:sz w:val="20"/>
                <w:szCs w:val="20"/>
                <w:color w:val="auto"/>
              </w:rPr>
            </w:pPr>
            <w:r>
              <w:rPr>
                <w:rFonts w:ascii="Arial" w:cs="Arial" w:eastAsia="Arial" w:hAnsi="Arial"/>
                <w:sz w:val="14"/>
                <w:szCs w:val="14"/>
                <w:color w:val="auto"/>
              </w:rPr>
              <w:t>Net (loss)</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income as a</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percent of net</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rPr>
              <w:t>sales</w:t>
            </w:r>
          </w:p>
        </w:tc>
        <w:tc>
          <w:tcPr>
            <w:tcW w:w="720" w:type="dxa"/>
            <w:vAlign w:val="bottom"/>
          </w:tcPr>
          <w:p>
            <w:pPr>
              <w:jc w:val="right"/>
              <w:spacing w:after="0"/>
              <w:rPr>
                <w:sz w:val="20"/>
                <w:szCs w:val="20"/>
                <w:color w:val="auto"/>
              </w:rPr>
            </w:pPr>
            <w:r>
              <w:rPr>
                <w:rFonts w:ascii="Arial" w:cs="Arial" w:eastAsia="Arial" w:hAnsi="Arial"/>
                <w:sz w:val="13"/>
                <w:szCs w:val="13"/>
                <w:color w:val="auto"/>
              </w:rPr>
              <w:t>(21.4)%</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1.3 %</w:t>
            </w:r>
          </w:p>
        </w:tc>
        <w:tc>
          <w:tcPr>
            <w:tcW w:w="920" w:type="dxa"/>
            <w:vAlign w:val="bottom"/>
          </w:tcPr>
          <w:p>
            <w:pPr>
              <w:jc w:val="right"/>
              <w:spacing w:after="0"/>
              <w:rPr>
                <w:sz w:val="20"/>
                <w:szCs w:val="20"/>
                <w:color w:val="auto"/>
              </w:rPr>
            </w:pPr>
            <w:r>
              <w:rPr>
                <w:rFonts w:ascii="Arial" w:cs="Arial" w:eastAsia="Arial" w:hAnsi="Arial"/>
                <w:sz w:val="13"/>
                <w:szCs w:val="13"/>
                <w:color w:val="auto"/>
              </w:rPr>
              <w:t>2.4 %</w:t>
            </w:r>
          </w:p>
        </w:tc>
        <w:tc>
          <w:tcPr>
            <w:tcW w:w="600" w:type="dxa"/>
            <w:vAlign w:val="bottom"/>
          </w:tcPr>
          <w:p>
            <w:pPr>
              <w:jc w:val="right"/>
              <w:spacing w:after="0"/>
              <w:rPr>
                <w:sz w:val="20"/>
                <w:szCs w:val="20"/>
                <w:color w:val="auto"/>
              </w:rPr>
            </w:pPr>
            <w:r>
              <w:rPr>
                <w:rFonts w:ascii="Arial" w:cs="Arial" w:eastAsia="Arial" w:hAnsi="Arial"/>
                <w:sz w:val="13"/>
                <w:szCs w:val="13"/>
                <w:color w:val="auto"/>
              </w:rPr>
              <w:t>(1.3)%</w:t>
            </w:r>
          </w:p>
        </w:tc>
        <w:tc>
          <w:tcPr>
            <w:tcW w:w="900" w:type="dxa"/>
            <w:vAlign w:val="bottom"/>
          </w:tcPr>
          <w:p>
            <w:pPr>
              <w:jc w:val="right"/>
              <w:spacing w:after="0"/>
              <w:rPr>
                <w:sz w:val="20"/>
                <w:szCs w:val="20"/>
                <w:color w:val="auto"/>
              </w:rPr>
            </w:pPr>
            <w:r>
              <w:rPr>
                <w:rFonts w:ascii="Arial" w:cs="Arial" w:eastAsia="Arial" w:hAnsi="Arial"/>
                <w:sz w:val="13"/>
                <w:szCs w:val="13"/>
                <w:color w:val="auto"/>
              </w:rPr>
              <w:t>0.1 %</w:t>
            </w:r>
          </w:p>
        </w:tc>
        <w:tc>
          <w:tcPr>
            <w:tcW w:w="920" w:type="dxa"/>
            <w:vAlign w:val="bottom"/>
          </w:tcPr>
          <w:p>
            <w:pPr>
              <w:jc w:val="right"/>
              <w:spacing w:after="0"/>
              <w:rPr>
                <w:sz w:val="20"/>
                <w:szCs w:val="20"/>
                <w:color w:val="auto"/>
              </w:rPr>
            </w:pPr>
            <w:r>
              <w:rPr>
                <w:rFonts w:ascii="Arial" w:cs="Arial" w:eastAsia="Arial" w:hAnsi="Arial"/>
                <w:sz w:val="13"/>
                <w:szCs w:val="13"/>
                <w:color w:val="auto"/>
              </w:rPr>
              <w:t>2.2 %</w:t>
            </w:r>
          </w:p>
        </w:tc>
        <w:tc>
          <w:tcPr>
            <w:tcW w:w="1000" w:type="dxa"/>
            <w:vAlign w:val="bottom"/>
          </w:tcPr>
          <w:p>
            <w:pPr>
              <w:jc w:val="right"/>
              <w:spacing w:after="0"/>
              <w:rPr>
                <w:sz w:val="20"/>
                <w:szCs w:val="20"/>
                <w:color w:val="auto"/>
              </w:rPr>
            </w:pPr>
            <w:r>
              <w:rPr>
                <w:rFonts w:ascii="Arial" w:cs="Arial" w:eastAsia="Arial" w:hAnsi="Arial"/>
                <w:sz w:val="13"/>
                <w:szCs w:val="13"/>
                <w:color w:val="auto"/>
              </w:rPr>
              <w:t>19.1 %</w:t>
            </w:r>
          </w:p>
        </w:tc>
        <w:tc>
          <w:tcPr>
            <w:tcW w:w="1000" w:type="dxa"/>
            <w:vAlign w:val="bottom"/>
          </w:tcPr>
          <w:p>
            <w:pPr>
              <w:jc w:val="right"/>
              <w:spacing w:after="0"/>
              <w:rPr>
                <w:sz w:val="20"/>
                <w:szCs w:val="20"/>
                <w:color w:val="auto"/>
              </w:rPr>
            </w:pPr>
            <w:r>
              <w:rPr>
                <w:rFonts w:ascii="Arial" w:cs="Arial" w:eastAsia="Arial" w:hAnsi="Arial"/>
                <w:sz w:val="13"/>
                <w:szCs w:val="13"/>
                <w:color w:val="auto"/>
              </w:rPr>
              <w:t>3.6 %</w:t>
            </w:r>
          </w:p>
        </w:tc>
        <w:tc>
          <w:tcPr>
            <w:tcW w:w="920" w:type="dxa"/>
            <w:vAlign w:val="bottom"/>
          </w:tcPr>
          <w:p>
            <w:pPr>
              <w:jc w:val="right"/>
              <w:spacing w:after="0"/>
              <w:rPr>
                <w:sz w:val="20"/>
                <w:szCs w:val="20"/>
                <w:color w:val="auto"/>
              </w:rPr>
            </w:pPr>
            <w:r>
              <w:rPr>
                <w:rFonts w:ascii="Arial" w:cs="Arial" w:eastAsia="Arial" w:hAnsi="Arial"/>
                <w:sz w:val="13"/>
                <w:szCs w:val="13"/>
                <w:color w:val="auto"/>
              </w:rPr>
              <w:t>1.5 %</w:t>
            </w:r>
          </w:p>
        </w:tc>
        <w:tc>
          <w:tcPr>
            <w:tcW w:w="880" w:type="dxa"/>
            <w:vAlign w:val="bottom"/>
          </w:tcPr>
          <w:p>
            <w:pPr>
              <w:jc w:val="right"/>
              <w:spacing w:after="0"/>
              <w:rPr>
                <w:sz w:val="20"/>
                <w:szCs w:val="20"/>
                <w:color w:val="auto"/>
              </w:rPr>
            </w:pPr>
            <w:r>
              <w:rPr>
                <w:rFonts w:ascii="Arial" w:cs="Arial" w:eastAsia="Arial" w:hAnsi="Arial"/>
                <w:sz w:val="13"/>
                <w:szCs w:val="13"/>
                <w:color w:val="auto"/>
              </w:rPr>
              <w:t>1.7 %</w:t>
            </w:r>
          </w:p>
        </w:tc>
        <w:tc>
          <w:tcPr>
            <w:tcW w:w="740" w:type="dxa"/>
            <w:vAlign w:val="bottom"/>
          </w:tcPr>
          <w:p>
            <w:pPr>
              <w:jc w:val="right"/>
              <w:spacing w:after="0"/>
              <w:rPr>
                <w:sz w:val="20"/>
                <w:szCs w:val="20"/>
                <w:color w:val="auto"/>
              </w:rPr>
            </w:pPr>
            <w:r>
              <w:rPr>
                <w:rFonts w:ascii="Arial" w:cs="Arial" w:eastAsia="Arial" w:hAnsi="Arial"/>
                <w:sz w:val="13"/>
                <w:szCs w:val="13"/>
                <w:color w:val="auto"/>
              </w:rPr>
              <w:t>9.3 %</w:t>
            </w:r>
          </w:p>
        </w:tc>
        <w:tc>
          <w:tcPr>
            <w:tcW w:w="0" w:type="dxa"/>
            <w:vAlign w:val="bottom"/>
          </w:tcPr>
          <w:p>
            <w:pPr>
              <w:spacing w:after="0"/>
              <w:rPr>
                <w:sz w:val="1"/>
                <w:szCs w:val="1"/>
                <w:color w:val="auto"/>
              </w:rPr>
            </w:pPr>
          </w:p>
        </w:tc>
      </w:tr>
      <w:tr>
        <w:trPr>
          <w:trHeight w:val="188"/>
        </w:trPr>
        <w:tc>
          <w:tcPr>
            <w:tcW w:w="96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($1.15)</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$0.07</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$0.13</w:t>
            </w:r>
          </w:p>
        </w:tc>
        <w:tc>
          <w:tcPr>
            <w:tcW w:w="600" w:type="dxa"/>
            <w:vAlign w:val="bottom"/>
          </w:tcPr>
          <w:p>
            <w:pPr>
              <w:jc w:val="right"/>
              <w:ind w:right="97"/>
              <w:spacing w:after="0"/>
              <w:rPr>
                <w:sz w:val="20"/>
                <w:szCs w:val="20"/>
                <w:color w:val="auto"/>
              </w:rPr>
            </w:pPr>
            <w:r>
              <w:rPr>
                <w:rFonts w:ascii="Arial" w:cs="Arial" w:eastAsia="Arial" w:hAnsi="Arial"/>
                <w:sz w:val="13"/>
                <w:szCs w:val="13"/>
                <w:color w:val="auto"/>
              </w:rPr>
              <w:t>($0.07)</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$0.01</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$0.11</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$1.01</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$0.19</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$0.08</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$0.09</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$0.50</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three months ended June 30, 2021 include:</w:t>
      </w:r>
    </w:p>
    <w:p>
      <w:pPr>
        <w:spacing w:after="0" w:line="45" w:lineRule="exact"/>
        <w:rPr>
          <w:sz w:val="20"/>
          <w:szCs w:val="20"/>
          <w:color w:val="auto"/>
        </w:rPr>
      </w:pPr>
    </w:p>
    <w:p>
      <w:pPr>
        <w:ind w:left="340" w:hanging="315"/>
        <w:spacing w:after="0"/>
        <w:tabs>
          <w:tab w:leader="none" w:pos="340" w:val="left"/>
        </w:tabs>
        <w:numPr>
          <w:ilvl w:val="0"/>
          <w:numId w:val="17"/>
        </w:numPr>
        <w:rPr>
          <w:rFonts w:ascii="Arial" w:cs="Arial" w:eastAsia="Arial" w:hAnsi="Arial"/>
          <w:sz w:val="14"/>
          <w:szCs w:val="14"/>
          <w:b w:val="1"/>
          <w:bCs w:val="1"/>
          <w:color w:val="auto"/>
        </w:rPr>
      </w:pPr>
      <w:r>
        <w:rPr>
          <w:rFonts w:ascii="Arial" w:cs="Arial" w:eastAsia="Arial" w:hAnsi="Arial"/>
          <w:sz w:val="14"/>
          <w:szCs w:val="14"/>
          <w:color w:val="auto"/>
        </w:rPr>
        <w:t>Merger and integration expenses related to our legacy companies and recent acquisitions</w:t>
      </w:r>
    </w:p>
    <w:p>
      <w:pPr>
        <w:spacing w:after="0" w:line="26" w:lineRule="exact"/>
        <w:rPr>
          <w:rFonts w:ascii="Arial" w:cs="Arial" w:eastAsia="Arial" w:hAnsi="Arial"/>
          <w:sz w:val="14"/>
          <w:szCs w:val="14"/>
          <w:b w:val="1"/>
          <w:bCs w:val="1"/>
          <w:color w:val="auto"/>
        </w:rPr>
      </w:pPr>
    </w:p>
    <w:p>
      <w:pPr>
        <w:ind w:left="340" w:hanging="315"/>
        <w:spacing w:after="0"/>
        <w:tabs>
          <w:tab w:leader="none" w:pos="340" w:val="left"/>
        </w:tabs>
        <w:numPr>
          <w:ilvl w:val="0"/>
          <w:numId w:val="17"/>
        </w:numPr>
        <w:rPr>
          <w:rFonts w:ascii="Arial" w:cs="Arial" w:eastAsia="Arial" w:hAnsi="Arial"/>
          <w:sz w:val="14"/>
          <w:szCs w:val="14"/>
          <w:b w:val="1"/>
          <w:bCs w:val="1"/>
          <w:color w:val="auto"/>
        </w:rPr>
      </w:pPr>
      <w:r>
        <w:rPr>
          <w:rFonts w:ascii="Arial" w:cs="Arial" w:eastAsia="Arial" w:hAnsi="Arial"/>
          <w:sz w:val="14"/>
          <w:szCs w:val="14"/>
          <w:color w:val="auto"/>
        </w:rPr>
        <w:t>Restructuring expenses related to organizational changes</w:t>
      </w:r>
    </w:p>
    <w:p>
      <w:pPr>
        <w:spacing w:after="0" w:line="26" w:lineRule="exact"/>
        <w:rPr>
          <w:rFonts w:ascii="Arial" w:cs="Arial" w:eastAsia="Arial" w:hAnsi="Arial"/>
          <w:sz w:val="14"/>
          <w:szCs w:val="14"/>
          <w:b w:val="1"/>
          <w:bCs w:val="1"/>
          <w:color w:val="auto"/>
        </w:rPr>
      </w:pPr>
    </w:p>
    <w:p>
      <w:pPr>
        <w:ind w:left="340" w:hanging="315"/>
        <w:spacing w:after="0"/>
        <w:tabs>
          <w:tab w:leader="none" w:pos="340" w:val="left"/>
        </w:tabs>
        <w:numPr>
          <w:ilvl w:val="0"/>
          <w:numId w:val="17"/>
        </w:numPr>
        <w:rPr>
          <w:rFonts w:ascii="Arial" w:cs="Arial" w:eastAsia="Arial" w:hAnsi="Arial"/>
          <w:sz w:val="14"/>
          <w:szCs w:val="14"/>
          <w:b w:val="1"/>
          <w:bCs w:val="1"/>
          <w:color w:val="auto"/>
        </w:rPr>
      </w:pPr>
      <w:r>
        <w:rPr>
          <w:rFonts w:ascii="Arial" w:cs="Arial" w:eastAsia="Arial" w:hAnsi="Arial"/>
          <w:sz w:val="14"/>
          <w:szCs w:val="14"/>
          <w:color w:val="auto"/>
        </w:rPr>
        <w:t>Includes depreciation and amortization associated with purchase price accounting</w:t>
      </w:r>
    </w:p>
    <w:p>
      <w:pPr>
        <w:spacing w:after="0" w:line="26" w:lineRule="exact"/>
        <w:rPr>
          <w:rFonts w:ascii="Arial" w:cs="Arial" w:eastAsia="Arial" w:hAnsi="Arial"/>
          <w:sz w:val="14"/>
          <w:szCs w:val="14"/>
          <w:b w:val="1"/>
          <w:bCs w:val="1"/>
          <w:color w:val="auto"/>
        </w:rPr>
      </w:pPr>
    </w:p>
    <w:p>
      <w:pPr>
        <w:ind w:left="340" w:hanging="315"/>
        <w:spacing w:after="0"/>
        <w:tabs>
          <w:tab w:leader="none" w:pos="340" w:val="left"/>
        </w:tabs>
        <w:numPr>
          <w:ilvl w:val="0"/>
          <w:numId w:val="17"/>
        </w:numPr>
        <w:rPr>
          <w:rFonts w:ascii="Arial" w:cs="Arial" w:eastAsia="Arial" w:hAnsi="Arial"/>
          <w:sz w:val="14"/>
          <w:szCs w:val="14"/>
          <w:b w:val="1"/>
          <w:bCs w:val="1"/>
          <w:color w:val="auto"/>
        </w:rPr>
      </w:pPr>
      <w:r>
        <w:rPr>
          <w:rFonts w:ascii="Arial" w:cs="Arial" w:eastAsia="Arial" w:hAnsi="Arial"/>
          <w:sz w:val="14"/>
          <w:szCs w:val="14"/>
          <w:color w:val="auto"/>
        </w:rPr>
        <w:t>Loss associated with the sale of Heart Valves</w:t>
      </w:r>
    </w:p>
    <w:p>
      <w:pPr>
        <w:spacing w:after="0" w:line="26" w:lineRule="exact"/>
        <w:rPr>
          <w:rFonts w:ascii="Arial" w:cs="Arial" w:eastAsia="Arial" w:hAnsi="Arial"/>
          <w:sz w:val="14"/>
          <w:szCs w:val="14"/>
          <w:b w:val="1"/>
          <w:bCs w:val="1"/>
          <w:color w:val="auto"/>
        </w:rPr>
      </w:pPr>
    </w:p>
    <w:p>
      <w:pPr>
        <w:ind w:left="340" w:hanging="315"/>
        <w:spacing w:after="0"/>
        <w:tabs>
          <w:tab w:leader="none" w:pos="340" w:val="left"/>
        </w:tabs>
        <w:numPr>
          <w:ilvl w:val="0"/>
          <w:numId w:val="17"/>
        </w:numPr>
        <w:rPr>
          <w:rFonts w:ascii="Arial" w:cs="Arial" w:eastAsia="Arial" w:hAnsi="Arial"/>
          <w:sz w:val="14"/>
          <w:szCs w:val="14"/>
          <w:b w:val="1"/>
          <w:bCs w:val="1"/>
          <w:color w:val="auto"/>
        </w:rPr>
      </w:pPr>
      <w:r>
        <w:rPr>
          <w:rFonts w:ascii="Arial" w:cs="Arial" w:eastAsia="Arial" w:hAnsi="Arial"/>
          <w:sz w:val="14"/>
          <w:szCs w:val="14"/>
          <w:color w:val="auto"/>
        </w:rPr>
        <w:t>Costs related to the 3T Heater-Cooler remediation plan</w:t>
      </w:r>
    </w:p>
    <w:p>
      <w:pPr>
        <w:spacing w:after="0" w:line="26" w:lineRule="exact"/>
        <w:rPr>
          <w:rFonts w:ascii="Arial" w:cs="Arial" w:eastAsia="Arial" w:hAnsi="Arial"/>
          <w:sz w:val="14"/>
          <w:szCs w:val="14"/>
          <w:b w:val="1"/>
          <w:bCs w:val="1"/>
          <w:color w:val="auto"/>
        </w:rPr>
      </w:pPr>
    </w:p>
    <w:p>
      <w:pPr>
        <w:ind w:left="340" w:hanging="315"/>
        <w:spacing w:after="0"/>
        <w:tabs>
          <w:tab w:leader="none" w:pos="340" w:val="left"/>
        </w:tabs>
        <w:numPr>
          <w:ilvl w:val="0"/>
          <w:numId w:val="17"/>
        </w:numPr>
        <w:rPr>
          <w:rFonts w:ascii="Arial" w:cs="Arial" w:eastAsia="Arial" w:hAnsi="Arial"/>
          <w:sz w:val="14"/>
          <w:szCs w:val="14"/>
          <w:b w:val="1"/>
          <w:bCs w:val="1"/>
          <w:color w:val="auto"/>
        </w:rPr>
      </w:pPr>
      <w:r>
        <w:rPr>
          <w:rFonts w:ascii="Arial" w:cs="Arial" w:eastAsia="Arial" w:hAnsi="Arial"/>
          <w:sz w:val="14"/>
          <w:szCs w:val="14"/>
          <w:color w:val="auto"/>
        </w:rPr>
        <w:t>Costs associated with our June 2020 financing transactions, including the mark-to-market adjustment for the exchangeable option feature and capped call derivatives</w:t>
      </w:r>
    </w:p>
    <w:p>
      <w:pPr>
        <w:spacing w:after="0" w:line="26" w:lineRule="exact"/>
        <w:rPr>
          <w:rFonts w:ascii="Arial" w:cs="Arial" w:eastAsia="Arial" w:hAnsi="Arial"/>
          <w:sz w:val="14"/>
          <w:szCs w:val="14"/>
          <w:b w:val="1"/>
          <w:bCs w:val="1"/>
          <w:color w:val="auto"/>
        </w:rPr>
      </w:pPr>
    </w:p>
    <w:p>
      <w:pPr>
        <w:ind w:left="340" w:right="200" w:hanging="315"/>
        <w:spacing w:after="0" w:line="227" w:lineRule="auto"/>
        <w:tabs>
          <w:tab w:leader="none" w:pos="340" w:val="left"/>
        </w:tabs>
        <w:numPr>
          <w:ilvl w:val="0"/>
          <w:numId w:val="17"/>
        </w:numPr>
        <w:rPr>
          <w:rFonts w:ascii="Arial" w:cs="Arial" w:eastAsia="Arial" w:hAnsi="Arial"/>
          <w:sz w:val="14"/>
          <w:szCs w:val="14"/>
          <w:b w:val="1"/>
          <w:bCs w:val="1"/>
          <w:color w:val="auto"/>
        </w:rPr>
      </w:pPr>
      <w:r>
        <w:rPr>
          <w:rFonts w:ascii="Arial" w:cs="Arial" w:eastAsia="Arial" w:hAnsi="Arial"/>
          <w:sz w:val="14"/>
          <w:szCs w:val="14"/>
          <w:color w:val="auto"/>
        </w:rPr>
        <w:t>3T Heater-Cooler litigation provision, legal expenses primarily related to 3T Heater-Cooler defense, settlements, other matters, remeasurement of contingent consideration related to acquisitions and dividend income</w:t>
      </w:r>
    </w:p>
    <w:p>
      <w:pPr>
        <w:spacing w:after="0" w:line="17" w:lineRule="exact"/>
        <w:rPr>
          <w:rFonts w:ascii="Arial" w:cs="Arial" w:eastAsia="Arial" w:hAnsi="Arial"/>
          <w:sz w:val="14"/>
          <w:szCs w:val="14"/>
          <w:b w:val="1"/>
          <w:bCs w:val="1"/>
          <w:color w:val="auto"/>
        </w:rPr>
      </w:pPr>
    </w:p>
    <w:p>
      <w:pPr>
        <w:ind w:left="340" w:hanging="315"/>
        <w:spacing w:after="0"/>
        <w:tabs>
          <w:tab w:leader="none" w:pos="340" w:val="left"/>
        </w:tabs>
        <w:numPr>
          <w:ilvl w:val="0"/>
          <w:numId w:val="17"/>
        </w:numPr>
        <w:rPr>
          <w:rFonts w:ascii="Arial" w:cs="Arial" w:eastAsia="Arial" w:hAnsi="Arial"/>
          <w:sz w:val="14"/>
          <w:szCs w:val="14"/>
          <w:b w:val="1"/>
          <w:bCs w:val="1"/>
          <w:color w:val="auto"/>
        </w:rPr>
      </w:pPr>
      <w:r>
        <w:rPr>
          <w:rFonts w:ascii="Arial" w:cs="Arial" w:eastAsia="Arial" w:hAnsi="Arial"/>
          <w:sz w:val="14"/>
          <w:szCs w:val="14"/>
          <w:color w:val="auto"/>
        </w:rPr>
        <w:t>Non-cash expenses associated with stock-based compensation costs</w:t>
      </w:r>
    </w:p>
    <w:p>
      <w:pPr>
        <w:spacing w:after="0" w:line="26" w:lineRule="exact"/>
        <w:rPr>
          <w:rFonts w:ascii="Arial" w:cs="Arial" w:eastAsia="Arial" w:hAnsi="Arial"/>
          <w:sz w:val="14"/>
          <w:szCs w:val="14"/>
          <w:b w:val="1"/>
          <w:bCs w:val="1"/>
          <w:color w:val="auto"/>
        </w:rPr>
      </w:pPr>
    </w:p>
    <w:p>
      <w:pPr>
        <w:ind w:left="340" w:hanging="315"/>
        <w:spacing w:after="0"/>
        <w:tabs>
          <w:tab w:leader="none" w:pos="340" w:val="left"/>
        </w:tabs>
        <w:numPr>
          <w:ilvl w:val="0"/>
          <w:numId w:val="17"/>
        </w:numPr>
        <w:rPr>
          <w:rFonts w:ascii="Arial" w:cs="Arial" w:eastAsia="Arial" w:hAnsi="Arial"/>
          <w:sz w:val="14"/>
          <w:szCs w:val="14"/>
          <w:b w:val="1"/>
          <w:bCs w:val="1"/>
          <w:color w:val="auto"/>
        </w:rPr>
      </w:pPr>
      <w:r>
        <w:rPr>
          <w:rFonts w:ascii="Arial" w:cs="Arial" w:eastAsia="Arial" w:hAnsi="Arial"/>
          <w:sz w:val="14"/>
          <w:szCs w:val="14"/>
          <w:color w:val="auto"/>
        </w:rPr>
        <w:t>Relates to discrete tax items and the tax impact of intercompany transactions</w:t>
      </w:r>
    </w:p>
    <w:p>
      <w:pPr>
        <w:spacing w:after="0" w:line="26" w:lineRule="exact"/>
        <w:rPr>
          <w:rFonts w:ascii="Arial" w:cs="Arial" w:eastAsia="Arial" w:hAnsi="Arial"/>
          <w:sz w:val="14"/>
          <w:szCs w:val="14"/>
          <w:b w:val="1"/>
          <w:bCs w:val="1"/>
          <w:color w:val="auto"/>
        </w:rPr>
      </w:pPr>
    </w:p>
    <w:p>
      <w:pPr>
        <w:ind w:left="340" w:hanging="315"/>
        <w:spacing w:after="0"/>
        <w:tabs>
          <w:tab w:leader="none" w:pos="340" w:val="left"/>
        </w:tabs>
        <w:numPr>
          <w:ilvl w:val="0"/>
          <w:numId w:val="17"/>
        </w:numPr>
        <w:rPr>
          <w:rFonts w:ascii="Arial" w:cs="Arial" w:eastAsia="Arial" w:hAnsi="Arial"/>
          <w:sz w:val="14"/>
          <w:szCs w:val="14"/>
          <w:b w:val="1"/>
          <w:bCs w:val="1"/>
          <w:color w:val="auto"/>
        </w:rPr>
      </w:pPr>
      <w:r>
        <w:rPr>
          <w:rFonts w:ascii="Arial" w:cs="Arial" w:eastAsia="Arial" w:hAnsi="Arial"/>
          <w:sz w:val="14"/>
          <w:szCs w:val="14"/>
          <w:color w:val="auto"/>
        </w:rPr>
        <w:t>Non-cash interest expense on our Senior Secured Term Loan and Cash Exchangeable Senior Notes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340"/>
          </w:cols>
          <w:pgMar w:left="320" w:top="802" w:right="239" w:bottom="1440" w:gutter="0" w:footer="0" w:header="0"/>
        </w:sectPr>
      </w:pPr>
    </w:p>
    <w:bookmarkStart w:id="18" w:name="page19"/>
    <w:bookmarkEnd w:id="18"/>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124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4700" cy="8255"/>
                    </a:xfrm>
                    <a:prstGeom prst="rect">
                      <a:avLst/>
                    </a:prstGeom>
                    <a:noFill/>
                  </pic:spPr>
                </pic:pic>
              </a:graphicData>
            </a:graphic>
          </wp:anchor>
        </w:drawing>
      </w:r>
    </w:p>
    <w:p>
      <w:pPr>
        <w:spacing w:after="0" w:line="2" w:lineRule="exact"/>
        <w:rPr>
          <w:sz w:val="20"/>
          <w:szCs w:val="20"/>
          <w:color w:val="auto"/>
        </w:rPr>
      </w:pPr>
    </w:p>
    <w:p>
      <w:pPr>
        <w:ind w:left="5680"/>
        <w:spacing w:after="0"/>
        <w:rPr>
          <w:sz w:val="20"/>
          <w:szCs w:val="20"/>
          <w:color w:val="auto"/>
        </w:rPr>
      </w:pPr>
      <w:r>
        <w:rPr>
          <w:rFonts w:ascii="Arial" w:cs="Arial" w:eastAsia="Arial" w:hAnsi="Arial"/>
          <w:sz w:val="14"/>
          <w:szCs w:val="14"/>
          <w:b w:val="1"/>
          <w:bCs w:val="1"/>
          <w:color w:val="auto"/>
        </w:rPr>
        <w:t>Specified Items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2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Merger and</w:t>
            </w:r>
          </w:p>
        </w:tc>
        <w:tc>
          <w:tcPr>
            <w:tcW w:w="9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center"/>
              <w:ind w:right="17"/>
              <w:spacing w:after="0" w:line="114" w:lineRule="exact"/>
              <w:rPr>
                <w:sz w:val="20"/>
                <w:szCs w:val="20"/>
                <w:color w:val="auto"/>
              </w:rPr>
            </w:pPr>
            <w:r>
              <w:rPr>
                <w:rFonts w:ascii="Arial" w:cs="Arial" w:eastAsia="Arial" w:hAnsi="Arial"/>
                <w:sz w:val="13"/>
                <w:szCs w:val="13"/>
                <w:b w:val="1"/>
                <w:bCs w:val="1"/>
                <w:color w:val="auto"/>
                <w:w w:val="96"/>
              </w:rPr>
              <w:t>Depreciation</w:t>
            </w:r>
          </w:p>
        </w:tc>
        <w:tc>
          <w:tcPr>
            <w:tcW w:w="9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w w:val="95"/>
              </w:rPr>
              <w:t>Certain Legal,</w:t>
            </w:r>
          </w:p>
        </w:tc>
        <w:tc>
          <w:tcPr>
            <w:tcW w:w="1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Stock-based</w:t>
            </w:r>
          </w:p>
        </w:tc>
        <w:tc>
          <w:tcPr>
            <w:tcW w:w="9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3"/>
              </w:rPr>
              <w:t>Certain</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900" w:type="dxa"/>
            <w:vAlign w:val="bottom"/>
            <w:vMerge w:val="continue"/>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Restructuring</w:t>
            </w:r>
          </w:p>
        </w:tc>
        <w:tc>
          <w:tcPr>
            <w:tcW w:w="9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4"/>
              </w:rPr>
              <w:t>and</w:t>
            </w: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Financing</w:t>
            </w:r>
          </w:p>
        </w:tc>
        <w:tc>
          <w:tcPr>
            <w:tcW w:w="10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Contingent</w:t>
            </w:r>
          </w:p>
        </w:tc>
        <w:tc>
          <w:tcPr>
            <w:tcW w:w="10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Certain Tax</w:t>
            </w:r>
          </w:p>
        </w:tc>
        <w:tc>
          <w:tcPr>
            <w:tcW w:w="880" w:type="dxa"/>
            <w:vAlign w:val="bottom"/>
            <w:vMerge w:val="continue"/>
          </w:tcPr>
          <w:p>
            <w:pPr>
              <w:spacing w:after="0"/>
              <w:rPr>
                <w:sz w:val="10"/>
                <w:szCs w:val="10"/>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Adjusted</w:t>
            </w:r>
          </w:p>
        </w:tc>
        <w:tc>
          <w:tcPr>
            <w:tcW w:w="0" w:type="dxa"/>
            <w:vAlign w:val="bottom"/>
          </w:tcPr>
          <w:p>
            <w:pPr>
              <w:spacing w:after="0"/>
              <w:rPr>
                <w:sz w:val="1"/>
                <w:szCs w:val="1"/>
                <w:color w:val="auto"/>
              </w:rPr>
            </w:pPr>
          </w:p>
        </w:tc>
      </w:tr>
      <w:tr>
        <w:trPr>
          <w:trHeight w:val="121"/>
        </w:trPr>
        <w:tc>
          <w:tcPr>
            <w:tcW w:w="21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Six Months Ended</w:t>
            </w:r>
          </w:p>
        </w:tc>
        <w:tc>
          <w:tcPr>
            <w:tcW w:w="800" w:type="dxa"/>
            <w:vAlign w:val="bottom"/>
            <w:vMerge w:val="continue"/>
          </w:tcPr>
          <w:p>
            <w:pPr>
              <w:spacing w:after="0"/>
              <w:rPr>
                <w:sz w:val="10"/>
                <w:szCs w:val="10"/>
                <w:color w:val="auto"/>
              </w:rPr>
            </w:pPr>
          </w:p>
        </w:tc>
        <w:tc>
          <w:tcPr>
            <w:tcW w:w="9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Integration</w:t>
            </w:r>
          </w:p>
        </w:tc>
        <w:tc>
          <w:tcPr>
            <w:tcW w:w="960" w:type="dxa"/>
            <w:vAlign w:val="bottom"/>
            <w:vMerge w:val="continue"/>
          </w:tcPr>
          <w:p>
            <w:pPr>
              <w:spacing w:after="0"/>
              <w:rPr>
                <w:sz w:val="10"/>
                <w:szCs w:val="10"/>
                <w:color w:val="auto"/>
              </w:rPr>
            </w:pPr>
          </w:p>
        </w:tc>
        <w:tc>
          <w:tcPr>
            <w:tcW w:w="9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8"/>
              </w:rPr>
              <w:t>Amortization</w:t>
            </w:r>
          </w:p>
        </w:tc>
        <w:tc>
          <w:tcPr>
            <w:tcW w:w="920" w:type="dxa"/>
            <w:vAlign w:val="bottom"/>
            <w:vMerge w:val="continue"/>
          </w:tcPr>
          <w:p>
            <w:pPr>
              <w:spacing w:after="0"/>
              <w:rPr>
                <w:sz w:val="10"/>
                <w:szCs w:val="10"/>
                <w:color w:val="auto"/>
              </w:rPr>
            </w:pPr>
          </w:p>
        </w:tc>
        <w:tc>
          <w:tcPr>
            <w:tcW w:w="1000" w:type="dxa"/>
            <w:vAlign w:val="bottom"/>
          </w:tcPr>
          <w:p>
            <w:pPr>
              <w:jc w:val="center"/>
              <w:ind w:right="17"/>
              <w:spacing w:after="0" w:line="121" w:lineRule="exact"/>
              <w:rPr>
                <w:sz w:val="20"/>
                <w:szCs w:val="20"/>
                <w:color w:val="auto"/>
              </w:rPr>
            </w:pPr>
            <w:r>
              <w:rPr>
                <w:rFonts w:ascii="Arial" w:cs="Arial" w:eastAsia="Arial" w:hAnsi="Arial"/>
                <w:sz w:val="13"/>
                <w:szCs w:val="13"/>
                <w:b w:val="1"/>
                <w:bCs w:val="1"/>
                <w:color w:val="auto"/>
                <w:w w:val="96"/>
              </w:rPr>
              <w:t>Consideration</w:t>
            </w:r>
          </w:p>
        </w:tc>
        <w:tc>
          <w:tcPr>
            <w:tcW w:w="10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Compensation</w:t>
            </w:r>
          </w:p>
        </w:tc>
        <w:tc>
          <w:tcPr>
            <w:tcW w:w="920" w:type="dxa"/>
            <w:vAlign w:val="bottom"/>
            <w:vMerge w:val="continue"/>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Interest</w:t>
            </w: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vMerge w:val="continue"/>
          </w:tcPr>
          <w:p>
            <w:pPr>
              <w:spacing w:after="0"/>
              <w:rPr>
                <w:sz w:val="10"/>
                <w:szCs w:val="10"/>
                <w:color w:val="auto"/>
              </w:rPr>
            </w:pPr>
          </w:p>
        </w:tc>
        <w:tc>
          <w:tcPr>
            <w:tcW w:w="8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Financial</w:t>
            </w:r>
          </w:p>
        </w:tc>
        <w:tc>
          <w:tcPr>
            <w:tcW w:w="9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8"/>
              </w:rPr>
              <w:t>Expenses</w:t>
            </w:r>
          </w:p>
        </w:tc>
        <w:tc>
          <w:tcPr>
            <w:tcW w:w="960" w:type="dxa"/>
            <w:vAlign w:val="bottom"/>
          </w:tcPr>
          <w:p>
            <w:pPr>
              <w:jc w:val="center"/>
              <w:ind w:right="37"/>
              <w:spacing w:after="0" w:line="121" w:lineRule="exact"/>
              <w:rPr>
                <w:sz w:val="20"/>
                <w:szCs w:val="20"/>
                <w:color w:val="auto"/>
              </w:rPr>
            </w:pPr>
            <w:r>
              <w:rPr>
                <w:rFonts w:ascii="Arial" w:cs="Arial" w:eastAsia="Arial" w:hAnsi="Arial"/>
                <w:sz w:val="13"/>
                <w:szCs w:val="13"/>
                <w:b w:val="1"/>
                <w:bCs w:val="1"/>
                <w:color w:val="auto"/>
                <w:w w:val="95"/>
              </w:rPr>
              <w:t>Expenses</w:t>
            </w:r>
          </w:p>
        </w:tc>
        <w:tc>
          <w:tcPr>
            <w:tcW w:w="920" w:type="dxa"/>
            <w:vAlign w:val="bottom"/>
          </w:tcPr>
          <w:p>
            <w:pPr>
              <w:jc w:val="center"/>
              <w:ind w:right="37"/>
              <w:spacing w:after="0" w:line="121" w:lineRule="exact"/>
              <w:rPr>
                <w:sz w:val="20"/>
                <w:szCs w:val="20"/>
                <w:color w:val="auto"/>
              </w:rPr>
            </w:pPr>
            <w:r>
              <w:rPr>
                <w:rFonts w:ascii="Arial" w:cs="Arial" w:eastAsia="Arial" w:hAnsi="Arial"/>
                <w:sz w:val="13"/>
                <w:szCs w:val="13"/>
                <w:b w:val="1"/>
                <w:bCs w:val="1"/>
                <w:color w:val="auto"/>
                <w:w w:val="95"/>
              </w:rPr>
              <w:t>Expenses</w:t>
            </w:r>
          </w:p>
        </w:tc>
        <w:tc>
          <w:tcPr>
            <w:tcW w:w="9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Transactions</w:t>
            </w:r>
          </w:p>
        </w:tc>
        <w:tc>
          <w:tcPr>
            <w:tcW w:w="10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4"/>
              </w:rPr>
              <w:t>and Other</w:t>
            </w:r>
          </w:p>
        </w:tc>
        <w:tc>
          <w:tcPr>
            <w:tcW w:w="1000" w:type="dxa"/>
            <w:vAlign w:val="bottom"/>
          </w:tcPr>
          <w:p>
            <w:pPr>
              <w:jc w:val="center"/>
              <w:ind w:right="37"/>
              <w:spacing w:after="0" w:line="121" w:lineRule="exact"/>
              <w:rPr>
                <w:sz w:val="20"/>
                <w:szCs w:val="20"/>
                <w:color w:val="auto"/>
              </w:rPr>
            </w:pPr>
            <w:r>
              <w:rPr>
                <w:rFonts w:ascii="Arial" w:cs="Arial" w:eastAsia="Arial" w:hAnsi="Arial"/>
                <w:sz w:val="13"/>
                <w:szCs w:val="13"/>
                <w:b w:val="1"/>
                <w:bCs w:val="1"/>
                <w:color w:val="auto"/>
                <w:w w:val="94"/>
              </w:rPr>
              <w:t>Costs</w:t>
            </w:r>
          </w:p>
        </w:tc>
        <w:tc>
          <w:tcPr>
            <w:tcW w:w="920" w:type="dxa"/>
            <w:vAlign w:val="bottom"/>
          </w:tcPr>
          <w:p>
            <w:pPr>
              <w:jc w:val="center"/>
              <w:ind w:right="17"/>
              <w:spacing w:after="0" w:line="121" w:lineRule="exact"/>
              <w:rPr>
                <w:sz w:val="20"/>
                <w:szCs w:val="20"/>
                <w:color w:val="auto"/>
              </w:rPr>
            </w:pPr>
            <w:r>
              <w:rPr>
                <w:rFonts w:ascii="Arial" w:cs="Arial" w:eastAsia="Arial" w:hAnsi="Arial"/>
                <w:sz w:val="13"/>
                <w:szCs w:val="13"/>
                <w:b w:val="1"/>
                <w:bCs w:val="1"/>
                <w:color w:val="auto"/>
                <w:w w:val="96"/>
              </w:rPr>
              <w:t>Adjustments</w:t>
            </w:r>
          </w:p>
        </w:tc>
        <w:tc>
          <w:tcPr>
            <w:tcW w:w="8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Adjustments</w:t>
            </w:r>
          </w:p>
        </w:tc>
        <w:tc>
          <w:tcPr>
            <w:tcW w:w="8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Financial</w:t>
            </w:r>
          </w:p>
        </w:tc>
        <w:tc>
          <w:tcPr>
            <w:tcW w:w="0" w:type="dxa"/>
            <w:vAlign w:val="bottom"/>
          </w:tcPr>
          <w:p>
            <w:pPr>
              <w:spacing w:after="0"/>
              <w:rPr>
                <w:sz w:val="1"/>
                <w:szCs w:val="1"/>
                <w:color w:val="auto"/>
              </w:rPr>
            </w:pPr>
          </w:p>
        </w:tc>
      </w:tr>
      <w:tr>
        <w:trPr>
          <w:trHeight w:val="170"/>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June 30, 2022</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(B)</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$141.5</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($7.4)</w:t>
            </w:r>
          </w:p>
        </w:tc>
        <w:tc>
          <w:tcPr>
            <w:tcW w:w="920" w:type="dxa"/>
            <w:vAlign w:val="bottom"/>
          </w:tcPr>
          <w:p>
            <w:pPr>
              <w:ind w:left="5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$14.4</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($0.8)</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$147.7</w:t>
            </w: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800" w:type="dxa"/>
            <w:vAlign w:val="bottom"/>
          </w:tcPr>
          <w:p>
            <w:pPr>
              <w:jc w:val="right"/>
              <w:spacing w:after="0"/>
              <w:rPr>
                <w:sz w:val="20"/>
                <w:szCs w:val="20"/>
                <w:color w:val="auto"/>
              </w:rPr>
            </w:pPr>
            <w:r>
              <w:rPr>
                <w:rFonts w:ascii="Arial" w:cs="Arial" w:eastAsia="Arial" w:hAnsi="Arial"/>
                <w:sz w:val="13"/>
                <w:szCs w:val="13"/>
                <w:color w:val="auto"/>
              </w:rPr>
              <w:t>71.4 %</w:t>
            </w:r>
          </w:p>
        </w:tc>
        <w:tc>
          <w:tcPr>
            <w:tcW w:w="900" w:type="dxa"/>
            <w:vAlign w:val="bottom"/>
          </w:tcPr>
          <w:p>
            <w:pPr>
              <w:ind w:left="58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1.5 %</w:t>
            </w:r>
          </w:p>
        </w:tc>
        <w:tc>
          <w:tcPr>
            <w:tcW w:w="920" w:type="dxa"/>
            <w:vAlign w:val="bottom"/>
          </w:tcPr>
          <w:p>
            <w:pPr>
              <w:ind w:left="600"/>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(2.9)%</w:t>
            </w:r>
          </w:p>
        </w:tc>
        <w:tc>
          <w:tcPr>
            <w:tcW w:w="1000" w:type="dxa"/>
            <w:vAlign w:val="bottom"/>
          </w:tcPr>
          <w:p>
            <w:pPr>
              <w:jc w:val="right"/>
              <w:spacing w:after="0"/>
              <w:rPr>
                <w:sz w:val="20"/>
                <w:szCs w:val="20"/>
                <w:color w:val="auto"/>
              </w:rPr>
            </w:pPr>
            <w:r>
              <w:rPr>
                <w:rFonts w:ascii="Arial" w:cs="Arial" w:eastAsia="Arial" w:hAnsi="Arial"/>
                <w:sz w:val="13"/>
                <w:szCs w:val="13"/>
                <w:color w:val="auto"/>
              </w:rPr>
              <w:t>0.2 %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ind w:left="600"/>
              <w:spacing w:after="0"/>
              <w:rPr>
                <w:sz w:val="20"/>
                <w:szCs w:val="20"/>
                <w:color w:val="auto"/>
              </w:rPr>
            </w:pPr>
            <w:r>
              <w:rPr>
                <w:rFonts w:ascii="Arial" w:cs="Arial" w:eastAsia="Arial" w:hAnsi="Arial"/>
                <w:sz w:val="13"/>
                <w:szCs w:val="13"/>
                <w:color w:val="auto"/>
                <w:w w:val="92"/>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70.1 %</w:t>
            </w:r>
          </w:p>
        </w:tc>
        <w:tc>
          <w:tcPr>
            <w:tcW w:w="0" w:type="dxa"/>
            <w:vAlign w:val="bottom"/>
          </w:tcPr>
          <w:p>
            <w:pPr>
              <w:spacing w:after="0"/>
              <w:rPr>
                <w:sz w:val="1"/>
                <w:szCs w:val="1"/>
                <w:color w:val="auto"/>
              </w:rPr>
            </w:pPr>
          </w:p>
        </w:tc>
      </w:tr>
      <w:tr>
        <w:trPr>
          <w:trHeight w:val="151"/>
        </w:trPr>
        <w:tc>
          <w:tcPr>
            <w:tcW w:w="2100" w:type="dxa"/>
            <w:vAlign w:val="bottom"/>
          </w:tcPr>
          <w:p>
            <w:pPr>
              <w:ind w:left="20"/>
              <w:spacing w:after="0" w:line="151" w:lineRule="exact"/>
              <w:rPr>
                <w:sz w:val="20"/>
                <w:szCs w:val="20"/>
                <w:color w:val="auto"/>
              </w:rPr>
            </w:pPr>
            <w:r>
              <w:rPr>
                <w:rFonts w:ascii="Arial" w:cs="Arial" w:eastAsia="Arial" w:hAnsi="Arial"/>
                <w:sz w:val="14"/>
                <w:szCs w:val="14"/>
                <w:color w:val="auto"/>
              </w:rPr>
              <w:t>Selling, general and</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0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235.0</w:t>
            </w:r>
          </w:p>
        </w:tc>
        <w:tc>
          <w:tcPr>
            <w:tcW w:w="900" w:type="dxa"/>
            <w:vAlign w:val="bottom"/>
          </w:tcPr>
          <w:p>
            <w:pPr>
              <w:ind w:left="58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(5.8)</w:t>
            </w:r>
          </w:p>
        </w:tc>
        <w:tc>
          <w:tcPr>
            <w:tcW w:w="920" w:type="dxa"/>
            <w:vAlign w:val="bottom"/>
          </w:tcPr>
          <w:p>
            <w:pPr>
              <w:ind w:left="6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(10.5)</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(15.6)</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ind w:left="6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203.0</w:t>
            </w:r>
          </w:p>
        </w:tc>
        <w:tc>
          <w:tcPr>
            <w:tcW w:w="0" w:type="dxa"/>
            <w:vAlign w:val="bottom"/>
          </w:tcPr>
          <w:p>
            <w:pPr>
              <w:spacing w:after="0"/>
              <w:rPr>
                <w:sz w:val="1"/>
                <w:szCs w:val="1"/>
                <w:color w:val="auto"/>
              </w:rPr>
            </w:pPr>
          </w:p>
        </w:tc>
      </w:tr>
      <w:tr>
        <w:trPr>
          <w:trHeight w:val="151"/>
        </w:trPr>
        <w:tc>
          <w:tcPr>
            <w:tcW w:w="2100" w:type="dxa"/>
            <w:vAlign w:val="bottom"/>
          </w:tcPr>
          <w:p>
            <w:pPr>
              <w:ind w:left="20"/>
              <w:spacing w:after="0" w:line="151" w:lineRule="exact"/>
              <w:rPr>
                <w:sz w:val="20"/>
                <w:szCs w:val="20"/>
                <w:color w:val="auto"/>
              </w:rPr>
            </w:pPr>
            <w:r>
              <w:rPr>
                <w:rFonts w:ascii="Arial" w:cs="Arial" w:eastAsia="Arial" w:hAnsi="Arial"/>
                <w:sz w:val="14"/>
                <w:szCs w:val="14"/>
                <w:color w:val="auto"/>
              </w:rPr>
              <w:t>Selling, general and</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100" w:type="dxa"/>
            <w:vAlign w:val="bottom"/>
          </w:tcPr>
          <w:p>
            <w:pPr>
              <w:ind w:left="20"/>
              <w:spacing w:after="0" w:line="135" w:lineRule="exact"/>
              <w:rPr>
                <w:sz w:val="20"/>
                <w:szCs w:val="20"/>
                <w:color w:val="auto"/>
              </w:rPr>
            </w:pPr>
            <w:r>
              <w:rPr>
                <w:rFonts w:ascii="Arial" w:cs="Arial" w:eastAsia="Arial" w:hAnsi="Arial"/>
                <w:sz w:val="14"/>
                <w:szCs w:val="14"/>
                <w:color w:val="auto"/>
              </w:rPr>
              <w:t>administrative as a percent of</w:t>
            </w: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1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800" w:type="dxa"/>
            <w:vAlign w:val="bottom"/>
          </w:tcPr>
          <w:p>
            <w:pPr>
              <w:jc w:val="right"/>
              <w:spacing w:after="0"/>
              <w:rPr>
                <w:sz w:val="20"/>
                <w:szCs w:val="20"/>
                <w:color w:val="auto"/>
              </w:rPr>
            </w:pPr>
            <w:r>
              <w:rPr>
                <w:rFonts w:ascii="Arial" w:cs="Arial" w:eastAsia="Arial" w:hAnsi="Arial"/>
                <w:sz w:val="13"/>
                <w:szCs w:val="13"/>
                <w:color w:val="auto"/>
              </w:rPr>
              <w:t>47.5 %</w:t>
            </w:r>
          </w:p>
        </w:tc>
        <w:tc>
          <w:tcPr>
            <w:tcW w:w="900" w:type="dxa"/>
            <w:vAlign w:val="bottom"/>
          </w:tcPr>
          <w:p>
            <w:pPr>
              <w:ind w:left="58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(1.2)%</w:t>
            </w:r>
          </w:p>
        </w:tc>
        <w:tc>
          <w:tcPr>
            <w:tcW w:w="920" w:type="dxa"/>
            <w:vAlign w:val="bottom"/>
          </w:tcPr>
          <w:p>
            <w:pPr>
              <w:ind w:left="600"/>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(2.1)%</w:t>
            </w:r>
          </w:p>
        </w:tc>
        <w:tc>
          <w:tcPr>
            <w:tcW w:w="1000" w:type="dxa"/>
            <w:vAlign w:val="bottom"/>
          </w:tcPr>
          <w:p>
            <w:pPr>
              <w:jc w:val="right"/>
              <w:spacing w:after="0"/>
              <w:rPr>
                <w:sz w:val="20"/>
                <w:szCs w:val="20"/>
                <w:color w:val="auto"/>
              </w:rPr>
            </w:pPr>
            <w:r>
              <w:rPr>
                <w:rFonts w:ascii="Arial" w:cs="Arial" w:eastAsia="Arial" w:hAnsi="Arial"/>
                <w:sz w:val="13"/>
                <w:szCs w:val="13"/>
                <w:color w:val="auto"/>
              </w:rPr>
              <w:t>(3.2)%</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ind w:left="600"/>
              <w:spacing w:after="0"/>
              <w:rPr>
                <w:sz w:val="20"/>
                <w:szCs w:val="20"/>
                <w:color w:val="auto"/>
              </w:rPr>
            </w:pPr>
            <w:r>
              <w:rPr>
                <w:rFonts w:ascii="Arial" w:cs="Arial" w:eastAsia="Arial" w:hAnsi="Arial"/>
                <w:sz w:val="13"/>
                <w:szCs w:val="13"/>
                <w:color w:val="auto"/>
                <w:w w:val="92"/>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41.1 %</w:t>
            </w: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75.1</w:t>
            </w:r>
          </w:p>
        </w:tc>
        <w:tc>
          <w:tcPr>
            <w:tcW w:w="900" w:type="dxa"/>
            <w:vAlign w:val="bottom"/>
          </w:tcPr>
          <w:p>
            <w:pPr>
              <w:ind w:left="58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0.1</w:t>
            </w:r>
          </w:p>
        </w:tc>
        <w:tc>
          <w:tcPr>
            <w:tcW w:w="920" w:type="dxa"/>
            <w:vAlign w:val="bottom"/>
          </w:tcPr>
          <w:p>
            <w:pPr>
              <w:ind w:left="6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11.8</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(5.3)</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ind w:left="6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81.8</w:t>
            </w:r>
          </w:p>
        </w:tc>
        <w:tc>
          <w:tcPr>
            <w:tcW w:w="0" w:type="dxa"/>
            <w:vAlign w:val="bottom"/>
          </w:tcPr>
          <w:p>
            <w:pPr>
              <w:spacing w:after="0"/>
              <w:rPr>
                <w:sz w:val="1"/>
                <w:szCs w:val="1"/>
                <w:color w:val="auto"/>
              </w:rPr>
            </w:pPr>
          </w:p>
        </w:tc>
      </w:tr>
      <w:tr>
        <w:trPr>
          <w:trHeight w:val="151"/>
        </w:trPr>
        <w:tc>
          <w:tcPr>
            <w:tcW w:w="2100" w:type="dxa"/>
            <w:vAlign w:val="bottom"/>
          </w:tcPr>
          <w:p>
            <w:pPr>
              <w:ind w:left="20"/>
              <w:spacing w:after="0" w:line="151" w:lineRule="exact"/>
              <w:rPr>
                <w:sz w:val="20"/>
                <w:szCs w:val="20"/>
                <w:color w:val="auto"/>
              </w:rPr>
            </w:pPr>
            <w:r>
              <w:rPr>
                <w:rFonts w:ascii="Arial" w:cs="Arial" w:eastAsia="Arial" w:hAnsi="Arial"/>
                <w:sz w:val="14"/>
                <w:szCs w:val="14"/>
                <w:color w:val="auto"/>
              </w:rPr>
              <w:t>Research and development as</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00" w:type="dxa"/>
            <w:vAlign w:val="bottom"/>
          </w:tcPr>
          <w:p>
            <w:pPr>
              <w:ind w:left="20"/>
              <w:spacing w:after="0"/>
              <w:rPr>
                <w:sz w:val="20"/>
                <w:szCs w:val="20"/>
                <w:color w:val="auto"/>
              </w:rPr>
            </w:pPr>
            <w:r>
              <w:rPr>
                <w:rFonts w:ascii="Arial" w:cs="Arial" w:eastAsia="Arial" w:hAnsi="Arial"/>
                <w:sz w:val="14"/>
                <w:szCs w:val="14"/>
                <w:color w:val="auto"/>
              </w:rPr>
              <w:t>a percent of net sales</w:t>
            </w:r>
          </w:p>
        </w:tc>
        <w:tc>
          <w:tcPr>
            <w:tcW w:w="800" w:type="dxa"/>
            <w:vAlign w:val="bottom"/>
          </w:tcPr>
          <w:p>
            <w:pPr>
              <w:jc w:val="right"/>
              <w:spacing w:after="0"/>
              <w:rPr>
                <w:sz w:val="20"/>
                <w:szCs w:val="20"/>
                <w:color w:val="auto"/>
              </w:rPr>
            </w:pPr>
            <w:r>
              <w:rPr>
                <w:rFonts w:ascii="Arial" w:cs="Arial" w:eastAsia="Arial" w:hAnsi="Arial"/>
                <w:sz w:val="13"/>
                <w:szCs w:val="13"/>
                <w:color w:val="auto"/>
              </w:rPr>
              <w:t>15.2 %</w:t>
            </w:r>
          </w:p>
        </w:tc>
        <w:tc>
          <w:tcPr>
            <w:tcW w:w="900" w:type="dxa"/>
            <w:vAlign w:val="bottom"/>
          </w:tcPr>
          <w:p>
            <w:pPr>
              <w:ind w:left="58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ind w:left="600"/>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2.4 %</w:t>
            </w:r>
          </w:p>
        </w:tc>
        <w:tc>
          <w:tcPr>
            <w:tcW w:w="1000" w:type="dxa"/>
            <w:vAlign w:val="bottom"/>
          </w:tcPr>
          <w:p>
            <w:pPr>
              <w:jc w:val="right"/>
              <w:spacing w:after="0"/>
              <w:rPr>
                <w:sz w:val="20"/>
                <w:szCs w:val="20"/>
                <w:color w:val="auto"/>
              </w:rPr>
            </w:pPr>
            <w:r>
              <w:rPr>
                <w:rFonts w:ascii="Arial" w:cs="Arial" w:eastAsia="Arial" w:hAnsi="Arial"/>
                <w:sz w:val="13"/>
                <w:szCs w:val="13"/>
                <w:color w:val="auto"/>
              </w:rPr>
              <w:t>(1.1)%</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ind w:left="600"/>
              <w:spacing w:after="0"/>
              <w:rPr>
                <w:sz w:val="20"/>
                <w:szCs w:val="20"/>
                <w:color w:val="auto"/>
              </w:rPr>
            </w:pPr>
            <w:r>
              <w:rPr>
                <w:rFonts w:ascii="Arial" w:cs="Arial" w:eastAsia="Arial" w:hAnsi="Arial"/>
                <w:sz w:val="13"/>
                <w:szCs w:val="13"/>
                <w:color w:val="auto"/>
                <w:w w:val="92"/>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16.6 %</w:t>
            </w: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rPr>
                <w:sz w:val="20"/>
                <w:szCs w:val="20"/>
                <w:color w:val="auto"/>
              </w:rPr>
            </w:pPr>
            <w:r>
              <w:rPr>
                <w:rFonts w:ascii="Arial" w:cs="Arial" w:eastAsia="Arial" w:hAnsi="Arial"/>
                <w:sz w:val="14"/>
                <w:szCs w:val="14"/>
                <w:color w:val="auto"/>
              </w:rPr>
              <w:t>Other operating expenses</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1.4</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(0.2)</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(0.5)</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ind w:left="6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(0.7)</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ind w:left="6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41.3</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0.2</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0.5</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13.1</w:t>
            </w:r>
          </w:p>
        </w:tc>
        <w:tc>
          <w:tcPr>
            <w:tcW w:w="920" w:type="dxa"/>
            <w:vAlign w:val="bottom"/>
          </w:tcPr>
          <w:p>
            <w:pPr>
              <w:ind w:left="6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(15.1)</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21.7</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ind w:left="6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61.7</w:t>
            </w: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rPr>
                <w:sz w:val="20"/>
                <w:szCs w:val="20"/>
                <w:color w:val="auto"/>
              </w:rPr>
            </w:pPr>
            <w:r>
              <w:rPr>
                <w:rFonts w:ascii="Arial" w:cs="Arial" w:eastAsia="Arial" w:hAnsi="Arial"/>
                <w:sz w:val="14"/>
                <w:szCs w:val="14"/>
                <w:color w:val="auto"/>
              </w:rPr>
              <w:t>Operating margin percent</w:t>
            </w:r>
          </w:p>
        </w:tc>
        <w:tc>
          <w:tcPr>
            <w:tcW w:w="800" w:type="dxa"/>
            <w:vAlign w:val="bottom"/>
          </w:tcPr>
          <w:p>
            <w:pPr>
              <w:jc w:val="right"/>
              <w:spacing w:after="0"/>
              <w:rPr>
                <w:sz w:val="20"/>
                <w:szCs w:val="20"/>
                <w:color w:val="auto"/>
              </w:rPr>
            </w:pPr>
            <w:r>
              <w:rPr>
                <w:rFonts w:ascii="Arial" w:cs="Arial" w:eastAsia="Arial" w:hAnsi="Arial"/>
                <w:sz w:val="13"/>
                <w:szCs w:val="13"/>
                <w:color w:val="auto"/>
              </w:rPr>
              <w:t>8.3 %</w:t>
            </w:r>
          </w:p>
        </w:tc>
        <w:tc>
          <w:tcPr>
            <w:tcW w:w="900" w:type="dxa"/>
            <w:vAlign w:val="bottom"/>
          </w:tcPr>
          <w:p>
            <w:pPr>
              <w:ind w:left="58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0.1 %</w:t>
            </w:r>
          </w:p>
        </w:tc>
        <w:tc>
          <w:tcPr>
            <w:tcW w:w="920" w:type="dxa"/>
            <w:vAlign w:val="bottom"/>
          </w:tcPr>
          <w:p>
            <w:pPr>
              <w:jc w:val="right"/>
              <w:spacing w:after="0"/>
              <w:rPr>
                <w:sz w:val="20"/>
                <w:szCs w:val="20"/>
                <w:color w:val="auto"/>
              </w:rPr>
            </w:pPr>
            <w:r>
              <w:rPr>
                <w:rFonts w:ascii="Arial" w:cs="Arial" w:eastAsia="Arial" w:hAnsi="Arial"/>
                <w:sz w:val="13"/>
                <w:szCs w:val="13"/>
                <w:color w:val="auto"/>
              </w:rPr>
              <w:t>2.6 %</w:t>
            </w:r>
          </w:p>
        </w:tc>
        <w:tc>
          <w:tcPr>
            <w:tcW w:w="920" w:type="dxa"/>
            <w:vAlign w:val="bottom"/>
          </w:tcPr>
          <w:p>
            <w:pPr>
              <w:ind w:left="600"/>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(3.1)%</w:t>
            </w:r>
          </w:p>
        </w:tc>
        <w:tc>
          <w:tcPr>
            <w:tcW w:w="1000" w:type="dxa"/>
            <w:vAlign w:val="bottom"/>
          </w:tcPr>
          <w:p>
            <w:pPr>
              <w:jc w:val="right"/>
              <w:spacing w:after="0"/>
              <w:rPr>
                <w:sz w:val="20"/>
                <w:szCs w:val="20"/>
                <w:color w:val="auto"/>
              </w:rPr>
            </w:pPr>
            <w:r>
              <w:rPr>
                <w:rFonts w:ascii="Arial" w:cs="Arial" w:eastAsia="Arial" w:hAnsi="Arial"/>
                <w:sz w:val="13"/>
                <w:szCs w:val="13"/>
                <w:color w:val="auto"/>
              </w:rPr>
              <w:t>4.4 %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ind w:left="600"/>
              <w:spacing w:after="0"/>
              <w:rPr>
                <w:sz w:val="20"/>
                <w:szCs w:val="20"/>
                <w:color w:val="auto"/>
              </w:rPr>
            </w:pPr>
            <w:r>
              <w:rPr>
                <w:rFonts w:ascii="Arial" w:cs="Arial" w:eastAsia="Arial" w:hAnsi="Arial"/>
                <w:sz w:val="13"/>
                <w:szCs w:val="13"/>
                <w:color w:val="auto"/>
                <w:w w:val="92"/>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12.5 %</w:t>
            </w: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5.1</w:t>
            </w:r>
          </w:p>
        </w:tc>
        <w:tc>
          <w:tcPr>
            <w:tcW w:w="900" w:type="dxa"/>
            <w:vAlign w:val="bottom"/>
          </w:tcPr>
          <w:p>
            <w:pPr>
              <w:ind w:left="58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0.9</w:t>
            </w:r>
          </w:p>
        </w:tc>
        <w:tc>
          <w:tcPr>
            <w:tcW w:w="920" w:type="dxa"/>
            <w:vAlign w:val="bottom"/>
          </w:tcPr>
          <w:p>
            <w:pPr>
              <w:ind w:left="6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0.8</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0.2</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(3.5)</w:t>
            </w:r>
          </w:p>
        </w:tc>
        <w:tc>
          <w:tcPr>
            <w:tcW w:w="880" w:type="dxa"/>
            <w:vAlign w:val="bottom"/>
          </w:tcPr>
          <w:p>
            <w:pPr>
              <w:ind w:left="60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rPr>
                <w:sz w:val="20"/>
                <w:szCs w:val="20"/>
                <w:color w:val="auto"/>
              </w:rPr>
            </w:pPr>
            <w:r>
              <w:rPr>
                <w:rFonts w:ascii="Arial" w:cs="Arial" w:eastAsia="Arial" w:hAnsi="Arial"/>
                <w:sz w:val="14"/>
                <w:szCs w:val="14"/>
                <w:color w:val="auto"/>
              </w:rPr>
              <w:t>Income tax rate</w:t>
            </w:r>
          </w:p>
        </w:tc>
        <w:tc>
          <w:tcPr>
            <w:tcW w:w="800" w:type="dxa"/>
            <w:vAlign w:val="bottom"/>
          </w:tcPr>
          <w:p>
            <w:pPr>
              <w:jc w:val="right"/>
              <w:spacing w:after="0"/>
              <w:rPr>
                <w:sz w:val="20"/>
                <w:szCs w:val="20"/>
                <w:color w:val="auto"/>
              </w:rPr>
            </w:pPr>
            <w:r>
              <w:rPr>
                <w:rFonts w:ascii="Arial" w:cs="Arial" w:eastAsia="Arial" w:hAnsi="Arial"/>
                <w:sz w:val="13"/>
                <w:szCs w:val="13"/>
                <w:color w:val="auto"/>
              </w:rPr>
              <w:t>20.6 %</w:t>
            </w:r>
          </w:p>
        </w:tc>
        <w:tc>
          <w:tcPr>
            <w:tcW w:w="900" w:type="dxa"/>
            <w:vAlign w:val="bottom"/>
          </w:tcPr>
          <w:p>
            <w:pPr>
              <w:ind w:left="58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4.0 %</w:t>
            </w:r>
          </w:p>
        </w:tc>
        <w:tc>
          <w:tcPr>
            <w:tcW w:w="920" w:type="dxa"/>
            <w:vAlign w:val="bottom"/>
          </w:tcPr>
          <w:p>
            <w:pPr>
              <w:jc w:val="right"/>
              <w:spacing w:after="0"/>
              <w:rPr>
                <w:sz w:val="20"/>
                <w:szCs w:val="20"/>
                <w:color w:val="auto"/>
              </w:rPr>
            </w:pPr>
            <w:r>
              <w:rPr>
                <w:rFonts w:ascii="Arial" w:cs="Arial" w:eastAsia="Arial" w:hAnsi="Arial"/>
                <w:sz w:val="13"/>
                <w:szCs w:val="13"/>
                <w:color w:val="auto"/>
              </w:rPr>
              <w:t>6.8 %</w:t>
            </w:r>
          </w:p>
        </w:tc>
        <w:tc>
          <w:tcPr>
            <w:tcW w:w="920" w:type="dxa"/>
            <w:vAlign w:val="bottom"/>
          </w:tcPr>
          <w:p>
            <w:pPr>
              <w:ind w:left="600"/>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(5.1)%</w:t>
            </w:r>
          </w:p>
        </w:tc>
        <w:tc>
          <w:tcPr>
            <w:tcW w:w="1000" w:type="dxa"/>
            <w:vAlign w:val="bottom"/>
          </w:tcPr>
          <w:p>
            <w:pPr>
              <w:jc w:val="right"/>
              <w:spacing w:after="0"/>
              <w:rPr>
                <w:sz w:val="20"/>
                <w:szCs w:val="20"/>
                <w:color w:val="auto"/>
              </w:rPr>
            </w:pPr>
            <w:r>
              <w:rPr>
                <w:rFonts w:ascii="Arial" w:cs="Arial" w:eastAsia="Arial" w:hAnsi="Arial"/>
                <w:sz w:val="13"/>
                <w:szCs w:val="13"/>
                <w:color w:val="auto"/>
              </w:rPr>
              <w:t>1.0 %</w:t>
            </w:r>
          </w:p>
        </w:tc>
        <w:tc>
          <w:tcPr>
            <w:tcW w:w="920" w:type="dxa"/>
            <w:vAlign w:val="bottom"/>
          </w:tcPr>
          <w:p>
            <w:pPr>
              <w:jc w:val="right"/>
              <w:spacing w:after="0"/>
              <w:rPr>
                <w:sz w:val="20"/>
                <w:szCs w:val="20"/>
                <w:color w:val="auto"/>
              </w:rPr>
            </w:pPr>
            <w:r>
              <w:rPr>
                <w:rFonts w:ascii="Arial" w:cs="Arial" w:eastAsia="Arial" w:hAnsi="Arial"/>
                <w:sz w:val="13"/>
                <w:szCs w:val="13"/>
                <w:color w:val="auto"/>
              </w:rPr>
              <w:t>N/A</w:t>
            </w:r>
          </w:p>
        </w:tc>
        <w:tc>
          <w:tcPr>
            <w:tcW w:w="880" w:type="dxa"/>
            <w:vAlign w:val="bottom"/>
          </w:tcPr>
          <w:p>
            <w:pPr>
              <w:ind w:left="600"/>
              <w:spacing w:after="0"/>
              <w:rPr>
                <w:sz w:val="20"/>
                <w:szCs w:val="20"/>
                <w:color w:val="auto"/>
              </w:rPr>
            </w:pPr>
            <w:r>
              <w:rPr>
                <w:rFonts w:ascii="Arial" w:cs="Arial" w:eastAsia="Arial" w:hAnsi="Arial"/>
                <w:sz w:val="13"/>
                <w:szCs w:val="13"/>
                <w:color w:val="auto"/>
                <w:w w:val="92"/>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6.0 %</w:t>
            </w: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19.4</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0.2</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0.5</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12.2</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(2.6)</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(15.9)</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21.5</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3.5</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15.7</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151"/>
        </w:trPr>
        <w:tc>
          <w:tcPr>
            <w:tcW w:w="2100" w:type="dxa"/>
            <w:vAlign w:val="bottom"/>
          </w:tcPr>
          <w:p>
            <w:pPr>
              <w:ind w:left="20"/>
              <w:spacing w:after="0" w:line="151" w:lineRule="exact"/>
              <w:rPr>
                <w:sz w:val="20"/>
                <w:szCs w:val="20"/>
                <w:color w:val="auto"/>
              </w:rPr>
            </w:pPr>
            <w:r>
              <w:rPr>
                <w:rFonts w:ascii="Arial" w:cs="Arial" w:eastAsia="Arial" w:hAnsi="Arial"/>
                <w:sz w:val="14"/>
                <w:szCs w:val="14"/>
                <w:color w:val="auto"/>
              </w:rPr>
              <w:t>Net income as a percent of net</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00" w:type="dxa"/>
            <w:vAlign w:val="bottom"/>
          </w:tcPr>
          <w:p>
            <w:pPr>
              <w:ind w:left="20"/>
              <w:spacing w:after="0"/>
              <w:rPr>
                <w:sz w:val="20"/>
                <w:szCs w:val="20"/>
                <w:color w:val="auto"/>
              </w:rPr>
            </w:pPr>
            <w:r>
              <w:rPr>
                <w:rFonts w:ascii="Arial" w:cs="Arial" w:eastAsia="Arial" w:hAnsi="Arial"/>
                <w:sz w:val="14"/>
                <w:szCs w:val="14"/>
                <w:color w:val="auto"/>
              </w:rPr>
              <w:t>sales</w:t>
            </w:r>
          </w:p>
        </w:tc>
        <w:tc>
          <w:tcPr>
            <w:tcW w:w="800" w:type="dxa"/>
            <w:vAlign w:val="bottom"/>
          </w:tcPr>
          <w:p>
            <w:pPr>
              <w:jc w:val="right"/>
              <w:spacing w:after="0"/>
              <w:rPr>
                <w:sz w:val="20"/>
                <w:szCs w:val="20"/>
                <w:color w:val="auto"/>
              </w:rPr>
            </w:pPr>
            <w:r>
              <w:rPr>
                <w:rFonts w:ascii="Arial" w:cs="Arial" w:eastAsia="Arial" w:hAnsi="Arial"/>
                <w:sz w:val="13"/>
                <w:szCs w:val="13"/>
                <w:color w:val="auto"/>
              </w:rPr>
              <w:t>3.9 %</w:t>
            </w:r>
          </w:p>
        </w:tc>
        <w:tc>
          <w:tcPr>
            <w:tcW w:w="900" w:type="dxa"/>
            <w:vAlign w:val="bottom"/>
          </w:tcPr>
          <w:p>
            <w:pPr>
              <w:ind w:left="58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0.1 %</w:t>
            </w:r>
          </w:p>
        </w:tc>
        <w:tc>
          <w:tcPr>
            <w:tcW w:w="920" w:type="dxa"/>
            <w:vAlign w:val="bottom"/>
          </w:tcPr>
          <w:p>
            <w:pPr>
              <w:jc w:val="right"/>
              <w:spacing w:after="0"/>
              <w:rPr>
                <w:sz w:val="20"/>
                <w:szCs w:val="20"/>
                <w:color w:val="auto"/>
              </w:rPr>
            </w:pPr>
            <w:r>
              <w:rPr>
                <w:rFonts w:ascii="Arial" w:cs="Arial" w:eastAsia="Arial" w:hAnsi="Arial"/>
                <w:sz w:val="13"/>
                <w:szCs w:val="13"/>
                <w:color w:val="auto"/>
              </w:rPr>
              <w:t>2.5 %</w:t>
            </w:r>
          </w:p>
        </w:tc>
        <w:tc>
          <w:tcPr>
            <w:tcW w:w="920" w:type="dxa"/>
            <w:vAlign w:val="bottom"/>
          </w:tcPr>
          <w:p>
            <w:pPr>
              <w:jc w:val="right"/>
              <w:spacing w:after="0"/>
              <w:rPr>
                <w:sz w:val="20"/>
                <w:szCs w:val="20"/>
                <w:color w:val="auto"/>
              </w:rPr>
            </w:pPr>
            <w:r>
              <w:rPr>
                <w:rFonts w:ascii="Arial" w:cs="Arial" w:eastAsia="Arial" w:hAnsi="Arial"/>
                <w:sz w:val="13"/>
                <w:szCs w:val="13"/>
                <w:color w:val="auto"/>
              </w:rPr>
              <w:t>(0.5)%</w:t>
            </w:r>
          </w:p>
        </w:tc>
        <w:tc>
          <w:tcPr>
            <w:tcW w:w="1000" w:type="dxa"/>
            <w:vAlign w:val="bottom"/>
          </w:tcPr>
          <w:p>
            <w:pPr>
              <w:jc w:val="right"/>
              <w:spacing w:after="0"/>
              <w:rPr>
                <w:sz w:val="20"/>
                <w:szCs w:val="20"/>
                <w:color w:val="auto"/>
              </w:rPr>
            </w:pPr>
            <w:r>
              <w:rPr>
                <w:rFonts w:ascii="Arial" w:cs="Arial" w:eastAsia="Arial" w:hAnsi="Arial"/>
                <w:sz w:val="13"/>
                <w:szCs w:val="13"/>
                <w:color w:val="auto"/>
              </w:rPr>
              <w:t>(3.2)%</w:t>
            </w:r>
          </w:p>
        </w:tc>
        <w:tc>
          <w:tcPr>
            <w:tcW w:w="1000" w:type="dxa"/>
            <w:vAlign w:val="bottom"/>
          </w:tcPr>
          <w:p>
            <w:pPr>
              <w:jc w:val="right"/>
              <w:spacing w:after="0"/>
              <w:rPr>
                <w:sz w:val="20"/>
                <w:szCs w:val="20"/>
                <w:color w:val="auto"/>
              </w:rPr>
            </w:pPr>
            <w:r>
              <w:rPr>
                <w:rFonts w:ascii="Arial" w:cs="Arial" w:eastAsia="Arial" w:hAnsi="Arial"/>
                <w:sz w:val="13"/>
                <w:szCs w:val="13"/>
                <w:color w:val="auto"/>
              </w:rPr>
              <w:t>4.4 %</w:t>
            </w:r>
          </w:p>
        </w:tc>
        <w:tc>
          <w:tcPr>
            <w:tcW w:w="920" w:type="dxa"/>
            <w:vAlign w:val="bottom"/>
          </w:tcPr>
          <w:p>
            <w:pPr>
              <w:jc w:val="right"/>
              <w:spacing w:after="0"/>
              <w:rPr>
                <w:sz w:val="20"/>
                <w:szCs w:val="20"/>
                <w:color w:val="auto"/>
              </w:rPr>
            </w:pPr>
            <w:r>
              <w:rPr>
                <w:rFonts w:ascii="Arial" w:cs="Arial" w:eastAsia="Arial" w:hAnsi="Arial"/>
                <w:sz w:val="13"/>
                <w:szCs w:val="13"/>
                <w:color w:val="auto"/>
              </w:rPr>
              <w:t>0.7 %</w:t>
            </w:r>
          </w:p>
        </w:tc>
        <w:tc>
          <w:tcPr>
            <w:tcW w:w="880" w:type="dxa"/>
            <w:vAlign w:val="bottom"/>
          </w:tcPr>
          <w:p>
            <w:pPr>
              <w:jc w:val="right"/>
              <w:spacing w:after="0"/>
              <w:rPr>
                <w:sz w:val="20"/>
                <w:szCs w:val="20"/>
                <w:color w:val="auto"/>
              </w:rPr>
            </w:pPr>
            <w:r>
              <w:rPr>
                <w:rFonts w:ascii="Arial" w:cs="Arial" w:eastAsia="Arial" w:hAnsi="Arial"/>
                <w:sz w:val="13"/>
                <w:szCs w:val="13"/>
                <w:color w:val="auto"/>
              </w:rPr>
              <w:t>3.2 %</w:t>
            </w:r>
          </w:p>
        </w:tc>
        <w:tc>
          <w:tcPr>
            <w:tcW w:w="820" w:type="dxa"/>
            <w:vAlign w:val="bottom"/>
          </w:tcPr>
          <w:p>
            <w:pPr>
              <w:jc w:val="right"/>
              <w:spacing w:after="0"/>
              <w:rPr>
                <w:sz w:val="20"/>
                <w:szCs w:val="20"/>
                <w:color w:val="auto"/>
              </w:rPr>
            </w:pPr>
            <w:r>
              <w:rPr>
                <w:rFonts w:ascii="Arial" w:cs="Arial" w:eastAsia="Arial" w:hAnsi="Arial"/>
                <w:sz w:val="13"/>
                <w:szCs w:val="13"/>
                <w:color w:val="auto"/>
              </w:rPr>
              <w:t>11.0 %</w:t>
            </w:r>
          </w:p>
        </w:tc>
        <w:tc>
          <w:tcPr>
            <w:tcW w:w="0" w:type="dxa"/>
            <w:vAlign w:val="bottom"/>
          </w:tcPr>
          <w:p>
            <w:pPr>
              <w:spacing w:after="0"/>
              <w:rPr>
                <w:sz w:val="1"/>
                <w:szCs w:val="1"/>
                <w:color w:val="auto"/>
              </w:rPr>
            </w:pPr>
          </w:p>
        </w:tc>
      </w:tr>
      <w:tr>
        <w:trPr>
          <w:trHeight w:val="188"/>
        </w:trPr>
        <w:tc>
          <w:tcPr>
            <w:tcW w:w="210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$0.36</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$0.01</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$0.23</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($0.05)</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($0.29)</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$0.40</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$0.06</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$0.29</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six months ended June 30, 2022 include:</w:t>
      </w:r>
    </w:p>
    <w:p>
      <w:pPr>
        <w:spacing w:after="0" w:line="45" w:lineRule="exact"/>
        <w:rPr>
          <w:sz w:val="20"/>
          <w:szCs w:val="20"/>
          <w:color w:val="auto"/>
        </w:rPr>
      </w:pPr>
    </w:p>
    <w:p>
      <w:pPr>
        <w:ind w:left="340" w:hanging="315"/>
        <w:spacing w:after="0"/>
        <w:tabs>
          <w:tab w:leader="none" w:pos="340" w:val="left"/>
        </w:tabs>
        <w:numPr>
          <w:ilvl w:val="0"/>
          <w:numId w:val="18"/>
        </w:numPr>
        <w:rPr>
          <w:rFonts w:ascii="Arial" w:cs="Arial" w:eastAsia="Arial" w:hAnsi="Arial"/>
          <w:sz w:val="14"/>
          <w:szCs w:val="14"/>
          <w:b w:val="1"/>
          <w:bCs w:val="1"/>
          <w:color w:val="auto"/>
        </w:rPr>
      </w:pPr>
      <w:r>
        <w:rPr>
          <w:rFonts w:ascii="Arial" w:cs="Arial" w:eastAsia="Arial" w:hAnsi="Arial"/>
          <w:sz w:val="14"/>
          <w:szCs w:val="14"/>
          <w:color w:val="auto"/>
        </w:rPr>
        <w:t>Merger and integration expenses related to the acquisition of ALung Technologies, Inc.</w:t>
      </w:r>
    </w:p>
    <w:p>
      <w:pPr>
        <w:spacing w:after="0" w:line="26" w:lineRule="exact"/>
        <w:rPr>
          <w:rFonts w:ascii="Arial" w:cs="Arial" w:eastAsia="Arial" w:hAnsi="Arial"/>
          <w:sz w:val="14"/>
          <w:szCs w:val="14"/>
          <w:b w:val="1"/>
          <w:bCs w:val="1"/>
          <w:color w:val="auto"/>
        </w:rPr>
      </w:pPr>
    </w:p>
    <w:p>
      <w:pPr>
        <w:ind w:left="340" w:hanging="315"/>
        <w:spacing w:after="0"/>
        <w:tabs>
          <w:tab w:leader="none" w:pos="340" w:val="left"/>
        </w:tabs>
        <w:numPr>
          <w:ilvl w:val="0"/>
          <w:numId w:val="18"/>
        </w:numPr>
        <w:rPr>
          <w:rFonts w:ascii="Arial" w:cs="Arial" w:eastAsia="Arial" w:hAnsi="Arial"/>
          <w:sz w:val="14"/>
          <w:szCs w:val="14"/>
          <w:b w:val="1"/>
          <w:bCs w:val="1"/>
          <w:color w:val="auto"/>
        </w:rPr>
      </w:pPr>
      <w:r>
        <w:rPr>
          <w:rFonts w:ascii="Arial" w:cs="Arial" w:eastAsia="Arial" w:hAnsi="Arial"/>
          <w:sz w:val="14"/>
          <w:szCs w:val="14"/>
          <w:color w:val="auto"/>
        </w:rPr>
        <w:t>Restructuring expenses related to organizational changes</w:t>
      </w:r>
    </w:p>
    <w:p>
      <w:pPr>
        <w:spacing w:after="0" w:line="26" w:lineRule="exact"/>
        <w:rPr>
          <w:rFonts w:ascii="Arial" w:cs="Arial" w:eastAsia="Arial" w:hAnsi="Arial"/>
          <w:sz w:val="14"/>
          <w:szCs w:val="14"/>
          <w:b w:val="1"/>
          <w:bCs w:val="1"/>
          <w:color w:val="auto"/>
        </w:rPr>
      </w:pPr>
    </w:p>
    <w:p>
      <w:pPr>
        <w:ind w:left="340" w:hanging="315"/>
        <w:spacing w:after="0"/>
        <w:tabs>
          <w:tab w:leader="none" w:pos="340" w:val="left"/>
        </w:tabs>
        <w:numPr>
          <w:ilvl w:val="0"/>
          <w:numId w:val="18"/>
        </w:numPr>
        <w:rPr>
          <w:rFonts w:ascii="Arial" w:cs="Arial" w:eastAsia="Arial" w:hAnsi="Arial"/>
          <w:sz w:val="14"/>
          <w:szCs w:val="14"/>
          <w:b w:val="1"/>
          <w:bCs w:val="1"/>
          <w:color w:val="auto"/>
        </w:rPr>
      </w:pPr>
      <w:r>
        <w:rPr>
          <w:rFonts w:ascii="Arial" w:cs="Arial" w:eastAsia="Arial" w:hAnsi="Arial"/>
          <w:sz w:val="14"/>
          <w:szCs w:val="14"/>
          <w:color w:val="auto"/>
        </w:rPr>
        <w:t>Includes depreciation and amortization associated with purchase price accounting</w:t>
      </w:r>
    </w:p>
    <w:p>
      <w:pPr>
        <w:spacing w:after="0" w:line="26" w:lineRule="exact"/>
        <w:rPr>
          <w:rFonts w:ascii="Arial" w:cs="Arial" w:eastAsia="Arial" w:hAnsi="Arial"/>
          <w:sz w:val="14"/>
          <w:szCs w:val="14"/>
          <w:b w:val="1"/>
          <w:bCs w:val="1"/>
          <w:color w:val="auto"/>
        </w:rPr>
      </w:pPr>
    </w:p>
    <w:p>
      <w:pPr>
        <w:ind w:left="340" w:hanging="315"/>
        <w:spacing w:after="0"/>
        <w:tabs>
          <w:tab w:leader="none" w:pos="340" w:val="left"/>
        </w:tabs>
        <w:numPr>
          <w:ilvl w:val="0"/>
          <w:numId w:val="18"/>
        </w:numPr>
        <w:rPr>
          <w:rFonts w:ascii="Arial" w:cs="Arial" w:eastAsia="Arial" w:hAnsi="Arial"/>
          <w:sz w:val="14"/>
          <w:szCs w:val="14"/>
          <w:b w:val="1"/>
          <w:bCs w:val="1"/>
          <w:color w:val="auto"/>
        </w:rPr>
      </w:pPr>
      <w:r>
        <w:rPr>
          <w:rFonts w:ascii="Arial" w:cs="Arial" w:eastAsia="Arial" w:hAnsi="Arial"/>
          <w:sz w:val="14"/>
          <w:szCs w:val="14"/>
          <w:color w:val="auto"/>
        </w:rPr>
        <w:t>Mark-to-market adjustments for the exchangeable option feature and capped call derivatives</w:t>
      </w:r>
    </w:p>
    <w:p>
      <w:pPr>
        <w:spacing w:after="0" w:line="26" w:lineRule="exact"/>
        <w:rPr>
          <w:rFonts w:ascii="Arial" w:cs="Arial" w:eastAsia="Arial" w:hAnsi="Arial"/>
          <w:sz w:val="14"/>
          <w:szCs w:val="14"/>
          <w:b w:val="1"/>
          <w:bCs w:val="1"/>
          <w:color w:val="auto"/>
        </w:rPr>
      </w:pPr>
    </w:p>
    <w:p>
      <w:pPr>
        <w:ind w:left="340" w:right="140" w:hanging="315"/>
        <w:spacing w:after="0" w:line="227" w:lineRule="auto"/>
        <w:tabs>
          <w:tab w:leader="none" w:pos="340" w:val="left"/>
        </w:tabs>
        <w:numPr>
          <w:ilvl w:val="0"/>
          <w:numId w:val="18"/>
        </w:numPr>
        <w:rPr>
          <w:rFonts w:ascii="Arial" w:cs="Arial" w:eastAsia="Arial" w:hAnsi="Arial"/>
          <w:sz w:val="14"/>
          <w:szCs w:val="14"/>
          <w:b w:val="1"/>
          <w:bCs w:val="1"/>
          <w:color w:val="auto"/>
        </w:rPr>
      </w:pPr>
      <w:r>
        <w:rPr>
          <w:rFonts w:ascii="Arial" w:cs="Arial" w:eastAsia="Arial" w:hAnsi="Arial"/>
          <w:sz w:val="14"/>
          <w:szCs w:val="14"/>
          <w:color w:val="auto"/>
        </w:rPr>
        <w:t>3T Heater-Cooler litigation provision, legal expenses primarily related to 3T Heater-Cooler defense, costs related to the SNIA matter, other matters and remeasurement of contingent consideration related to acquisitions</w:t>
      </w:r>
    </w:p>
    <w:p>
      <w:pPr>
        <w:spacing w:after="0" w:line="17" w:lineRule="exact"/>
        <w:rPr>
          <w:rFonts w:ascii="Arial" w:cs="Arial" w:eastAsia="Arial" w:hAnsi="Arial"/>
          <w:sz w:val="14"/>
          <w:szCs w:val="14"/>
          <w:b w:val="1"/>
          <w:bCs w:val="1"/>
          <w:color w:val="auto"/>
        </w:rPr>
      </w:pPr>
    </w:p>
    <w:p>
      <w:pPr>
        <w:ind w:left="340" w:hanging="315"/>
        <w:spacing w:after="0"/>
        <w:tabs>
          <w:tab w:leader="none" w:pos="340" w:val="left"/>
        </w:tabs>
        <w:numPr>
          <w:ilvl w:val="0"/>
          <w:numId w:val="18"/>
        </w:numPr>
        <w:rPr>
          <w:rFonts w:ascii="Arial" w:cs="Arial" w:eastAsia="Arial" w:hAnsi="Arial"/>
          <w:sz w:val="14"/>
          <w:szCs w:val="14"/>
          <w:b w:val="1"/>
          <w:bCs w:val="1"/>
          <w:color w:val="auto"/>
        </w:rPr>
      </w:pPr>
      <w:r>
        <w:rPr>
          <w:rFonts w:ascii="Arial" w:cs="Arial" w:eastAsia="Arial" w:hAnsi="Arial"/>
          <w:sz w:val="14"/>
          <w:szCs w:val="14"/>
          <w:color w:val="auto"/>
        </w:rPr>
        <w:t>Non-cash expenses associated with stock-based compensation costs</w:t>
      </w:r>
    </w:p>
    <w:p>
      <w:pPr>
        <w:spacing w:after="0" w:line="26" w:lineRule="exact"/>
        <w:rPr>
          <w:rFonts w:ascii="Arial" w:cs="Arial" w:eastAsia="Arial" w:hAnsi="Arial"/>
          <w:sz w:val="14"/>
          <w:szCs w:val="14"/>
          <w:b w:val="1"/>
          <w:bCs w:val="1"/>
          <w:color w:val="auto"/>
        </w:rPr>
      </w:pPr>
    </w:p>
    <w:p>
      <w:pPr>
        <w:ind w:left="340" w:hanging="315"/>
        <w:spacing w:after="0"/>
        <w:tabs>
          <w:tab w:leader="none" w:pos="340" w:val="left"/>
        </w:tabs>
        <w:numPr>
          <w:ilvl w:val="0"/>
          <w:numId w:val="18"/>
        </w:numPr>
        <w:rPr>
          <w:rFonts w:ascii="Arial" w:cs="Arial" w:eastAsia="Arial" w:hAnsi="Arial"/>
          <w:sz w:val="14"/>
          <w:szCs w:val="14"/>
          <w:b w:val="1"/>
          <w:bCs w:val="1"/>
          <w:color w:val="auto"/>
        </w:rPr>
      </w:pPr>
      <w:r>
        <w:rPr>
          <w:rFonts w:ascii="Arial" w:cs="Arial" w:eastAsia="Arial" w:hAnsi="Arial"/>
          <w:sz w:val="14"/>
          <w:szCs w:val="14"/>
          <w:color w:val="auto"/>
        </w:rPr>
        <w:t>Relates to discrete tax items, R&amp;D tax credits and the tax impact of intercompany transactions</w:t>
      </w:r>
    </w:p>
    <w:p>
      <w:pPr>
        <w:spacing w:after="0" w:line="26" w:lineRule="exact"/>
        <w:rPr>
          <w:rFonts w:ascii="Arial" w:cs="Arial" w:eastAsia="Arial" w:hAnsi="Arial"/>
          <w:sz w:val="14"/>
          <w:szCs w:val="14"/>
          <w:b w:val="1"/>
          <w:bCs w:val="1"/>
          <w:color w:val="auto"/>
        </w:rPr>
      </w:pPr>
    </w:p>
    <w:p>
      <w:pPr>
        <w:ind w:left="340" w:hanging="315"/>
        <w:spacing w:after="0"/>
        <w:tabs>
          <w:tab w:leader="none" w:pos="340" w:val="left"/>
        </w:tabs>
        <w:numPr>
          <w:ilvl w:val="0"/>
          <w:numId w:val="18"/>
        </w:numPr>
        <w:rPr>
          <w:rFonts w:ascii="Arial" w:cs="Arial" w:eastAsia="Arial" w:hAnsi="Arial"/>
          <w:sz w:val="14"/>
          <w:szCs w:val="14"/>
          <w:b w:val="1"/>
          <w:bCs w:val="1"/>
          <w:color w:val="auto"/>
        </w:rPr>
      </w:pPr>
      <w:r>
        <w:rPr>
          <w:rFonts w:ascii="Arial" w:cs="Arial" w:eastAsia="Arial" w:hAnsi="Arial"/>
          <w:sz w:val="14"/>
          <w:szCs w:val="14"/>
          <w:color w:val="auto"/>
        </w:rPr>
        <w:t>Non-cash interest expense on the Cash Exchangeable Senior Notes and 2021 Revolving Credit Facility, and interest expense on the 2022 Bridge Loan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20"/>
          </w:cols>
          <w:pgMar w:left="320" w:top="802" w:right="359"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1589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8255"/>
                    </a:xfrm>
                    <a:prstGeom prst="rect">
                      <a:avLst/>
                    </a:prstGeom>
                    <a:noFill/>
                  </pic:spPr>
                </pic:pic>
              </a:graphicData>
            </a:graphic>
          </wp:anchor>
        </w:drawing>
      </w:r>
    </w:p>
    <w:p>
      <w:pPr>
        <w:spacing w:after="0" w:line="2" w:lineRule="exact"/>
        <w:rPr>
          <w:sz w:val="20"/>
          <w:szCs w:val="20"/>
          <w:color w:val="auto"/>
        </w:rPr>
      </w:pPr>
    </w:p>
    <w:p>
      <w:pPr>
        <w:ind w:left="5580"/>
        <w:spacing w:after="0"/>
        <w:rPr>
          <w:sz w:val="20"/>
          <w:szCs w:val="20"/>
          <w:color w:val="auto"/>
        </w:rPr>
      </w:pPr>
      <w:r>
        <w:rPr>
          <w:rFonts w:ascii="Arial" w:cs="Arial" w:eastAsia="Arial" w:hAnsi="Arial"/>
          <w:sz w:val="14"/>
          <w:szCs w:val="14"/>
          <w:b w:val="1"/>
          <w:bCs w:val="1"/>
          <w:color w:val="auto"/>
        </w:rPr>
        <w:t>Specified Items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4"/>
              </w:rPr>
              <w:t>Merger and</w:t>
            </w:r>
          </w:p>
        </w:tc>
        <w:tc>
          <w:tcPr>
            <w:tcW w:w="9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w w:val="96"/>
              </w:rPr>
              <w:t>Depreciation</w:t>
            </w:r>
          </w:p>
        </w:tc>
        <w:tc>
          <w:tcPr>
            <w:tcW w:w="5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3"/>
              </w:rPr>
              <w:t>Product</w:t>
            </w:r>
          </w:p>
        </w:tc>
        <w:tc>
          <w:tcPr>
            <w:tcW w:w="9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b w:val="1"/>
                <w:bCs w:val="1"/>
                <w:color w:val="auto"/>
                <w:w w:val="97"/>
              </w:rPr>
              <w:t>Certain Legal,</w:t>
            </w: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Stock-based</w:t>
            </w:r>
          </w:p>
        </w:tc>
        <w:tc>
          <w:tcPr>
            <w:tcW w:w="9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3"/>
              </w:rPr>
              <w:t>Certain</w:t>
            </w: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9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Six Months</w:t>
            </w: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GAAP</w:t>
            </w:r>
          </w:p>
        </w:tc>
        <w:tc>
          <w:tcPr>
            <w:tcW w:w="820" w:type="dxa"/>
            <w:vAlign w:val="bottom"/>
            <w:vMerge w:val="continue"/>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Restructuring</w:t>
            </w:r>
          </w:p>
        </w:tc>
        <w:tc>
          <w:tcPr>
            <w:tcW w:w="8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4"/>
              </w:rPr>
              <w:t>and</w:t>
            </w:r>
          </w:p>
        </w:tc>
        <w:tc>
          <w:tcPr>
            <w:tcW w:w="5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Heart</w:t>
            </w:r>
          </w:p>
        </w:tc>
        <w:tc>
          <w:tcPr>
            <w:tcW w:w="900" w:type="dxa"/>
            <w:vAlign w:val="bottom"/>
            <w:vMerge w:val="continue"/>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Financing</w:t>
            </w:r>
          </w:p>
        </w:tc>
        <w:tc>
          <w:tcPr>
            <w:tcW w:w="9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Contingent</w:t>
            </w:r>
          </w:p>
        </w:tc>
        <w:tc>
          <w:tcPr>
            <w:tcW w:w="10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Certain Tax</w:t>
            </w:r>
          </w:p>
        </w:tc>
        <w:tc>
          <w:tcPr>
            <w:tcW w:w="880" w:type="dxa"/>
            <w:vAlign w:val="bottom"/>
            <w:vMerge w:val="continue"/>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Adjusted</w:t>
            </w: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8"/>
              </w:rPr>
              <w:t>Integration</w:t>
            </w:r>
          </w:p>
        </w:tc>
        <w:tc>
          <w:tcPr>
            <w:tcW w:w="960" w:type="dxa"/>
            <w:vAlign w:val="bottom"/>
            <w:vMerge w:val="continue"/>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Amortization</w:t>
            </w:r>
          </w:p>
        </w:tc>
        <w:tc>
          <w:tcPr>
            <w:tcW w:w="560" w:type="dxa"/>
            <w:vAlign w:val="bottom"/>
            <w:vMerge w:val="continue"/>
          </w:tcPr>
          <w:p>
            <w:pPr>
              <w:spacing w:after="0"/>
              <w:rPr>
                <w:sz w:val="10"/>
                <w:szCs w:val="10"/>
                <w:color w:val="auto"/>
              </w:rPr>
            </w:pPr>
          </w:p>
        </w:tc>
        <w:tc>
          <w:tcPr>
            <w:tcW w:w="9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4"/>
              </w:rPr>
              <w:t>Remediation</w:t>
            </w:r>
          </w:p>
        </w:tc>
        <w:tc>
          <w:tcPr>
            <w:tcW w:w="940" w:type="dxa"/>
            <w:vAlign w:val="bottom"/>
            <w:vMerge w:val="continue"/>
          </w:tcPr>
          <w:p>
            <w:pPr>
              <w:spacing w:after="0"/>
              <w:rPr>
                <w:sz w:val="10"/>
                <w:szCs w:val="10"/>
                <w:color w:val="auto"/>
              </w:rPr>
            </w:pPr>
          </w:p>
        </w:tc>
        <w:tc>
          <w:tcPr>
            <w:tcW w:w="9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Consideration</w:t>
            </w:r>
          </w:p>
        </w:tc>
        <w:tc>
          <w:tcPr>
            <w:tcW w:w="10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Compensation</w:t>
            </w:r>
          </w:p>
        </w:tc>
        <w:tc>
          <w:tcPr>
            <w:tcW w:w="920" w:type="dxa"/>
            <w:vAlign w:val="bottom"/>
            <w:vMerge w:val="continue"/>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Interest</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60" w:type="dxa"/>
            <w:vAlign w:val="bottom"/>
          </w:tcPr>
          <w:p>
            <w:pPr>
              <w:ind w:left="20"/>
              <w:spacing w:after="0" w:line="121" w:lineRule="exact"/>
              <w:rPr>
                <w:sz w:val="20"/>
                <w:szCs w:val="20"/>
                <w:color w:val="auto"/>
              </w:rPr>
            </w:pPr>
            <w:r>
              <w:rPr>
                <w:rFonts w:ascii="Arial" w:cs="Arial" w:eastAsia="Arial" w:hAnsi="Arial"/>
                <w:sz w:val="13"/>
                <w:szCs w:val="13"/>
                <w:b w:val="1"/>
                <w:bCs w:val="1"/>
                <w:color w:val="auto"/>
              </w:rPr>
              <w:t>Ended</w:t>
            </w:r>
          </w:p>
        </w:tc>
        <w:tc>
          <w:tcPr>
            <w:tcW w:w="7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Financial</w:t>
            </w:r>
          </w:p>
        </w:tc>
        <w:tc>
          <w:tcPr>
            <w:tcW w:w="820" w:type="dxa"/>
            <w:vAlign w:val="bottom"/>
          </w:tcPr>
          <w:p>
            <w:pPr>
              <w:jc w:val="center"/>
              <w:ind w:right="17"/>
              <w:spacing w:after="0" w:line="121" w:lineRule="exact"/>
              <w:rPr>
                <w:sz w:val="20"/>
                <w:szCs w:val="20"/>
                <w:color w:val="auto"/>
              </w:rPr>
            </w:pPr>
            <w:r>
              <w:rPr>
                <w:rFonts w:ascii="Arial" w:cs="Arial" w:eastAsia="Arial" w:hAnsi="Arial"/>
                <w:sz w:val="13"/>
                <w:szCs w:val="13"/>
                <w:b w:val="1"/>
                <w:bCs w:val="1"/>
                <w:color w:val="auto"/>
                <w:w w:val="95"/>
              </w:rPr>
              <w:t>Expenses</w:t>
            </w:r>
          </w:p>
        </w:tc>
        <w:tc>
          <w:tcPr>
            <w:tcW w:w="960" w:type="dxa"/>
            <w:vAlign w:val="bottom"/>
          </w:tcPr>
          <w:p>
            <w:pPr>
              <w:jc w:val="center"/>
              <w:ind w:right="37"/>
              <w:spacing w:after="0" w:line="121" w:lineRule="exact"/>
              <w:rPr>
                <w:sz w:val="20"/>
                <w:szCs w:val="20"/>
                <w:color w:val="auto"/>
              </w:rPr>
            </w:pPr>
            <w:r>
              <w:rPr>
                <w:rFonts w:ascii="Arial" w:cs="Arial" w:eastAsia="Arial" w:hAnsi="Arial"/>
                <w:sz w:val="13"/>
                <w:szCs w:val="13"/>
                <w:b w:val="1"/>
                <w:bCs w:val="1"/>
                <w:color w:val="auto"/>
                <w:w w:val="95"/>
              </w:rPr>
              <w:t>Expenses</w:t>
            </w:r>
          </w:p>
        </w:tc>
        <w:tc>
          <w:tcPr>
            <w:tcW w:w="8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Expenses</w:t>
            </w:r>
          </w:p>
        </w:tc>
        <w:tc>
          <w:tcPr>
            <w:tcW w:w="56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2"/>
              </w:rPr>
              <w:t>Valves</w:t>
            </w:r>
          </w:p>
        </w:tc>
        <w:tc>
          <w:tcPr>
            <w:tcW w:w="900" w:type="dxa"/>
            <w:vAlign w:val="bottom"/>
          </w:tcPr>
          <w:p>
            <w:pPr>
              <w:jc w:val="center"/>
              <w:ind w:right="17"/>
              <w:spacing w:after="0" w:line="121" w:lineRule="exact"/>
              <w:rPr>
                <w:sz w:val="20"/>
                <w:szCs w:val="20"/>
                <w:color w:val="auto"/>
              </w:rPr>
            </w:pPr>
            <w:r>
              <w:rPr>
                <w:rFonts w:ascii="Arial" w:cs="Arial" w:eastAsia="Arial" w:hAnsi="Arial"/>
                <w:sz w:val="13"/>
                <w:szCs w:val="13"/>
                <w:b w:val="1"/>
                <w:bCs w:val="1"/>
                <w:color w:val="auto"/>
                <w:w w:val="95"/>
              </w:rPr>
              <w:t>Expenses</w:t>
            </w:r>
          </w:p>
        </w:tc>
        <w:tc>
          <w:tcPr>
            <w:tcW w:w="9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3"/>
              </w:rPr>
              <w:t>Transactions</w:t>
            </w:r>
          </w:p>
        </w:tc>
        <w:tc>
          <w:tcPr>
            <w:tcW w:w="9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and Other</w:t>
            </w:r>
          </w:p>
        </w:tc>
        <w:tc>
          <w:tcPr>
            <w:tcW w:w="1020" w:type="dxa"/>
            <w:vAlign w:val="bottom"/>
          </w:tcPr>
          <w:p>
            <w:pPr>
              <w:jc w:val="center"/>
              <w:ind w:right="17"/>
              <w:spacing w:after="0" w:line="121" w:lineRule="exact"/>
              <w:rPr>
                <w:sz w:val="20"/>
                <w:szCs w:val="20"/>
                <w:color w:val="auto"/>
              </w:rPr>
            </w:pPr>
            <w:r>
              <w:rPr>
                <w:rFonts w:ascii="Arial" w:cs="Arial" w:eastAsia="Arial" w:hAnsi="Arial"/>
                <w:sz w:val="13"/>
                <w:szCs w:val="13"/>
                <w:b w:val="1"/>
                <w:bCs w:val="1"/>
                <w:color w:val="auto"/>
                <w:w w:val="94"/>
              </w:rPr>
              <w:t>Costs</w:t>
            </w:r>
          </w:p>
        </w:tc>
        <w:tc>
          <w:tcPr>
            <w:tcW w:w="920" w:type="dxa"/>
            <w:vAlign w:val="bottom"/>
          </w:tcPr>
          <w:p>
            <w:pPr>
              <w:jc w:val="center"/>
              <w:ind w:right="17"/>
              <w:spacing w:after="0" w:line="121" w:lineRule="exact"/>
              <w:rPr>
                <w:sz w:val="20"/>
                <w:szCs w:val="20"/>
                <w:color w:val="auto"/>
              </w:rPr>
            </w:pPr>
            <w:r>
              <w:rPr>
                <w:rFonts w:ascii="Arial" w:cs="Arial" w:eastAsia="Arial" w:hAnsi="Arial"/>
                <w:sz w:val="13"/>
                <w:szCs w:val="13"/>
                <w:b w:val="1"/>
                <w:bCs w:val="1"/>
                <w:color w:val="auto"/>
                <w:w w:val="96"/>
              </w:rPr>
              <w:t>Adjustments</w:t>
            </w:r>
          </w:p>
        </w:tc>
        <w:tc>
          <w:tcPr>
            <w:tcW w:w="880" w:type="dxa"/>
            <w:vAlign w:val="bottom"/>
          </w:tcPr>
          <w:p>
            <w:pPr>
              <w:jc w:val="center"/>
              <w:ind w:right="17"/>
              <w:spacing w:after="0" w:line="121" w:lineRule="exact"/>
              <w:rPr>
                <w:sz w:val="20"/>
                <w:szCs w:val="20"/>
                <w:color w:val="auto"/>
              </w:rPr>
            </w:pPr>
            <w:r>
              <w:rPr>
                <w:rFonts w:ascii="Arial" w:cs="Arial" w:eastAsia="Arial" w:hAnsi="Arial"/>
                <w:sz w:val="13"/>
                <w:szCs w:val="13"/>
                <w:b w:val="1"/>
                <w:bCs w:val="1"/>
                <w:color w:val="auto"/>
                <w:w w:val="96"/>
              </w:rPr>
              <w:t>Adjustments</w:t>
            </w:r>
          </w:p>
        </w:tc>
        <w:tc>
          <w:tcPr>
            <w:tcW w:w="7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Financial</w:t>
            </w:r>
          </w:p>
        </w:tc>
        <w:tc>
          <w:tcPr>
            <w:tcW w:w="0" w:type="dxa"/>
            <w:vAlign w:val="bottom"/>
          </w:tcPr>
          <w:p>
            <w:pPr>
              <w:spacing w:after="0"/>
              <w:rPr>
                <w:sz w:val="1"/>
                <w:szCs w:val="1"/>
                <w:color w:val="auto"/>
              </w:rPr>
            </w:pPr>
          </w:p>
        </w:tc>
      </w:tr>
      <w:tr>
        <w:trPr>
          <w:trHeight w:val="170"/>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June 30, 2021</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(B)</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(J)</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0" w:type="dxa"/>
            <w:vAlign w:val="bottom"/>
          </w:tcPr>
          <w:p>
            <w:pPr>
              <w:spacing w:after="0"/>
              <w:rPr>
                <w:sz w:val="1"/>
                <w:szCs w:val="1"/>
                <w:color w:val="auto"/>
              </w:rPr>
            </w:pPr>
          </w:p>
        </w:tc>
      </w:tr>
      <w:tr>
        <w:trPr>
          <w:trHeight w:val="188"/>
        </w:trPr>
        <w:tc>
          <w:tcPr>
            <w:tcW w:w="96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$176.4</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($7.9)</w:t>
            </w:r>
          </w:p>
        </w:tc>
        <w:tc>
          <w:tcPr>
            <w:tcW w:w="5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($0.4)</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($5.6)</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($1.8)</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$160.6</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line="151" w:lineRule="exact"/>
              <w:rPr>
                <w:sz w:val="20"/>
                <w:szCs w:val="20"/>
                <w:color w:val="auto"/>
              </w:rPr>
            </w:pPr>
            <w:r>
              <w:rPr>
                <w:rFonts w:ascii="Arial" w:cs="Arial" w:eastAsia="Arial" w:hAnsi="Arial"/>
                <w:sz w:val="14"/>
                <w:szCs w:val="14"/>
                <w:color w:val="auto"/>
              </w:rPr>
              <w:t>Gross profit</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rPr>
              <w:t>percent</w:t>
            </w:r>
          </w:p>
        </w:tc>
        <w:tc>
          <w:tcPr>
            <w:tcW w:w="720" w:type="dxa"/>
            <w:vAlign w:val="bottom"/>
          </w:tcPr>
          <w:p>
            <w:pPr>
              <w:jc w:val="right"/>
              <w:spacing w:after="0"/>
              <w:rPr>
                <w:sz w:val="20"/>
                <w:szCs w:val="20"/>
                <w:color w:val="auto"/>
              </w:rPr>
            </w:pPr>
            <w:r>
              <w:rPr>
                <w:rFonts w:ascii="Arial" w:cs="Arial" w:eastAsia="Arial" w:hAnsi="Arial"/>
                <w:sz w:val="13"/>
                <w:szCs w:val="13"/>
                <w:color w:val="auto"/>
              </w:rPr>
              <w:t>65.6 %</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1.5 %</w:t>
            </w:r>
          </w:p>
        </w:tc>
        <w:tc>
          <w:tcPr>
            <w:tcW w:w="56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0.1 %</w:t>
            </w:r>
          </w:p>
        </w:tc>
        <w:tc>
          <w:tcPr>
            <w:tcW w:w="940" w:type="dxa"/>
            <w:vAlign w:val="bottom"/>
          </w:tcPr>
          <w:p>
            <w:pPr>
              <w:ind w:left="620"/>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1.1 %</w:t>
            </w:r>
          </w:p>
        </w:tc>
        <w:tc>
          <w:tcPr>
            <w:tcW w:w="1020" w:type="dxa"/>
            <w:vAlign w:val="bottom"/>
          </w:tcPr>
          <w:p>
            <w:pPr>
              <w:jc w:val="right"/>
              <w:spacing w:after="0"/>
              <w:rPr>
                <w:sz w:val="20"/>
                <w:szCs w:val="20"/>
                <w:color w:val="auto"/>
              </w:rPr>
            </w:pPr>
            <w:r>
              <w:rPr>
                <w:rFonts w:ascii="Arial" w:cs="Arial" w:eastAsia="Arial" w:hAnsi="Arial"/>
                <w:sz w:val="13"/>
                <w:szCs w:val="13"/>
                <w:color w:val="auto"/>
              </w:rPr>
              <w:t>0.3 %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ind w:left="580"/>
              <w:spacing w:after="0"/>
              <w:rPr>
                <w:sz w:val="20"/>
                <w:szCs w:val="20"/>
                <w:color w:val="auto"/>
              </w:rPr>
            </w:pPr>
            <w:r>
              <w:rPr>
                <w:rFonts w:ascii="Arial" w:cs="Arial" w:eastAsia="Arial" w:hAnsi="Arial"/>
                <w:sz w:val="13"/>
                <w:szCs w:val="13"/>
                <w:color w:val="auto"/>
                <w:w w:val="99"/>
              </w:rPr>
              <w:t>— %</w:t>
            </w:r>
          </w:p>
        </w:tc>
        <w:tc>
          <w:tcPr>
            <w:tcW w:w="740" w:type="dxa"/>
            <w:vAlign w:val="bottom"/>
          </w:tcPr>
          <w:p>
            <w:pPr>
              <w:jc w:val="right"/>
              <w:spacing w:after="0"/>
              <w:rPr>
                <w:sz w:val="20"/>
                <w:szCs w:val="20"/>
                <w:color w:val="auto"/>
              </w:rPr>
            </w:pPr>
            <w:r>
              <w:rPr>
                <w:rFonts w:ascii="Arial" w:cs="Arial" w:eastAsia="Arial" w:hAnsi="Arial"/>
                <w:sz w:val="13"/>
                <w:szCs w:val="13"/>
                <w:color w:val="auto"/>
              </w:rPr>
              <w:t>68.6 %</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line="151" w:lineRule="exact"/>
              <w:rPr>
                <w:sz w:val="20"/>
                <w:szCs w:val="20"/>
                <w:color w:val="auto"/>
              </w:rPr>
            </w:pPr>
            <w:r>
              <w:rPr>
                <w:rFonts w:ascii="Arial" w:cs="Arial" w:eastAsia="Arial" w:hAnsi="Arial"/>
                <w:sz w:val="14"/>
                <w:szCs w:val="14"/>
                <w:color w:val="auto"/>
              </w:rPr>
              <w:t>Selling,</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general and</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238.4</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(6.1)</w:t>
            </w:r>
          </w:p>
        </w:tc>
        <w:tc>
          <w:tcPr>
            <w:tcW w:w="5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40" w:type="dxa"/>
            <w:vAlign w:val="bottom"/>
          </w:tcPr>
          <w:p>
            <w:pPr>
              <w:ind w:left="62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(21.1)</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(13.3)</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ind w:left="58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197.8</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line="151" w:lineRule="exact"/>
              <w:rPr>
                <w:sz w:val="20"/>
                <w:szCs w:val="20"/>
                <w:color w:val="auto"/>
              </w:rPr>
            </w:pPr>
            <w:r>
              <w:rPr>
                <w:rFonts w:ascii="Arial" w:cs="Arial" w:eastAsia="Arial" w:hAnsi="Arial"/>
                <w:sz w:val="14"/>
                <w:szCs w:val="14"/>
                <w:color w:val="auto"/>
              </w:rPr>
              <w:t>Selling,</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general and</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administrative</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as a percent</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rPr>
              <w:t>of net sales</w:t>
            </w:r>
          </w:p>
        </w:tc>
        <w:tc>
          <w:tcPr>
            <w:tcW w:w="720" w:type="dxa"/>
            <w:vAlign w:val="bottom"/>
          </w:tcPr>
          <w:p>
            <w:pPr>
              <w:jc w:val="right"/>
              <w:spacing w:after="0"/>
              <w:rPr>
                <w:sz w:val="20"/>
                <w:szCs w:val="20"/>
                <w:color w:val="auto"/>
              </w:rPr>
            </w:pPr>
            <w:r>
              <w:rPr>
                <w:rFonts w:ascii="Arial" w:cs="Arial" w:eastAsia="Arial" w:hAnsi="Arial"/>
                <w:sz w:val="13"/>
                <w:szCs w:val="13"/>
                <w:color w:val="auto"/>
              </w:rPr>
              <w:t>46.6 %</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(1.2)%</w:t>
            </w:r>
          </w:p>
        </w:tc>
        <w:tc>
          <w:tcPr>
            <w:tcW w:w="56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 %</w:t>
            </w:r>
          </w:p>
        </w:tc>
        <w:tc>
          <w:tcPr>
            <w:tcW w:w="940" w:type="dxa"/>
            <w:vAlign w:val="bottom"/>
          </w:tcPr>
          <w:p>
            <w:pPr>
              <w:ind w:left="620"/>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(4.1)%</w:t>
            </w:r>
          </w:p>
        </w:tc>
        <w:tc>
          <w:tcPr>
            <w:tcW w:w="1020" w:type="dxa"/>
            <w:vAlign w:val="bottom"/>
          </w:tcPr>
          <w:p>
            <w:pPr>
              <w:jc w:val="right"/>
              <w:spacing w:after="0"/>
              <w:rPr>
                <w:sz w:val="20"/>
                <w:szCs w:val="20"/>
                <w:color w:val="auto"/>
              </w:rPr>
            </w:pPr>
            <w:r>
              <w:rPr>
                <w:rFonts w:ascii="Arial" w:cs="Arial" w:eastAsia="Arial" w:hAnsi="Arial"/>
                <w:sz w:val="13"/>
                <w:szCs w:val="13"/>
                <w:color w:val="auto"/>
              </w:rPr>
              <w:t>(2.6)%</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ind w:left="580"/>
              <w:spacing w:after="0"/>
              <w:rPr>
                <w:sz w:val="20"/>
                <w:szCs w:val="20"/>
                <w:color w:val="auto"/>
              </w:rPr>
            </w:pPr>
            <w:r>
              <w:rPr>
                <w:rFonts w:ascii="Arial" w:cs="Arial" w:eastAsia="Arial" w:hAnsi="Arial"/>
                <w:sz w:val="13"/>
                <w:szCs w:val="13"/>
                <w:color w:val="auto"/>
                <w:w w:val="99"/>
              </w:rPr>
              <w:t>— %</w:t>
            </w:r>
          </w:p>
        </w:tc>
        <w:tc>
          <w:tcPr>
            <w:tcW w:w="740" w:type="dxa"/>
            <w:vAlign w:val="bottom"/>
          </w:tcPr>
          <w:p>
            <w:pPr>
              <w:jc w:val="right"/>
              <w:spacing w:after="0"/>
              <w:rPr>
                <w:sz w:val="20"/>
                <w:szCs w:val="20"/>
                <w:color w:val="auto"/>
              </w:rPr>
            </w:pPr>
            <w:r>
              <w:rPr>
                <w:rFonts w:ascii="Arial" w:cs="Arial" w:eastAsia="Arial" w:hAnsi="Arial"/>
                <w:sz w:val="13"/>
                <w:szCs w:val="13"/>
                <w:color w:val="auto"/>
              </w:rPr>
              <w:t>38.6 %</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line="151" w:lineRule="exact"/>
              <w:rPr>
                <w:sz w:val="20"/>
                <w:szCs w:val="20"/>
                <w:color w:val="auto"/>
              </w:rPr>
            </w:pPr>
            <w:r>
              <w:rPr>
                <w:rFonts w:ascii="Arial" w:cs="Arial" w:eastAsia="Arial" w:hAnsi="Arial"/>
                <w:sz w:val="14"/>
                <w:szCs w:val="14"/>
                <w:color w:val="auto"/>
              </w:rPr>
              <w:t>Research and</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97.2</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0.1</w:t>
            </w:r>
          </w:p>
        </w:tc>
        <w:tc>
          <w:tcPr>
            <w:tcW w:w="5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40" w:type="dxa"/>
            <w:vAlign w:val="bottom"/>
          </w:tcPr>
          <w:p>
            <w:pPr>
              <w:ind w:left="62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(7.5)</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(4.3)</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ind w:left="58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85.5</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line="151" w:lineRule="exact"/>
              <w:rPr>
                <w:sz w:val="20"/>
                <w:szCs w:val="20"/>
                <w:color w:val="auto"/>
              </w:rPr>
            </w:pPr>
            <w:r>
              <w:rPr>
                <w:rFonts w:ascii="Arial" w:cs="Arial" w:eastAsia="Arial" w:hAnsi="Arial"/>
                <w:sz w:val="14"/>
                <w:szCs w:val="14"/>
                <w:color w:val="auto"/>
              </w:rPr>
              <w:t>Research and</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development</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as a percent</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rPr>
              <w:t>of net sales</w:t>
            </w:r>
          </w:p>
        </w:tc>
        <w:tc>
          <w:tcPr>
            <w:tcW w:w="720" w:type="dxa"/>
            <w:vAlign w:val="bottom"/>
          </w:tcPr>
          <w:p>
            <w:pPr>
              <w:jc w:val="right"/>
              <w:spacing w:after="0"/>
              <w:rPr>
                <w:sz w:val="20"/>
                <w:szCs w:val="20"/>
                <w:color w:val="auto"/>
              </w:rPr>
            </w:pPr>
            <w:r>
              <w:rPr>
                <w:rFonts w:ascii="Arial" w:cs="Arial" w:eastAsia="Arial" w:hAnsi="Arial"/>
                <w:sz w:val="13"/>
                <w:szCs w:val="13"/>
                <w:color w:val="auto"/>
              </w:rPr>
              <w:t>19.0 %</w:t>
            </w: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56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 %</w:t>
            </w:r>
          </w:p>
        </w:tc>
        <w:tc>
          <w:tcPr>
            <w:tcW w:w="940" w:type="dxa"/>
            <w:vAlign w:val="bottom"/>
          </w:tcPr>
          <w:p>
            <w:pPr>
              <w:ind w:left="620"/>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(1.5)%</w:t>
            </w:r>
          </w:p>
        </w:tc>
        <w:tc>
          <w:tcPr>
            <w:tcW w:w="1020" w:type="dxa"/>
            <w:vAlign w:val="bottom"/>
          </w:tcPr>
          <w:p>
            <w:pPr>
              <w:jc w:val="right"/>
              <w:spacing w:after="0"/>
              <w:rPr>
                <w:sz w:val="20"/>
                <w:szCs w:val="20"/>
                <w:color w:val="auto"/>
              </w:rPr>
            </w:pPr>
            <w:r>
              <w:rPr>
                <w:rFonts w:ascii="Arial" w:cs="Arial" w:eastAsia="Arial" w:hAnsi="Arial"/>
                <w:sz w:val="13"/>
                <w:szCs w:val="13"/>
                <w:color w:val="auto"/>
              </w:rPr>
              <w:t>(0.8)%</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ind w:left="580"/>
              <w:spacing w:after="0"/>
              <w:rPr>
                <w:sz w:val="20"/>
                <w:szCs w:val="20"/>
                <w:color w:val="auto"/>
              </w:rPr>
            </w:pPr>
            <w:r>
              <w:rPr>
                <w:rFonts w:ascii="Arial" w:cs="Arial" w:eastAsia="Arial" w:hAnsi="Arial"/>
                <w:sz w:val="13"/>
                <w:szCs w:val="13"/>
                <w:color w:val="auto"/>
                <w:w w:val="99"/>
              </w:rPr>
              <w:t>— %</w:t>
            </w:r>
          </w:p>
        </w:tc>
        <w:tc>
          <w:tcPr>
            <w:tcW w:w="740" w:type="dxa"/>
            <w:vAlign w:val="bottom"/>
          </w:tcPr>
          <w:p>
            <w:pPr>
              <w:jc w:val="right"/>
              <w:spacing w:after="0"/>
              <w:rPr>
                <w:sz w:val="20"/>
                <w:szCs w:val="20"/>
                <w:color w:val="auto"/>
              </w:rPr>
            </w:pPr>
            <w:r>
              <w:rPr>
                <w:rFonts w:ascii="Arial" w:cs="Arial" w:eastAsia="Arial" w:hAnsi="Arial"/>
                <w:sz w:val="13"/>
                <w:szCs w:val="13"/>
                <w:color w:val="auto"/>
              </w:rPr>
              <w:t>16.7 %</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line="151" w:lineRule="exact"/>
              <w:rPr>
                <w:sz w:val="20"/>
                <w:szCs w:val="20"/>
                <w:color w:val="auto"/>
              </w:rPr>
            </w:pPr>
            <w:r>
              <w:rPr>
                <w:rFonts w:ascii="Arial" w:cs="Arial" w:eastAsia="Arial" w:hAnsi="Arial"/>
                <w:sz w:val="14"/>
                <w:szCs w:val="14"/>
                <w:color w:val="auto"/>
              </w:rPr>
              <w:t>Other</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operating</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rPr>
              <w:t>expenses</w:t>
            </w: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42.0</w:t>
            </w:r>
          </w:p>
        </w:tc>
        <w:tc>
          <w:tcPr>
            <w:tcW w:w="820" w:type="dxa"/>
            <w:vAlign w:val="bottom"/>
          </w:tcPr>
          <w:p>
            <w:pPr>
              <w:jc w:val="right"/>
              <w:ind w:right="117"/>
              <w:spacing w:after="0"/>
              <w:rPr>
                <w:sz w:val="20"/>
                <w:szCs w:val="20"/>
                <w:color w:val="auto"/>
              </w:rPr>
            </w:pPr>
            <w:r>
              <w:rPr>
                <w:rFonts w:ascii="Arial" w:cs="Arial" w:eastAsia="Arial" w:hAnsi="Arial"/>
                <w:sz w:val="13"/>
                <w:szCs w:val="13"/>
                <w:color w:val="auto"/>
              </w:rPr>
              <w:t>(0.7)</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(9.7)</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17"/>
              <w:spacing w:after="0"/>
              <w:rPr>
                <w:sz w:val="20"/>
                <w:szCs w:val="20"/>
                <w:color w:val="auto"/>
              </w:rPr>
            </w:pPr>
            <w:r>
              <w:rPr>
                <w:rFonts w:ascii="Arial" w:cs="Arial" w:eastAsia="Arial" w:hAnsi="Arial"/>
                <w:sz w:val="13"/>
                <w:szCs w:val="13"/>
                <w:color w:val="auto"/>
              </w:rPr>
              <w:t>0.8</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40" w:type="dxa"/>
            <w:vAlign w:val="bottom"/>
          </w:tcPr>
          <w:p>
            <w:pPr>
              <w:ind w:left="62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(32.4)</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ind w:left="58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line="151" w:lineRule="exact"/>
              <w:rPr>
                <w:sz w:val="20"/>
                <w:szCs w:val="20"/>
                <w:color w:val="auto"/>
              </w:rPr>
            </w:pPr>
            <w:r>
              <w:rPr>
                <w:rFonts w:ascii="Arial" w:cs="Arial" w:eastAsia="Arial" w:hAnsi="Arial"/>
                <w:sz w:val="14"/>
                <w:szCs w:val="14"/>
                <w:color w:val="auto"/>
              </w:rPr>
              <w:t>Operating</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rPr>
              <w:t>(loss) income</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(42.0)</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0.7</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9.7</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14.0</w:t>
            </w: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(0.8)</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0.4</w:t>
            </w:r>
          </w:p>
        </w:tc>
        <w:tc>
          <w:tcPr>
            <w:tcW w:w="940" w:type="dxa"/>
            <w:vAlign w:val="bottom"/>
          </w:tcPr>
          <w:p>
            <w:pPr>
              <w:ind w:left="62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66.6</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19.5</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Pr>
          <w:p>
            <w:pPr>
              <w:ind w:left="58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68.2</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line="151" w:lineRule="exact"/>
              <w:rPr>
                <w:sz w:val="20"/>
                <w:szCs w:val="20"/>
                <w:color w:val="auto"/>
              </w:rPr>
            </w:pPr>
            <w:r>
              <w:rPr>
                <w:rFonts w:ascii="Arial" w:cs="Arial" w:eastAsia="Arial" w:hAnsi="Arial"/>
                <w:sz w:val="14"/>
                <w:szCs w:val="14"/>
                <w:color w:val="auto"/>
              </w:rPr>
              <w:t>Operating</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margin</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rPr>
              <w:t>percent</w:t>
            </w:r>
          </w:p>
        </w:tc>
        <w:tc>
          <w:tcPr>
            <w:tcW w:w="720" w:type="dxa"/>
            <w:vAlign w:val="bottom"/>
          </w:tcPr>
          <w:p>
            <w:pPr>
              <w:jc w:val="right"/>
              <w:spacing w:after="0"/>
              <w:rPr>
                <w:sz w:val="20"/>
                <w:szCs w:val="20"/>
                <w:color w:val="auto"/>
              </w:rPr>
            </w:pPr>
            <w:r>
              <w:rPr>
                <w:rFonts w:ascii="Arial" w:cs="Arial" w:eastAsia="Arial" w:hAnsi="Arial"/>
                <w:sz w:val="13"/>
                <w:szCs w:val="13"/>
                <w:color w:val="auto"/>
              </w:rPr>
              <w:t>(8.2)%</w:t>
            </w:r>
          </w:p>
        </w:tc>
        <w:tc>
          <w:tcPr>
            <w:tcW w:w="820" w:type="dxa"/>
            <w:vAlign w:val="bottom"/>
          </w:tcPr>
          <w:p>
            <w:pPr>
              <w:jc w:val="right"/>
              <w:spacing w:after="0"/>
              <w:rPr>
                <w:sz w:val="20"/>
                <w:szCs w:val="20"/>
                <w:color w:val="auto"/>
              </w:rPr>
            </w:pPr>
            <w:r>
              <w:rPr>
                <w:rFonts w:ascii="Arial" w:cs="Arial" w:eastAsia="Arial" w:hAnsi="Arial"/>
                <w:sz w:val="13"/>
                <w:szCs w:val="13"/>
                <w:color w:val="auto"/>
              </w:rPr>
              <w:t>0.1 %</w:t>
            </w:r>
          </w:p>
        </w:tc>
        <w:tc>
          <w:tcPr>
            <w:tcW w:w="960" w:type="dxa"/>
            <w:vAlign w:val="bottom"/>
          </w:tcPr>
          <w:p>
            <w:pPr>
              <w:jc w:val="right"/>
              <w:spacing w:after="0"/>
              <w:rPr>
                <w:sz w:val="20"/>
                <w:szCs w:val="20"/>
                <w:color w:val="auto"/>
              </w:rPr>
            </w:pPr>
            <w:r>
              <w:rPr>
                <w:rFonts w:ascii="Arial" w:cs="Arial" w:eastAsia="Arial" w:hAnsi="Arial"/>
                <w:sz w:val="13"/>
                <w:szCs w:val="13"/>
                <w:color w:val="auto"/>
              </w:rPr>
              <w:t>1.9 %</w:t>
            </w:r>
          </w:p>
        </w:tc>
        <w:tc>
          <w:tcPr>
            <w:tcW w:w="880" w:type="dxa"/>
            <w:vAlign w:val="bottom"/>
          </w:tcPr>
          <w:p>
            <w:pPr>
              <w:jc w:val="right"/>
              <w:spacing w:after="0"/>
              <w:rPr>
                <w:sz w:val="20"/>
                <w:szCs w:val="20"/>
                <w:color w:val="auto"/>
              </w:rPr>
            </w:pPr>
            <w:r>
              <w:rPr>
                <w:rFonts w:ascii="Arial" w:cs="Arial" w:eastAsia="Arial" w:hAnsi="Arial"/>
                <w:sz w:val="13"/>
                <w:szCs w:val="13"/>
                <w:color w:val="auto"/>
              </w:rPr>
              <w:t>2.7 %</w:t>
            </w:r>
          </w:p>
        </w:tc>
        <w:tc>
          <w:tcPr>
            <w:tcW w:w="560" w:type="dxa"/>
            <w:vAlign w:val="bottom"/>
          </w:tcPr>
          <w:p>
            <w:pPr>
              <w:jc w:val="right"/>
              <w:spacing w:after="0"/>
              <w:rPr>
                <w:sz w:val="20"/>
                <w:szCs w:val="20"/>
                <w:color w:val="auto"/>
              </w:rPr>
            </w:pPr>
            <w:r>
              <w:rPr>
                <w:rFonts w:ascii="Arial" w:cs="Arial" w:eastAsia="Arial" w:hAnsi="Arial"/>
                <w:sz w:val="13"/>
                <w:szCs w:val="13"/>
                <w:color w:val="auto"/>
              </w:rPr>
              <w:t>(0.2)%</w:t>
            </w:r>
          </w:p>
        </w:tc>
        <w:tc>
          <w:tcPr>
            <w:tcW w:w="900" w:type="dxa"/>
            <w:vAlign w:val="bottom"/>
          </w:tcPr>
          <w:p>
            <w:pPr>
              <w:jc w:val="right"/>
              <w:spacing w:after="0"/>
              <w:rPr>
                <w:sz w:val="20"/>
                <w:szCs w:val="20"/>
                <w:color w:val="auto"/>
              </w:rPr>
            </w:pPr>
            <w:r>
              <w:rPr>
                <w:rFonts w:ascii="Arial" w:cs="Arial" w:eastAsia="Arial" w:hAnsi="Arial"/>
                <w:sz w:val="13"/>
                <w:szCs w:val="13"/>
                <w:color w:val="auto"/>
              </w:rPr>
              <w:t>0.1 %</w:t>
            </w:r>
          </w:p>
        </w:tc>
        <w:tc>
          <w:tcPr>
            <w:tcW w:w="940" w:type="dxa"/>
            <w:vAlign w:val="bottom"/>
          </w:tcPr>
          <w:p>
            <w:pPr>
              <w:ind w:left="620"/>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13.0 %</w:t>
            </w:r>
          </w:p>
        </w:tc>
        <w:tc>
          <w:tcPr>
            <w:tcW w:w="1020" w:type="dxa"/>
            <w:vAlign w:val="bottom"/>
          </w:tcPr>
          <w:p>
            <w:pPr>
              <w:jc w:val="right"/>
              <w:spacing w:after="0"/>
              <w:rPr>
                <w:sz w:val="20"/>
                <w:szCs w:val="20"/>
                <w:color w:val="auto"/>
              </w:rPr>
            </w:pPr>
            <w:r>
              <w:rPr>
                <w:rFonts w:ascii="Arial" w:cs="Arial" w:eastAsia="Arial" w:hAnsi="Arial"/>
                <w:sz w:val="13"/>
                <w:szCs w:val="13"/>
                <w:color w:val="auto"/>
              </w:rPr>
              <w:t>3.8 %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ind w:left="580"/>
              <w:spacing w:after="0"/>
              <w:rPr>
                <w:sz w:val="20"/>
                <w:szCs w:val="20"/>
                <w:color w:val="auto"/>
              </w:rPr>
            </w:pPr>
            <w:r>
              <w:rPr>
                <w:rFonts w:ascii="Arial" w:cs="Arial" w:eastAsia="Arial" w:hAnsi="Arial"/>
                <w:sz w:val="13"/>
                <w:szCs w:val="13"/>
                <w:color w:val="auto"/>
                <w:w w:val="99"/>
              </w:rPr>
              <w:t>— %</w:t>
            </w:r>
          </w:p>
        </w:tc>
        <w:tc>
          <w:tcPr>
            <w:tcW w:w="740" w:type="dxa"/>
            <w:vAlign w:val="bottom"/>
          </w:tcPr>
          <w:p>
            <w:pPr>
              <w:jc w:val="right"/>
              <w:spacing w:after="0"/>
              <w:rPr>
                <w:sz w:val="20"/>
                <w:szCs w:val="20"/>
                <w:color w:val="auto"/>
              </w:rPr>
            </w:pPr>
            <w:r>
              <w:rPr>
                <w:rFonts w:ascii="Arial" w:cs="Arial" w:eastAsia="Arial" w:hAnsi="Arial"/>
                <w:sz w:val="13"/>
                <w:szCs w:val="13"/>
                <w:color w:val="auto"/>
              </w:rPr>
              <w:t>13.3 %</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line="151" w:lineRule="exact"/>
              <w:rPr>
                <w:sz w:val="20"/>
                <w:szCs w:val="20"/>
                <w:color w:val="auto"/>
              </w:rPr>
            </w:pPr>
            <w:r>
              <w:rPr>
                <w:rFonts w:ascii="Arial" w:cs="Arial" w:eastAsia="Arial" w:hAnsi="Arial"/>
                <w:sz w:val="14"/>
                <w:szCs w:val="14"/>
                <w:color w:val="auto"/>
              </w:rPr>
              <w:t>Income tax</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rPr>
              <w:t>expense</w:t>
            </w: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6.6</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0.3</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1.1</w:t>
            </w:r>
          </w:p>
        </w:tc>
        <w:tc>
          <w:tcPr>
            <w:tcW w:w="560" w:type="dxa"/>
            <w:vAlign w:val="bottom"/>
          </w:tcPr>
          <w:p>
            <w:pPr>
              <w:jc w:val="right"/>
              <w:ind w:right="117"/>
              <w:spacing w:after="0"/>
              <w:rPr>
                <w:sz w:val="20"/>
                <w:szCs w:val="20"/>
                <w:color w:val="auto"/>
              </w:rPr>
            </w:pPr>
            <w:r>
              <w:rPr>
                <w:rFonts w:ascii="Arial" w:cs="Arial" w:eastAsia="Arial" w:hAnsi="Arial"/>
                <w:sz w:val="13"/>
                <w:szCs w:val="13"/>
                <w:color w:val="auto"/>
              </w:rPr>
              <w:t>3.7</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0.1</w:t>
            </w:r>
          </w:p>
        </w:tc>
        <w:tc>
          <w:tcPr>
            <w:tcW w:w="940" w:type="dxa"/>
            <w:vAlign w:val="bottom"/>
          </w:tcPr>
          <w:p>
            <w:pPr>
              <w:ind w:left="62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0.5</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(6.5)</w:t>
            </w:r>
          </w:p>
        </w:tc>
        <w:tc>
          <w:tcPr>
            <w:tcW w:w="880" w:type="dxa"/>
            <w:vAlign w:val="bottom"/>
          </w:tcPr>
          <w:p>
            <w:pPr>
              <w:ind w:left="58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line="151" w:lineRule="exact"/>
              <w:rPr>
                <w:sz w:val="20"/>
                <w:szCs w:val="20"/>
                <w:color w:val="auto"/>
              </w:rPr>
            </w:pPr>
            <w:r>
              <w:rPr>
                <w:rFonts w:ascii="Arial" w:cs="Arial" w:eastAsia="Arial" w:hAnsi="Arial"/>
                <w:sz w:val="14"/>
                <w:szCs w:val="14"/>
                <w:color w:val="auto"/>
              </w:rPr>
              <w:t>Income tax</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rPr>
              <w:t>rate</w:t>
            </w:r>
          </w:p>
        </w:tc>
        <w:tc>
          <w:tcPr>
            <w:tcW w:w="720" w:type="dxa"/>
            <w:vAlign w:val="bottom"/>
          </w:tcPr>
          <w:p>
            <w:pPr>
              <w:jc w:val="right"/>
              <w:spacing w:after="0"/>
              <w:rPr>
                <w:sz w:val="20"/>
                <w:szCs w:val="20"/>
                <w:color w:val="auto"/>
              </w:rPr>
            </w:pPr>
            <w:r>
              <w:rPr>
                <w:rFonts w:ascii="Arial" w:cs="Arial" w:eastAsia="Arial" w:hAnsi="Arial"/>
                <w:sz w:val="13"/>
                <w:szCs w:val="13"/>
                <w:color w:val="auto"/>
              </w:rPr>
              <w:t>(8.1)%</w:t>
            </w:r>
          </w:p>
        </w:tc>
        <w:tc>
          <w:tcPr>
            <w:tcW w:w="820" w:type="dxa"/>
            <w:vAlign w:val="bottom"/>
          </w:tcPr>
          <w:p>
            <w:pPr>
              <w:jc w:val="right"/>
              <w:spacing w:after="0"/>
              <w:rPr>
                <w:sz w:val="20"/>
                <w:szCs w:val="20"/>
                <w:color w:val="auto"/>
              </w:rPr>
            </w:pPr>
            <w:r>
              <w:rPr>
                <w:rFonts w:ascii="Arial" w:cs="Arial" w:eastAsia="Arial" w:hAnsi="Arial"/>
                <w:sz w:val="13"/>
                <w:szCs w:val="13"/>
                <w:color w:val="auto"/>
              </w:rPr>
              <w:t>0.9 %</w:t>
            </w:r>
          </w:p>
        </w:tc>
        <w:tc>
          <w:tcPr>
            <w:tcW w:w="960" w:type="dxa"/>
            <w:vAlign w:val="bottom"/>
          </w:tcPr>
          <w:p>
            <w:pPr>
              <w:jc w:val="right"/>
              <w:spacing w:after="0"/>
              <w:rPr>
                <w:sz w:val="20"/>
                <w:szCs w:val="20"/>
                <w:color w:val="auto"/>
              </w:rPr>
            </w:pPr>
            <w:r>
              <w:rPr>
                <w:rFonts w:ascii="Arial" w:cs="Arial" w:eastAsia="Arial" w:hAnsi="Arial"/>
                <w:sz w:val="13"/>
                <w:szCs w:val="13"/>
                <w:color w:val="auto"/>
              </w:rPr>
              <w:t>3.3 %</w:t>
            </w: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rPr>
              <w:t>7.8 % (445.9)%</w:t>
            </w:r>
          </w:p>
        </w:tc>
        <w:tc>
          <w:tcPr>
            <w:tcW w:w="900" w:type="dxa"/>
            <w:vAlign w:val="bottom"/>
          </w:tcPr>
          <w:p>
            <w:pPr>
              <w:jc w:val="right"/>
              <w:spacing w:after="0"/>
              <w:rPr>
                <w:sz w:val="20"/>
                <w:szCs w:val="20"/>
                <w:color w:val="auto"/>
              </w:rPr>
            </w:pPr>
            <w:r>
              <w:rPr>
                <w:rFonts w:ascii="Arial" w:cs="Arial" w:eastAsia="Arial" w:hAnsi="Arial"/>
                <w:sz w:val="13"/>
                <w:szCs w:val="13"/>
                <w:color w:val="auto"/>
              </w:rPr>
              <w:t>26.9 %</w:t>
            </w:r>
          </w:p>
        </w:tc>
        <w:tc>
          <w:tcPr>
            <w:tcW w:w="940" w:type="dxa"/>
            <w:vAlign w:val="bottom"/>
          </w:tcPr>
          <w:p>
            <w:pPr>
              <w:ind w:left="620"/>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 %</w:t>
            </w:r>
          </w:p>
        </w:tc>
        <w:tc>
          <w:tcPr>
            <w:tcW w:w="1020" w:type="dxa"/>
            <w:vAlign w:val="bottom"/>
          </w:tcPr>
          <w:p>
            <w:pPr>
              <w:jc w:val="right"/>
              <w:spacing w:after="0"/>
              <w:rPr>
                <w:sz w:val="20"/>
                <w:szCs w:val="20"/>
                <w:color w:val="auto"/>
              </w:rPr>
            </w:pPr>
            <w:r>
              <w:rPr>
                <w:rFonts w:ascii="Arial" w:cs="Arial" w:eastAsia="Arial" w:hAnsi="Arial"/>
                <w:sz w:val="13"/>
                <w:szCs w:val="13"/>
                <w:color w:val="auto"/>
              </w:rPr>
              <w:t>2.7 %</w:t>
            </w:r>
          </w:p>
        </w:tc>
        <w:tc>
          <w:tcPr>
            <w:tcW w:w="920" w:type="dxa"/>
            <w:vAlign w:val="bottom"/>
          </w:tcPr>
          <w:p>
            <w:pPr>
              <w:jc w:val="right"/>
              <w:spacing w:after="0"/>
              <w:rPr>
                <w:sz w:val="20"/>
                <w:szCs w:val="20"/>
                <w:color w:val="auto"/>
              </w:rPr>
            </w:pPr>
            <w:r>
              <w:rPr>
                <w:rFonts w:ascii="Arial" w:cs="Arial" w:eastAsia="Arial" w:hAnsi="Arial"/>
                <w:sz w:val="13"/>
                <w:szCs w:val="13"/>
                <w:color w:val="auto"/>
              </w:rPr>
              <w:t>N/A</w:t>
            </w:r>
          </w:p>
        </w:tc>
        <w:tc>
          <w:tcPr>
            <w:tcW w:w="880" w:type="dxa"/>
            <w:vAlign w:val="bottom"/>
          </w:tcPr>
          <w:p>
            <w:pPr>
              <w:ind w:left="580"/>
              <w:spacing w:after="0"/>
              <w:rPr>
                <w:sz w:val="20"/>
                <w:szCs w:val="20"/>
                <w:color w:val="auto"/>
              </w:rPr>
            </w:pPr>
            <w:r>
              <w:rPr>
                <w:rFonts w:ascii="Arial" w:cs="Arial" w:eastAsia="Arial" w:hAnsi="Arial"/>
                <w:sz w:val="13"/>
                <w:szCs w:val="13"/>
                <w:color w:val="auto"/>
                <w:w w:val="99"/>
              </w:rPr>
              <w:t>— %</w:t>
            </w:r>
          </w:p>
        </w:tc>
        <w:tc>
          <w:tcPr>
            <w:tcW w:w="740" w:type="dxa"/>
            <w:vAlign w:val="bottom"/>
          </w:tcPr>
          <w:p>
            <w:pPr>
              <w:jc w:val="right"/>
              <w:spacing w:after="0"/>
              <w:rPr>
                <w:sz w:val="20"/>
                <w:szCs w:val="20"/>
                <w:color w:val="auto"/>
              </w:rPr>
            </w:pPr>
            <w:r>
              <w:rPr>
                <w:rFonts w:ascii="Arial" w:cs="Arial" w:eastAsia="Arial" w:hAnsi="Arial"/>
                <w:sz w:val="13"/>
                <w:szCs w:val="13"/>
                <w:color w:val="auto"/>
              </w:rPr>
              <w:t>12.4 %</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line="151" w:lineRule="exact"/>
              <w:rPr>
                <w:sz w:val="20"/>
                <w:szCs w:val="20"/>
                <w:color w:val="auto"/>
              </w:rPr>
            </w:pPr>
            <w:r>
              <w:rPr>
                <w:rFonts w:ascii="Arial" w:cs="Arial" w:eastAsia="Arial" w:hAnsi="Arial"/>
                <w:sz w:val="14"/>
                <w:szCs w:val="14"/>
                <w:color w:val="auto"/>
              </w:rPr>
              <w:t>Net (loss)</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rPr>
              <w:t>income</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(87.2)</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0.7</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9.4</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12.9</w:t>
            </w: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(4.6)</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0.3</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16.4</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58.9</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18.9</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6.5</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9.2</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151"/>
        </w:trPr>
        <w:tc>
          <w:tcPr>
            <w:tcW w:w="960" w:type="dxa"/>
            <w:vAlign w:val="bottom"/>
          </w:tcPr>
          <w:p>
            <w:pPr>
              <w:ind w:left="20"/>
              <w:spacing w:after="0" w:line="151" w:lineRule="exact"/>
              <w:rPr>
                <w:sz w:val="20"/>
                <w:szCs w:val="20"/>
                <w:color w:val="auto"/>
              </w:rPr>
            </w:pPr>
            <w:r>
              <w:rPr>
                <w:rFonts w:ascii="Arial" w:cs="Arial" w:eastAsia="Arial" w:hAnsi="Arial"/>
                <w:sz w:val="14"/>
                <w:szCs w:val="14"/>
                <w:color w:val="auto"/>
              </w:rPr>
              <w:t>Net (loss)</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income from</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continuing</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operations as</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60" w:type="dxa"/>
            <w:vAlign w:val="bottom"/>
          </w:tcPr>
          <w:p>
            <w:pPr>
              <w:ind w:left="20"/>
              <w:spacing w:after="0" w:line="135" w:lineRule="exact"/>
              <w:rPr>
                <w:sz w:val="20"/>
                <w:szCs w:val="20"/>
                <w:color w:val="auto"/>
              </w:rPr>
            </w:pPr>
            <w:r>
              <w:rPr>
                <w:rFonts w:ascii="Arial" w:cs="Arial" w:eastAsia="Arial" w:hAnsi="Arial"/>
                <w:sz w:val="14"/>
                <w:szCs w:val="14"/>
                <w:color w:val="auto"/>
              </w:rPr>
              <w:t>a percent of</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rPr>
              <w:t>net sales</w:t>
            </w:r>
          </w:p>
        </w:tc>
        <w:tc>
          <w:tcPr>
            <w:tcW w:w="720" w:type="dxa"/>
            <w:vAlign w:val="bottom"/>
          </w:tcPr>
          <w:p>
            <w:pPr>
              <w:jc w:val="right"/>
              <w:spacing w:after="0"/>
              <w:rPr>
                <w:sz w:val="20"/>
                <w:szCs w:val="20"/>
                <w:color w:val="auto"/>
              </w:rPr>
            </w:pPr>
            <w:r>
              <w:rPr>
                <w:rFonts w:ascii="Arial" w:cs="Arial" w:eastAsia="Arial" w:hAnsi="Arial"/>
                <w:sz w:val="13"/>
                <w:szCs w:val="13"/>
                <w:color w:val="auto"/>
              </w:rPr>
              <w:t>(17.0)%</w:t>
            </w:r>
          </w:p>
        </w:tc>
        <w:tc>
          <w:tcPr>
            <w:tcW w:w="820" w:type="dxa"/>
            <w:vAlign w:val="bottom"/>
          </w:tcPr>
          <w:p>
            <w:pPr>
              <w:jc w:val="right"/>
              <w:spacing w:after="0"/>
              <w:rPr>
                <w:sz w:val="20"/>
                <w:szCs w:val="20"/>
                <w:color w:val="auto"/>
              </w:rPr>
            </w:pPr>
            <w:r>
              <w:rPr>
                <w:rFonts w:ascii="Arial" w:cs="Arial" w:eastAsia="Arial" w:hAnsi="Arial"/>
                <w:sz w:val="13"/>
                <w:szCs w:val="13"/>
                <w:color w:val="auto"/>
              </w:rPr>
              <w:t>0.1 %</w:t>
            </w:r>
          </w:p>
        </w:tc>
        <w:tc>
          <w:tcPr>
            <w:tcW w:w="960" w:type="dxa"/>
            <w:vAlign w:val="bottom"/>
          </w:tcPr>
          <w:p>
            <w:pPr>
              <w:jc w:val="right"/>
              <w:spacing w:after="0"/>
              <w:rPr>
                <w:sz w:val="20"/>
                <w:szCs w:val="20"/>
                <w:color w:val="auto"/>
              </w:rPr>
            </w:pPr>
            <w:r>
              <w:rPr>
                <w:rFonts w:ascii="Arial" w:cs="Arial" w:eastAsia="Arial" w:hAnsi="Arial"/>
                <w:sz w:val="13"/>
                <w:szCs w:val="13"/>
                <w:color w:val="auto"/>
              </w:rPr>
              <w:t>1.8 %</w:t>
            </w:r>
          </w:p>
        </w:tc>
        <w:tc>
          <w:tcPr>
            <w:tcW w:w="880" w:type="dxa"/>
            <w:vAlign w:val="bottom"/>
          </w:tcPr>
          <w:p>
            <w:pPr>
              <w:jc w:val="right"/>
              <w:spacing w:after="0"/>
              <w:rPr>
                <w:sz w:val="20"/>
                <w:szCs w:val="20"/>
                <w:color w:val="auto"/>
              </w:rPr>
            </w:pPr>
            <w:r>
              <w:rPr>
                <w:rFonts w:ascii="Arial" w:cs="Arial" w:eastAsia="Arial" w:hAnsi="Arial"/>
                <w:sz w:val="13"/>
                <w:szCs w:val="13"/>
                <w:color w:val="auto"/>
              </w:rPr>
              <w:t>2.5 %</w:t>
            </w:r>
          </w:p>
        </w:tc>
        <w:tc>
          <w:tcPr>
            <w:tcW w:w="560" w:type="dxa"/>
            <w:vAlign w:val="bottom"/>
          </w:tcPr>
          <w:p>
            <w:pPr>
              <w:jc w:val="right"/>
              <w:spacing w:after="0"/>
              <w:rPr>
                <w:sz w:val="20"/>
                <w:szCs w:val="20"/>
                <w:color w:val="auto"/>
              </w:rPr>
            </w:pPr>
            <w:r>
              <w:rPr>
                <w:rFonts w:ascii="Arial" w:cs="Arial" w:eastAsia="Arial" w:hAnsi="Arial"/>
                <w:sz w:val="13"/>
                <w:szCs w:val="13"/>
                <w:color w:val="auto"/>
              </w:rPr>
              <w:t>(0.9)%</w:t>
            </w:r>
          </w:p>
        </w:tc>
        <w:tc>
          <w:tcPr>
            <w:tcW w:w="900" w:type="dxa"/>
            <w:vAlign w:val="bottom"/>
          </w:tcPr>
          <w:p>
            <w:pPr>
              <w:jc w:val="right"/>
              <w:spacing w:after="0"/>
              <w:rPr>
                <w:sz w:val="20"/>
                <w:szCs w:val="20"/>
                <w:color w:val="auto"/>
              </w:rPr>
            </w:pPr>
            <w:r>
              <w:rPr>
                <w:rFonts w:ascii="Arial" w:cs="Arial" w:eastAsia="Arial" w:hAnsi="Arial"/>
                <w:sz w:val="13"/>
                <w:szCs w:val="13"/>
                <w:color w:val="auto"/>
              </w:rPr>
              <w:t>0.1 %</w:t>
            </w:r>
          </w:p>
        </w:tc>
        <w:tc>
          <w:tcPr>
            <w:tcW w:w="940" w:type="dxa"/>
            <w:vAlign w:val="bottom"/>
          </w:tcPr>
          <w:p>
            <w:pPr>
              <w:jc w:val="right"/>
              <w:spacing w:after="0"/>
              <w:rPr>
                <w:sz w:val="20"/>
                <w:szCs w:val="20"/>
                <w:color w:val="auto"/>
              </w:rPr>
            </w:pPr>
            <w:r>
              <w:rPr>
                <w:rFonts w:ascii="Arial" w:cs="Arial" w:eastAsia="Arial" w:hAnsi="Arial"/>
                <w:sz w:val="13"/>
                <w:szCs w:val="13"/>
                <w:color w:val="auto"/>
              </w:rPr>
              <w:t>3.2 %</w:t>
            </w:r>
          </w:p>
        </w:tc>
        <w:tc>
          <w:tcPr>
            <w:tcW w:w="980" w:type="dxa"/>
            <w:vAlign w:val="bottom"/>
          </w:tcPr>
          <w:p>
            <w:pPr>
              <w:jc w:val="right"/>
              <w:spacing w:after="0"/>
              <w:rPr>
                <w:sz w:val="20"/>
                <w:szCs w:val="20"/>
                <w:color w:val="auto"/>
              </w:rPr>
            </w:pPr>
            <w:r>
              <w:rPr>
                <w:rFonts w:ascii="Arial" w:cs="Arial" w:eastAsia="Arial" w:hAnsi="Arial"/>
                <w:sz w:val="13"/>
                <w:szCs w:val="13"/>
                <w:color w:val="auto"/>
              </w:rPr>
              <w:t>11.5 %</w:t>
            </w:r>
          </w:p>
        </w:tc>
        <w:tc>
          <w:tcPr>
            <w:tcW w:w="1020" w:type="dxa"/>
            <w:vAlign w:val="bottom"/>
          </w:tcPr>
          <w:p>
            <w:pPr>
              <w:jc w:val="right"/>
              <w:spacing w:after="0"/>
              <w:rPr>
                <w:sz w:val="20"/>
                <w:szCs w:val="20"/>
                <w:color w:val="auto"/>
              </w:rPr>
            </w:pPr>
            <w:r>
              <w:rPr>
                <w:rFonts w:ascii="Arial" w:cs="Arial" w:eastAsia="Arial" w:hAnsi="Arial"/>
                <w:sz w:val="13"/>
                <w:szCs w:val="13"/>
                <w:color w:val="auto"/>
              </w:rPr>
              <w:t>3.7 %</w:t>
            </w:r>
          </w:p>
        </w:tc>
        <w:tc>
          <w:tcPr>
            <w:tcW w:w="920" w:type="dxa"/>
            <w:vAlign w:val="bottom"/>
          </w:tcPr>
          <w:p>
            <w:pPr>
              <w:jc w:val="right"/>
              <w:spacing w:after="0"/>
              <w:rPr>
                <w:sz w:val="20"/>
                <w:szCs w:val="20"/>
                <w:color w:val="auto"/>
              </w:rPr>
            </w:pPr>
            <w:r>
              <w:rPr>
                <w:rFonts w:ascii="Arial" w:cs="Arial" w:eastAsia="Arial" w:hAnsi="Arial"/>
                <w:sz w:val="13"/>
                <w:szCs w:val="13"/>
                <w:color w:val="auto"/>
              </w:rPr>
              <w:t>1.3 %</w:t>
            </w:r>
          </w:p>
        </w:tc>
        <w:tc>
          <w:tcPr>
            <w:tcW w:w="880" w:type="dxa"/>
            <w:vAlign w:val="bottom"/>
          </w:tcPr>
          <w:p>
            <w:pPr>
              <w:jc w:val="right"/>
              <w:spacing w:after="0"/>
              <w:rPr>
                <w:sz w:val="20"/>
                <w:szCs w:val="20"/>
                <w:color w:val="auto"/>
              </w:rPr>
            </w:pPr>
            <w:r>
              <w:rPr>
                <w:rFonts w:ascii="Arial" w:cs="Arial" w:eastAsia="Arial" w:hAnsi="Arial"/>
                <w:sz w:val="13"/>
                <w:szCs w:val="13"/>
                <w:color w:val="auto"/>
              </w:rPr>
              <w:t>1.8 %</w:t>
            </w:r>
          </w:p>
        </w:tc>
        <w:tc>
          <w:tcPr>
            <w:tcW w:w="740" w:type="dxa"/>
            <w:vAlign w:val="bottom"/>
          </w:tcPr>
          <w:p>
            <w:pPr>
              <w:jc w:val="right"/>
              <w:spacing w:after="0"/>
              <w:rPr>
                <w:sz w:val="20"/>
                <w:szCs w:val="20"/>
                <w:color w:val="auto"/>
              </w:rPr>
            </w:pPr>
            <w:r>
              <w:rPr>
                <w:rFonts w:ascii="Arial" w:cs="Arial" w:eastAsia="Arial" w:hAnsi="Arial"/>
                <w:sz w:val="13"/>
                <w:szCs w:val="13"/>
                <w:color w:val="auto"/>
              </w:rPr>
              <w:t>8.1 %</w:t>
            </w:r>
          </w:p>
        </w:tc>
        <w:tc>
          <w:tcPr>
            <w:tcW w:w="0" w:type="dxa"/>
            <w:vAlign w:val="bottom"/>
          </w:tcPr>
          <w:p>
            <w:pPr>
              <w:spacing w:after="0"/>
              <w:rPr>
                <w:sz w:val="1"/>
                <w:szCs w:val="1"/>
                <w:color w:val="auto"/>
              </w:rPr>
            </w:pPr>
          </w:p>
        </w:tc>
      </w:tr>
      <w:tr>
        <w:trPr>
          <w:trHeight w:val="188"/>
        </w:trPr>
        <w:tc>
          <w:tcPr>
            <w:tcW w:w="96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($1.79)</w:t>
            </w:r>
          </w:p>
        </w:tc>
        <w:tc>
          <w:tcPr>
            <w:tcW w:w="820" w:type="dxa"/>
            <w:vAlign w:val="bottom"/>
          </w:tcPr>
          <w:p>
            <w:pPr>
              <w:jc w:val="right"/>
              <w:ind w:right="137"/>
              <w:spacing w:after="0"/>
              <w:rPr>
                <w:sz w:val="20"/>
                <w:szCs w:val="20"/>
                <w:color w:val="auto"/>
              </w:rPr>
            </w:pPr>
            <w:r>
              <w:rPr>
                <w:rFonts w:ascii="Arial" w:cs="Arial" w:eastAsia="Arial" w:hAnsi="Arial"/>
                <w:sz w:val="13"/>
                <w:szCs w:val="13"/>
                <w:color w:val="auto"/>
              </w:rPr>
              <w:t>$0.01</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$0.19</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$0.26</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w w:val="97"/>
              </w:rPr>
              <w:t>($0.09)</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$0.01</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$0.33</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$1.18</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$0.38</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$0.13</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$0.18</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$0.83</w:t>
            </w:r>
          </w:p>
        </w:tc>
        <w:tc>
          <w:tcPr>
            <w:tcW w:w="0" w:type="dxa"/>
            <w:vAlign w:val="bottom"/>
          </w:tcPr>
          <w:p>
            <w:pPr>
              <w:spacing w:after="0"/>
              <w:rPr>
                <w:sz w:val="1"/>
                <w:szCs w:val="1"/>
                <w:color w:val="auto"/>
              </w:rPr>
            </w:pPr>
          </w:p>
        </w:tc>
      </w:tr>
    </w:tbl>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GAAP results for the six months ended June 30, 2021 include:</w:t>
            </w:r>
          </w:p>
        </w:tc>
        <w:tc>
          <w:tcPr>
            <w:tcW w:w="5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0" w:type="dxa"/>
            <w:vAlign w:val="bottom"/>
          </w:tcPr>
          <w:p>
            <w:pPr>
              <w:spacing w:after="0"/>
              <w:rPr>
                <w:sz w:val="20"/>
                <w:szCs w:val="20"/>
                <w:color w:val="auto"/>
              </w:rPr>
            </w:pPr>
            <w:r>
              <w:rPr>
                <w:rFonts w:ascii="Arial" w:cs="Arial" w:eastAsia="Arial" w:hAnsi="Arial"/>
                <w:sz w:val="14"/>
                <w:szCs w:val="14"/>
                <w:b w:val="1"/>
                <w:bCs w:val="1"/>
                <w:color w:val="auto"/>
              </w:rPr>
              <w:t>(A)</w:t>
            </w:r>
          </w:p>
        </w:tc>
        <w:tc>
          <w:tcPr>
            <w:tcW w:w="10860" w:type="dxa"/>
            <w:vAlign w:val="bottom"/>
            <w:gridSpan w:val="2"/>
          </w:tcPr>
          <w:p>
            <w:pPr>
              <w:ind w:left="60"/>
              <w:spacing w:after="0"/>
              <w:rPr>
                <w:sz w:val="20"/>
                <w:szCs w:val="20"/>
                <w:color w:val="auto"/>
              </w:rPr>
            </w:pPr>
            <w:r>
              <w:rPr>
                <w:rFonts w:ascii="Arial" w:cs="Arial" w:eastAsia="Arial" w:hAnsi="Arial"/>
                <w:sz w:val="14"/>
                <w:szCs w:val="14"/>
                <w:color w:val="auto"/>
              </w:rPr>
              <w:t>Merger and integration expenses related to our legacy companies and recent acquisitions</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20"/>
                <w:szCs w:val="20"/>
                <w:color w:val="auto"/>
              </w:rPr>
            </w:pPr>
            <w:r>
              <w:rPr>
                <w:rFonts w:ascii="Arial" w:cs="Arial" w:eastAsia="Arial" w:hAnsi="Arial"/>
                <w:sz w:val="14"/>
                <w:szCs w:val="14"/>
                <w:b w:val="1"/>
                <w:bCs w:val="1"/>
                <w:color w:val="auto"/>
              </w:rPr>
              <w:t>(B)</w:t>
            </w:r>
          </w:p>
        </w:tc>
        <w:tc>
          <w:tcPr>
            <w:tcW w:w="5080" w:type="dxa"/>
            <w:vAlign w:val="bottom"/>
          </w:tcPr>
          <w:p>
            <w:pPr>
              <w:ind w:left="60"/>
              <w:spacing w:after="0"/>
              <w:rPr>
                <w:sz w:val="20"/>
                <w:szCs w:val="20"/>
                <w:color w:val="auto"/>
              </w:rPr>
            </w:pPr>
            <w:r>
              <w:rPr>
                <w:rFonts w:ascii="Arial" w:cs="Arial" w:eastAsia="Arial" w:hAnsi="Arial"/>
                <w:sz w:val="14"/>
                <w:szCs w:val="14"/>
                <w:color w:val="auto"/>
              </w:rPr>
              <w:t>Restructuring expenses related to organizational changes</w:t>
            </w:r>
          </w:p>
        </w:tc>
        <w:tc>
          <w:tcPr>
            <w:tcW w:w="5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0" w:type="dxa"/>
            <w:vAlign w:val="bottom"/>
          </w:tcPr>
          <w:p>
            <w:pPr>
              <w:spacing w:after="0"/>
              <w:rPr>
                <w:sz w:val="20"/>
                <w:szCs w:val="20"/>
                <w:color w:val="auto"/>
              </w:rPr>
            </w:pPr>
            <w:r>
              <w:rPr>
                <w:rFonts w:ascii="Arial" w:cs="Arial" w:eastAsia="Arial" w:hAnsi="Arial"/>
                <w:sz w:val="14"/>
                <w:szCs w:val="14"/>
                <w:b w:val="1"/>
                <w:bCs w:val="1"/>
                <w:color w:val="auto"/>
              </w:rPr>
              <w:t>(C)</w:t>
            </w:r>
          </w:p>
        </w:tc>
        <w:tc>
          <w:tcPr>
            <w:tcW w:w="10860" w:type="dxa"/>
            <w:vAlign w:val="bottom"/>
            <w:gridSpan w:val="2"/>
          </w:tcPr>
          <w:p>
            <w:pPr>
              <w:ind w:left="60"/>
              <w:spacing w:after="0"/>
              <w:rPr>
                <w:sz w:val="20"/>
                <w:szCs w:val="20"/>
                <w:color w:val="auto"/>
              </w:rPr>
            </w:pPr>
            <w:r>
              <w:rPr>
                <w:rFonts w:ascii="Arial" w:cs="Arial" w:eastAsia="Arial" w:hAnsi="Arial"/>
                <w:sz w:val="14"/>
                <w:szCs w:val="14"/>
                <w:color w:val="auto"/>
              </w:rPr>
              <w:t>Includes depreciation and amortization associated with purchase price accounting</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20"/>
                <w:szCs w:val="20"/>
                <w:color w:val="auto"/>
              </w:rPr>
            </w:pPr>
            <w:r>
              <w:rPr>
                <w:rFonts w:ascii="Arial" w:cs="Arial" w:eastAsia="Arial" w:hAnsi="Arial"/>
                <w:sz w:val="14"/>
                <w:szCs w:val="14"/>
                <w:b w:val="1"/>
                <w:bCs w:val="1"/>
                <w:color w:val="auto"/>
              </w:rPr>
              <w:t>(D)</w:t>
            </w:r>
          </w:p>
        </w:tc>
        <w:tc>
          <w:tcPr>
            <w:tcW w:w="5080" w:type="dxa"/>
            <w:vAlign w:val="bottom"/>
          </w:tcPr>
          <w:p>
            <w:pPr>
              <w:ind w:left="60"/>
              <w:spacing w:after="0"/>
              <w:rPr>
                <w:sz w:val="20"/>
                <w:szCs w:val="20"/>
                <w:color w:val="auto"/>
              </w:rPr>
            </w:pPr>
            <w:r>
              <w:rPr>
                <w:rFonts w:ascii="Arial" w:cs="Arial" w:eastAsia="Arial" w:hAnsi="Arial"/>
                <w:sz w:val="14"/>
                <w:szCs w:val="14"/>
                <w:color w:val="auto"/>
              </w:rPr>
              <w:t>Gain associated with the sale of Heart Valves</w:t>
            </w:r>
          </w:p>
        </w:tc>
        <w:tc>
          <w:tcPr>
            <w:tcW w:w="5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0" w:type="dxa"/>
            <w:vAlign w:val="bottom"/>
          </w:tcPr>
          <w:p>
            <w:pPr>
              <w:spacing w:after="0"/>
              <w:rPr>
                <w:sz w:val="20"/>
                <w:szCs w:val="20"/>
                <w:color w:val="auto"/>
              </w:rPr>
            </w:pPr>
            <w:r>
              <w:rPr>
                <w:rFonts w:ascii="Arial" w:cs="Arial" w:eastAsia="Arial" w:hAnsi="Arial"/>
                <w:sz w:val="14"/>
                <w:szCs w:val="14"/>
                <w:b w:val="1"/>
                <w:bCs w:val="1"/>
                <w:color w:val="auto"/>
              </w:rPr>
              <w:t>(E)</w:t>
            </w:r>
          </w:p>
        </w:tc>
        <w:tc>
          <w:tcPr>
            <w:tcW w:w="5080" w:type="dxa"/>
            <w:vAlign w:val="bottom"/>
          </w:tcPr>
          <w:p>
            <w:pPr>
              <w:ind w:left="60"/>
              <w:spacing w:after="0"/>
              <w:rPr>
                <w:sz w:val="20"/>
                <w:szCs w:val="20"/>
                <w:color w:val="auto"/>
              </w:rPr>
            </w:pPr>
            <w:r>
              <w:rPr>
                <w:rFonts w:ascii="Arial" w:cs="Arial" w:eastAsia="Arial" w:hAnsi="Arial"/>
                <w:sz w:val="14"/>
                <w:szCs w:val="14"/>
                <w:color w:val="auto"/>
              </w:rPr>
              <w:t>Costs related to the 3T Heater-Cooler remediation plan</w:t>
            </w:r>
          </w:p>
        </w:tc>
        <w:tc>
          <w:tcPr>
            <w:tcW w:w="5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0" w:type="dxa"/>
            <w:vAlign w:val="bottom"/>
          </w:tcPr>
          <w:p>
            <w:pPr>
              <w:spacing w:after="0"/>
              <w:rPr>
                <w:sz w:val="20"/>
                <w:szCs w:val="20"/>
                <w:color w:val="auto"/>
              </w:rPr>
            </w:pPr>
            <w:r>
              <w:rPr>
                <w:rFonts w:ascii="Arial" w:cs="Arial" w:eastAsia="Arial" w:hAnsi="Arial"/>
                <w:sz w:val="14"/>
                <w:szCs w:val="14"/>
                <w:b w:val="1"/>
                <w:bCs w:val="1"/>
                <w:color w:val="auto"/>
              </w:rPr>
              <w:t>(F)</w:t>
            </w:r>
          </w:p>
        </w:tc>
        <w:tc>
          <w:tcPr>
            <w:tcW w:w="10860" w:type="dxa"/>
            <w:vAlign w:val="bottom"/>
            <w:gridSpan w:val="2"/>
          </w:tcPr>
          <w:p>
            <w:pPr>
              <w:ind w:left="60"/>
              <w:spacing w:after="0"/>
              <w:rPr>
                <w:sz w:val="20"/>
                <w:szCs w:val="20"/>
                <w:color w:val="auto"/>
              </w:rPr>
            </w:pPr>
            <w:r>
              <w:rPr>
                <w:rFonts w:ascii="Arial" w:cs="Arial" w:eastAsia="Arial" w:hAnsi="Arial"/>
                <w:sz w:val="14"/>
                <w:szCs w:val="14"/>
                <w:color w:val="auto"/>
              </w:rPr>
              <w:t>Costs associated with our June 2020 financing transactions, including the mark-to-market adjustment for the exchangeable option feature and capped call derivatives</w:t>
            </w:r>
          </w:p>
        </w:tc>
        <w:tc>
          <w:tcPr>
            <w:tcW w:w="0" w:type="dxa"/>
            <w:vAlign w:val="bottom"/>
          </w:tcPr>
          <w:p>
            <w:pPr>
              <w:spacing w:after="0"/>
              <w:rPr>
                <w:sz w:val="1"/>
                <w:szCs w:val="1"/>
                <w:color w:val="auto"/>
              </w:rPr>
            </w:pPr>
          </w:p>
        </w:tc>
      </w:tr>
      <w:tr>
        <w:trPr>
          <w:trHeight w:val="152"/>
        </w:trPr>
        <w:tc>
          <w:tcPr>
            <w:tcW w:w="260" w:type="dxa"/>
            <w:vAlign w:val="bottom"/>
          </w:tcPr>
          <w:p>
            <w:pPr>
              <w:spacing w:after="0" w:line="152" w:lineRule="exact"/>
              <w:rPr>
                <w:sz w:val="20"/>
                <w:szCs w:val="20"/>
                <w:color w:val="auto"/>
              </w:rPr>
            </w:pPr>
            <w:r>
              <w:rPr>
                <w:rFonts w:ascii="Arial" w:cs="Arial" w:eastAsia="Arial" w:hAnsi="Arial"/>
                <w:sz w:val="14"/>
                <w:szCs w:val="14"/>
                <w:b w:val="1"/>
                <w:bCs w:val="1"/>
                <w:color w:val="auto"/>
              </w:rPr>
              <w:t>(G)</w:t>
            </w:r>
          </w:p>
        </w:tc>
        <w:tc>
          <w:tcPr>
            <w:tcW w:w="10860" w:type="dxa"/>
            <w:vAlign w:val="bottom"/>
            <w:gridSpan w:val="2"/>
          </w:tcPr>
          <w:p>
            <w:pPr>
              <w:ind w:left="60"/>
              <w:spacing w:after="0" w:line="152" w:lineRule="exact"/>
              <w:rPr>
                <w:sz w:val="20"/>
                <w:szCs w:val="20"/>
                <w:color w:val="auto"/>
              </w:rPr>
            </w:pPr>
            <w:r>
              <w:rPr>
                <w:rFonts w:ascii="Arial" w:cs="Arial" w:eastAsia="Arial" w:hAnsi="Arial"/>
                <w:sz w:val="14"/>
                <w:szCs w:val="14"/>
                <w:color w:val="auto"/>
              </w:rPr>
              <w:t>3T Heater-Cooler litigation provision, legal expenses primarily related to 3T Heater-Cooler defense, settlements, other matters, remeasurement of contingent consideration</w:t>
            </w:r>
          </w:p>
        </w:tc>
        <w:tc>
          <w:tcPr>
            <w:tcW w:w="0" w:type="dxa"/>
            <w:vAlign w:val="bottom"/>
          </w:tcPr>
          <w:p>
            <w:pPr>
              <w:spacing w:after="0"/>
              <w:rPr>
                <w:sz w:val="1"/>
                <w:szCs w:val="1"/>
                <w:color w:val="auto"/>
              </w:rPr>
            </w:pPr>
          </w:p>
        </w:tc>
      </w:tr>
      <w:tr>
        <w:trPr>
          <w:trHeight w:val="171"/>
        </w:trPr>
        <w:tc>
          <w:tcPr>
            <w:tcW w:w="260" w:type="dxa"/>
            <w:vAlign w:val="bottom"/>
            <w:vMerge w:val="restart"/>
          </w:tcPr>
          <w:p>
            <w:pPr>
              <w:spacing w:after="0"/>
              <w:rPr>
                <w:sz w:val="20"/>
                <w:szCs w:val="20"/>
                <w:color w:val="auto"/>
              </w:rPr>
            </w:pPr>
            <w:r>
              <w:rPr>
                <w:rFonts w:ascii="Arial" w:cs="Arial" w:eastAsia="Arial" w:hAnsi="Arial"/>
                <w:sz w:val="14"/>
                <w:szCs w:val="14"/>
                <w:b w:val="1"/>
                <w:bCs w:val="1"/>
                <w:color w:val="auto"/>
              </w:rPr>
              <w:t>(H)</w:t>
            </w:r>
          </w:p>
        </w:tc>
        <w:tc>
          <w:tcPr>
            <w:tcW w:w="10860" w:type="dxa"/>
            <w:vAlign w:val="bottom"/>
            <w:gridSpan w:val="2"/>
          </w:tcPr>
          <w:p>
            <w:pPr>
              <w:ind w:left="60"/>
              <w:spacing w:after="0"/>
              <w:rPr>
                <w:sz w:val="20"/>
                <w:szCs w:val="20"/>
                <w:color w:val="auto"/>
              </w:rPr>
            </w:pPr>
            <w:r>
              <w:rPr>
                <w:rFonts w:ascii="Arial" w:cs="Arial" w:eastAsia="Arial" w:hAnsi="Arial"/>
                <w:sz w:val="14"/>
                <w:szCs w:val="14"/>
                <w:color w:val="auto"/>
              </w:rPr>
              <w:t>related to acquisitions , gain from remeasurement of an investment and dividend income</w:t>
            </w:r>
          </w:p>
        </w:tc>
        <w:tc>
          <w:tcPr>
            <w:tcW w:w="0" w:type="dxa"/>
            <w:vAlign w:val="bottom"/>
          </w:tcPr>
          <w:p>
            <w:pPr>
              <w:spacing w:after="0"/>
              <w:rPr>
                <w:sz w:val="1"/>
                <w:szCs w:val="1"/>
                <w:color w:val="auto"/>
              </w:rPr>
            </w:pPr>
          </w:p>
        </w:tc>
      </w:tr>
      <w:tr>
        <w:trPr>
          <w:trHeight w:val="186"/>
        </w:trPr>
        <w:tc>
          <w:tcPr>
            <w:tcW w:w="260" w:type="dxa"/>
            <w:vAlign w:val="bottom"/>
            <w:vMerge w:val="continue"/>
          </w:tcPr>
          <w:p>
            <w:pPr>
              <w:spacing w:after="0"/>
              <w:rPr>
                <w:sz w:val="16"/>
                <w:szCs w:val="16"/>
                <w:color w:val="auto"/>
              </w:rPr>
            </w:pPr>
          </w:p>
        </w:tc>
        <w:tc>
          <w:tcPr>
            <w:tcW w:w="5080" w:type="dxa"/>
            <w:vAlign w:val="bottom"/>
          </w:tcPr>
          <w:p>
            <w:pPr>
              <w:ind w:left="60"/>
              <w:spacing w:after="0"/>
              <w:rPr>
                <w:sz w:val="20"/>
                <w:szCs w:val="20"/>
                <w:color w:val="auto"/>
              </w:rPr>
            </w:pPr>
            <w:r>
              <w:rPr>
                <w:rFonts w:ascii="Arial" w:cs="Arial" w:eastAsia="Arial" w:hAnsi="Arial"/>
                <w:sz w:val="14"/>
                <w:szCs w:val="14"/>
                <w:color w:val="auto"/>
              </w:rPr>
              <w:t>Non-cash expenses associated with stock-based compensation costs</w:t>
            </w:r>
          </w:p>
        </w:tc>
        <w:tc>
          <w:tcPr>
            <w:tcW w:w="5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0" w:type="dxa"/>
            <w:vAlign w:val="bottom"/>
          </w:tcPr>
          <w:p>
            <w:pPr>
              <w:spacing w:after="0"/>
              <w:rPr>
                <w:sz w:val="20"/>
                <w:szCs w:val="20"/>
                <w:color w:val="auto"/>
              </w:rPr>
            </w:pPr>
            <w:r>
              <w:rPr>
                <w:rFonts w:ascii="Arial" w:cs="Arial" w:eastAsia="Arial" w:hAnsi="Arial"/>
                <w:sz w:val="14"/>
                <w:szCs w:val="14"/>
                <w:b w:val="1"/>
                <w:bCs w:val="1"/>
                <w:color w:val="auto"/>
              </w:rPr>
              <w:t>(I)</w:t>
            </w:r>
          </w:p>
        </w:tc>
        <w:tc>
          <w:tcPr>
            <w:tcW w:w="5080" w:type="dxa"/>
            <w:vAlign w:val="bottom"/>
          </w:tcPr>
          <w:p>
            <w:pPr>
              <w:ind w:left="60"/>
              <w:spacing w:after="0"/>
              <w:rPr>
                <w:sz w:val="20"/>
                <w:szCs w:val="20"/>
                <w:color w:val="auto"/>
              </w:rPr>
            </w:pPr>
            <w:r>
              <w:rPr>
                <w:rFonts w:ascii="Arial" w:cs="Arial" w:eastAsia="Arial" w:hAnsi="Arial"/>
                <w:sz w:val="14"/>
                <w:szCs w:val="14"/>
                <w:color w:val="auto"/>
              </w:rPr>
              <w:t>Relates to discrete tax items and the tax impact of intercompany transactions</w:t>
            </w:r>
          </w:p>
        </w:tc>
        <w:tc>
          <w:tcPr>
            <w:tcW w:w="5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60" w:type="dxa"/>
            <w:vAlign w:val="bottom"/>
          </w:tcPr>
          <w:p>
            <w:pPr>
              <w:spacing w:after="0" w:line="147" w:lineRule="exact"/>
              <w:rPr>
                <w:sz w:val="20"/>
                <w:szCs w:val="20"/>
                <w:color w:val="auto"/>
              </w:rPr>
            </w:pPr>
            <w:r>
              <w:rPr>
                <w:rFonts w:ascii="Arial" w:cs="Arial" w:eastAsia="Arial" w:hAnsi="Arial"/>
                <w:sz w:val="14"/>
                <w:szCs w:val="14"/>
                <w:b w:val="1"/>
                <w:bCs w:val="1"/>
                <w:color w:val="auto"/>
              </w:rPr>
              <w:t>(J)</w:t>
            </w:r>
          </w:p>
        </w:tc>
        <w:tc>
          <w:tcPr>
            <w:tcW w:w="10860" w:type="dxa"/>
            <w:vAlign w:val="bottom"/>
            <w:gridSpan w:val="2"/>
          </w:tcPr>
          <w:p>
            <w:pPr>
              <w:ind w:left="60"/>
              <w:spacing w:after="0" w:line="147" w:lineRule="exact"/>
              <w:rPr>
                <w:sz w:val="20"/>
                <w:szCs w:val="20"/>
                <w:color w:val="auto"/>
              </w:rPr>
            </w:pPr>
            <w:r>
              <w:rPr>
                <w:rFonts w:ascii="Arial" w:cs="Arial" w:eastAsia="Arial" w:hAnsi="Arial"/>
                <w:sz w:val="14"/>
                <w:szCs w:val="14"/>
                <w:color w:val="auto"/>
              </w:rPr>
              <w:t>Non-cash interest expense on our Senior Secured Term Loan and Cash Exchangeable Senior Notes</w:t>
            </w:r>
          </w:p>
        </w:tc>
        <w:tc>
          <w:tcPr>
            <w:tcW w:w="0" w:type="dxa"/>
            <w:vAlign w:val="bottom"/>
          </w:tcPr>
          <w:p>
            <w:pPr>
              <w:spacing w:after="0"/>
              <w:rPr>
                <w:sz w:val="1"/>
                <w:szCs w:val="1"/>
                <w:color w:val="auto"/>
              </w:rPr>
            </w:pPr>
          </w:p>
        </w:tc>
      </w:tr>
      <w:tr>
        <w:trPr>
          <w:trHeight w:val="258"/>
        </w:trPr>
        <w:tc>
          <w:tcPr>
            <w:tcW w:w="5340" w:type="dxa"/>
            <w:vAlign w:val="bottom"/>
            <w:gridSpan w:val="2"/>
          </w:tcPr>
          <w:p>
            <w:pPr>
              <w:spacing w:after="0"/>
              <w:rPr>
                <w:sz w:val="20"/>
                <w:szCs w:val="20"/>
                <w:color w:val="auto"/>
              </w:rPr>
            </w:pPr>
            <w:r>
              <w:rPr>
                <w:rFonts w:ascii="Arial" w:cs="Arial" w:eastAsia="Arial" w:hAnsi="Arial"/>
                <w:sz w:val="14"/>
                <w:szCs w:val="14"/>
                <w:color w:val="auto"/>
              </w:rPr>
              <w:t>* Numbers may not add precisely due to rounding.</w:t>
            </w:r>
          </w:p>
        </w:tc>
        <w:tc>
          <w:tcPr>
            <w:tcW w:w="5780" w:type="dxa"/>
            <w:vAlign w:val="bottom"/>
          </w:tcPr>
          <w:p>
            <w:pPr>
              <w:jc w:val="right"/>
              <w:ind w:right="5293"/>
              <w:spacing w:after="0"/>
              <w:rPr>
                <w:sz w:val="20"/>
                <w:szCs w:val="20"/>
                <w:color w:val="auto"/>
              </w:rPr>
            </w:pPr>
            <w:r>
              <w:rPr>
                <w:rFonts w:ascii="Arial" w:cs="Arial" w:eastAsia="Arial" w:hAnsi="Arial"/>
                <w:sz w:val="21"/>
                <w:szCs w:val="21"/>
                <w:color w:val="auto"/>
              </w:rPr>
              <w:t>17</w:t>
            </w:r>
          </w:p>
        </w:tc>
        <w:tc>
          <w:tcPr>
            <w:tcW w:w="0" w:type="dxa"/>
            <w:vAlign w:val="bottom"/>
          </w:tcPr>
          <w:p>
            <w:pPr>
              <w:spacing w:after="0"/>
              <w:rPr>
                <w:sz w:val="1"/>
                <w:szCs w:val="1"/>
                <w:color w:val="auto"/>
              </w:rPr>
            </w:pPr>
          </w:p>
        </w:tc>
      </w:tr>
    </w:tbl>
    <w:p>
      <w:pPr>
        <w:sectPr>
          <w:pgSz w:w="11900" w:h="16838" w:orient="portrait"/>
          <w:cols w:equalWidth="0" w:num="1">
            <w:col w:w="11280"/>
          </w:cols>
          <w:pgMar w:left="320" w:top="1285" w:right="299" w:bottom="1440" w:gutter="0" w:footer="0" w:header="0"/>
        </w:sectPr>
      </w:pPr>
    </w:p>
    <w:bookmarkStart w:id="20" w:name="page21"/>
    <w:bookmarkEnd w:id="20"/>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8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2240" w:type="dxa"/>
            <w:vAlign w:val="bottom"/>
            <w:gridSpan w:val="2"/>
          </w:tcPr>
          <w:p>
            <w:pPr>
              <w:ind w:left="540"/>
              <w:spacing w:after="0"/>
              <w:rPr>
                <w:sz w:val="20"/>
                <w:szCs w:val="20"/>
                <w:color w:val="auto"/>
              </w:rPr>
            </w:pPr>
            <w:r>
              <w:rPr>
                <w:rFonts w:ascii="Arial" w:cs="Arial" w:eastAsia="Arial" w:hAnsi="Arial"/>
                <w:sz w:val="17"/>
                <w:szCs w:val="17"/>
                <w:b w:val="1"/>
                <w:bCs w:val="1"/>
                <w:color w:val="auto"/>
              </w:rPr>
              <w:t>June 30, 2022</w:t>
            </w:r>
          </w:p>
        </w:tc>
        <w:tc>
          <w:tcPr>
            <w:tcW w:w="2160" w:type="dxa"/>
            <w:vAlign w:val="bottom"/>
          </w:tcPr>
          <w:p>
            <w:pPr>
              <w:jc w:val="right"/>
              <w:ind w:right="215"/>
              <w:spacing w:after="0"/>
              <w:rPr>
                <w:sz w:val="20"/>
                <w:szCs w:val="20"/>
                <w:color w:val="auto"/>
              </w:rPr>
            </w:pPr>
            <w:r>
              <w:rPr>
                <w:rFonts w:ascii="Arial" w:cs="Arial" w:eastAsia="Arial" w:hAnsi="Arial"/>
                <w:sz w:val="17"/>
                <w:szCs w:val="17"/>
                <w:b w:val="1"/>
                <w:bCs w:val="1"/>
                <w:color w:val="auto"/>
              </w:rPr>
              <w:t>December 31, 2021</w:t>
            </w:r>
          </w:p>
        </w:tc>
        <w:tc>
          <w:tcPr>
            <w:tcW w:w="0" w:type="dxa"/>
            <w:vAlign w:val="bottom"/>
          </w:tcPr>
          <w:p>
            <w:pPr>
              <w:spacing w:after="0"/>
              <w:rPr>
                <w:sz w:val="1"/>
                <w:szCs w:val="1"/>
                <w:color w:val="auto"/>
              </w:rPr>
            </w:pPr>
          </w:p>
        </w:tc>
      </w:tr>
      <w:tr>
        <w:trPr>
          <w:trHeight w:val="184"/>
        </w:trPr>
        <w:tc>
          <w:tcPr>
            <w:tcW w:w="6780" w:type="dxa"/>
            <w:vAlign w:val="bottom"/>
            <w:vMerge w:val="continue"/>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80" w:type="dxa"/>
            <w:vAlign w:val="bottom"/>
          </w:tcPr>
          <w:p>
            <w:pPr>
              <w:spacing w:after="0"/>
              <w:rPr>
                <w:sz w:val="20"/>
                <w:szCs w:val="20"/>
                <w:color w:val="auto"/>
              </w:rPr>
            </w:pPr>
            <w:r>
              <w:rPr>
                <w:rFonts w:ascii="Arial" w:cs="Arial" w:eastAsia="Arial" w:hAnsi="Arial"/>
                <w:sz w:val="17"/>
                <w:szCs w:val="17"/>
                <w:i w:val="1"/>
                <w:iCs w:val="1"/>
                <w:color w:val="auto"/>
              </w:rPr>
              <w:t>Current Assets:</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2160" w:type="dxa"/>
            <w:vAlign w:val="bottom"/>
          </w:tcPr>
          <w:p>
            <w:pPr>
              <w:jc w:val="right"/>
              <w:spacing w:after="0"/>
              <w:rPr>
                <w:sz w:val="20"/>
                <w:szCs w:val="20"/>
                <w:color w:val="auto"/>
              </w:rPr>
            </w:pPr>
            <w:r>
              <w:rPr>
                <w:rFonts w:ascii="Arial" w:cs="Arial" w:eastAsia="Arial" w:hAnsi="Arial"/>
                <w:sz w:val="17"/>
                <w:szCs w:val="17"/>
                <w:color w:val="auto"/>
              </w:rPr>
              <w:t>$109.0</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$208.0</w:t>
            </w: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Restricted cash</w:t>
            </w:r>
          </w:p>
        </w:tc>
        <w:tc>
          <w:tcPr>
            <w:tcW w:w="2160" w:type="dxa"/>
            <w:vAlign w:val="bottom"/>
          </w:tcPr>
          <w:p>
            <w:pPr>
              <w:jc w:val="right"/>
              <w:spacing w:after="0"/>
              <w:rPr>
                <w:sz w:val="20"/>
                <w:szCs w:val="20"/>
                <w:color w:val="auto"/>
              </w:rPr>
            </w:pPr>
            <w:r>
              <w:rPr>
                <w:rFonts w:ascii="Arial" w:cs="Arial" w:eastAsia="Arial" w:hAnsi="Arial"/>
                <w:sz w:val="17"/>
                <w:szCs w:val="17"/>
                <w:color w:val="auto"/>
              </w:rPr>
              <w:t>297.7</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Accounts receivable, net of allowance</w:t>
            </w:r>
          </w:p>
        </w:tc>
        <w:tc>
          <w:tcPr>
            <w:tcW w:w="2160" w:type="dxa"/>
            <w:vAlign w:val="bottom"/>
          </w:tcPr>
          <w:p>
            <w:pPr>
              <w:jc w:val="right"/>
              <w:spacing w:after="0"/>
              <w:rPr>
                <w:sz w:val="20"/>
                <w:szCs w:val="20"/>
                <w:color w:val="auto"/>
              </w:rPr>
            </w:pPr>
            <w:r>
              <w:rPr>
                <w:rFonts w:ascii="Arial" w:cs="Arial" w:eastAsia="Arial" w:hAnsi="Arial"/>
                <w:sz w:val="17"/>
                <w:szCs w:val="17"/>
                <w:color w:val="auto"/>
              </w:rPr>
              <w:t>176.9</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185.4</w:t>
            </w: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Inventories</w:t>
            </w:r>
          </w:p>
        </w:tc>
        <w:tc>
          <w:tcPr>
            <w:tcW w:w="2160" w:type="dxa"/>
            <w:vAlign w:val="bottom"/>
          </w:tcPr>
          <w:p>
            <w:pPr>
              <w:jc w:val="right"/>
              <w:spacing w:after="0"/>
              <w:rPr>
                <w:sz w:val="20"/>
                <w:szCs w:val="20"/>
                <w:color w:val="auto"/>
              </w:rPr>
            </w:pPr>
            <w:r>
              <w:rPr>
                <w:rFonts w:ascii="Arial" w:cs="Arial" w:eastAsia="Arial" w:hAnsi="Arial"/>
                <w:sz w:val="17"/>
                <w:szCs w:val="17"/>
                <w:color w:val="auto"/>
              </w:rPr>
              <w:t>119.4</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105.8</w:t>
            </w: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Prepaid and refundable taxes</w:t>
            </w:r>
          </w:p>
        </w:tc>
        <w:tc>
          <w:tcPr>
            <w:tcW w:w="2160" w:type="dxa"/>
            <w:vAlign w:val="bottom"/>
          </w:tcPr>
          <w:p>
            <w:pPr>
              <w:jc w:val="right"/>
              <w:spacing w:after="0"/>
              <w:rPr>
                <w:sz w:val="20"/>
                <w:szCs w:val="20"/>
                <w:color w:val="auto"/>
              </w:rPr>
            </w:pPr>
            <w:r>
              <w:rPr>
                <w:rFonts w:ascii="Arial" w:cs="Arial" w:eastAsia="Arial" w:hAnsi="Arial"/>
                <w:sz w:val="17"/>
                <w:szCs w:val="17"/>
                <w:color w:val="auto"/>
              </w:rPr>
              <w:t>30.9</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37.6</w:t>
            </w: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Current derivative assets</w:t>
            </w:r>
          </w:p>
        </w:tc>
        <w:tc>
          <w:tcPr>
            <w:tcW w:w="2160" w:type="dxa"/>
            <w:vAlign w:val="bottom"/>
          </w:tcPr>
          <w:p>
            <w:pPr>
              <w:jc w:val="right"/>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106.6</w:t>
            </w: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12"/>
        </w:trPr>
        <w:tc>
          <w:tcPr>
            <w:tcW w:w="6780" w:type="dxa"/>
            <w:vAlign w:val="bottom"/>
          </w:tcPr>
          <w:p>
            <w:pPr>
              <w:spacing w:after="0"/>
              <w:rPr>
                <w:sz w:val="20"/>
                <w:szCs w:val="20"/>
                <w:color w:val="auto"/>
              </w:rPr>
            </w:pPr>
            <w:r>
              <w:rPr>
                <w:rFonts w:ascii="Arial" w:cs="Arial" w:eastAsia="Arial" w:hAnsi="Arial"/>
                <w:sz w:val="17"/>
                <w:szCs w:val="17"/>
                <w:color w:val="auto"/>
              </w:rPr>
              <w:t>Total Current Assets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771.9</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679.2</w:t>
            </w:r>
          </w:p>
        </w:tc>
        <w:tc>
          <w:tcPr>
            <w:tcW w:w="0" w:type="dxa"/>
            <w:vAlign w:val="bottom"/>
          </w:tcPr>
          <w:p>
            <w:pPr>
              <w:spacing w:after="0"/>
              <w:rPr>
                <w:sz w:val="1"/>
                <w:szCs w:val="1"/>
                <w:color w:val="auto"/>
              </w:rPr>
            </w:pPr>
          </w:p>
        </w:tc>
      </w:tr>
      <w:tr>
        <w:trPr>
          <w:trHeight w:val="204"/>
        </w:trPr>
        <w:tc>
          <w:tcPr>
            <w:tcW w:w="6780" w:type="dxa"/>
            <w:vAlign w:val="bottom"/>
          </w:tcPr>
          <w:p>
            <w:pPr>
              <w:ind w:left="220"/>
              <w:spacing w:after="0"/>
              <w:rPr>
                <w:sz w:val="20"/>
                <w:szCs w:val="20"/>
                <w:color w:val="auto"/>
              </w:rPr>
            </w:pPr>
            <w:r>
              <w:rPr>
                <w:rFonts w:ascii="Arial" w:cs="Arial" w:eastAsia="Arial" w:hAnsi="Arial"/>
                <w:sz w:val="17"/>
                <w:szCs w:val="17"/>
                <w:color w:val="auto"/>
              </w:rPr>
              <w:t>Property, plant and equipment, net</w:t>
            </w:r>
          </w:p>
        </w:tc>
        <w:tc>
          <w:tcPr>
            <w:tcW w:w="2160" w:type="dxa"/>
            <w:vAlign w:val="bottom"/>
          </w:tcPr>
          <w:p>
            <w:pPr>
              <w:jc w:val="right"/>
              <w:spacing w:after="0"/>
              <w:rPr>
                <w:sz w:val="20"/>
                <w:szCs w:val="20"/>
                <w:color w:val="auto"/>
              </w:rPr>
            </w:pPr>
            <w:r>
              <w:rPr>
                <w:rFonts w:ascii="Arial" w:cs="Arial" w:eastAsia="Arial" w:hAnsi="Arial"/>
                <w:sz w:val="17"/>
                <w:szCs w:val="17"/>
                <w:color w:val="auto"/>
              </w:rPr>
              <w:t>143.3</w:t>
            </w:r>
          </w:p>
        </w:tc>
        <w:tc>
          <w:tcPr>
            <w:tcW w:w="8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150.1</w:t>
            </w: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Goodwill</w:t>
            </w:r>
          </w:p>
        </w:tc>
        <w:tc>
          <w:tcPr>
            <w:tcW w:w="2160" w:type="dxa"/>
            <w:vAlign w:val="bottom"/>
          </w:tcPr>
          <w:p>
            <w:pPr>
              <w:jc w:val="right"/>
              <w:spacing w:after="0"/>
              <w:rPr>
                <w:sz w:val="20"/>
                <w:szCs w:val="20"/>
                <w:color w:val="auto"/>
              </w:rPr>
            </w:pPr>
            <w:r>
              <w:rPr>
                <w:rFonts w:ascii="Arial" w:cs="Arial" w:eastAsia="Arial" w:hAnsi="Arial"/>
                <w:sz w:val="17"/>
                <w:szCs w:val="17"/>
                <w:color w:val="auto"/>
              </w:rPr>
              <w:t>898.1</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899.5</w:t>
            </w: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Intangible assets, net</w:t>
            </w:r>
          </w:p>
        </w:tc>
        <w:tc>
          <w:tcPr>
            <w:tcW w:w="2160" w:type="dxa"/>
            <w:vAlign w:val="bottom"/>
          </w:tcPr>
          <w:p>
            <w:pPr>
              <w:jc w:val="right"/>
              <w:spacing w:after="0"/>
              <w:rPr>
                <w:sz w:val="20"/>
                <w:szCs w:val="20"/>
                <w:color w:val="auto"/>
              </w:rPr>
            </w:pPr>
            <w:r>
              <w:rPr>
                <w:rFonts w:ascii="Arial" w:cs="Arial" w:eastAsia="Arial" w:hAnsi="Arial"/>
                <w:sz w:val="17"/>
                <w:szCs w:val="17"/>
                <w:color w:val="auto"/>
              </w:rPr>
              <w:t>389.4</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399.7</w:t>
            </w: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Operating lease assets</w:t>
            </w:r>
          </w:p>
        </w:tc>
        <w:tc>
          <w:tcPr>
            <w:tcW w:w="2160" w:type="dxa"/>
            <w:vAlign w:val="bottom"/>
          </w:tcPr>
          <w:p>
            <w:pPr>
              <w:jc w:val="right"/>
              <w:spacing w:after="0"/>
              <w:rPr>
                <w:sz w:val="20"/>
                <w:szCs w:val="20"/>
                <w:color w:val="auto"/>
              </w:rPr>
            </w:pPr>
            <w:r>
              <w:rPr>
                <w:rFonts w:ascii="Arial" w:cs="Arial" w:eastAsia="Arial" w:hAnsi="Arial"/>
                <w:sz w:val="17"/>
                <w:szCs w:val="17"/>
                <w:color w:val="auto"/>
              </w:rPr>
              <w:t>38.4</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Investments</w:t>
            </w:r>
          </w:p>
        </w:tc>
        <w:tc>
          <w:tcPr>
            <w:tcW w:w="2160" w:type="dxa"/>
            <w:vAlign w:val="bottom"/>
          </w:tcPr>
          <w:p>
            <w:pPr>
              <w:jc w:val="right"/>
              <w:spacing w:after="0"/>
              <w:rPr>
                <w:sz w:val="20"/>
                <w:szCs w:val="20"/>
                <w:color w:val="auto"/>
              </w:rPr>
            </w:pPr>
            <w:r>
              <w:rPr>
                <w:rFonts w:ascii="Arial" w:cs="Arial" w:eastAsia="Arial" w:hAnsi="Arial"/>
                <w:sz w:val="17"/>
                <w:szCs w:val="17"/>
                <w:color w:val="auto"/>
              </w:rPr>
              <w:t>14.0</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Deferred tax assets</w:t>
            </w:r>
          </w:p>
        </w:tc>
        <w:tc>
          <w:tcPr>
            <w:tcW w:w="2160" w:type="dxa"/>
            <w:vAlign w:val="bottom"/>
          </w:tcPr>
          <w:p>
            <w:pPr>
              <w:jc w:val="right"/>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Long-term derivative assets</w:t>
            </w:r>
          </w:p>
        </w:tc>
        <w:tc>
          <w:tcPr>
            <w:tcW w:w="2160" w:type="dxa"/>
            <w:vAlign w:val="bottom"/>
          </w:tcPr>
          <w:p>
            <w:pPr>
              <w:jc w:val="right"/>
              <w:spacing w:after="0"/>
              <w:rPr>
                <w:sz w:val="20"/>
                <w:szCs w:val="20"/>
                <w:color w:val="auto"/>
              </w:rPr>
            </w:pPr>
            <w:r>
              <w:rPr>
                <w:rFonts w:ascii="Arial" w:cs="Arial" w:eastAsia="Arial" w:hAnsi="Arial"/>
                <w:sz w:val="17"/>
                <w:szCs w:val="17"/>
                <w:color w:val="auto"/>
              </w:rPr>
              <w:t>61.6</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6780" w:type="dxa"/>
            <w:vAlign w:val="bottom"/>
          </w:tcPr>
          <w:p>
            <w:pPr>
              <w:ind w:left="220"/>
              <w:spacing w:after="0"/>
              <w:rPr>
                <w:sz w:val="20"/>
                <w:szCs w:val="20"/>
                <w:color w:val="auto"/>
              </w:rPr>
            </w:pPr>
            <w:r>
              <w:rPr>
                <w:rFonts w:ascii="Arial" w:cs="Arial" w:eastAsia="Arial" w:hAnsi="Arial"/>
                <w:sz w:val="17"/>
                <w:szCs w:val="17"/>
                <w:color w:val="auto"/>
              </w:rPr>
              <w:t>Other assets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7"/>
                <w:szCs w:val="17"/>
                <w:color w:val="auto"/>
              </w:rPr>
              <w:t>Total Assets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$2,336.2</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$2,201.0</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678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780" w:type="dxa"/>
            <w:vAlign w:val="bottom"/>
          </w:tcPr>
          <w:p>
            <w:pPr>
              <w:spacing w:after="0"/>
              <w:rPr>
                <w:sz w:val="20"/>
                <w:szCs w:val="20"/>
                <w:color w:val="auto"/>
              </w:rPr>
            </w:pPr>
            <w:r>
              <w:rPr>
                <w:rFonts w:ascii="Arial" w:cs="Arial" w:eastAsia="Arial" w:hAnsi="Arial"/>
                <w:sz w:val="17"/>
                <w:szCs w:val="17"/>
                <w:i w:val="1"/>
                <w:iCs w:val="1"/>
                <w:color w:val="auto"/>
              </w:rPr>
              <w:t>Current Liabilities:</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Current debt obligations</w:t>
            </w:r>
          </w:p>
        </w:tc>
        <w:tc>
          <w:tcPr>
            <w:tcW w:w="2160" w:type="dxa"/>
            <w:vAlign w:val="bottom"/>
          </w:tcPr>
          <w:p>
            <w:pPr>
              <w:jc w:val="right"/>
              <w:spacing w:after="0"/>
              <w:rPr>
                <w:sz w:val="20"/>
                <w:szCs w:val="20"/>
                <w:color w:val="auto"/>
              </w:rPr>
            </w:pPr>
            <w:r>
              <w:rPr>
                <w:rFonts w:ascii="Arial" w:cs="Arial" w:eastAsia="Arial" w:hAnsi="Arial"/>
                <w:sz w:val="17"/>
                <w:szCs w:val="17"/>
                <w:color w:val="auto"/>
              </w:rPr>
              <w:t>$6.2</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$229.7</w:t>
            </w: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160" w:type="dxa"/>
            <w:vAlign w:val="bottom"/>
          </w:tcPr>
          <w:p>
            <w:pPr>
              <w:jc w:val="right"/>
              <w:spacing w:after="0"/>
              <w:rPr>
                <w:sz w:val="20"/>
                <w:szCs w:val="20"/>
                <w:color w:val="auto"/>
              </w:rPr>
            </w:pPr>
            <w:r>
              <w:rPr>
                <w:rFonts w:ascii="Arial" w:cs="Arial" w:eastAsia="Arial" w:hAnsi="Arial"/>
                <w:sz w:val="17"/>
                <w:szCs w:val="17"/>
                <w:color w:val="auto"/>
              </w:rPr>
              <w:t>74.3</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68.0</w:t>
            </w: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Accrued liabilities and other</w:t>
            </w:r>
          </w:p>
        </w:tc>
        <w:tc>
          <w:tcPr>
            <w:tcW w:w="2160" w:type="dxa"/>
            <w:vAlign w:val="bottom"/>
          </w:tcPr>
          <w:p>
            <w:pPr>
              <w:jc w:val="right"/>
              <w:spacing w:after="0"/>
              <w:rPr>
                <w:sz w:val="20"/>
                <w:szCs w:val="20"/>
                <w:color w:val="auto"/>
              </w:rPr>
            </w:pPr>
            <w:r>
              <w:rPr>
                <w:rFonts w:ascii="Arial" w:cs="Arial" w:eastAsia="Arial" w:hAnsi="Arial"/>
                <w:sz w:val="17"/>
                <w:szCs w:val="17"/>
                <w:color w:val="auto"/>
              </w:rPr>
              <w:t>84.0</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88.9</w:t>
            </w: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Current derivative liabilities</w:t>
            </w:r>
          </w:p>
        </w:tc>
        <w:tc>
          <w:tcPr>
            <w:tcW w:w="2160" w:type="dxa"/>
            <w:vAlign w:val="bottom"/>
          </w:tcPr>
          <w:p>
            <w:pPr>
              <w:jc w:val="right"/>
              <w:spacing w:after="0"/>
              <w:rPr>
                <w:sz w:val="20"/>
                <w:szCs w:val="20"/>
                <w:color w:val="auto"/>
              </w:rPr>
            </w:pPr>
            <w:r>
              <w:rPr>
                <w:rFonts w:ascii="Arial" w:cs="Arial" w:eastAsia="Arial" w:hAnsi="Arial"/>
                <w:sz w:val="17"/>
                <w:szCs w:val="17"/>
                <w:color w:val="auto"/>
              </w:rPr>
              <w:t>3.2</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183.1</w:t>
            </w: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Current litigation provision liability</w:t>
            </w:r>
          </w:p>
        </w:tc>
        <w:tc>
          <w:tcPr>
            <w:tcW w:w="2160" w:type="dxa"/>
            <w:vAlign w:val="bottom"/>
          </w:tcPr>
          <w:p>
            <w:pPr>
              <w:jc w:val="right"/>
              <w:spacing w:after="0"/>
              <w:rPr>
                <w:sz w:val="20"/>
                <w:szCs w:val="20"/>
                <w:color w:val="auto"/>
              </w:rPr>
            </w:pPr>
            <w:r>
              <w:rPr>
                <w:rFonts w:ascii="Arial" w:cs="Arial" w:eastAsia="Arial" w:hAnsi="Arial"/>
                <w:sz w:val="17"/>
                <w:szCs w:val="17"/>
                <w:color w:val="auto"/>
              </w:rPr>
              <w:t>31.0</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32.8</w:t>
            </w: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Taxes payable</w:t>
            </w:r>
          </w:p>
        </w:tc>
        <w:tc>
          <w:tcPr>
            <w:tcW w:w="2160" w:type="dxa"/>
            <w:vAlign w:val="bottom"/>
          </w:tcPr>
          <w:p>
            <w:pPr>
              <w:jc w:val="right"/>
              <w:spacing w:after="0"/>
              <w:rPr>
                <w:sz w:val="20"/>
                <w:szCs w:val="20"/>
                <w:color w:val="auto"/>
              </w:rPr>
            </w:pPr>
            <w:r>
              <w:rPr>
                <w:rFonts w:ascii="Arial" w:cs="Arial" w:eastAsia="Arial" w:hAnsi="Arial"/>
                <w:sz w:val="17"/>
                <w:szCs w:val="17"/>
                <w:color w:val="auto"/>
              </w:rPr>
              <w:t>14.9</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Accrued employee compensation and related benefits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79.3</w:t>
            </w:r>
          </w:p>
        </w:tc>
        <w:tc>
          <w:tcPr>
            <w:tcW w:w="0" w:type="dxa"/>
            <w:vAlign w:val="bottom"/>
          </w:tcPr>
          <w:p>
            <w:pPr>
              <w:spacing w:after="0"/>
              <w:rPr>
                <w:sz w:val="1"/>
                <w:szCs w:val="1"/>
                <w:color w:val="auto"/>
              </w:rPr>
            </w:pPr>
          </w:p>
        </w:tc>
      </w:tr>
      <w:tr>
        <w:trPr>
          <w:trHeight w:val="212"/>
        </w:trPr>
        <w:tc>
          <w:tcPr>
            <w:tcW w:w="678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263.9</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697.0</w:t>
            </w:r>
          </w:p>
        </w:tc>
        <w:tc>
          <w:tcPr>
            <w:tcW w:w="0" w:type="dxa"/>
            <w:vAlign w:val="bottom"/>
          </w:tcPr>
          <w:p>
            <w:pPr>
              <w:spacing w:after="0"/>
              <w:rPr>
                <w:sz w:val="1"/>
                <w:szCs w:val="1"/>
                <w:color w:val="auto"/>
              </w:rPr>
            </w:pPr>
          </w:p>
        </w:tc>
      </w:tr>
      <w:tr>
        <w:trPr>
          <w:trHeight w:val="204"/>
        </w:trPr>
        <w:tc>
          <w:tcPr>
            <w:tcW w:w="6780" w:type="dxa"/>
            <w:vAlign w:val="bottom"/>
          </w:tcPr>
          <w:p>
            <w:pPr>
              <w:ind w:left="220"/>
              <w:spacing w:after="0"/>
              <w:rPr>
                <w:sz w:val="20"/>
                <w:szCs w:val="20"/>
                <w:color w:val="auto"/>
              </w:rPr>
            </w:pPr>
            <w:r>
              <w:rPr>
                <w:rFonts w:ascii="Arial" w:cs="Arial" w:eastAsia="Arial" w:hAnsi="Arial"/>
                <w:sz w:val="17"/>
                <w:szCs w:val="17"/>
                <w:color w:val="auto"/>
              </w:rPr>
              <w:t>Long-term debt obligations</w:t>
            </w:r>
          </w:p>
        </w:tc>
        <w:tc>
          <w:tcPr>
            <w:tcW w:w="2160" w:type="dxa"/>
            <w:vAlign w:val="bottom"/>
          </w:tcPr>
          <w:p>
            <w:pPr>
              <w:jc w:val="right"/>
              <w:spacing w:after="0"/>
              <w:rPr>
                <w:sz w:val="20"/>
                <w:szCs w:val="20"/>
                <w:color w:val="auto"/>
              </w:rPr>
            </w:pPr>
            <w:r>
              <w:rPr>
                <w:rFonts w:ascii="Arial" w:cs="Arial" w:eastAsia="Arial" w:hAnsi="Arial"/>
                <w:sz w:val="17"/>
                <w:szCs w:val="17"/>
                <w:color w:val="auto"/>
              </w:rPr>
              <w:t>459.8</w:t>
            </w:r>
          </w:p>
        </w:tc>
        <w:tc>
          <w:tcPr>
            <w:tcW w:w="8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Contingent consideration</w:t>
            </w:r>
          </w:p>
        </w:tc>
        <w:tc>
          <w:tcPr>
            <w:tcW w:w="2160" w:type="dxa"/>
            <w:vAlign w:val="bottom"/>
          </w:tcPr>
          <w:p>
            <w:pPr>
              <w:jc w:val="right"/>
              <w:spacing w:after="0"/>
              <w:rPr>
                <w:sz w:val="20"/>
                <w:szCs w:val="20"/>
                <w:color w:val="auto"/>
              </w:rPr>
            </w:pPr>
            <w:r>
              <w:rPr>
                <w:rFonts w:ascii="Arial" w:cs="Arial" w:eastAsia="Arial" w:hAnsi="Arial"/>
                <w:sz w:val="17"/>
                <w:szCs w:val="17"/>
                <w:color w:val="auto"/>
              </w:rPr>
              <w:t>91.8</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86.8</w:t>
            </w: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Deferred tax liabilities</w:t>
            </w:r>
          </w:p>
        </w:tc>
        <w:tc>
          <w:tcPr>
            <w:tcW w:w="2160" w:type="dxa"/>
            <w:vAlign w:val="bottom"/>
          </w:tcPr>
          <w:p>
            <w:pPr>
              <w:jc w:val="right"/>
              <w:spacing w:after="0"/>
              <w:rPr>
                <w:sz w:val="20"/>
                <w:szCs w:val="20"/>
                <w:color w:val="auto"/>
              </w:rPr>
            </w:pPr>
            <w:r>
              <w:rPr>
                <w:rFonts w:ascii="Arial" w:cs="Arial" w:eastAsia="Arial" w:hAnsi="Arial"/>
                <w:sz w:val="17"/>
                <w:szCs w:val="17"/>
                <w:color w:val="auto"/>
              </w:rPr>
              <w:t>7.7</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Long-term operating lease liabilities</w:t>
            </w:r>
          </w:p>
        </w:tc>
        <w:tc>
          <w:tcPr>
            <w:tcW w:w="2160" w:type="dxa"/>
            <w:vAlign w:val="bottom"/>
          </w:tcPr>
          <w:p>
            <w:pPr>
              <w:jc w:val="right"/>
              <w:spacing w:after="0"/>
              <w:rPr>
                <w:sz w:val="20"/>
                <w:szCs w:val="20"/>
                <w:color w:val="auto"/>
              </w:rPr>
            </w:pPr>
            <w:r>
              <w:rPr>
                <w:rFonts w:ascii="Arial" w:cs="Arial" w:eastAsia="Arial" w:hAnsi="Arial"/>
                <w:sz w:val="17"/>
                <w:szCs w:val="17"/>
                <w:color w:val="auto"/>
              </w:rPr>
              <w:t>31.9</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Long-term employee compensation and related benefits</w:t>
            </w:r>
          </w:p>
        </w:tc>
        <w:tc>
          <w:tcPr>
            <w:tcW w:w="2160" w:type="dxa"/>
            <w:vAlign w:val="bottom"/>
          </w:tcPr>
          <w:p>
            <w:pPr>
              <w:jc w:val="right"/>
              <w:spacing w:after="0"/>
              <w:rPr>
                <w:sz w:val="20"/>
                <w:szCs w:val="20"/>
                <w:color w:val="auto"/>
              </w:rPr>
            </w:pPr>
            <w:r>
              <w:rPr>
                <w:rFonts w:ascii="Arial" w:cs="Arial" w:eastAsia="Arial" w:hAnsi="Arial"/>
                <w:sz w:val="17"/>
                <w:szCs w:val="17"/>
                <w:color w:val="auto"/>
              </w:rPr>
              <w:t>17.9</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Long-term derivative liabilities</w:t>
            </w:r>
          </w:p>
        </w:tc>
        <w:tc>
          <w:tcPr>
            <w:tcW w:w="2160" w:type="dxa"/>
            <w:vAlign w:val="bottom"/>
          </w:tcPr>
          <w:p>
            <w:pPr>
              <w:jc w:val="right"/>
              <w:spacing w:after="0"/>
              <w:rPr>
                <w:sz w:val="20"/>
                <w:szCs w:val="20"/>
                <w:color w:val="auto"/>
              </w:rPr>
            </w:pPr>
            <w:r>
              <w:rPr>
                <w:rFonts w:ascii="Arial" w:cs="Arial" w:eastAsia="Arial" w:hAnsi="Arial"/>
                <w:sz w:val="17"/>
                <w:szCs w:val="17"/>
                <w:color w:val="auto"/>
              </w:rPr>
              <w:t>134.1</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6780" w:type="dxa"/>
            <w:vAlign w:val="bottom"/>
          </w:tcPr>
          <w:p>
            <w:pPr>
              <w:ind w:left="220"/>
              <w:spacing w:after="0"/>
              <w:rPr>
                <w:sz w:val="20"/>
                <w:szCs w:val="20"/>
                <w:color w:val="auto"/>
              </w:rPr>
            </w:pPr>
            <w:r>
              <w:rPr>
                <w:rFonts w:ascii="Arial" w:cs="Arial" w:eastAsia="Arial" w:hAnsi="Arial"/>
                <w:sz w:val="17"/>
                <w:szCs w:val="17"/>
                <w:color w:val="auto"/>
              </w:rPr>
              <w:t>Other long-term liabilities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47.2</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w:t>
            </w:r>
          </w:p>
        </w:tc>
        <w:tc>
          <w:tcPr>
            <w:tcW w:w="0" w:type="dxa"/>
            <w:vAlign w:val="bottom"/>
          </w:tcPr>
          <w:p>
            <w:pPr>
              <w:spacing w:after="0"/>
              <w:rPr>
                <w:sz w:val="1"/>
                <w:szCs w:val="1"/>
                <w:color w:val="auto"/>
              </w:rPr>
            </w:pPr>
          </w:p>
        </w:tc>
      </w:tr>
      <w:tr>
        <w:trPr>
          <w:trHeight w:val="208"/>
        </w:trPr>
        <w:tc>
          <w:tcPr>
            <w:tcW w:w="6780" w:type="dxa"/>
            <w:vAlign w:val="bottom"/>
          </w:tcPr>
          <w:p>
            <w:pPr>
              <w:spacing w:after="0"/>
              <w:rPr>
                <w:sz w:val="20"/>
                <w:szCs w:val="20"/>
                <w:color w:val="auto"/>
              </w:rPr>
            </w:pPr>
            <w:r>
              <w:rPr>
                <w:rFonts w:ascii="Arial" w:cs="Arial" w:eastAsia="Arial" w:hAnsi="Arial"/>
                <w:sz w:val="17"/>
                <w:szCs w:val="17"/>
                <w:color w:val="auto"/>
              </w:rPr>
              <w:t>Total Liabilities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1,054.2</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906.3</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7"/>
                <w:szCs w:val="17"/>
                <w:color w:val="auto"/>
              </w:rPr>
              <w:t>Total Stockholders’ Equity</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1,282.0</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1,294.6</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$2,336.2</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$2,201.0</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 Numbers may not add precisely due to rounding.</w:t>
      </w: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180"/>
          </w:cols>
          <w:pgMar w:left="360" w:top="1440" w:right="35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color w:val="auto"/>
        </w:rPr>
        <w:t>LIVANOVA PLC AND SUBSIDIARIES</w:t>
      </w:r>
    </w:p>
    <w:p>
      <w:pPr>
        <w:spacing w:after="0" w:line="28" w:lineRule="exact"/>
        <w:rPr>
          <w:sz w:val="20"/>
          <w:szCs w:val="20"/>
          <w:color w:val="auto"/>
        </w:rPr>
      </w:pPr>
    </w:p>
    <w:p>
      <w:pPr>
        <w:ind w:right="1520"/>
        <w:spacing w:after="0" w:line="320" w:lineRule="auto"/>
        <w:rPr>
          <w:sz w:val="20"/>
          <w:szCs w:val="20"/>
          <w:color w:val="auto"/>
        </w:rPr>
      </w:pPr>
      <w:r>
        <w:rPr>
          <w:rFonts w:ascii="Arial" w:cs="Arial" w:eastAsia="Arial" w:hAnsi="Arial"/>
          <w:sz w:val="14"/>
          <w:szCs w:val="14"/>
          <w:b w:val="1"/>
          <w:bCs w:val="1"/>
          <w:color w:val="auto"/>
        </w:rPr>
        <w:t>CONDENSED CONSOLIDATED STATEMENTS OF CASH FLOWS - UNAUDITED (U.S. dollars in millions)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Activities: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Net income (loss)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Non-cash items included in net income (loss):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Remeasurement of contingent consideration to fair value</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Stock-based compensation</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Amortization</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Amortization of debt issuance costs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Depreciation</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Remeasurement of derivative instruments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Amortization of operating lease assets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Remeasurement of Respicardia investment and loan</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Deferred tax expense</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operating assets and liabilities: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Accounts receivable, net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Inventories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current and non-current assets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Accounts payable and accrued current and non-current liabilities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Taxes payable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Litigation provision liability</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Net cash provided by operating activities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Investing Activities: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Purchases of property, plant and equipment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Acquisition, net of cash acquired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Purchase of investments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Proceeds from sale of Heart Valves, net of cash disposed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Proceeds from sale of Respicardia investment and loan</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Net cash (used in) provided by investing activities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Financing Activities: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Proceeds from long-term debt obligations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Shares repurchased from employees for minimum tax withholding</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Payment of debt issuance costs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Proceeds from share issuances under ESPP</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Payment of contingent consideration</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Repayment of long-term debt obligations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Net cash provided by (used in) financing activities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Effect of exchange rate changes on cash, cash equivalents and restricted cash</w:t>
      </w:r>
    </w:p>
    <w:p>
      <w:pPr>
        <w:spacing w:after="0" w:line="22" w:lineRule="exact"/>
        <w:rPr>
          <w:sz w:val="20"/>
          <w:szCs w:val="20"/>
          <w:color w:val="auto"/>
        </w:rPr>
      </w:pPr>
    </w:p>
    <w:p>
      <w:pPr>
        <w:ind w:right="2500" w:firstLine="322"/>
        <w:spacing w:after="0" w:line="322" w:lineRule="auto"/>
        <w:rPr>
          <w:sz w:val="20"/>
          <w:szCs w:val="20"/>
          <w:color w:val="auto"/>
        </w:rPr>
      </w:pPr>
      <w:r>
        <w:rPr>
          <w:rFonts w:ascii="Arial" w:cs="Arial" w:eastAsia="Arial" w:hAnsi="Arial"/>
          <w:sz w:val="14"/>
          <w:szCs w:val="14"/>
          <w:b w:val="1"/>
          <w:bCs w:val="1"/>
          <w:color w:val="auto"/>
        </w:rPr>
        <w:t xml:space="preserve">Net increase in cash, cash equivalents and restricted cash </w:t>
      </w:r>
      <w:r>
        <w:rPr>
          <w:rFonts w:ascii="Arial" w:cs="Arial" w:eastAsia="Arial" w:hAnsi="Arial"/>
          <w:sz w:val="14"/>
          <w:szCs w:val="14"/>
          <w:color w:val="auto"/>
        </w:rPr>
        <w:t>Cash, cash equivalents and restricted cash at beginning of period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Cash, cash equivalents and restricted cash at end of period</w:t>
      </w:r>
    </w:p>
    <w:p>
      <w:pPr>
        <w:jc w:val="right"/>
        <w:ind w:right="1080"/>
        <w:spacing w:after="0"/>
        <w:rPr>
          <w:sz w:val="20"/>
          <w:szCs w:val="20"/>
          <w:color w:val="auto"/>
        </w:rPr>
      </w:pPr>
      <w:r>
        <w:rPr>
          <w:rFonts w:ascii="Arial" w:cs="Arial" w:eastAsia="Arial" w:hAnsi="Arial"/>
          <w:sz w:val="21"/>
          <w:szCs w:val="21"/>
          <w:color w:val="auto"/>
        </w:rPr>
        <w:t>19</w:t>
      </w:r>
    </w:p>
    <w:p>
      <w:pPr>
        <w:spacing w:after="0"/>
        <w:rPr>
          <w:sz w:val="20"/>
          <w:szCs w:val="20"/>
          <w:color w:val="auto"/>
        </w:rPr>
      </w:pPr>
      <w:r>
        <w:rPr>
          <w:rFonts w:ascii="Arial" w:cs="Arial" w:eastAsia="Arial" w:hAnsi="Arial"/>
          <w:sz w:val="14"/>
          <w:szCs w:val="14"/>
          <w:color w:val="auto"/>
        </w:rPr>
        <w:t>* Numbers may not add precisely due to rounding.</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0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5"/>
                <w:szCs w:val="15"/>
                <w:color w:val="auto"/>
              </w:rPr>
            </w:pPr>
          </w:p>
        </w:tc>
        <w:tc>
          <w:tcPr>
            <w:tcW w:w="180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2021</w:t>
            </w:r>
          </w:p>
        </w:tc>
      </w:tr>
      <w:tr>
        <w:trPr>
          <w:trHeight w:val="358"/>
        </w:trPr>
        <w:tc>
          <w:tcPr>
            <w:tcW w:w="1800" w:type="dxa"/>
            <w:vAlign w:val="bottom"/>
          </w:tcPr>
          <w:p>
            <w:pPr>
              <w:jc w:val="right"/>
              <w:ind w:right="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($87.2)</w:t>
            </w:r>
          </w:p>
        </w:tc>
      </w:tr>
      <w:tr>
        <w:trPr>
          <w:trHeight w:val="376"/>
        </w:trPr>
        <w:tc>
          <w:tcPr>
            <w:tcW w:w="180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188"/>
        </w:trPr>
        <w:tc>
          <w:tcPr>
            <w:tcW w:w="1800" w:type="dxa"/>
            <w:vAlign w:val="bottom"/>
          </w:tcPr>
          <w:p>
            <w:pPr>
              <w:jc w:val="right"/>
              <w:ind w:right="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19.5</w:t>
            </w:r>
          </w:p>
        </w:tc>
      </w:tr>
      <w:tr>
        <w:trPr>
          <w:trHeight w:val="188"/>
        </w:trPr>
        <w:tc>
          <w:tcPr>
            <w:tcW w:w="1800" w:type="dxa"/>
            <w:vAlign w:val="bottom"/>
          </w:tcPr>
          <w:p>
            <w:pPr>
              <w:jc w:val="right"/>
              <w:ind w:right="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188"/>
        </w:trPr>
        <w:tc>
          <w:tcPr>
            <w:tcW w:w="1800" w:type="dxa"/>
            <w:vAlign w:val="bottom"/>
          </w:tcPr>
          <w:p>
            <w:pPr>
              <w:jc w:val="right"/>
              <w:ind w:right="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188"/>
        </w:trPr>
        <w:tc>
          <w:tcPr>
            <w:tcW w:w="1800" w:type="dxa"/>
            <w:vAlign w:val="bottom"/>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188"/>
        </w:trPr>
        <w:tc>
          <w:tcPr>
            <w:tcW w:w="180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188"/>
        </w:trPr>
        <w:tc>
          <w:tcPr>
            <w:tcW w:w="180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188"/>
        </w:trPr>
        <w:tc>
          <w:tcPr>
            <w:tcW w:w="1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88"/>
        </w:trPr>
        <w:tc>
          <w:tcPr>
            <w:tcW w:w="180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188"/>
        </w:trPr>
        <w:tc>
          <w:tcPr>
            <w:tcW w:w="180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376"/>
        </w:trPr>
        <w:tc>
          <w:tcPr>
            <w:tcW w:w="180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88"/>
        </w:trPr>
        <w:tc>
          <w:tcPr>
            <w:tcW w:w="180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88"/>
        </w:trPr>
        <w:tc>
          <w:tcPr>
            <w:tcW w:w="180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18.8</w:t>
            </w:r>
          </w:p>
        </w:tc>
      </w:tr>
      <w:tr>
        <w:trPr>
          <w:trHeight w:val="188"/>
        </w:trPr>
        <w:tc>
          <w:tcPr>
            <w:tcW w:w="1800" w:type="dxa"/>
            <w:vAlign w:val="bottom"/>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88"/>
        </w:trPr>
        <w:tc>
          <w:tcPr>
            <w:tcW w:w="180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86"/>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w:t>
            </w:r>
          </w:p>
        </w:tc>
      </w:tr>
      <w:tr>
        <w:trPr>
          <w:trHeight w:val="181"/>
        </w:trPr>
        <w:tc>
          <w:tcPr>
            <w:tcW w:w="1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w:t>
            </w:r>
          </w:p>
        </w:tc>
      </w:tr>
      <w:tr>
        <w:trPr>
          <w:trHeight w:val="358"/>
        </w:trPr>
        <w:tc>
          <w:tcPr>
            <w:tcW w:w="180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(14.6)</w:t>
            </w:r>
          </w:p>
        </w:tc>
      </w:tr>
      <w:tr>
        <w:trPr>
          <w:trHeight w:val="188"/>
        </w:trPr>
        <w:tc>
          <w:tcPr>
            <w:tcW w:w="180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180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88"/>
        </w:trPr>
        <w:tc>
          <w:tcPr>
            <w:tcW w:w="1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41.8</w:t>
            </w:r>
          </w:p>
        </w:tc>
      </w:tr>
      <w:tr>
        <w:trPr>
          <w:trHeight w:val="188"/>
        </w:trPr>
        <w:tc>
          <w:tcPr>
            <w:tcW w:w="1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23.1</w:t>
            </w:r>
          </w:p>
        </w:tc>
      </w:tr>
      <w:tr>
        <w:trPr>
          <w:trHeight w:val="186"/>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181"/>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w:t>
            </w:r>
          </w:p>
        </w:tc>
      </w:tr>
      <w:tr>
        <w:trPr>
          <w:trHeight w:val="358"/>
        </w:trPr>
        <w:tc>
          <w:tcPr>
            <w:tcW w:w="1800" w:type="dxa"/>
            <w:vAlign w:val="bottom"/>
          </w:tcPr>
          <w:p>
            <w:pPr>
              <w:jc w:val="right"/>
              <w:ind w:right="8"/>
              <w:spacing w:after="0"/>
              <w:rPr>
                <w:sz w:val="20"/>
                <w:szCs w:val="20"/>
                <w:color w:val="auto"/>
              </w:rPr>
            </w:pPr>
            <w:r>
              <w:rPr>
                <w:rFonts w:ascii="Arial" w:cs="Arial" w:eastAsia="Arial" w:hAnsi="Arial"/>
                <w:sz w:val="14"/>
                <w:szCs w:val="14"/>
                <w:color w:val="auto"/>
              </w:rPr>
              <w:t>218.3</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180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188"/>
        </w:trPr>
        <w:tc>
          <w:tcPr>
            <w:tcW w:w="18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188"/>
        </w:trPr>
        <w:tc>
          <w:tcPr>
            <w:tcW w:w="180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88"/>
        </w:trPr>
        <w:tc>
          <w:tcPr>
            <w:tcW w:w="1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88"/>
        </w:trPr>
        <w:tc>
          <w:tcPr>
            <w:tcW w:w="180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86"/>
        </w:trPr>
        <w:tc>
          <w:tcPr>
            <w:tcW w:w="1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181"/>
        </w:trPr>
        <w:tc>
          <w:tcPr>
            <w:tcW w:w="1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208.6</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r>
      <w:tr>
        <w:trPr>
          <w:trHeight w:val="181"/>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183"/>
        </w:trPr>
        <w:tc>
          <w:tcPr>
            <w:tcW w:w="1800" w:type="dxa"/>
            <w:vAlign w:val="bottom"/>
          </w:tcPr>
          <w:p>
            <w:pPr>
              <w:jc w:val="right"/>
              <w:ind w:right="8"/>
              <w:spacing w:after="0"/>
              <w:rPr>
                <w:sz w:val="20"/>
                <w:szCs w:val="20"/>
                <w:color w:val="auto"/>
              </w:rPr>
            </w:pPr>
            <w:r>
              <w:rPr>
                <w:rFonts w:ascii="Arial" w:cs="Arial" w:eastAsia="Arial" w:hAnsi="Arial"/>
                <w:sz w:val="14"/>
                <w:szCs w:val="14"/>
                <w:color w:val="auto"/>
              </w:rPr>
              <w:t>198.8</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76.6</w:t>
            </w:r>
          </w:p>
        </w:tc>
      </w:tr>
      <w:tr>
        <w:trPr>
          <w:trHeight w:val="186"/>
        </w:trPr>
        <w:tc>
          <w:tcPr>
            <w:tcW w:w="1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208.0</w:t>
            </w: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252.8</w:t>
            </w:r>
          </w:p>
        </w:tc>
      </w:tr>
      <w:tr>
        <w:trPr>
          <w:trHeight w:val="181"/>
        </w:trPr>
        <w:tc>
          <w:tcPr>
            <w:tcW w:w="1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$406.8</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$329.4</w:t>
            </w: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800" w:space="720"/>
            <w:col w:w="3700"/>
          </w:cols>
          <w:pgMar w:left="340" w:top="650" w:right="339" w:bottom="1440" w:gutter="0" w:footer="0" w:header="0"/>
        </w:sectPr>
      </w:pPr>
    </w:p>
    <w:bookmarkStart w:id="22" w:name="page23"/>
    <w:bookmarkEnd w:id="22"/>
    <w:p>
      <w:pPr>
        <w:spacing w:after="0" w:line="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1329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2980" w:type="dxa"/>
            <w:vAlign w:val="bottom"/>
            <w:gridSpan w:val="3"/>
            <w:vMerge w:val="restart"/>
          </w:tcPr>
          <w:p>
            <w:pPr>
              <w:jc w:val="right"/>
              <w:ind w:right="131"/>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 Change at</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8"/>
              </w:rPr>
              <w:t>% Change at</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12"/>
                <w:szCs w:val="12"/>
                <w:color w:val="auto"/>
              </w:rPr>
            </w:pPr>
          </w:p>
        </w:tc>
        <w:tc>
          <w:tcPr>
            <w:tcW w:w="2980" w:type="dxa"/>
            <w:vAlign w:val="bottom"/>
            <w:tcBorders>
              <w:bottom w:val="single" w:sz="8" w:color="auto"/>
            </w:tcBorders>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80"/>
              <w:spacing w:after="0" w:line="148" w:lineRule="exact"/>
              <w:rPr>
                <w:sz w:val="20"/>
                <w:szCs w:val="20"/>
                <w:color w:val="auto"/>
              </w:rPr>
            </w:pPr>
            <w:r>
              <w:rPr>
                <w:rFonts w:ascii="Arial" w:cs="Arial" w:eastAsia="Arial" w:hAnsi="Arial"/>
                <w:sz w:val="17"/>
                <w:szCs w:val="17"/>
                <w:b w:val="1"/>
                <w:bCs w:val="1"/>
                <w:color w:val="auto"/>
              </w:rPr>
              <w:t>Actual Currency</w:t>
            </w:r>
          </w:p>
        </w:tc>
        <w:tc>
          <w:tcPr>
            <w:tcW w:w="1620" w:type="dxa"/>
            <w:vAlign w:val="bottom"/>
          </w:tcPr>
          <w:p>
            <w:pPr>
              <w:jc w:val="center"/>
              <w:spacing w:after="0" w:line="148" w:lineRule="exact"/>
              <w:rPr>
                <w:sz w:val="20"/>
                <w:szCs w:val="20"/>
                <w:color w:val="auto"/>
              </w:rPr>
            </w:pPr>
            <w:r>
              <w:rPr>
                <w:rFonts w:ascii="Arial" w:cs="Arial" w:eastAsia="Arial" w:hAnsi="Arial"/>
                <w:sz w:val="17"/>
                <w:szCs w:val="17"/>
                <w:b w:val="1"/>
                <w:bCs w:val="1"/>
                <w:color w:val="auto"/>
              </w:rPr>
              <w:t>Constant-</w:t>
            </w:r>
          </w:p>
        </w:tc>
        <w:tc>
          <w:tcPr>
            <w:tcW w:w="0" w:type="dxa"/>
            <w:vAlign w:val="bottom"/>
          </w:tcPr>
          <w:p>
            <w:pPr>
              <w:spacing w:after="0"/>
              <w:rPr>
                <w:sz w:val="1"/>
                <w:szCs w:val="1"/>
                <w:color w:val="auto"/>
              </w:rPr>
            </w:pPr>
          </w:p>
        </w:tc>
      </w:tr>
      <w:tr>
        <w:trPr>
          <w:trHeight w:val="235"/>
        </w:trPr>
        <w:tc>
          <w:tcPr>
            <w:tcW w:w="4840" w:type="dxa"/>
            <w:vAlign w:val="bottom"/>
          </w:tcPr>
          <w:p>
            <w:pPr>
              <w:spacing w:after="0"/>
              <w:rPr>
                <w:sz w:val="20"/>
                <w:szCs w:val="20"/>
                <w:color w:val="auto"/>
              </w:rPr>
            </w:pPr>
          </w:p>
        </w:tc>
        <w:tc>
          <w:tcPr>
            <w:tcW w:w="14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14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Rates</w:t>
            </w:r>
          </w:p>
        </w:tc>
        <w:tc>
          <w:tcPr>
            <w:tcW w:w="80" w:type="dxa"/>
            <w:vAlign w:val="bottom"/>
          </w:tcPr>
          <w:p>
            <w:pPr>
              <w:spacing w:after="0"/>
              <w:rPr>
                <w:sz w:val="20"/>
                <w:szCs w:val="20"/>
                <w:color w:val="auto"/>
              </w:rPr>
            </w:pPr>
          </w:p>
        </w:tc>
        <w:tc>
          <w:tcPr>
            <w:tcW w:w="1620" w:type="dxa"/>
            <w:vAlign w:val="bottom"/>
            <w:tcBorders>
              <w:bottom w:val="single" w:sz="8" w:color="auto"/>
            </w:tcBorders>
          </w:tcPr>
          <w:p>
            <w:pPr>
              <w:jc w:val="center"/>
              <w:spacing w:after="0" w:line="235" w:lineRule="exact"/>
              <w:rPr>
                <w:sz w:val="20"/>
                <w:szCs w:val="20"/>
                <w:color w:val="auto"/>
              </w:rPr>
            </w:pPr>
            <w:r>
              <w:rPr>
                <w:rFonts w:ascii="Arial" w:cs="Arial" w:eastAsia="Arial" w:hAnsi="Arial"/>
                <w:sz w:val="18"/>
                <w:szCs w:val="18"/>
                <w:b w:val="1"/>
                <w:bCs w:val="1"/>
                <w:color w:val="auto"/>
                <w:w w:val="95"/>
              </w:rPr>
              <w:t xml:space="preserve">Currency Rates </w:t>
            </w:r>
            <w:r>
              <w:rPr>
                <w:rFonts w:ascii="Arial" w:cs="Arial" w:eastAsia="Arial" w:hAnsi="Arial"/>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22"/>
        </w:trPr>
        <w:tc>
          <w:tcPr>
            <w:tcW w:w="4840" w:type="dxa"/>
            <w:vAlign w:val="bottom"/>
          </w:tcPr>
          <w:p>
            <w:pPr>
              <w:spacing w:after="0"/>
              <w:rPr>
                <w:sz w:val="20"/>
                <w:szCs w:val="20"/>
                <w:color w:val="auto"/>
              </w:rPr>
            </w:pPr>
            <w:r>
              <w:rPr>
                <w:rFonts w:ascii="Arial" w:cs="Arial" w:eastAsia="Arial" w:hAnsi="Arial"/>
                <w:sz w:val="18"/>
                <w:szCs w:val="18"/>
                <w:color w:val="auto"/>
              </w:rPr>
              <w:t>Total GAAP net sales</w:t>
            </w:r>
          </w:p>
        </w:tc>
        <w:tc>
          <w:tcPr>
            <w:tcW w:w="1440" w:type="dxa"/>
            <w:vAlign w:val="bottom"/>
          </w:tcPr>
          <w:p>
            <w:pPr>
              <w:jc w:val="right"/>
              <w:spacing w:after="0"/>
              <w:rPr>
                <w:sz w:val="20"/>
                <w:szCs w:val="20"/>
                <w:color w:val="auto"/>
              </w:rPr>
            </w:pPr>
            <w:r>
              <w:rPr>
                <w:rFonts w:ascii="Arial" w:cs="Arial" w:eastAsia="Arial" w:hAnsi="Arial"/>
                <w:sz w:val="18"/>
                <w:szCs w:val="18"/>
                <w:color w:val="auto"/>
              </w:rPr>
              <w:t>$254.2</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$264.5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8"/>
                <w:szCs w:val="18"/>
                <w:color w:val="auto"/>
              </w:rPr>
              <w:t>Less Heart Valves net sales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1700" w:type="dxa"/>
            <w:vAlign w:val="bottom"/>
            <w:gridSpan w:val="2"/>
          </w:tcPr>
          <w:p>
            <w:pPr>
              <w:ind w:left="1300"/>
              <w:spacing w:after="0"/>
              <w:rPr>
                <w:sz w:val="20"/>
                <w:szCs w:val="20"/>
                <w:color w:val="auto"/>
              </w:rPr>
            </w:pPr>
            <w:r>
              <w:rPr>
                <w:rFonts w:ascii="Arial" w:cs="Arial" w:eastAsia="Arial" w:hAnsi="Arial"/>
                <w:sz w:val="18"/>
                <w:szCs w:val="18"/>
                <w:color w:val="auto"/>
              </w:rPr>
              <w:t>N/A</w:t>
            </w:r>
          </w:p>
        </w:tc>
        <w:tc>
          <w:tcPr>
            <w:tcW w:w="16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4840" w:type="dxa"/>
            <w:vAlign w:val="bottom"/>
          </w:tcPr>
          <w:p>
            <w:pPr>
              <w:spacing w:after="0"/>
              <w:rPr>
                <w:sz w:val="20"/>
                <w:szCs w:val="20"/>
                <w:color w:val="auto"/>
              </w:rPr>
            </w:pPr>
            <w:r>
              <w:rPr>
                <w:rFonts w:ascii="Arial" w:cs="Arial" w:eastAsia="Arial" w:hAnsi="Arial"/>
                <w:sz w:val="18"/>
                <w:szCs w:val="18"/>
                <w:color w:val="auto"/>
              </w:rPr>
              <w:t>Total net sales, excluding Heart Valves</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8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440" w:right="20" w:hanging="415"/>
        <w:spacing w:after="0" w:line="231" w:lineRule="auto"/>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Constant-currency growth, a non-GAAP financial measure, measures the change in sales between current and prior-year periods using average exchange rates in effect during the applicable prior-year period.</w:t>
      </w:r>
    </w:p>
    <w:p>
      <w:pPr>
        <w:spacing w:after="0" w:line="22" w:lineRule="exact"/>
        <w:rPr>
          <w:sz w:val="20"/>
          <w:szCs w:val="20"/>
          <w:color w:val="auto"/>
        </w:rPr>
      </w:pPr>
    </w:p>
    <w:p>
      <w:pPr>
        <w:ind w:left="440" w:hanging="415"/>
        <w:spacing w:after="0"/>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Numbers may not add precisely due to rounding.</w:t>
      </w:r>
    </w:p>
    <w:p>
      <w:pPr>
        <w:spacing w:after="0" w:line="200" w:lineRule="exact"/>
        <w:rPr>
          <w:sz w:val="20"/>
          <w:szCs w:val="20"/>
          <w:color w:val="auto"/>
        </w:rPr>
      </w:pPr>
    </w:p>
    <w:p>
      <w:pPr>
        <w:spacing w:after="0" w:line="214" w:lineRule="exact"/>
        <w:rPr>
          <w:sz w:val="20"/>
          <w:szCs w:val="20"/>
          <w:color w:val="auto"/>
        </w:rPr>
      </w:pPr>
    </w:p>
    <w:p>
      <w:pPr>
        <w:ind w:right="60"/>
        <w:spacing w:after="0" w:line="351" w:lineRule="auto"/>
        <w:rPr>
          <w:sz w:val="20"/>
          <w:szCs w:val="20"/>
          <w:color w:val="auto"/>
        </w:rPr>
      </w:pPr>
      <w:r>
        <w:rPr>
          <w:rFonts w:ascii="Arial" w:cs="Arial" w:eastAsia="Arial" w:hAnsi="Arial"/>
          <w:sz w:val="20"/>
          <w:szCs w:val="20"/>
          <w:color w:val="auto"/>
        </w:rPr>
        <w:t>The following table presents the reconciliation of GAAP diluted weighted average shares outstanding, used in the computation of GAAP diluted net loss per common share, to adjusted diluted weighted average shares outstanding, used in the computation of adjusted diluted earnings per common share (in millions of shares):</w:t>
      </w:r>
    </w:p>
    <w:p>
      <w:pPr>
        <w:ind w:left="20"/>
        <w:spacing w:after="0" w:line="228" w:lineRule="auto"/>
        <w:rPr>
          <w:sz w:val="20"/>
          <w:szCs w:val="20"/>
          <w:color w:val="auto"/>
        </w:rPr>
      </w:pPr>
      <w:r>
        <w:rPr>
          <w:rFonts w:ascii="Arial" w:cs="Arial" w:eastAsia="Arial" w:hAnsi="Arial"/>
          <w:sz w:val="14"/>
          <w:szCs w:val="14"/>
          <w:b w:val="1"/>
          <w:bCs w:val="1"/>
          <w:color w:val="auto"/>
        </w:rPr>
        <w:t>RECONCILIATION OF GAAP TO NON-GAAP FINANCIAL MEASURES - UNAUDITED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(shares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1329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20" w:right="1820"/>
        <w:spacing w:after="0" w:line="298" w:lineRule="auto"/>
        <w:rPr>
          <w:sz w:val="20"/>
          <w:szCs w:val="20"/>
          <w:color w:val="auto"/>
        </w:rPr>
      </w:pPr>
      <w:r>
        <w:rPr>
          <w:rFonts w:ascii="Arial" w:cs="Arial" w:eastAsia="Arial" w:hAnsi="Arial"/>
          <w:sz w:val="17"/>
          <w:szCs w:val="17"/>
          <w:color w:val="auto"/>
        </w:rPr>
        <w:t>GAAP diluted weighted average shares outstanding Add effects of stock-based compensation instruments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Adjusted diluted weighted average shares outstanding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Three Months Ended</w:t>
      </w:r>
    </w:p>
    <w:p>
      <w:pPr>
        <w:ind w:left="340"/>
        <w:spacing w:after="0"/>
        <w:rPr>
          <w:sz w:val="20"/>
          <w:szCs w:val="20"/>
          <w:color w:val="auto"/>
        </w:rPr>
      </w:pPr>
      <w:r>
        <w:rPr>
          <w:rFonts w:ascii="Arial" w:cs="Arial" w:eastAsia="Arial" w:hAnsi="Arial"/>
          <w:sz w:val="18"/>
          <w:szCs w:val="18"/>
          <w:b w:val="1"/>
          <w:bCs w:val="1"/>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5715</wp:posOffset>
            </wp:positionV>
            <wp:extent cx="1457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48.9</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5715</wp:posOffset>
            </wp:positionV>
            <wp:extent cx="1457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5715</wp:posOffset>
            </wp:positionV>
            <wp:extent cx="1457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-145415</wp:posOffset>
            </wp:positionH>
            <wp:positionV relativeFrom="paragraph">
              <wp:posOffset>31115</wp:posOffset>
            </wp:positionV>
            <wp:extent cx="1457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20" w:right="400" w:hanging="217"/>
        <w:spacing w:after="0" w:line="266" w:lineRule="auto"/>
        <w:rPr>
          <w:sz w:val="20"/>
          <w:szCs w:val="20"/>
          <w:color w:val="auto"/>
        </w:rPr>
      </w:pPr>
      <w:r>
        <w:rPr>
          <w:rFonts w:ascii="Arial" w:cs="Arial" w:eastAsia="Arial" w:hAnsi="Arial"/>
          <w:sz w:val="17"/>
          <w:szCs w:val="17"/>
          <w:b w:val="1"/>
          <w:bCs w:val="1"/>
          <w:color w:val="auto"/>
        </w:rPr>
        <w:t>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-12700</wp:posOffset>
            </wp:positionV>
            <wp:extent cx="1457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jc w:val="right"/>
        <w:ind w:right="80"/>
        <w:spacing w:after="0"/>
        <w:rPr>
          <w:sz w:val="20"/>
          <w:szCs w:val="20"/>
          <w:color w:val="auto"/>
        </w:rPr>
      </w:pPr>
      <w:r>
        <w:rPr>
          <w:rFonts w:ascii="Arial" w:cs="Arial" w:eastAsia="Arial" w:hAnsi="Arial"/>
          <w:sz w:val="18"/>
          <w:szCs w:val="18"/>
          <w:color w:val="auto"/>
        </w:rPr>
        <w:t>48.8</w:t>
      </w:r>
    </w:p>
    <w:p>
      <w:pPr>
        <w:spacing w:after="0" w:line="2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5715</wp:posOffset>
            </wp:positionV>
            <wp:extent cx="1457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5715</wp:posOffset>
            </wp:positionV>
            <wp:extent cx="1457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-224155</wp:posOffset>
            </wp:positionH>
            <wp:positionV relativeFrom="paragraph">
              <wp:posOffset>31115</wp:posOffset>
            </wp:positionV>
            <wp:extent cx="1457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3">
            <w:col w:w="6080" w:space="720"/>
            <w:col w:w="1980" w:space="520"/>
            <w:col w:w="1940"/>
          </w:cols>
          <w:pgMar w:left="320" w:top="1440" w:right="339" w:bottom="1440" w:gutter="0" w:footer="0" w:header="0"/>
          <w:type w:val="continuous"/>
        </w:sectPr>
      </w:pPr>
    </w:p>
    <w:p>
      <w:pPr>
        <w:ind w:left="460" w:right="2740" w:hanging="435"/>
        <w:spacing w:after="0" w:line="231"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Adjusted diluted weighted average shares outstanding is a non-GAAP measure and includes the effects of stock-based compensation instruments, as reconciled in the above table.</w:t>
      </w:r>
    </w:p>
    <w:p>
      <w:pPr>
        <w:spacing w:after="0" w:line="22" w:lineRule="exact"/>
        <w:rPr>
          <w:sz w:val="20"/>
          <w:szCs w:val="20"/>
          <w:color w:val="auto"/>
        </w:rPr>
      </w:pPr>
    </w:p>
    <w:p>
      <w:pPr>
        <w:ind w:left="460" w:hanging="435"/>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20</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2"/>
      <w:numFmt w:val="bullet"/>
      <w:start w:val="1"/>
    </w:lvl>
  </w:abstractNum>
  <w:abstractNum w:abstractNumId="6">
    <w:nsid w:val="7FDCC233"/>
    <w:multiLevelType w:val="hybridMultilevel"/>
    <w:lvl w:ilvl="0">
      <w:lvlJc w:val="left"/>
      <w:lvlText w:val="(%1)"/>
      <w:numFmt w:val="lowerRoman"/>
      <w:start w:val="24"/>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upperLetter"/>
      <w:start w:val="1"/>
    </w:lvl>
  </w:abstractNum>
  <w:abstractNum w:abstractNumId="16">
    <w:nsid w:val="257130A3"/>
    <w:multiLevelType w:val="hybridMultilevel"/>
    <w:lvl w:ilvl="0">
      <w:lvlJc w:val="left"/>
      <w:lvlText w:val="(%1)"/>
      <w:numFmt w:val="upperLetter"/>
      <w:start w:val="1"/>
    </w:lvl>
  </w:abstractNum>
  <w:abstractNum w:abstractNumId="17">
    <w:nsid w:val="62BBD95A"/>
    <w:multiLevelType w:val="hybridMultilevel"/>
    <w:lvl w:ilvl="0">
      <w:lvlJc w:val="left"/>
      <w:lvlText w:val="(%1)"/>
      <w:numFmt w:val="upperLetter"/>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2022-08-03T05:17:05Z</dcterms:created>
  <dcterms:modified xsi:type="dcterms:W3CDTF">2022-08-03T05:17:05Z</dcterms:modified>
</cp:coreProperties>
</file>