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7140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14057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Shvartsburg Alex</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29"/>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08" w:lineRule="exact"/>
        <w:rPr>
          <w:sz w:val="24"/>
          <w:szCs w:val="24"/>
          <w:color w:val="auto"/>
        </w:rPr>
      </w:pPr>
    </w:p>
    <w:p>
      <w:pPr>
        <w:sectPr>
          <w:pgSz w:w="11900" w:h="16838" w:orient="portrait"/>
          <w:cols w:equalWidth="0" w:num="3">
            <w:col w:w="3180" w:space="720"/>
            <w:col w:w="3111" w:space="720"/>
            <w:col w:w="3349"/>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60" w:type="dxa"/>
            <w:vAlign w:val="bottom"/>
            <w:gridSpan w:val="6"/>
            <w:vMerge w:val="continue"/>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6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W26LG</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2"/>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03/30/2026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30,835</w:t>
            </w:r>
            <w:r>
              <w:rPr>
                <w:rFonts w:ascii="Times New Roman" w:cs="Times New Roman" w:eastAsia="Times New Roman" w:hAnsi="Times New Roman"/>
                <w:sz w:val="20"/>
                <w:szCs w:val="20"/>
                <w:color w:val="008000"/>
                <w:vertAlign w:val="superscript"/>
              </w:rPr>
              <w:t>(1)</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6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0000FF"/>
              </w:rPr>
              <w:t>57,515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03/30/2026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12,868</w:t>
            </w:r>
            <w:r>
              <w:rPr>
                <w:rFonts w:ascii="Times New Roman" w:cs="Times New Roman" w:eastAsia="Times New Roman" w:hAnsi="Times New Roman"/>
                <w:sz w:val="20"/>
                <w:szCs w:val="20"/>
                <w:color w:val="008000"/>
                <w:vertAlign w:val="superscript"/>
              </w:rPr>
              <w:t>(2)</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61.27</w:t>
            </w:r>
          </w:p>
        </w:tc>
        <w:tc>
          <w:tcPr>
            <w:tcW w:w="130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0000FF"/>
              </w:rPr>
              <w:t>44,647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914</w:t>
            </w: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914</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2,364</w:t>
            </w: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2,364</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2,364</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1,787</w:t>
            </w: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1,787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3,575</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3,621</w:t>
            </w: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3,621</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7,240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(8)</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5,768</w:t>
            </w: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5,768</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(8)</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5,612</w:t>
            </w: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w w:val="95"/>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5,612</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0"/>
                <w:szCs w:val="10"/>
                <w:color w:val="008000"/>
              </w:rPr>
              <w:t>(8)</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10,769</w:t>
            </w:r>
          </w:p>
        </w:tc>
        <w:tc>
          <w:tcPr>
            <w:tcW w:w="780" w:type="dxa"/>
            <w:vAlign w:val="bottom"/>
          </w:tcPr>
          <w:p>
            <w:pPr>
              <w:jc w:val="center"/>
              <w:ind w:left="5"/>
              <w:spacing w:after="0"/>
              <w:rPr>
                <w:sz w:val="20"/>
                <w:szCs w:val="20"/>
                <w:color w:val="auto"/>
              </w:rPr>
            </w:pPr>
            <w:r>
              <w:rPr>
                <w:rFonts w:ascii="Times New Roman" w:cs="Times New Roman" w:eastAsia="Times New Roman" w:hAnsi="Times New Roman"/>
                <w:sz w:val="10"/>
                <w:szCs w:val="10"/>
                <w:color w:val="008000"/>
                <w:w w:val="95"/>
              </w:rPr>
              <w:t>(11)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10,769</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22"/>
              <w:spacing w:after="0"/>
              <w:rPr>
                <w:sz w:val="20"/>
                <w:szCs w:val="20"/>
                <w:color w:val="auto"/>
              </w:rPr>
            </w:pPr>
            <w:r>
              <w:rPr>
                <w:rFonts w:ascii="Times New Roman" w:cs="Times New Roman" w:eastAsia="Times New Roman" w:hAnsi="Times New Roman"/>
                <w:sz w:val="13"/>
                <w:szCs w:val="13"/>
                <w:color w:val="0000FF"/>
              </w:rPr>
              <w:t>16,321</w:t>
            </w:r>
          </w:p>
        </w:tc>
        <w:tc>
          <w:tcPr>
            <w:tcW w:w="440" w:type="dxa"/>
            <w:vAlign w:val="bottom"/>
          </w:tcPr>
          <w:p>
            <w:pPr>
              <w:spacing w:after="0"/>
              <w:rPr>
                <w:sz w:val="19"/>
                <w:szCs w:val="19"/>
                <w:color w:val="auto"/>
              </w:rPr>
            </w:pPr>
          </w:p>
        </w:tc>
        <w:tc>
          <w:tcPr>
            <w:tcW w:w="780" w:type="dxa"/>
            <w:vAlign w:val="bottom"/>
          </w:tcPr>
          <w:p>
            <w:pPr>
              <w:jc w:val="center"/>
              <w:ind w:left="5"/>
              <w:spacing w:after="0"/>
              <w:rPr>
                <w:sz w:val="20"/>
                <w:szCs w:val="20"/>
                <w:color w:val="auto"/>
              </w:rPr>
            </w:pPr>
            <w:r>
              <w:rPr>
                <w:rFonts w:ascii="Times New Roman" w:cs="Times New Roman" w:eastAsia="Times New Roman" w:hAnsi="Times New Roman"/>
                <w:sz w:val="10"/>
                <w:szCs w:val="10"/>
                <w:color w:val="008000"/>
                <w:w w:val="95"/>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16,321</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16,321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(8)</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ind w:left="22"/>
              <w:spacing w:after="0"/>
              <w:rPr>
                <w:sz w:val="20"/>
                <w:szCs w:val="20"/>
                <w:color w:val="auto"/>
              </w:rPr>
            </w:pPr>
            <w:r>
              <w:rPr>
                <w:rFonts w:ascii="Times New Roman" w:cs="Times New Roman" w:eastAsia="Times New Roman" w:hAnsi="Times New Roman"/>
                <w:sz w:val="13"/>
                <w:szCs w:val="13"/>
                <w:color w:val="0000FF"/>
                <w:w w:val="95"/>
              </w:rPr>
              <w:t>5,440</w:t>
            </w:r>
          </w:p>
        </w:tc>
        <w:tc>
          <w:tcPr>
            <w:tcW w:w="440" w:type="dxa"/>
            <w:vAlign w:val="bottom"/>
          </w:tcPr>
          <w:p>
            <w:pPr>
              <w:spacing w:after="0"/>
              <w:rPr>
                <w:sz w:val="15"/>
                <w:szCs w:val="15"/>
                <w:color w:val="auto"/>
              </w:rPr>
            </w:pP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w w:val="95"/>
              </w:rPr>
              <w:t>(13)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5,440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5,440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(8)</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ind w:left="22"/>
              <w:spacing w:after="0"/>
              <w:rPr>
                <w:sz w:val="20"/>
                <w:szCs w:val="20"/>
                <w:color w:val="auto"/>
              </w:rPr>
            </w:pPr>
            <w:r>
              <w:rPr>
                <w:rFonts w:ascii="Times New Roman" w:cs="Times New Roman" w:eastAsia="Times New Roman" w:hAnsi="Times New Roman"/>
                <w:sz w:val="13"/>
                <w:szCs w:val="13"/>
                <w:color w:val="0000FF"/>
                <w:w w:val="95"/>
              </w:rPr>
              <w:t>5,440</w:t>
            </w:r>
          </w:p>
        </w:tc>
        <w:tc>
          <w:tcPr>
            <w:tcW w:w="440" w:type="dxa"/>
            <w:vAlign w:val="bottom"/>
          </w:tcPr>
          <w:p>
            <w:pPr>
              <w:spacing w:after="0"/>
              <w:rPr>
                <w:sz w:val="15"/>
                <w:szCs w:val="15"/>
                <w:color w:val="auto"/>
              </w:rPr>
            </w:pP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w w:val="95"/>
              </w:rPr>
              <w:t>(14)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(14)</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5,440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5,440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color w:val="008000"/>
              </w:rPr>
              <w:t>(8)</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03/30/2026</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ind w:left="22"/>
              <w:spacing w:after="0"/>
              <w:rPr>
                <w:sz w:val="20"/>
                <w:szCs w:val="20"/>
                <w:color w:val="auto"/>
              </w:rPr>
            </w:pPr>
            <w:r>
              <w:rPr>
                <w:rFonts w:ascii="Times New Roman" w:cs="Times New Roman" w:eastAsia="Times New Roman" w:hAnsi="Times New Roman"/>
                <w:sz w:val="13"/>
                <w:szCs w:val="13"/>
                <w:color w:val="0000FF"/>
                <w:w w:val="95"/>
              </w:rPr>
              <w:t>5,440</w:t>
            </w:r>
          </w:p>
        </w:tc>
        <w:tc>
          <w:tcPr>
            <w:tcW w:w="440" w:type="dxa"/>
            <w:vAlign w:val="bottom"/>
          </w:tcPr>
          <w:p>
            <w:pPr>
              <w:spacing w:after="0"/>
              <w:rPr>
                <w:sz w:val="15"/>
                <w:szCs w:val="15"/>
                <w:color w:val="auto"/>
              </w:rPr>
            </w:pP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w w:val="95"/>
              </w:rPr>
              <w:t>(15)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w:t>
            </w:r>
          </w:p>
        </w:tc>
        <w:tc>
          <w:tcPr>
            <w:tcW w:w="62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5,440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5,440</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-4273550</wp:posOffset>
            </wp:positionV>
            <wp:extent cx="28575" cy="4278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2786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vested performance stock units (PSUs) settled in ordinary shares of LivaNova PLC (the Company), GBP 1.00 par value.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39"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applicable Company incentive award plan identified in the footnote for such grant and the award agreement.</w:t>
      </w:r>
    </w:p>
    <w:p>
      <w:pPr>
        <w:spacing w:after="0" w:line="22"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having occurred on March 30, 2023. The RSUs are subject to forfeiture prior to vesting in accordance with the terms of the Company's 2015 Incentive Award Plan (the 2015 Plan) and the award agreement.</w:t>
      </w:r>
    </w:p>
    <w:p>
      <w:pPr>
        <w:spacing w:after="0" w:line="22"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Company's 2022 Incentive Award Plan (the 2022 Plan) and the award agreement.</w:t>
      </w:r>
    </w:p>
    <w:p>
      <w:pPr>
        <w:spacing w:after="0" w:line="22"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2022 Plan and the award agreement.</w:t>
      </w:r>
    </w:p>
    <w:p>
      <w:pPr>
        <w:spacing w:after="0" w:line="22" w:lineRule="exact"/>
        <w:rPr>
          <w:rFonts w:ascii="Times New Roman" w:cs="Times New Roman" w:eastAsia="Times New Roman" w:hAnsi="Times New Roman"/>
          <w:sz w:val="13"/>
          <w:szCs w:val="13"/>
          <w:color w:val="008000"/>
        </w:rPr>
      </w:pPr>
    </w:p>
    <w:p>
      <w:pPr>
        <w:ind w:left="40" w:right="1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First Amended and Restated LivaNova PLC 2022 Incentive Award Plan (the First A&amp;R 2022 Plan) and the award agreement.</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PSU represents a contingent right to receive one ordinary share of the Company in accordance with the terms of the applicable Company incentive award plan identified in the footnote for such grant and the</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award agreement.</w:t>
      </w:r>
    </w:p>
    <w:p>
      <w:pPr>
        <w:spacing w:after="0" w:line="39" w:lineRule="exact"/>
        <w:rPr>
          <w:sz w:val="20"/>
          <w:szCs w:val="20"/>
          <w:color w:val="auto"/>
        </w:rPr>
      </w:pPr>
    </w:p>
    <w:p>
      <w:pPr>
        <w:ind w:left="2" w:right="280" w:hanging="2"/>
        <w:spacing w:after="0" w:line="236"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Company's cumulative free cash flow (FCF) for performance period 2023-2025 compared to a target determined by the 2022 Plan Administrator. The Company has determined that 122.0% of the underlying PSUs shall vest on March 30, 2026, subject to continued service during the vesting period and the award agreement. The performance achieved was 122.0%, and the actual number of vested shares is presented as the quantity that was acquired.</w:t>
      </w:r>
    </w:p>
    <w:p>
      <w:pPr>
        <w:spacing w:after="0" w:line="24" w:lineRule="exact"/>
        <w:rPr>
          <w:rFonts w:ascii="Times New Roman" w:cs="Times New Roman" w:eastAsia="Times New Roman" w:hAnsi="Times New Roman"/>
          <w:sz w:val="13"/>
          <w:szCs w:val="13"/>
          <w:color w:val="008000"/>
        </w:rPr>
      </w:pPr>
    </w:p>
    <w:p>
      <w:pPr>
        <w:ind w:left="2" w:right="60" w:hanging="2"/>
        <w:spacing w:after="0" w:line="236"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Company's Return on Investment Capital (ROIC) for performance period 2023-2025 compared to a target determined by the 2022 Plan Administrator. The Company has determined that 118.71% of the underlying PSUs shall vest on March 30, 2026, subject to continued service during the vesting period and the award agreement. The performance achieved was 118.71%, and the actual number of vested shares is presented as the quantity that was acquired.</w:t>
      </w:r>
    </w:p>
    <w:p>
      <w:pPr>
        <w:spacing w:after="0" w:line="24" w:lineRule="exact"/>
        <w:rPr>
          <w:rFonts w:ascii="Times New Roman" w:cs="Times New Roman" w:eastAsia="Times New Roman" w:hAnsi="Times New Roman"/>
          <w:sz w:val="13"/>
          <w:szCs w:val="13"/>
          <w:color w:val="008000"/>
        </w:rPr>
      </w:pPr>
    </w:p>
    <w:p>
      <w:pPr>
        <w:ind w:left="2" w:right="60" w:hanging="2"/>
        <w:spacing w:after="0" w:line="232"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Company's relative total shareholder return (rTSR) for the three-year period beginning on January 1, 2023 and ending December 31, 2025 relative to the total shareholder return of an index of companies, as determined by the 2022 Plan Administrator. The Company has determined that 113.89% of the underlying PSUs shall vest on March 30, 2026, subject to continued service during the vesting period and the award agreement. The performance achieved was 113.89%,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left="2" w:right="320" w:hanging="2"/>
        <w:spacing w:after="0" w:line="245"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RSUs subject to a three-year vesting in equal annual installments, the first vesting occurring on March 30, 2027. The RSUs are subject to forfeiture prior to vesting in accordance with the terms of the Second Amended and Restated LivaNova PLC 2022 Incentive Award Plan (the Second A&amp;R 2022 Plan) and the award agreement.</w:t>
      </w:r>
    </w:p>
    <w:p>
      <w:pPr>
        <w:spacing w:after="0" w:line="22" w:lineRule="exact"/>
        <w:rPr>
          <w:rFonts w:ascii="Times New Roman" w:cs="Times New Roman" w:eastAsia="Times New Roman" w:hAnsi="Times New Roman"/>
          <w:sz w:val="13"/>
          <w:szCs w:val="13"/>
          <w:color w:val="008000"/>
        </w:rPr>
      </w:pPr>
    </w:p>
    <w:p>
      <w:pPr>
        <w:ind w:left="2" w:hanging="2"/>
        <w:spacing w:after="0" w:line="236"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revenue growth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pacing w:after="0" w:line="24" w:lineRule="exact"/>
        <w:rPr>
          <w:rFonts w:ascii="Times New Roman" w:cs="Times New Roman" w:eastAsia="Times New Roman" w:hAnsi="Times New Roman"/>
          <w:sz w:val="13"/>
          <w:szCs w:val="13"/>
          <w:color w:val="008000"/>
        </w:rPr>
      </w:pPr>
    </w:p>
    <w:p>
      <w:pPr>
        <w:jc w:val="both"/>
        <w:ind w:left="2" w:right="40" w:hanging="2"/>
        <w:spacing w:after="0" w:line="236"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the Company's relative total shareholder return (rTSR) for the three-year period beginning on January 1, 2026 and ending December 31, 2028 relative to the total shareholder return of an index of companies, as determined by the Second A&amp;R 2022 Plan Administrator. The number included in column 5 of Table II reflects the target number of PSUs eligible for vesting subject to continued service during the vesting period and the award agreement.</w:t>
      </w:r>
    </w:p>
    <w:p>
      <w:pPr>
        <w:spacing w:after="0" w:line="24" w:lineRule="exact"/>
        <w:rPr>
          <w:rFonts w:ascii="Times New Roman" w:cs="Times New Roman" w:eastAsia="Times New Roman" w:hAnsi="Times New Roman"/>
          <w:sz w:val="13"/>
          <w:szCs w:val="13"/>
          <w:color w:val="008000"/>
        </w:rPr>
      </w:pPr>
    </w:p>
    <w:p>
      <w:pPr>
        <w:ind w:left="2" w:right="160" w:hanging="2"/>
        <w:spacing w:after="0" w:line="236"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adjusted earnings per share (EPS)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ectPr>
          <w:pgSz w:w="11900" w:h="16838" w:orient="portrait"/>
          <w:cols w:equalWidth="0" w:num="1">
            <w:col w:w="10882"/>
          </w:cols>
          <w:pgMar w:left="498" w:top="127" w:right="519" w:bottom="1440" w:gutter="0" w:footer="0" w:header="0"/>
        </w:sectPr>
      </w:pP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311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-12065</wp:posOffset>
            </wp:positionV>
            <wp:extent cx="179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07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622" w:space="140"/>
            <w:col w:w="2120"/>
          </w:cols>
          <w:pgMar w:left="498" w:top="127" w:right="519" w:bottom="1440" w:gutter="0" w:footer="0" w:header="0"/>
          <w:type w:val="continuous"/>
        </w:sect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20" w:hanging="2"/>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083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2026-04-01T16:29:31Z</dcterms:created>
  <dcterms:modified xsi:type="dcterms:W3CDTF">2026-04-01T16:29:31Z</dcterms:modified>
</cp:coreProperties>
</file>