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May 6, 2026 </w:t>
      </w:r>
    </w:p>
    <w:p>
      <w:pPr>
        <w:pStyle w:val="TextBody"/>
        <w:bidi w:val="0"/>
        <w:spacing w:before="0" w:after="0"/>
        <w:jc w:val="center"/>
        <w:rPr/>
      </w:pPr>
      <w:r>
        <w:rPr/>
      </w:r>
    </w:p>
    <w:p>
      <w:pPr>
        <w:pStyle w:val="TextBody"/>
        <w:bidi w:val="0"/>
        <w:spacing w:before="0" w:after="0"/>
        <w:jc w:val="center"/>
        <w:rPr/>
      </w:pPr>
      <w:r>
        <w:rPr/>
        <w:drawing>
          <wp:inline distT="0" distB="0" distL="0" distR="0">
            <wp:extent cx="18288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238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LivaNova PLC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 Eastbourne Terrace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London, W2 6LG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Kingdom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+44 20 33250660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May 6, 2026, LivaNova PLC (the “Company”) issued a press release announcing financial results for the quarter ended March 31, 2026. The Company will host a business update conference call and webcast today, May 6, 2026, at 1 p.m. London time (8 a.m. Eastern Time), during which the Company will discuss the financial results. The conference call will be available through the LivaNova website at </w:t>
      </w:r>
      <w:r>
        <w:rPr>
          <w:rFonts w:ascii="Times New Roman;serif" w:hAnsi="Times New Roman;serif"/>
          <w:b w:val="false"/>
          <w:color w:val="3051F2"/>
          <w:sz w:val="20"/>
        </w:rPr>
        <w:t>www.livanova.com/events</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026earningspressrelease.htm">
              <w:r>
                <w:rPr>
                  <w:rStyle w:val="InternetLink"/>
                  <w:rFonts w:ascii="Times New Roman;serif" w:hAnsi="Times New Roman;serif"/>
                  <w:b w:val="false"/>
                  <w:color w:val="0000FF"/>
                  <w:sz w:val="20"/>
                  <w:u w:val="single"/>
                </w:rPr>
                <w:t>Press Release of LivaNova PLC dated May 6,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53" w:type="dxa"/>
        <w:jc w:val="left"/>
        <w:tblInd w:w="0" w:type="dxa"/>
        <w:tblLayout w:type="fixed"/>
        <w:tblCellMar>
          <w:top w:w="28" w:type="dxa"/>
          <w:left w:w="28" w:type="dxa"/>
          <w:bottom w:w="28" w:type="dxa"/>
          <w:right w:w="28" w:type="dxa"/>
        </w:tblCellMar>
      </w:tblPr>
      <w:tblGrid>
        <w:gridCol w:w="591"/>
        <w:gridCol w:w="520"/>
        <w:gridCol w:w="523"/>
        <w:gridCol w:w="999"/>
        <w:gridCol w:w="999"/>
        <w:gridCol w:w="142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PLC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41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Sarah K. Mohr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Sarah K. Mohr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VP, Legal and Company Secretary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120" w:after="240"/>
        <w:jc w:val="right"/>
        <w:rPr/>
      </w:pPr>
      <w:r>
        <w:rPr/>
      </w:r>
    </w:p>
    <w:p>
      <w:pPr>
        <w:pStyle w:val="TextBody"/>
        <w:bidi w:val="0"/>
        <w:spacing w:lineRule="auto" w:line="288" w:before="0" w:after="0"/>
        <w:jc w:val="left"/>
        <w:rPr>
          <w:rFonts w:ascii="Franklin Gothic Demi;sans-serif" w:hAnsi="Franklin Gothic Demi;sans-serif"/>
          <w:b w:val="false"/>
          <w:color w:val="060606"/>
          <w:sz w:val="22"/>
          <w:u w:val="single"/>
        </w:rPr>
      </w:pPr>
      <w:r>
        <w:rPr>
          <w:rFonts w:ascii="Franklin Gothic Demi;sans-serif" w:hAnsi="Franklin Gothic Demi;sans-serif"/>
          <w:b w:val="false"/>
          <w:color w:val="060606"/>
          <w:sz w:val="22"/>
          <w:u w:val="single"/>
        </w:rPr>
        <w:t>EXHIBIT 99.1</w:t>
      </w:r>
    </w:p>
    <w:p>
      <w:pPr>
        <w:pStyle w:val="TextBody"/>
        <w:bidi w:val="0"/>
        <w:spacing w:before="0" w:after="240"/>
        <w:jc w:val="left"/>
        <w:rPr/>
      </w:pPr>
      <w:r>
        <w:rPr/>
        <w:drawing>
          <wp:inline distT="0" distB="0" distL="0" distR="0">
            <wp:extent cx="1828800" cy="295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295275"/>
                    </a:xfrm>
                    <a:prstGeom prst="rect">
                      <a:avLst/>
                    </a:prstGeom>
                  </pic:spPr>
                </pic:pic>
              </a:graphicData>
            </a:graphic>
          </wp:inline>
        </w:drawing>
      </w:r>
    </w:p>
    <w:p>
      <w:pPr>
        <w:pStyle w:val="TextBody"/>
        <w:bidi w:val="0"/>
        <w:spacing w:lineRule="auto" w:line="288" w:before="120" w:after="240"/>
        <w:jc w:val="both"/>
        <w:rPr>
          <w:rFonts w:ascii="Franklin Gothic Book;sans-serif" w:hAnsi="Franklin Gothic Book;sans-serif"/>
          <w:b w:val="false"/>
          <w:color w:val="060606"/>
          <w:sz w:val="20"/>
        </w:rPr>
      </w:pPr>
      <w:r>
        <w:rPr>
          <w:rFonts w:ascii="Franklin Gothic Book;sans-serif" w:hAnsi="Franklin Gothic Book;sans-serif"/>
          <w:b w:val="false"/>
          <w:color w:val="060606"/>
          <w:sz w:val="20"/>
        </w:rPr>
        <w:t>NEWS RELEASE</w:t>
      </w:r>
    </w:p>
    <w:p>
      <w:pPr>
        <w:pStyle w:val="TextBody"/>
        <w:bidi w:val="0"/>
        <w:spacing w:lineRule="auto" w:line="288" w:before="0" w:after="0"/>
        <w:jc w:val="left"/>
        <w:rPr>
          <w:rFonts w:ascii="Franklin Gothic Medium;sans-serif" w:hAnsi="Franklin Gothic Medium;sans-serif"/>
          <w:b w:val="false"/>
          <w:color w:val="9D19D1"/>
          <w:sz w:val="34"/>
        </w:rPr>
      </w:pPr>
      <w:r>
        <w:rPr>
          <w:rFonts w:ascii="Franklin Gothic Medium;sans-serif" w:hAnsi="Franklin Gothic Medium;sans-serif"/>
          <w:b w:val="false"/>
          <w:color w:val="9D19D1"/>
          <w:sz w:val="34"/>
        </w:rPr>
        <w:t>LivaNova Reports First-Quarter 2026 Results; Raises Full-Year 2026 Revenue and Adjusted Diluted EPS Guidance</w:t>
      </w:r>
    </w:p>
    <w:p>
      <w:pPr>
        <w:pStyle w:val="TextBody"/>
        <w:bidi w:val="0"/>
        <w:spacing w:lineRule="auto" w:line="288" w:before="0" w:after="0"/>
        <w:ind w:left="0" w:right="0" w:hanging="360"/>
        <w:jc w:val="both"/>
        <w:rPr/>
      </w:pPr>
      <w:r>
        <w:rPr>
          <w:color w:val="060606"/>
        </w:rPr>
        <w:t>–</w:t>
      </w:r>
      <w:r>
        <w:rPr>
          <w:rFonts w:ascii="Franklin Gothic Book;sans-serif" w:hAnsi="Franklin Gothic Book;sans-serif"/>
          <w:b w:val="false"/>
          <w:i/>
          <w:color w:val="060606"/>
          <w:sz w:val="22"/>
        </w:rPr>
        <w:t xml:space="preserve">Delivered double-digit reported and constant-currency revenue growth </w:t>
      </w:r>
    </w:p>
    <w:p>
      <w:pPr>
        <w:pStyle w:val="TextBody"/>
        <w:bidi w:val="0"/>
        <w:spacing w:lineRule="auto" w:line="288" w:before="0" w:after="0"/>
        <w:ind w:left="0" w:right="0" w:hanging="360"/>
        <w:jc w:val="both"/>
        <w:rPr/>
      </w:pPr>
      <w:r>
        <w:rPr>
          <w:color w:val="060606"/>
        </w:rPr>
        <w:t>–</w:t>
      </w:r>
      <w:r>
        <w:rPr>
          <w:rFonts w:ascii="Franklin Gothic Book;sans-serif" w:hAnsi="Franklin Gothic Book;sans-serif"/>
          <w:b w:val="false"/>
          <w:i/>
          <w:color w:val="060606"/>
          <w:sz w:val="22"/>
        </w:rPr>
        <w:t>Raised full-year 2026 revenue and adjusted diluted earnings per share guidance</w:t>
      </w:r>
      <w:r>
        <w:rPr>
          <w:rFonts w:ascii="Franklin Gothic Book;sans-serif" w:hAnsi="Franklin Gothic Book;sans-serif"/>
          <w:b w:val="false"/>
          <w:i/>
          <w:color w:val="060606"/>
          <w:sz w:val="14"/>
        </w:rPr>
        <w:t>(1)</w:t>
      </w:r>
    </w:p>
    <w:p>
      <w:pPr>
        <w:pStyle w:val="TextBody"/>
        <w:bidi w:val="0"/>
        <w:spacing w:lineRule="auto" w:line="288" w:before="0" w:after="140"/>
        <w:ind w:left="0" w:right="0" w:hanging="360"/>
        <w:jc w:val="both"/>
        <w:rPr/>
      </w:pPr>
      <w:r>
        <w:rPr>
          <w:color w:val="060606"/>
        </w:rPr>
        <w:t>–</w:t>
      </w:r>
      <w:r>
        <w:rPr>
          <w:rFonts w:ascii="Franklin Gothic Book;sans-serif" w:hAnsi="Franklin Gothic Book;sans-serif"/>
          <w:b w:val="false"/>
          <w:i/>
          <w:color w:val="060606"/>
          <w:sz w:val="22"/>
        </w:rPr>
        <w:t>Received U.S. Food and Drug Administration premarket approval for aura6000 System to treat moderate to severe obstructive sleep apnea</w:t>
      </w:r>
    </w:p>
    <w:p>
      <w:pPr>
        <w:pStyle w:val="TextBody"/>
        <w:bidi w:val="0"/>
        <w:spacing w:lineRule="auto" w:line="417" w:before="120" w:after="240"/>
        <w:jc w:val="left"/>
        <w:rPr/>
      </w:pPr>
      <w:r>
        <w:rPr>
          <w:rFonts w:ascii="Franklin Gothic Medium;sans-serif" w:hAnsi="Franklin Gothic Medium;sans-serif"/>
          <w:b w:val="false"/>
          <w:color w:val="9D19D1"/>
          <w:sz w:val="22"/>
        </w:rPr>
        <w:t>LONDON, May 6, 2026 —</w:t>
      </w:r>
      <w:r>
        <w:rPr>
          <w:color w:val="9D19D1"/>
        </w:rPr>
        <w:t xml:space="preserve"> </w:t>
      </w:r>
      <w:r>
        <w:rPr>
          <w:rFonts w:ascii="Franklin Gothic Book;sans-serif" w:hAnsi="Franklin Gothic Book;sans-serif"/>
          <w:b w:val="false"/>
          <w:color w:val="060606"/>
          <w:sz w:val="22"/>
        </w:rPr>
        <w:t xml:space="preserve">LivaNova PLC (Nasdaq: LIVN), a market-leading medical technology company, today reported results for the first quarter ended March 31, 2026 and raised full-year 2026 guidance. </w:t>
      </w:r>
    </w:p>
    <w:p>
      <w:pPr>
        <w:pStyle w:val="TextBody"/>
        <w:bidi w:val="0"/>
        <w:spacing w:lineRule="auto" w:line="288" w:before="120" w:after="240"/>
        <w:jc w:val="both"/>
        <w:rPr/>
      </w:pPr>
      <w:r>
        <w:rPr>
          <w:rFonts w:ascii="Franklin Gothic Book;sans-serif" w:hAnsi="Franklin Gothic Book;sans-serif"/>
          <w:b w:val="false"/>
          <w:color w:val="060606"/>
          <w:sz w:val="22"/>
          <w:u w:val="single"/>
        </w:rPr>
        <w:t>Financial Summary and Highlights</w:t>
      </w:r>
      <w:r>
        <w:rPr>
          <w:rFonts w:ascii="Franklin Gothic Demi;sans-serif" w:hAnsi="Franklin Gothic Demi;sans-serif"/>
          <w:b w:val="false"/>
          <w:color w:val="060606"/>
          <w:sz w:val="14"/>
        </w:rPr>
        <w:t>(1)</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First-quarter revenue of $362.3 million increased 14.3% on a reported basis and 11.1% on a constant-currency basis as compared to the prior-year period</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First-quarter U.S. GAAP diluted earnings per share of $0.40 and adjusted diluted earnings per share of $0.98</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First-quarter net cash provided by operating activities of $15.2 million and adjusted free cash flow of $3.8 million</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Raised full-year 2026 revenue growth range by 100 basis points to 7.0% to 8.0% on a constant-currency basis. Raised full-year 2026 adjusted diluted earnings per share range by $0.05 at midpoint to $4.20 to $4.30. Maintained full-year 2026 adjusted free cash flow range of $160 million to $180 million</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Received U.S. Food and Drug Administration (FDA) premarket approval (PMA) for the aura6000™ System for the treatment of adult patients with moderate to severe obstructive sleep apnea (OSA). The System is the first and only hypoglossal nerve stimulation (HGNS) device FDA-approved without a contraindication or warning related to complete concentric collapse and without a requirement for a pre-implantation drug-induced sleep endoscopy</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 xml:space="preserve">In April 2026, announced the publication of the full 12-month results from the OSPREY randomized controlled trial for OSA in the </w:t>
      </w:r>
      <w:r>
        <w:rPr>
          <w:rFonts w:ascii="Franklin Gothic Book;sans-serif" w:hAnsi="Franklin Gothic Book;sans-serif"/>
          <w:b w:val="false"/>
          <w:i/>
          <w:color w:val="060606"/>
          <w:sz w:val="22"/>
        </w:rPr>
        <w:t>Annals of Internal Medicine</w:t>
      </w:r>
      <w:r>
        <w:rPr>
          <w:rFonts w:ascii="Franklin Gothic Book;sans-serif" w:hAnsi="Franklin Gothic Book;sans-serif"/>
          <w:b w:val="false"/>
          <w:color w:val="060606"/>
          <w:sz w:val="22"/>
        </w:rPr>
        <w:t>, demonstrating proximal hypoglossal nerve stimulation (pHGNS) yields clinically significant responses and sustained improvements over time</w:t>
      </w:r>
    </w:p>
    <w:p>
      <w:pPr>
        <w:pStyle w:val="TextBody"/>
        <w:bidi w:val="0"/>
        <w:spacing w:before="120" w:after="240"/>
        <w:jc w:val="both"/>
        <w:rPr/>
      </w:pPr>
      <w:r>
        <w:rPr/>
      </w:r>
    </w:p>
    <w:p>
      <w:pPr>
        <w:pStyle w:val="TextBody"/>
        <w:bidi w:val="0"/>
        <w:spacing w:lineRule="auto" w:line="288"/>
        <w:jc w:val="left"/>
        <w:rPr/>
      </w:pPr>
      <w:r>
        <w:rPr>
          <w:rFonts w:ascii="Franklin Gothic Book;sans-serif" w:hAnsi="Franklin Gothic Book;sans-serif"/>
          <w:b w:val="false"/>
          <w:color w:val="060606"/>
          <w:sz w:val="8"/>
        </w:rPr>
        <w:t>(1)</w:t>
      </w:r>
      <w:r>
        <w:rPr>
          <w:color w:val="060606"/>
        </w:rPr>
        <w:t xml:space="preserve"> </w:t>
      </w:r>
      <w:r>
        <w:rPr>
          <w:rFonts w:ascii="Franklin Gothic Book;sans-serif" w:hAnsi="Franklin Gothic Book;sans-serif"/>
          <w:b w:val="false"/>
          <w:color w:val="060606"/>
          <w:sz w:val="12"/>
        </w:rPr>
        <w:t xml:space="preserve">Constant-currency percent change, adjusted diluted earnings per share, and adjusted free cash flow are non-GAAP measures. Constant-currency percent change excludes the impact from fluctuations in the various currencies in which the Company operates as compared to reported percent change.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forward-looking non-GAAP financial measures to their most directly comparable forward-looking GAAP financial measures without unreasonable efforts. </w:t>
      </w:r>
    </w:p>
    <w:p>
      <w:pPr>
        <w:pStyle w:val="TextBody"/>
        <w:bidi w:val="0"/>
        <w:spacing w:before="140" w:after="6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7800"/>
                <wp:effectExtent l="0" t="0" r="0" b="0"/>
                <wp:wrapNone/>
                <wp:docPr id="6"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1</w:t>
                      </w:r>
                    </w:p>
                  </w:txbxContent>
                </v:textbox>
                <w10:wrap type="none"/>
              </v:rect>
            </w:pict>
          </mc:Fallback>
        </mc:AlternateContent>
      </w:r>
    </w:p>
    <w:p>
      <w:pPr>
        <w:pStyle w:val="TextBody"/>
        <w:bidi w:val="0"/>
        <w:spacing w:lineRule="auto" w:line="417" w:before="120" w:after="240"/>
        <w:jc w:val="both"/>
        <w:rPr>
          <w:color w:val="060606"/>
        </w:rPr>
      </w:pPr>
      <w:r>
        <w:rPr>
          <w:color w:val="060606"/>
        </w:rPr>
        <w:t>“</w:t>
      </w:r>
      <w:r>
        <w:rPr>
          <w:rFonts w:ascii="Franklin Gothic Book;sans-serif" w:hAnsi="Franklin Gothic Book;sans-serif"/>
          <w:b w:val="false"/>
          <w:color w:val="060606"/>
          <w:sz w:val="22"/>
        </w:rPr>
        <w:t>In the first quarter, LivaNova delivered double</w:t>
        <w:noBreakHyphen/>
        <w:t>digit revenue growth with strength across all regions, driven by sustained performance in our Cardiopulmonary and Epilepsy businesses,” said Vladimir Makatsaria, Chief Executive Officer of LivaNova. “We also made meaningful progress in Obstructive Sleep Apnea, accomplishing key regulatory and clinical milestones. These achievements support a solid foundation for entry into the high</w:t>
        <w:noBreakHyphen/>
        <w:t>growth, high</w:t>
        <w:noBreakHyphen/>
        <w:t>margin OSA market with a differentiated technology. Our updated 2026 guidance reflects strong execution in the core businesses alongside continued investment to unlock this next phase of growth and value creation. We remain focused on disciplined execution as we advance our long</w:t>
        <w:noBreakHyphen/>
        <w:t>term strategy, consistent with what we outlined at our November 2025 Investor Day.”</w:t>
      </w:r>
    </w:p>
    <w:p>
      <w:pPr>
        <w:pStyle w:val="TextBody"/>
        <w:bidi w:val="0"/>
        <w:spacing w:lineRule="auto" w:line="417" w:before="120" w:after="240"/>
        <w:jc w:val="left"/>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First-Quarter 2026 Results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following table summarizes revenue by segment (in millions):</w:t>
      </w:r>
    </w:p>
    <w:tbl>
      <w:tblPr>
        <w:tblW w:w="8990" w:type="dxa"/>
        <w:jc w:val="left"/>
        <w:tblInd w:w="0" w:type="dxa"/>
        <w:tblLayout w:type="fixed"/>
        <w:tblCellMar>
          <w:top w:w="28" w:type="dxa"/>
          <w:left w:w="28" w:type="dxa"/>
          <w:bottom w:w="28" w:type="dxa"/>
          <w:right w:w="28" w:type="dxa"/>
        </w:tblCellMar>
      </w:tblPr>
      <w:tblGrid>
        <w:gridCol w:w="357"/>
        <w:gridCol w:w="314"/>
        <w:gridCol w:w="314"/>
        <w:gridCol w:w="314"/>
        <w:gridCol w:w="314"/>
        <w:gridCol w:w="320"/>
        <w:gridCol w:w="109"/>
        <w:gridCol w:w="109"/>
        <w:gridCol w:w="109"/>
        <w:gridCol w:w="311"/>
        <w:gridCol w:w="311"/>
        <w:gridCol w:w="238"/>
        <w:gridCol w:w="238"/>
        <w:gridCol w:w="238"/>
        <w:gridCol w:w="238"/>
        <w:gridCol w:w="311"/>
        <w:gridCol w:w="311"/>
        <w:gridCol w:w="238"/>
        <w:gridCol w:w="109"/>
        <w:gridCol w:w="109"/>
        <w:gridCol w:w="109"/>
        <w:gridCol w:w="293"/>
        <w:gridCol w:w="293"/>
        <w:gridCol w:w="717"/>
        <w:gridCol w:w="109"/>
        <w:gridCol w:w="109"/>
        <w:gridCol w:w="109"/>
        <w:gridCol w:w="463"/>
        <w:gridCol w:w="463"/>
        <w:gridCol w:w="1413"/>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19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Three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2"/>
              </w:rPr>
            </w:pPr>
            <w:r>
              <w:rPr>
                <w:rFonts w:ascii="Franklin Gothic Book;sans-serif" w:hAnsi="Franklin Gothic Book;sans-serif"/>
                <w:b w:val="false"/>
                <w:color w:val="060606"/>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Constant-Currency </w:t>
              <w:br/>
              <w:t>% Change</w:t>
            </w:r>
          </w:p>
        </w:tc>
      </w:tr>
      <w:tr>
        <w:trPr/>
        <w:tc>
          <w:tcPr>
            <w:tcW w:w="19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$208.7</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18.3 </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14.0 </w:t>
            </w:r>
          </w:p>
        </w:tc>
        <w:tc>
          <w:tcPr>
            <w:tcW w:w="1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9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151.8</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9.3 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7.6 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93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Other Revenue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10.5 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(0.2)</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933" w:type="dxa"/>
            <w:gridSpan w:val="6"/>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$362.3</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14.3 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11.1 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(1)</w:t>
      </w:r>
      <w:r>
        <w:rPr>
          <w:color w:val="060606"/>
        </w:rPr>
        <w:t>“</w:t>
      </w:r>
      <w:r>
        <w:rPr>
          <w:rFonts w:ascii="Franklin Gothic Book;sans-serif" w:hAnsi="Franklin Gothic Book;sans-serif"/>
          <w:b w:val="false"/>
          <w:color w:val="060606"/>
          <w:sz w:val="18"/>
        </w:rPr>
        <w:t>Other Revenue” includes rental and site services income not allocated to segments.</w:t>
      </w:r>
    </w:p>
    <w:p>
      <w:pPr>
        <w:pStyle w:val="TextBody"/>
        <w:bidi w:val="0"/>
        <w:spacing w:lineRule="auto" w:line="288" w:before="0" w:after="420"/>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lineRule="auto" w:line="417" w:before="120" w:after="240"/>
        <w:jc w:val="both"/>
        <w:rPr/>
      </w:pPr>
      <w:r>
        <w:rPr>
          <w:rFonts w:ascii="Franklin Gothic Book;sans-serif" w:hAnsi="Franklin Gothic Book;sans-serif"/>
          <w:b w:val="false"/>
          <w:color w:val="060606"/>
          <w:sz w:val="22"/>
        </w:rPr>
        <w:t>First-quarter 2026</w:t>
      </w:r>
      <w:r>
        <w:rPr>
          <w:color w:val="060606"/>
        </w:rPr>
        <w:t xml:space="preserve"> </w:t>
      </w:r>
      <w:r>
        <w:rPr>
          <w:rFonts w:ascii="Franklin Gothic Book;sans-serif" w:hAnsi="Franklin Gothic Book;sans-serif"/>
          <w:b w:val="false"/>
          <w:color w:val="060606"/>
          <w:sz w:val="22"/>
        </w:rPr>
        <w:t>Cardiopulmonary revenue increased 18.3% on a reported basis and 14.0% on a constant-currency basis versus the first quarter of 2025 with growth across all regions, driven by Essenz™</w:t>
      </w:r>
      <w:r>
        <w:rPr>
          <w:color w:val="060606"/>
        </w:rPr>
        <w:t xml:space="preserve"> </w:t>
      </w:r>
      <w:r>
        <w:rPr>
          <w:rFonts w:ascii="Franklin Gothic Book;sans-serif" w:hAnsi="Franklin Gothic Book;sans-serif"/>
          <w:b w:val="false"/>
          <w:color w:val="060606"/>
          <w:sz w:val="22"/>
        </w:rPr>
        <w:t xml:space="preserve">Perfusion System sales, strong consumables demand, and favorable realized price.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First-quarter 2026 Neuromodulation revenue increased 9.3% on a reported basis and 7.6% on a constant-currency basis versus the first quarter of 2025 with growth across all regions, driven by total implant growth and favorable realized price. </w:t>
      </w:r>
    </w:p>
    <w:p>
      <w:pPr>
        <w:pStyle w:val="TextBody"/>
        <w:bidi w:val="0"/>
        <w:spacing w:lineRule="auto" w:line="417" w:before="120" w:after="240"/>
        <w:jc w:val="both"/>
        <w:rPr>
          <w:rFonts w:ascii="Franklin Gothic Book;sans-serif" w:hAnsi="Franklin Gothic Book;sans-serif"/>
          <w:b w:val="false"/>
          <w:i/>
          <w:color w:val="060606"/>
          <w:sz w:val="22"/>
        </w:rPr>
      </w:pPr>
      <w:r>
        <w:rPr>
          <w:rFonts w:ascii="Franklin Gothic Book;sans-serif" w:hAnsi="Franklin Gothic Book;sans-serif"/>
          <w:b w:val="false"/>
          <w:i/>
          <w:color w:val="060606"/>
          <w:sz w:val="22"/>
        </w:rPr>
        <w:t>Earnings Analysis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On a U.S. GAAP basis, first-quarter 2026 operating income was $41.5 million, as compared to operating income of $48.6 million for the first quarter of 2025. Adjusted operating income for the first quarter of 2026 was $71.1 million, as compared to adjusted operating income of $64.6 million for the first quarter of 2025.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On a U.S. GAAP basis, first-quarter 2026 diluted earnings per share was $0.40 as compared to diluted loss per share of $6.01 in the first quarter of 2025, which was impacted by recording the SNIA environmental liability </w:t>
      </w:r>
    </w:p>
    <w:p>
      <w:pPr>
        <w:pStyle w:val="TextBody"/>
        <w:bidi w:val="0"/>
        <w:spacing w:before="140" w:after="6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7800"/>
                <wp:effectExtent l="0" t="0" r="0" b="0"/>
                <wp:wrapNone/>
                <wp:docPr id="7" name="Frame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2</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expense of $360.4 million. First-quarter 2026 adjusted diluted earnings per share was $0.98, as compared to adjusted diluted earnings per share of $0.88 in the first quarter of 2025.</w:t>
      </w:r>
    </w:p>
    <w:p>
      <w:pPr>
        <w:pStyle w:val="TextBody"/>
        <w:bidi w:val="0"/>
        <w:spacing w:lineRule="auto" w:line="417" w:before="120" w:after="240"/>
        <w:jc w:val="both"/>
        <w:rPr/>
      </w:pPr>
      <w:r>
        <w:rPr>
          <w:rFonts w:ascii="Franklin Gothic Book;sans-serif" w:hAnsi="Franklin Gothic Book;sans-serif"/>
          <w:b w:val="false"/>
          <w:color w:val="060606"/>
          <w:sz w:val="22"/>
          <w:u w:val="single"/>
        </w:rPr>
        <w:t>Full-Year 2026 Guidance</w:t>
      </w:r>
      <w:r>
        <w:rPr>
          <w:color w:val="060606"/>
        </w:rPr>
        <w:t xml:space="preserve">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LivaNova now expects full-year 2026 revenue to grow between 7.0% and 8.0% (versus 6.0% and 7.0% prior) on a constant-currency basis. Foreign currency is expected to be a tailwind of approximately 1.0% based on current exchange rates, consistent with prior guidance.</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Adjusted diluted earnings per share for 2026 is now expected to be in the range of $4.20 to $4.30 (versus $4.15 to $4.25 prior), assuming a share count of approximately 56 million for full-year 2026. In 2026, the Company estimates adjusted free cash flow in the range of $160 million to $180 million, consistent with prior guidance.</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pStyle w:val="TextBody"/>
        <w:bidi w:val="0"/>
        <w:spacing w:lineRule="auto" w:line="417" w:before="120" w:after="240"/>
        <w:jc w:val="both"/>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Webcast and Conference Call Instructions</w:t>
      </w:r>
    </w:p>
    <w:p>
      <w:pPr>
        <w:pStyle w:val="TextBody"/>
        <w:bidi w:val="0"/>
        <w:spacing w:lineRule="auto" w:line="417" w:before="120" w:after="240"/>
        <w:jc w:val="both"/>
        <w:rPr/>
      </w:pPr>
      <w:r>
        <w:rPr>
          <w:rFonts w:ascii="Franklin Gothic Book;sans-serif" w:hAnsi="Franklin Gothic Book;sans-serif"/>
          <w:b w:val="false"/>
          <w:color w:val="060606"/>
          <w:sz w:val="22"/>
        </w:rPr>
        <w:t xml:space="preserve">The Company will host a live audiocast at 1 p.m. London time (8 a.m. Eastern Daylight Time) on Wed., May 6, 2026 that will be accessible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60606"/>
          <w:sz w:val="22"/>
        </w:rPr>
        <w:t xml:space="preserve">. Listeners should register in advance and log on approximately 10 minutes early to ensure proper setup. To listen to the conference call by telephone, dial </w:t>
        <w:br/>
        <w:t xml:space="preserve">+1 833 470 1428 (if dialing from within the U.S.) or +1 929 526 1599 (if dialing from outside the U.S.). The conference call access code is 946097. Within 24 hours of the audiocast, a replay will be available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60606"/>
          <w:sz w:val="22"/>
        </w:rPr>
        <w:t>, where it will be archived and accessible for approximately 90 days.</w:t>
      </w:r>
    </w:p>
    <w:p>
      <w:pPr>
        <w:pStyle w:val="TextBody"/>
        <w:bidi w:val="0"/>
        <w:spacing w:lineRule="auto" w:line="417" w:before="120" w:after="240"/>
        <w:jc w:val="both"/>
        <w:rPr>
          <w:rFonts w:ascii="Franklin Gothic Demi;sans-serif" w:hAnsi="Franklin Gothic Demi;sans-serif"/>
          <w:b w:val="false"/>
          <w:color w:val="9D19D1"/>
          <w:sz w:val="22"/>
        </w:rPr>
      </w:pPr>
      <w:r>
        <w:rPr>
          <w:rFonts w:ascii="Franklin Gothic Demi;sans-serif" w:hAnsi="Franklin Gothic Demi;sans-serif"/>
          <w:b w:val="false"/>
          <w:color w:val="9D19D1"/>
          <w:sz w:val="22"/>
        </w:rPr>
        <w:t>About LivaNova</w:t>
      </w:r>
    </w:p>
    <w:p>
      <w:pPr>
        <w:pStyle w:val="TextBody"/>
        <w:bidi w:val="0"/>
        <w:spacing w:lineRule="auto" w:line="417" w:before="120" w:after="240"/>
        <w:jc w:val="both"/>
        <w:rPr/>
      </w:pPr>
      <w:r>
        <w:rPr>
          <w:rFonts w:ascii="Franklin Gothic Book;sans-serif" w:hAnsi="Franklin Gothic Book;sans-serif"/>
          <w:b w:val="false"/>
          <w:color w:val="060606"/>
          <w:sz w:val="22"/>
        </w:rPr>
        <w:t xml:space="preserve">LivaNova PLC is a global medical technology company built on nearly five decades of experience with a vision to change the trajectory of lives for a new day. Through ingenious medical solutions in select neurological and cardiac conditions, LivaNova strives to ignite patient turnarounds. Headquartered in London, with approximately 3,300 employees and a presence in more than 100 countries, LivaNova serves patients, healthcare professionals, and healthcare systems worldwide. For more information, please visit </w:t>
      </w:r>
      <w:r>
        <w:rPr>
          <w:rFonts w:ascii="Franklin Gothic Book;sans-serif" w:hAnsi="Franklin Gothic Book;sans-serif"/>
          <w:b w:val="false"/>
          <w:color w:val="0E32E1"/>
          <w:sz w:val="22"/>
          <w:u w:val="single"/>
        </w:rPr>
        <w:t>www.livanova.com</w:t>
      </w:r>
      <w:r>
        <w:rPr>
          <w:rFonts w:ascii="Franklin Gothic Book;sans-serif" w:hAnsi="Franklin Gothic Book;sans-serif"/>
          <w:b w:val="false"/>
          <w:color w:val="060606"/>
          <w:sz w:val="22"/>
        </w:rPr>
        <w:t xml:space="preserve">. </w:t>
      </w:r>
    </w:p>
    <w:p>
      <w:pPr>
        <w:pStyle w:val="TextBody"/>
        <w:bidi w:val="0"/>
        <w:spacing w:before="140" w:after="6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7800"/>
                <wp:effectExtent l="0" t="0" r="0" b="0"/>
                <wp:wrapNone/>
                <wp:docPr id="8"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3</w:t>
                      </w:r>
                    </w:p>
                  </w:txbxContent>
                </v:textbox>
                <w10:wrap type="none"/>
              </v:rect>
            </w:pict>
          </mc:Fallback>
        </mc:AlternateContent>
      </w:r>
    </w:p>
    <w:p>
      <w:pPr>
        <w:pStyle w:val="TextBody"/>
        <w:bidi w:val="0"/>
        <w:spacing w:lineRule="auto" w:line="417" w:before="120" w:after="240"/>
        <w:jc w:val="left"/>
        <w:rPr>
          <w:rFonts w:ascii="Franklin Gothic Demi;sans-serif" w:hAnsi="Franklin Gothic Demi;sans-serif"/>
          <w:b w:val="false"/>
          <w:color w:val="9D19D1"/>
          <w:sz w:val="22"/>
        </w:rPr>
      </w:pPr>
      <w:r>
        <w:rPr>
          <w:rFonts w:ascii="Franklin Gothic Demi;sans-serif" w:hAnsi="Franklin Gothic Demi;sans-serif"/>
          <w:b w:val="false"/>
          <w:color w:val="9D19D1"/>
          <w:sz w:val="22"/>
        </w:rPr>
        <w:t>Use of Non-GAAP Financial Measures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In this news release, the Company refers to revenue and percentage change in revenue on a comparable, constant-currency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 prior-year period.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excludes items such as, but not limited to, changes in fair value of certain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proceeds, SNIA environmental liability and related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w:t>
      </w:r>
    </w:p>
    <w:p>
      <w:pPr>
        <w:pStyle w:val="TextBody"/>
        <w:bidi w:val="0"/>
        <w:spacing w:before="140" w:after="6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7800"/>
                <wp:effectExtent l="0" t="0" r="0" b="0"/>
                <wp:wrapNone/>
                <wp:docPr id="9"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4</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other tax matters. Accordingly, the Company does not reconcile non-GAAP financial measures on a forward-looking basis as it is impractical to do so without unreasonable effort.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Adjusted financial measures such as adjusted cost of sales, adjusted gross profit, adjusted selling, general, and administrative expense, adjusted research and development expense, adjusted other operating expense, adjusted operating income, adjusted income before income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pStyle w:val="TextBody"/>
        <w:bidi w:val="0"/>
        <w:spacing w:lineRule="auto" w:line="417" w:before="120" w:after="240"/>
        <w:jc w:val="both"/>
        <w:rPr>
          <w:rFonts w:ascii="Franklin Gothic Demi;sans-serif" w:hAnsi="Franklin Gothic Demi;sans-serif"/>
          <w:b w:val="false"/>
          <w:color w:val="9D19D1"/>
          <w:sz w:val="22"/>
        </w:rPr>
      </w:pPr>
      <w:r>
        <w:rPr>
          <w:rFonts w:ascii="Franklin Gothic Demi;sans-serif" w:hAnsi="Franklin Gothic Demi;sans-serif"/>
          <w:b w:val="false"/>
          <w:color w:val="9D19D1"/>
          <w:sz w:val="22"/>
        </w:rPr>
        <w:t xml:space="preserve">Safe Harbor Statement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 and worldwide economic conditions; adverse changes in export and import costs and other trade restrictions as well as uncertainty over global tariffs; risks relating to supply chain pressures; failure to protect, maintain, or </w:t>
      </w:r>
    </w:p>
    <w:p>
      <w:pPr>
        <w:pStyle w:val="TextBody"/>
        <w:bidi w:val="0"/>
        <w:spacing w:before="140" w:after="6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7800"/>
                <wp:effectExtent l="0" t="0" r="0" b="0"/>
                <wp:wrapNone/>
                <wp:docPr id="10"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5</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LivaNova.</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w:t>
      </w:r>
    </w:p>
    <w:p>
      <w:pPr>
        <w:pStyle w:val="TextBody"/>
        <w:bidi w:val="0"/>
        <w:spacing w:before="140" w:after="6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7800"/>
                <wp:effectExtent l="0" t="0" r="0" b="0"/>
                <wp:wrapNone/>
                <wp:docPr id="11"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6</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Essenz is a trademark of LivaNova USA, Inc.</w:t>
      </w:r>
    </w:p>
    <w:p>
      <w:pPr>
        <w:pStyle w:val="TextBody"/>
        <w:bidi w:val="0"/>
        <w:spacing w:lineRule="auto" w:line="288" w:before="0" w:after="0"/>
        <w:jc w:val="both"/>
        <w:rPr>
          <w:rFonts w:ascii="Franklin Gothic Medium;sans-serif" w:hAnsi="Franklin Gothic Medium;sans-serif"/>
          <w:b w:val="false"/>
          <w:color w:val="060606"/>
          <w:sz w:val="24"/>
        </w:rPr>
      </w:pPr>
      <w:r>
        <w:rPr>
          <w:rFonts w:ascii="Franklin Gothic Medium;sans-serif" w:hAnsi="Franklin Gothic Medium;sans-serif"/>
          <w:b w:val="false"/>
          <w:color w:val="060606"/>
          <w:sz w:val="24"/>
        </w:rPr>
        <w:t>Briana Gotlin</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Vice President, Investor Relations</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Phone: +1 281 895 2382</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e-mail: InvestorRelations@livanova.com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7800"/>
                <wp:effectExtent l="0" t="0" r="0" b="0"/>
                <wp:wrapNone/>
                <wp:docPr id="12"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60606"/>
                          <w:sz w:val="24"/>
                        </w:rPr>
                      </w:pPr>
                      <w:r>
                        <w:rPr>
                          <w:rFonts w:ascii="Franklin Gothic Book;sans-serif" w:hAnsi="Franklin Gothic Book;sans-serif"/>
                          <w:b w:val="false"/>
                          <w:color w:val="060606"/>
                          <w:sz w:val="24"/>
                        </w:rPr>
                        <w:t>7</w:t>
                      </w:r>
                    </w:p>
                  </w:txbxContent>
                </v:textbox>
                <w10:wrap type="none"/>
              </v:rect>
            </w:pict>
          </mc:Fallback>
        </mc:AlternateContent>
      </w:r>
    </w:p>
    <w:tbl>
      <w:tblPr>
        <w:tblW w:w="9556" w:type="dxa"/>
        <w:jc w:val="left"/>
        <w:tblInd w:w="0" w:type="dxa"/>
        <w:tblLayout w:type="fixed"/>
        <w:tblCellMar>
          <w:top w:w="28" w:type="dxa"/>
          <w:left w:w="28" w:type="dxa"/>
          <w:bottom w:w="28" w:type="dxa"/>
          <w:right w:w="28" w:type="dxa"/>
        </w:tblCellMar>
      </w:tblPr>
      <w:tblGrid>
        <w:gridCol w:w="340"/>
        <w:gridCol w:w="299"/>
        <w:gridCol w:w="299"/>
        <w:gridCol w:w="299"/>
        <w:gridCol w:w="299"/>
        <w:gridCol w:w="305"/>
        <w:gridCol w:w="109"/>
        <w:gridCol w:w="109"/>
        <w:gridCol w:w="109"/>
        <w:gridCol w:w="413"/>
        <w:gridCol w:w="413"/>
        <w:gridCol w:w="196"/>
        <w:gridCol w:w="127"/>
        <w:gridCol w:w="127"/>
        <w:gridCol w:w="127"/>
        <w:gridCol w:w="413"/>
        <w:gridCol w:w="413"/>
        <w:gridCol w:w="196"/>
        <w:gridCol w:w="127"/>
        <w:gridCol w:w="127"/>
        <w:gridCol w:w="127"/>
        <w:gridCol w:w="293"/>
        <w:gridCol w:w="293"/>
        <w:gridCol w:w="615"/>
        <w:gridCol w:w="127"/>
        <w:gridCol w:w="127"/>
        <w:gridCol w:w="127"/>
        <w:gridCol w:w="595"/>
        <w:gridCol w:w="595"/>
        <w:gridCol w:w="1810"/>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9556"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LIVANOVA PLC</w:t>
            </w:r>
          </w:p>
        </w:tc>
      </w:tr>
      <w:tr>
        <w:trPr/>
        <w:tc>
          <w:tcPr>
            <w:tcW w:w="9556"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REVENUE - UNAUDITED</w:t>
            </w:r>
          </w:p>
        </w:tc>
      </w:tr>
      <w:tr>
        <w:trPr/>
        <w:tc>
          <w:tcPr>
            <w:tcW w:w="9556"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Three Months Ended March 31,</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Change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Constant-Currency % Change</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$69.3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13.9 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13.9 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57.3 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44.5 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28.8 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17.6 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82.1 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71.0 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15.6 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11.8 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208.7 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176.3 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18.3 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14.0 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115.4 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6.5 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20.8 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9.6 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17.4 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13.3 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151.8 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138.9 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9.3 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7.6 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Other Revenue </w:t>
            </w:r>
            <w:r>
              <w:rPr>
                <w:rFonts w:ascii="Franklin Gothic Book;sans-serif" w:hAnsi="Franklin Gothic Book;sans-serif"/>
                <w:b w:val="false"/>
                <w:color w:val="06060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10.5 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(0.2)</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184.7 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169.2 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9.2 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9.2 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Europe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75.7 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59.7 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26.7 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15.5 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20"/>
              </w:rPr>
              <w:t xml:space="preserve">Rest of World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101.9 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88.0 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15.8 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11.8 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$362.3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$316.9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14.3 </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11.1 </w:t>
            </w:r>
          </w:p>
        </w:tc>
        <w:tc>
          <w:tcPr>
            <w:tcW w:w="18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(1)</w:t>
      </w:r>
      <w:r>
        <w:rPr>
          <w:color w:val="060606"/>
        </w:rPr>
        <w:t>“</w:t>
      </w:r>
      <w:r>
        <w:rPr>
          <w:rFonts w:ascii="Franklin Gothic Book;sans-serif" w:hAnsi="Franklin Gothic Book;sans-serif"/>
          <w:b w:val="false"/>
          <w:color w:val="060606"/>
          <w:sz w:val="18"/>
        </w:rPr>
        <w:t>Europe” includes the UK, Germany, France, Italy, the Netherlands, Spain, Belgium, Poland, Sweden, Switzerland, Austria, Norway, Portugal, Finland, and Denmark. Excluding Europe and the U.S., “Rest of World” includes all other countries where LivaNova operates.</w:t>
      </w:r>
    </w:p>
    <w:p>
      <w:pPr>
        <w:pStyle w:val="TextBody"/>
        <w:bidi w:val="0"/>
        <w:spacing w:lineRule="auto" w:line="288" w:before="0" w:after="0"/>
        <w:ind w:left="0" w:right="0" w:hanging="360"/>
        <w:jc w:val="both"/>
        <w:rPr/>
      </w:pPr>
      <w:r>
        <w:rPr>
          <w:rFonts w:ascii="Franklin Gothic Book;sans-serif" w:hAnsi="Franklin Gothic Book;sans-serif"/>
          <w:b w:val="false"/>
          <w:color w:val="060606"/>
          <w:sz w:val="12"/>
        </w:rPr>
        <w:t>(2)</w:t>
      </w:r>
      <w:r>
        <w:rPr>
          <w:color w:val="060606"/>
        </w:rPr>
        <w:t>“</w:t>
      </w:r>
      <w:r>
        <w:rPr>
          <w:rFonts w:ascii="Franklin Gothic Book;sans-serif" w:hAnsi="Franklin Gothic Book;sans-serif"/>
          <w:b w:val="false"/>
          <w:color w:val="060606"/>
          <w:sz w:val="18"/>
        </w:rPr>
        <w:t>Other Revenue” includes rental and site services income not allocated to segments.</w:t>
      </w:r>
    </w:p>
    <w:p>
      <w:pPr>
        <w:pStyle w:val="TextBody"/>
        <w:bidi w:val="0"/>
        <w:spacing w:lineRule="auto" w:line="288" w:before="20" w:after="283"/>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7800"/>
                <wp:effectExtent l="0" t="0" r="0" b="0"/>
                <wp:wrapNone/>
                <wp:docPr id="13" name="Frame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33"/>
        <w:gridCol w:w="1422"/>
        <w:gridCol w:w="1395"/>
        <w:gridCol w:w="655"/>
        <w:gridCol w:w="655"/>
        <w:gridCol w:w="655"/>
        <w:gridCol w:w="687"/>
        <w:gridCol w:w="655"/>
        <w:gridCol w:w="676"/>
        <w:gridCol w:w="193"/>
        <w:gridCol w:w="193"/>
        <w:gridCol w:w="193"/>
        <w:gridCol w:w="454"/>
        <w:gridCol w:w="455"/>
        <w:gridCol w:w="284"/>
      </w:tblGrid>
      <w:tr>
        <w:trPr/>
        <w:tc>
          <w:tcPr>
            <w:tcW w:w="163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84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LIVANOVA PLC AND SUBSIDIARIES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CONDENSED CONSOLIDATED STATEMENTS OF INCOME (LOSS) - UNAUDITED</w:t>
            </w:r>
          </w:p>
        </w:tc>
      </w:tr>
      <w:tr>
        <w:trPr/>
        <w:tc>
          <w:tcPr>
            <w:tcW w:w="843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 except for per share amounts)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Three Months Ended March 31,</w:t>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revenue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$362.3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$316.9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Cost of sales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118.5 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100.6 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Gross profit</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243.7 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216.3 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Operating expenses: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Selling, general, and administrative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143.6 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129.1 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Research and development</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58.7 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37.9 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Other operating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41.5 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48.6 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SNIA environmental liability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(360.4)</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Interest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(8.3)</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(15.3)</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Foreign exchange and other income/(expense)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(5.7)</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(loss) before income tax</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27.5 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(315.6)</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4.3 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11.7 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Loss from equity method investments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(0.9)</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Net income (loss)</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$22.3 </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($327.3)</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Basic earnings (loss) per share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$0.41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($6.01)</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Diluted earnings (loss) per share</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$0.40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($6.01)</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Basic weighted average shares outstanding</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54.7 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Diluted weighted average shares outstanding</w:t>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55.9 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before="140" w:after="6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7800"/>
                <wp:effectExtent l="0" t="0" r="0" b="0"/>
                <wp:wrapNone/>
                <wp:docPr id="14"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9</w:t>
                      </w:r>
                    </w:p>
                  </w:txbxContent>
                </v:textbox>
                <w10:wrap type="none"/>
              </v:rect>
            </w:pict>
          </mc:Fallback>
        </mc:AlternateContent>
      </w:r>
    </w:p>
    <w:p>
      <w:pPr>
        <w:pStyle w:val="TextBody"/>
        <w:bidi w:val="0"/>
        <w:spacing w:lineRule="auto" w:line="288" w:before="100" w:after="12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Financial Measures (in millions, except for per share amounts) - Unaudited</w:t>
      </w:r>
    </w:p>
    <w:tbl>
      <w:tblPr>
        <w:tblW w:w="7758" w:type="dxa"/>
        <w:jc w:val="left"/>
        <w:tblInd w:w="0" w:type="dxa"/>
        <w:tblLayout w:type="fixed"/>
        <w:tblCellMar>
          <w:top w:w="28" w:type="dxa"/>
          <w:left w:w="28" w:type="dxa"/>
          <w:bottom w:w="28" w:type="dxa"/>
          <w:right w:w="28" w:type="dxa"/>
        </w:tblCellMar>
      </w:tblPr>
      <w:tblGrid>
        <w:gridCol w:w="662"/>
        <w:gridCol w:w="583"/>
        <w:gridCol w:w="583"/>
        <w:gridCol w:w="583"/>
        <w:gridCol w:w="583"/>
        <w:gridCol w:w="587"/>
        <w:gridCol w:w="109"/>
        <w:gridCol w:w="109"/>
        <w:gridCol w:w="109"/>
        <w:gridCol w:w="593"/>
        <w:gridCol w:w="343"/>
        <w:gridCol w:w="343"/>
        <w:gridCol w:w="343"/>
        <w:gridCol w:w="343"/>
        <w:gridCol w:w="343"/>
        <w:gridCol w:w="593"/>
        <w:gridCol w:w="343"/>
        <w:gridCol w:w="343"/>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SG&amp;A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$128.9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$115.6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R&amp;D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47.1 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38.2 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71.1 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64.6 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54.6 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48.1 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Adjusted 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$0.98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$0.88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Franklin Gothic Book;sans-serif" w:hAnsi="Franklin Gothic Book;sans-serif"/>
          <w:b w:val="false"/>
          <w:color w:val="060606"/>
          <w:sz w:val="20"/>
        </w:rPr>
      </w:pPr>
      <w:r>
        <w:rPr>
          <w:rFonts w:ascii="Franklin Gothic Book;sans-serif" w:hAnsi="Franklin Gothic Book;sans-serif"/>
          <w:b w:val="false"/>
          <w:color w:val="060606"/>
          <w:sz w:val="20"/>
        </w:rPr>
        <w:t>Statistics (as a % of net revenue, except for income tax rate) - Unaudited</w:t>
      </w:r>
    </w:p>
    <w:tbl>
      <w:tblPr>
        <w:tblW w:w="9109" w:type="dxa"/>
        <w:jc w:val="left"/>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373"/>
        <w:gridCol w:w="224"/>
        <w:gridCol w:w="588"/>
        <w:gridCol w:w="224"/>
        <w:gridCol w:w="224"/>
        <w:gridCol w:w="224"/>
        <w:gridCol w:w="505"/>
        <w:gridCol w:w="290"/>
        <w:gridCol w:w="588"/>
        <w:gridCol w:w="109"/>
        <w:gridCol w:w="109"/>
        <w:gridCol w:w="109"/>
        <w:gridCol w:w="373"/>
        <w:gridCol w:w="245"/>
        <w:gridCol w:w="643"/>
        <w:gridCol w:w="245"/>
        <w:gridCol w:w="245"/>
        <w:gridCol w:w="245"/>
        <w:gridCol w:w="373"/>
        <w:gridCol w:w="245"/>
        <w:gridCol w:w="744"/>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1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GAAP Three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Adjusted Three Months Ended </w:t>
            </w:r>
          </w:p>
          <w:p>
            <w:pPr>
              <w:pStyle w:val="TableContents"/>
              <w:bidi w:val="0"/>
              <w:spacing w:lineRule="auto" w:line="240" w:before="0" w:after="0"/>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March 31,</w:t>
            </w:r>
          </w:p>
        </w:tc>
      </w:tr>
      <w:tr>
        <w:trPr/>
        <w:tc>
          <w:tcPr>
            <w:tcW w:w="18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2026</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67.3 </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68.3 </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68.2 </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68.9 </w:t>
            </w:r>
          </w:p>
        </w:tc>
        <w:tc>
          <w:tcPr>
            <w:tcW w:w="7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39.6 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40.8 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35.6 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36.5 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16.2 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12.0 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13.0 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12.0 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11.4 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15.3 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19.6 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20.4 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6.2 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(103.3)</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15.1 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15.2 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15.8 </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(3.7)</w:t>
            </w:r>
          </w:p>
        </w:tc>
        <w:tc>
          <w:tcPr>
            <w:tcW w:w="58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22.5 </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24.2 </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7800"/>
                <wp:effectExtent l="0" t="0" r="0" b="0"/>
                <wp:wrapNone/>
                <wp:docPr id="15"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10</w:t>
                      </w:r>
                    </w:p>
                  </w:txbxContent>
                </v:textbox>
                <w10:wrap type="none"/>
              </v:rect>
            </w:pict>
          </mc:Fallback>
        </mc:AlternateContent>
      </w:r>
    </w:p>
    <w:tbl>
      <w:tblPr>
        <w:tblW w:w="12042" w:type="dxa"/>
        <w:jc w:val="left"/>
        <w:tblInd w:w="0" w:type="dxa"/>
        <w:tblLayout w:type="fixed"/>
        <w:tblCellMar>
          <w:top w:w="28" w:type="dxa"/>
          <w:left w:w="28" w:type="dxa"/>
          <w:bottom w:w="28" w:type="dxa"/>
          <w:right w:w="28" w:type="dxa"/>
        </w:tblCellMar>
      </w:tblPr>
      <w:tblGrid>
        <w:gridCol w:w="662"/>
        <w:gridCol w:w="443"/>
        <w:gridCol w:w="231"/>
        <w:gridCol w:w="435"/>
        <w:gridCol w:w="286"/>
        <w:gridCol w:w="426"/>
        <w:gridCol w:w="109"/>
        <w:gridCol w:w="378"/>
        <w:gridCol w:w="238"/>
        <w:gridCol w:w="560"/>
        <w:gridCol w:w="109"/>
        <w:gridCol w:w="406"/>
        <w:gridCol w:w="210"/>
        <w:gridCol w:w="496"/>
        <w:gridCol w:w="353"/>
        <w:gridCol w:w="263"/>
        <w:gridCol w:w="426"/>
        <w:gridCol w:w="317"/>
        <w:gridCol w:w="299"/>
        <w:gridCol w:w="601"/>
        <w:gridCol w:w="378"/>
        <w:gridCol w:w="238"/>
        <w:gridCol w:w="560"/>
        <w:gridCol w:w="354"/>
        <w:gridCol w:w="262"/>
        <w:gridCol w:w="617"/>
        <w:gridCol w:w="321"/>
        <w:gridCol w:w="310"/>
        <w:gridCol w:w="544"/>
        <w:gridCol w:w="461"/>
        <w:gridCol w:w="260"/>
        <w:gridCol w:w="489"/>
      </w:tblGrid>
      <w:tr>
        <w:trPr/>
        <w:tc>
          <w:tcPr>
            <w:tcW w:w="6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9657"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RECONCILIATION OF GAAP TO NON-GAAP FINANCIAL MEASURES - UNAUDITED</w:t>
            </w:r>
          </w:p>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 xml:space="preserve">(In millions, except for per share amounts) </w:t>
            </w:r>
          </w:p>
        </w:tc>
        <w:tc>
          <w:tcPr>
            <w:tcW w:w="2385"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5"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Non-GAAP Adjustments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Three Months Ended</w:t>
              <w:br/>
              <w:t>March 31, 2026</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Depreciation and Amortization Expenses </w:t>
            </w:r>
            <w:r>
              <w:rPr>
                <w:rFonts w:ascii="Franklin Gothic Book;sans-serif" w:hAnsi="Franklin Gothic Book;sans-serif"/>
                <w:b w:val="false"/>
                <w:color w:val="060606"/>
                <w:sz w:val="9"/>
              </w:rPr>
              <w:t>(1)</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Investment Related Items </w:t>
            </w:r>
            <w:r>
              <w:rPr>
                <w:rFonts w:ascii="Franklin Gothic Book;sans-serif" w:hAnsi="Franklin Gothic Book;sans-serif"/>
                <w:b w:val="false"/>
                <w:color w:val="060606"/>
                <w:sz w:val="9"/>
              </w:rPr>
              <w:t>(2)</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 xml:space="preserve">Financing </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Related Items </w:t>
            </w:r>
            <w:r>
              <w:rPr>
                <w:rFonts w:ascii="Franklin Gothic Book;sans-serif" w:hAnsi="Franklin Gothic Book;sans-serif"/>
                <w:b w:val="false"/>
                <w:color w:val="060606"/>
                <w:sz w:val="9"/>
              </w:rPr>
              <w:t>(3)</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 xml:space="preserve">Contingent </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Consideration </w:t>
            </w:r>
            <w:r>
              <w:rPr>
                <w:rFonts w:ascii="Franklin Gothic Book;sans-serif" w:hAnsi="Franklin Gothic Book;sans-serif"/>
                <w:b w:val="false"/>
                <w:color w:val="060606"/>
                <w:sz w:val="9"/>
              </w:rPr>
              <w:t>(4)</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Certain Legal &amp; Regulatory Costs </w:t>
            </w:r>
            <w:r>
              <w:rPr>
                <w:rFonts w:ascii="Franklin Gothic Book;sans-serif" w:hAnsi="Franklin Gothic Book;sans-serif"/>
                <w:b w:val="false"/>
                <w:color w:val="060606"/>
                <w:sz w:val="9"/>
              </w:rPr>
              <w:t>(5)</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Share-based Compensation Costs </w:t>
            </w:r>
            <w:r>
              <w:rPr>
                <w:rFonts w:ascii="Franklin Gothic Book;sans-serif" w:hAnsi="Franklin Gothic Book;sans-serif"/>
                <w:b w:val="false"/>
                <w:color w:val="060606"/>
                <w:sz w:val="9"/>
              </w:rPr>
              <w:t>(6)</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 xml:space="preserve">Certain Tax </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Adjustments </w:t>
            </w:r>
            <w:r>
              <w:rPr>
                <w:rFonts w:ascii="Franklin Gothic Book;sans-serif" w:hAnsi="Franklin Gothic Book;sans-serif"/>
                <w:b w:val="false"/>
                <w:color w:val="060606"/>
                <w:sz w:val="9"/>
              </w:rPr>
              <w:t>(7)</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Cost of sales</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$118.5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($1.8)</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$115.2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67.3 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68.2 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143.6 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(6.2)</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(5.9)</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128.9 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39.6 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(0.7)</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35.6 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58.7 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(9.6)</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47.1 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16.2 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13.0 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41.5 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4.4 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10.7 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6.3 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71.1 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11.4 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2.9 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2.3 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19.6 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22.3 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4.4 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13.3 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10.7 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6.3 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8.3 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(11.7)</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54.6 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6.2 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2.9 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2.3 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(3.2)</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15.1 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Diluted earnings per share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$0.08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$0.02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$0.24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$0.19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$0.15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($0.21)</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$0.98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GAAP results for the three months ended March 31, 2026 include: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(1)</w:t>
      </w:r>
      <w:r>
        <w:rPr>
          <w:rFonts w:ascii="Franklin Gothic Book;sans-serif" w:hAnsi="Franklin Gothic Book;sans-serif"/>
          <w:b w:val="false"/>
          <w:color w:val="060606"/>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(2)</w:t>
      </w:r>
      <w:r>
        <w:rPr>
          <w:rFonts w:ascii="Franklin Gothic Book;sans-serif" w:hAnsi="Franklin Gothic Book;sans-serif"/>
          <w:b w:val="false"/>
          <w:color w:val="060606"/>
          <w:sz w:val="18"/>
        </w:rPr>
        <w:t xml:space="preserve">Impairment of investment without readily determinable fair value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(3)</w:t>
      </w:r>
      <w:r>
        <w:rPr>
          <w:rFonts w:ascii="Franklin Gothic Book;sans-serif" w:hAnsi="Franklin Gothic Book;sans-serif"/>
          <w:b w:val="false"/>
          <w:color w:val="060606"/>
          <w:sz w:val="18"/>
        </w:rPr>
        <w:t xml:space="preserve">Mark-to-market adjustments for the 2029 Notes embedded and capped call derivatives, non-cash interest expense, and loss on debt extinguishment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(4)</w:t>
      </w:r>
      <w:r>
        <w:rPr>
          <w:rFonts w:ascii="Franklin Gothic Book;sans-serif" w:hAnsi="Franklin Gothic Book;sans-serif"/>
          <w:b w:val="false"/>
          <w:color w:val="060606"/>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(5)</w:t>
      </w:r>
      <w:r>
        <w:rPr>
          <w:rFonts w:ascii="Franklin Gothic Book;sans-serif" w:hAnsi="Franklin Gothic Book;sans-serif"/>
          <w:b w:val="false"/>
          <w:color w:val="060606"/>
          <w:sz w:val="18"/>
        </w:rPr>
        <w:t>Legal expenses primarily related to 3T Heater-Cooler defense, 3T Heater-Cooler litigation provision, and Medical Device Regulation ("MDR") costs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(6)</w:t>
      </w:r>
      <w:r>
        <w:rPr>
          <w:rFonts w:ascii="Franklin Gothic Book;sans-serif" w:hAnsi="Franklin Gothic Book;sans-serif"/>
          <w:b w:val="false"/>
          <w:color w:val="060606"/>
          <w:sz w:val="18"/>
        </w:rPr>
        <w:t xml:space="preserve">Non-cash expenses associated with share-based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(7)</w:t>
      </w:r>
      <w:r>
        <w:rPr>
          <w:rFonts w:ascii="Franklin Gothic Book;sans-serif" w:hAnsi="Franklin Gothic Book;sans-serif"/>
          <w:b w:val="false"/>
          <w:color w:val="060606"/>
          <w:sz w:val="18"/>
        </w:rPr>
        <w:t>The impact of valuation allowances, discrete tax items, the tax impact of intercompany transactions, and the tax impact on non-GAAP adjustments</w:t>
      </w:r>
    </w:p>
    <w:p>
      <w:pPr>
        <w:pStyle w:val="TextBody"/>
        <w:bidi w:val="0"/>
        <w:spacing w:lineRule="auto" w:line="288"/>
        <w:jc w:val="both"/>
        <w:rPr/>
      </w:pPr>
      <w:r>
        <w:rPr>
          <w:color w:val="060606"/>
        </w:rPr>
        <w:t xml:space="preserve">• </w:t>
      </w:r>
      <w:r>
        <w:rPr>
          <w:rFonts w:ascii="Franklin Gothic Book;sans-serif" w:hAnsi="Franklin Gothic Book;sans-serif"/>
          <w:b w:val="false"/>
          <w:color w:val="060606"/>
          <w:sz w:val="18"/>
        </w:rPr>
        <w:t>Numbers may not add precisely due to rounding.</w:t>
      </w:r>
    </w:p>
    <w:p>
      <w:pPr>
        <w:pStyle w:val="TextBody"/>
        <w:bidi w:val="0"/>
        <w:spacing w:before="140" w:after="6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7800"/>
                <wp:effectExtent l="0" t="0" r="0" b="0"/>
                <wp:wrapNone/>
                <wp:docPr id="16"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11</w:t>
                      </w:r>
                    </w:p>
                  </w:txbxContent>
                </v:textbox>
                <w10:wrap type="none"/>
              </v:rect>
            </w:pict>
          </mc:Fallback>
        </mc:AlternateContent>
      </w:r>
    </w:p>
    <w:tbl>
      <w:tblPr>
        <w:tblW w:w="12845" w:type="dxa"/>
        <w:jc w:val="left"/>
        <w:tblInd w:w="0" w:type="dxa"/>
        <w:tblLayout w:type="fixed"/>
        <w:tblCellMar>
          <w:top w:w="28" w:type="dxa"/>
          <w:left w:w="28" w:type="dxa"/>
          <w:bottom w:w="28" w:type="dxa"/>
          <w:right w:w="28" w:type="dxa"/>
        </w:tblCellMar>
      </w:tblPr>
      <w:tblGrid>
        <w:gridCol w:w="662"/>
        <w:gridCol w:w="443"/>
        <w:gridCol w:w="231"/>
        <w:gridCol w:w="434"/>
        <w:gridCol w:w="287"/>
        <w:gridCol w:w="430"/>
        <w:gridCol w:w="109"/>
        <w:gridCol w:w="248"/>
        <w:gridCol w:w="248"/>
        <w:gridCol w:w="585"/>
        <w:gridCol w:w="308"/>
        <w:gridCol w:w="308"/>
        <w:gridCol w:w="560"/>
        <w:gridCol w:w="109"/>
        <w:gridCol w:w="406"/>
        <w:gridCol w:w="210"/>
        <w:gridCol w:w="496"/>
        <w:gridCol w:w="223"/>
        <w:gridCol w:w="183"/>
        <w:gridCol w:w="430"/>
        <w:gridCol w:w="317"/>
        <w:gridCol w:w="299"/>
        <w:gridCol w:w="601"/>
        <w:gridCol w:w="340"/>
        <w:gridCol w:w="276"/>
        <w:gridCol w:w="480"/>
        <w:gridCol w:w="308"/>
        <w:gridCol w:w="308"/>
        <w:gridCol w:w="617"/>
        <w:gridCol w:w="315"/>
        <w:gridCol w:w="316"/>
        <w:gridCol w:w="544"/>
        <w:gridCol w:w="109"/>
        <w:gridCol w:w="440"/>
        <w:gridCol w:w="176"/>
        <w:gridCol w:w="489"/>
      </w:tblGrid>
      <w:tr>
        <w:trPr/>
        <w:tc>
          <w:tcPr>
            <w:tcW w:w="6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456" w:type="dxa"/>
            <w:gridSpan w:val="29"/>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RECONCILIATION OF GAAP TO NON-GAAP FINANCIAL MEASURES - UNAUDITED</w:t>
            </w:r>
          </w:p>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 millions, except for per share amounts)</w:t>
            </w:r>
          </w:p>
        </w:tc>
        <w:tc>
          <w:tcPr>
            <w:tcW w:w="2389" w:type="dxa"/>
            <w:gridSpan w:val="7"/>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0"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Non-GAAP Adjustments</w:t>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Three Months Ended</w:t>
              <w:br/>
              <w:t>March 31, 2025</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 xml:space="preserve">Restructuring </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Expense </w:t>
            </w:r>
            <w:r>
              <w:rPr>
                <w:rFonts w:ascii="Franklin Gothic Book;sans-serif" w:hAnsi="Franklin Gothic Book;sans-serif"/>
                <w:b w:val="false"/>
                <w:color w:val="060606"/>
                <w:sz w:val="9"/>
              </w:rPr>
              <w:t>(1)</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Depreciation</w:t>
            </w:r>
          </w:p>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and</w:t>
            </w:r>
          </w:p>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Amortization</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Expense </w:t>
            </w:r>
            <w:r>
              <w:rPr>
                <w:rFonts w:ascii="Franklin Gothic Book;sans-serif" w:hAnsi="Franklin Gothic Book;sans-serif"/>
                <w:b w:val="false"/>
                <w:color w:val="060606"/>
                <w:sz w:val="9"/>
              </w:rPr>
              <w:t>(2)</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Investment Related Items </w:t>
            </w:r>
            <w:r>
              <w:rPr>
                <w:rFonts w:ascii="Franklin Gothic Book;sans-serif" w:hAnsi="Franklin Gothic Book;sans-serif"/>
                <w:b w:val="false"/>
                <w:color w:val="060606"/>
                <w:sz w:val="9"/>
              </w:rPr>
              <w:t>(3)</w:t>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val="false"/>
                <w:color w:val="060606"/>
                <w:sz w:val="14"/>
              </w:rPr>
              <w:t xml:space="preserve">Financing Related Items </w:t>
            </w:r>
            <w:r>
              <w:rPr>
                <w:rFonts w:ascii="Franklin Gothic Book;sans-serif" w:hAnsi="Franklin Gothic Book;sans-serif"/>
                <w:b w:val="false"/>
                <w:color w:val="060606"/>
                <w:sz w:val="9"/>
              </w:rPr>
              <w:t>(4)</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 xml:space="preserve">Contingent </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Consideration </w:t>
            </w:r>
            <w:r>
              <w:rPr>
                <w:rFonts w:ascii="Franklin Gothic Book;sans-serif" w:hAnsi="Franklin Gothic Book;sans-serif"/>
                <w:b w:val="false"/>
                <w:color w:val="060606"/>
                <w:sz w:val="9"/>
              </w:rPr>
              <w:t>(5)</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Certain Legal &amp;</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Regulatory Costs </w:t>
            </w:r>
            <w:r>
              <w:rPr>
                <w:rFonts w:ascii="Franklin Gothic Book;sans-serif" w:hAnsi="Franklin Gothic Book;sans-serif"/>
                <w:b w:val="false"/>
                <w:color w:val="060606"/>
                <w:sz w:val="9"/>
              </w:rPr>
              <w:t>(6)</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Share-based</w:t>
            </w:r>
          </w:p>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Compensation</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Costs </w:t>
            </w:r>
            <w:r>
              <w:rPr>
                <w:rFonts w:ascii="Franklin Gothic Book;sans-serif" w:hAnsi="Franklin Gothic Book;sans-serif"/>
                <w:b w:val="false"/>
                <w:color w:val="060606"/>
                <w:sz w:val="9"/>
              </w:rPr>
              <w:t>(7)</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 xml:space="preserve">Certain Tax </w:t>
            </w:r>
          </w:p>
          <w:p>
            <w:pPr>
              <w:pStyle w:val="TableContents"/>
              <w:bidi w:val="0"/>
              <w:spacing w:lineRule="auto" w:line="240" w:before="0" w:after="0"/>
              <w:jc w:val="center"/>
              <w:rPr/>
            </w:pPr>
            <w:r>
              <w:rPr>
                <w:rFonts w:ascii="Franklin Gothic Book;sans-serif" w:hAnsi="Franklin Gothic Book;sans-serif"/>
                <w:b w:val="false"/>
                <w:color w:val="060606"/>
                <w:sz w:val="14"/>
              </w:rPr>
              <w:t xml:space="preserve">Adjustments </w:t>
            </w:r>
            <w:r>
              <w:rPr>
                <w:rFonts w:ascii="Franklin Gothic Book;sans-serif" w:hAnsi="Franklin Gothic Book;sans-serif"/>
                <w:b w:val="false"/>
                <w:color w:val="060606"/>
                <w:sz w:val="9"/>
              </w:rPr>
              <w:t>(8)</w:t>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4"/>
              </w:rPr>
            </w:pPr>
            <w:r>
              <w:rPr>
                <w:rFonts w:ascii="Franklin Gothic Book;sans-serif" w:hAnsi="Franklin Gothic Book;sans-serif"/>
                <w:b w:val="false"/>
                <w:color w:val="060606"/>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Cost of sales</w:t>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$100.6 </w:t>
            </w:r>
          </w:p>
        </w:tc>
        <w:tc>
          <w:tcPr>
            <w:tcW w:w="4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($1.7)</w:t>
            </w:r>
          </w:p>
        </w:tc>
        <w:tc>
          <w:tcPr>
            <w:tcW w:w="5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$98.5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Gross profit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68.3 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0.5 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68.9 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129.1 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(4.6)</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(6.5)</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115.6 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Selling, general, and administrative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40.8 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(0.8)</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36.5 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37.9 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(0.7)</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38.2 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Research and development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12.0 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0.6 </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(0.4)</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12.0 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Other operating expense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0.6 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(0.7)</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48.6 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0.9 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3.2 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7.8 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64.6 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Operating margin percent</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15.3 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1.0 </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20.4 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(loss) income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(327.3)</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4.1 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2.6 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0.2 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0.9 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363.6 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7.8 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48.1 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(loss) income as a percent of net revenue</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(103.3)</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8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1.3 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0.8 </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0.1 </w:t>
            </w:r>
          </w:p>
        </w:tc>
        <w:tc>
          <w:tcPr>
            <w:tcW w:w="4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0.3 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114.8 </w:t>
            </w:r>
          </w:p>
        </w:tc>
        <w:tc>
          <w:tcPr>
            <w:tcW w:w="48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2.5 </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(1.2)</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15.2 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60606"/>
                <w:sz w:val="16"/>
              </w:rPr>
              <w:t xml:space="preserve">Diluted (loss) earnings per share </w:t>
            </w:r>
            <w:r>
              <w:rPr>
                <w:rFonts w:ascii="Franklin Gothic Book;sans-serif" w:hAnsi="Franklin Gothic Book;sans-serif"/>
                <w:b w:val="false"/>
                <w:color w:val="060606"/>
                <w:sz w:val="10"/>
              </w:rPr>
              <w:t>(9)</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($6.01)</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5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$0.07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$0.05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$0.02 </w:t>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$6.65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$0.14 </w:t>
            </w:r>
          </w:p>
        </w:tc>
        <w:tc>
          <w:tcPr>
            <w:tcW w:w="6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($0.07)</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$0.88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GAAP results for the three months ended March 31, 2025 include: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(1)</w:t>
      </w:r>
      <w:r>
        <w:rPr>
          <w:rFonts w:ascii="Franklin Gothic Book;sans-serif" w:hAnsi="Franklin Gothic Book;sans-serif"/>
          <w:b w:val="false"/>
          <w:color w:val="060606"/>
          <w:sz w:val="18"/>
        </w:rPr>
        <w:t>Restructuring expense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(2)</w:t>
      </w:r>
      <w:r>
        <w:rPr>
          <w:rFonts w:ascii="Franklin Gothic Book;sans-serif" w:hAnsi="Franklin Gothic Book;sans-serif"/>
          <w:b w:val="false"/>
          <w:color w:val="060606"/>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(3)</w:t>
      </w:r>
      <w:r>
        <w:rPr>
          <w:rFonts w:ascii="Franklin Gothic Book;sans-serif" w:hAnsi="Franklin Gothic Book;sans-serif"/>
          <w:b w:val="false"/>
          <w:color w:val="060606"/>
          <w:sz w:val="18"/>
        </w:rPr>
        <w:t>Loss on investment revaluation of Ceribell, Inc.</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(4)</w:t>
      </w:r>
      <w:r>
        <w:rPr>
          <w:rFonts w:ascii="Franklin Gothic Book;sans-serif" w:hAnsi="Franklin Gothic Book;sans-serif"/>
          <w:b w:val="false"/>
          <w:color w:val="060606"/>
          <w:sz w:val="18"/>
        </w:rPr>
        <w:t>Mark-to-market adjustments for the 2025 and 2029 Notes embedded and capped call derivatives, interest expense on the Term Facilities, non-cash interest expense on the 2025 and 2029 Notes and Revolving Credit Facility, and interest income on the collateral for the SNIA litigation guarantee and delayed draw on Term Facilities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(5)</w:t>
      </w:r>
      <w:r>
        <w:rPr>
          <w:rFonts w:ascii="Franklin Gothic Book;sans-serif" w:hAnsi="Franklin Gothic Book;sans-serif"/>
          <w:b w:val="false"/>
          <w:color w:val="060606"/>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(6)</w:t>
      </w:r>
      <w:r>
        <w:rPr>
          <w:rFonts w:ascii="Franklin Gothic Book;sans-serif" w:hAnsi="Franklin Gothic Book;sans-serif"/>
          <w:b w:val="false"/>
          <w:color w:val="060606"/>
          <w:sz w:val="18"/>
        </w:rPr>
        <w:t>SNIA environmental liability, legal expenses primarily related to 3T Heater-Cooler defense, 3T Heater-Cooler litigation provision, MDR costs, cybersecurity incident costs net of insurance reimbursement, and R&amp;D tax incentive</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(7)</w:t>
      </w:r>
      <w:r>
        <w:rPr>
          <w:rFonts w:ascii="Franklin Gothic Book;sans-serif" w:hAnsi="Franklin Gothic Book;sans-serif"/>
          <w:b w:val="false"/>
          <w:color w:val="060606"/>
          <w:sz w:val="18"/>
        </w:rPr>
        <w:t xml:space="preserve">Non-cash expenses associated with share-based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(8)</w:t>
      </w:r>
      <w:r>
        <w:rPr>
          <w:rFonts w:ascii="Franklin Gothic Book;sans-serif" w:hAnsi="Franklin Gothic Book;sans-serif"/>
          <w:b w:val="false"/>
          <w:color w:val="060606"/>
          <w:sz w:val="18"/>
        </w:rPr>
        <w:t>The impact of valuation allowances, discrete tax items, the tax impact of intercompany transactions, and the tax impact on non-GAAP adjustments</w:t>
      </w:r>
    </w:p>
    <w:p>
      <w:pPr>
        <w:pStyle w:val="TextBody"/>
        <w:bidi w:val="0"/>
        <w:spacing w:lineRule="auto" w:line="300" w:before="0" w:after="0"/>
        <w:ind w:left="0" w:right="0" w:hanging="360"/>
        <w:jc w:val="both"/>
        <w:rPr/>
      </w:pPr>
      <w:r>
        <w:rPr>
          <w:rFonts w:ascii="Franklin Gothic Book;sans-serif" w:hAnsi="Franklin Gothic Book;sans-serif"/>
          <w:b w:val="false"/>
          <w:color w:val="060606"/>
          <w:sz w:val="12"/>
        </w:rPr>
        <w:t>(9)</w:t>
      </w:r>
      <w:r>
        <w:rPr>
          <w:rFonts w:ascii="Franklin Gothic Book;sans-serif" w:hAnsi="Franklin Gothic Book;sans-serif"/>
          <w:b w:val="false"/>
          <w:color w:val="060606"/>
          <w:sz w:val="18"/>
        </w:rPr>
        <w:t>The denominator used to calculate the impact of non-GAAP adjustments on a per share basis and adjusted diluted earnings per share includes dilution from LivaNova's share-based compensation awards that was excluded from the calculation of GAAP diluted loss per share because the effect would have been anti-dilutive. See the reconciliation of GAAP diluted weighted average shares outstanding, used in the computation of GAAP diluted loss per share, to adjusted diluted weighted average shares outstanding, used in the computation of adjusted diluted earnings per share, at the end of this news release.</w:t>
      </w:r>
    </w:p>
    <w:p>
      <w:pPr>
        <w:pStyle w:val="TextBody"/>
        <w:bidi w:val="0"/>
        <w:spacing w:lineRule="auto" w:line="300" w:before="0" w:after="120"/>
        <w:jc w:val="both"/>
        <w:rPr/>
      </w:pPr>
      <w:r>
        <w:rPr>
          <w:color w:val="060606"/>
        </w:rPr>
        <w:t xml:space="preserve">• </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7800"/>
                <wp:effectExtent l="0" t="0" r="0" b="0"/>
                <wp:wrapNone/>
                <wp:docPr id="17"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33"/>
        <w:gridCol w:w="1516"/>
        <w:gridCol w:w="1443"/>
        <w:gridCol w:w="335"/>
        <w:gridCol w:w="335"/>
        <w:gridCol w:w="335"/>
        <w:gridCol w:w="530"/>
        <w:gridCol w:w="518"/>
        <w:gridCol w:w="440"/>
        <w:gridCol w:w="335"/>
        <w:gridCol w:w="335"/>
        <w:gridCol w:w="335"/>
        <w:gridCol w:w="601"/>
        <w:gridCol w:w="559"/>
        <w:gridCol w:w="755"/>
      </w:tblGrid>
      <w:tr>
        <w:trPr/>
        <w:tc>
          <w:tcPr>
            <w:tcW w:w="183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LIVANOVA PLC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CONDENSED CONSOLIDATED BALANCE SHEETS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 millions)</w:t>
            </w:r>
          </w:p>
        </w:tc>
      </w:tr>
      <w:tr>
        <w:trPr/>
        <w:tc>
          <w:tcPr>
            <w:tcW w:w="4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March 31, 2026</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December 31, 2025</w:t>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60606"/>
                <w:sz w:val="20"/>
              </w:rPr>
            </w:pPr>
            <w:r>
              <w:rPr>
                <w:rFonts w:ascii="Franklin Gothic Book;sans-serif" w:hAnsi="Franklin Gothic Book;sans-serif"/>
                <w:b w:val="false"/>
                <w:i/>
                <w:color w:val="060606"/>
                <w:sz w:val="20"/>
              </w:rPr>
              <w:t>Current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Cash and cash equivalents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$539.7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$635.6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Accounts receivable, net of allowance</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229.3 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216.0 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Inventories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165.5 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164.7 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Prepaid and refundable taxes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41.3 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48.6 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Prepaid expenses and other current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36.8 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Current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1,014.2 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1,101.6 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Property, plant, and equipment, net</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255.5 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242.6 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Goodwill</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785.6 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792.8 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Intangible assets, net</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224.6 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230.0 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Operating lease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55.5 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Investments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18.5 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20.3 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Deferred tax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109.8 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111.0 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derivative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36.6 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Other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15.4 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15.7 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Assets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$2,516.4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$2,606.1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LIABILITIES AND SHAREHOLDERS’ EQUITY</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60606"/>
                <w:sz w:val="20"/>
              </w:rPr>
            </w:pPr>
            <w:r>
              <w:rPr>
                <w:rFonts w:ascii="Franklin Gothic Book;sans-serif" w:hAnsi="Franklin Gothic Book;sans-serif"/>
                <w:b w:val="false"/>
                <w:i/>
                <w:color w:val="060606"/>
                <w:sz w:val="20"/>
              </w:rPr>
              <w:t>Current Liabilities: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Current debt obligations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$31.5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Accounts payable</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99.1 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97.2 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Accrued liabilities and other</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102.6 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94.6 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SNIA environmental liability</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389.5 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396.2 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Current contingent consideration</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59.6 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50.0 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Current litigation provision liability</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12.6 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Taxes payable</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41.7 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33.1 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Accrued employee compensation and related benefits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57.6 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92.9 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Current Liabilities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762.5 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808.1 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debt obligations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285.2 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345.2 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contingent consideration</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43.1 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42.0 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Deferred tax liabilities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6.8 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9.6 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operating lease liabilities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46.7 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48.3 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employee compensation and related benefits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13.1 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13.6 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Long-term derivative liabilities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93.3 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83.9 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Other long-term liabilities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54.4 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55.4 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Liabilities</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1,305.0 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1,406.1 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Shareholders’ Equity</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1,211.3 </w:t>
            </w:r>
          </w:p>
        </w:tc>
        <w:tc>
          <w:tcPr>
            <w:tcW w:w="4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1,200.0 </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Liabilities and Shareholders’ Equity</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$2,516.4 </w:t>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20"/>
              </w:rPr>
            </w:pPr>
            <w:r>
              <w:rPr>
                <w:rFonts w:ascii="Franklin Gothic Book;sans-serif" w:hAnsi="Franklin Gothic Book;sans-serif"/>
                <w:b w:val="false"/>
                <w:color w:val="060606"/>
                <w:sz w:val="20"/>
              </w:rPr>
              <w:t>$2,606.1 </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7800"/>
                <wp:effectExtent l="0" t="0" r="0" b="0"/>
                <wp:wrapNone/>
                <wp:docPr id="18"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34"/>
        <w:gridCol w:w="2101"/>
        <w:gridCol w:w="2110"/>
        <w:gridCol w:w="109"/>
        <w:gridCol w:w="109"/>
        <w:gridCol w:w="109"/>
        <w:gridCol w:w="549"/>
        <w:gridCol w:w="309"/>
        <w:gridCol w:w="272"/>
        <w:gridCol w:w="272"/>
        <w:gridCol w:w="272"/>
        <w:gridCol w:w="272"/>
        <w:gridCol w:w="578"/>
        <w:gridCol w:w="320"/>
        <w:gridCol w:w="389"/>
      </w:tblGrid>
      <w:tr>
        <w:trPr/>
        <w:tc>
          <w:tcPr>
            <w:tcW w:w="243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LIVANOVA PLC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CONDENSED CONSOLIDATED STATEMENTS OF CASH FLOWS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8"/>
              </w:rPr>
            </w:pPr>
            <w:r>
              <w:rPr>
                <w:rFonts w:ascii="Franklin Gothic Book;sans-serif" w:hAnsi="Franklin Gothic Book;sans-serif"/>
                <w:b w:val="false"/>
                <w:color w:val="060606"/>
                <w:sz w:val="18"/>
              </w:rPr>
              <w:t>Three Months Ended March 31,</w:t>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8"/>
              </w:rPr>
            </w:pPr>
            <w:r>
              <w:rPr>
                <w:rFonts w:ascii="Franklin Gothic Book;sans-serif" w:hAnsi="Franklin Gothic Book;sans-serif"/>
                <w:b w:val="false"/>
                <w:color w:val="060606"/>
                <w:sz w:val="18"/>
              </w:rPr>
              <w:t>2026</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8"/>
              </w:rPr>
            </w:pPr>
            <w:r>
              <w:rPr>
                <w:rFonts w:ascii="Franklin Gothic Book;sans-serif" w:hAnsi="Franklin Gothic Book;sans-serif"/>
                <w:b w:val="false"/>
                <w:color w:val="060606"/>
                <w:sz w:val="18"/>
              </w:rPr>
              <w:t>2025</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$22.3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($327.3)</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Adjustments to reconcile net income (loss)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Remeasurement of contingent consideration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Remeasurement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(18.7)</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7.8 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Impairments of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Loss on investment revaluation - Ceribell,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2.6 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(14.7)</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(3.9)</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(4.2)</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 and accrued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(38.8)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(30.5)</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Litigation provision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SNIA environmental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360.4 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15.2 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24.0 </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(10.8)</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(0.3)</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(14.6)</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(10.6)</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Repayment of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(95.9)</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(4.4)</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(94.2)</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(4.4)</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(2.2)</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6.0 </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8"/>
              </w:rPr>
            </w:pPr>
            <w:r>
              <w:rPr>
                <w:rFonts w:ascii="Franklin Gothic Book;sans-serif" w:hAnsi="Franklin Gothic Book;sans-serif"/>
                <w:b w:val="false"/>
                <w:color w:val="060606"/>
                <w:sz w:val="18"/>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(95.8)</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14.9 </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635.6 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723.6 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and cash equivalents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$539.7 </w:t>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$738.4 </w:t>
            </w:r>
          </w:p>
        </w:tc>
        <w:tc>
          <w:tcPr>
            <w:tcW w:w="3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6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7800"/>
                <wp:effectExtent l="0" t="0" r="0" b="0"/>
                <wp:wrapNone/>
                <wp:docPr id="19"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21"/>
        <w:gridCol w:w="200"/>
        <w:gridCol w:w="120"/>
        <w:gridCol w:w="115"/>
        <w:gridCol w:w="115"/>
        <w:gridCol w:w="115"/>
        <w:gridCol w:w="109"/>
        <w:gridCol w:w="109"/>
        <w:gridCol w:w="109"/>
        <w:gridCol w:w="407"/>
        <w:gridCol w:w="214"/>
        <w:gridCol w:w="506"/>
        <w:gridCol w:w="109"/>
        <w:gridCol w:w="109"/>
        <w:gridCol w:w="109"/>
        <w:gridCol w:w="390"/>
        <w:gridCol w:w="390"/>
        <w:gridCol w:w="391"/>
        <w:gridCol w:w="109"/>
        <w:gridCol w:w="109"/>
        <w:gridCol w:w="109"/>
        <w:gridCol w:w="408"/>
        <w:gridCol w:w="215"/>
        <w:gridCol w:w="508"/>
        <w:gridCol w:w="109"/>
        <w:gridCol w:w="109"/>
        <w:gridCol w:w="109"/>
        <w:gridCol w:w="509"/>
        <w:gridCol w:w="231"/>
        <w:gridCol w:w="506"/>
        <w:gridCol w:w="109"/>
        <w:gridCol w:w="109"/>
        <w:gridCol w:w="109"/>
        <w:gridCol w:w="390"/>
        <w:gridCol w:w="390"/>
        <w:gridCol w:w="391"/>
        <w:gridCol w:w="109"/>
        <w:gridCol w:w="109"/>
        <w:gridCol w:w="109"/>
        <w:gridCol w:w="416"/>
        <w:gridCol w:w="205"/>
        <w:gridCol w:w="590"/>
      </w:tblGrid>
      <w:tr>
        <w:trPr/>
        <w:tc>
          <w:tcPr>
            <w:tcW w:w="5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RECONCILIATION OF GAAP TO NON-GAAP FINANCIAL MEASURES - UNAUDITED</w:t>
            </w:r>
          </w:p>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 millions)</w:t>
            </w:r>
          </w:p>
        </w:tc>
      </w:tr>
      <w:tr>
        <w:trPr/>
        <w:tc>
          <w:tcPr>
            <w:tcW w:w="118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Three Months Ended March 31,</w:t>
            </w:r>
          </w:p>
        </w:tc>
      </w:tr>
      <w:tr>
        <w:trPr/>
        <w:tc>
          <w:tcPr>
            <w:tcW w:w="1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2025</w:t>
            </w:r>
          </w:p>
        </w:tc>
      </w:tr>
      <w:tr>
        <w:trPr/>
        <w:tc>
          <w:tcPr>
            <w:tcW w:w="1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Financial Measures</w:t>
            </w:r>
          </w:p>
        </w:tc>
      </w:tr>
      <w:tr>
        <w:trPr/>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(loss) before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$27.5 </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$71.5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($315.6)</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$63.5 </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4.3 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11.7 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16.1 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11.7 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15.4 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Loss from 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(0.9)</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(0.9)</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60606"/>
              </w:rPr>
            </w:pPr>
            <w:r>
              <w:rPr>
                <w:color w:val="060606"/>
              </w:rPr>
              <w:t>— </w:t>
            </w:r>
          </w:p>
        </w:tc>
        <w:tc>
          <w:tcPr>
            <w:tcW w:w="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$22.3 </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($11.7)</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$54.6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($327.3)</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$48.1 </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15.8 </w:t>
            </w:r>
          </w:p>
        </w:tc>
        <w:tc>
          <w:tcPr>
            <w:tcW w:w="50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22.5 </w:t>
            </w:r>
          </w:p>
        </w:tc>
        <w:tc>
          <w:tcPr>
            <w:tcW w:w="50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(3.7)</w:t>
            </w:r>
          </w:p>
        </w:tc>
        <w:tc>
          <w:tcPr>
            <w:tcW w:w="50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24.2 </w:t>
            </w:r>
          </w:p>
        </w:tc>
        <w:tc>
          <w:tcPr>
            <w:tcW w:w="59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w:t>
            </w:r>
          </w:p>
        </w:tc>
      </w:tr>
    </w:tbl>
    <w:p>
      <w:pPr>
        <w:pStyle w:val="TextBody"/>
        <w:bidi w:val="0"/>
        <w:spacing w:lineRule="auto" w:line="432" w:before="100" w:after="120"/>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tbl>
      <w:tblPr>
        <w:tblW w:w="10205" w:type="dxa"/>
        <w:jc w:val="left"/>
        <w:tblInd w:w="0" w:type="dxa"/>
        <w:tblLayout w:type="fixed"/>
        <w:tblCellMar>
          <w:top w:w="28" w:type="dxa"/>
          <w:left w:w="28" w:type="dxa"/>
          <w:bottom w:w="28" w:type="dxa"/>
          <w:right w:w="28" w:type="dxa"/>
        </w:tblCellMar>
      </w:tblPr>
      <w:tblGrid>
        <w:gridCol w:w="2359"/>
        <w:gridCol w:w="2072"/>
        <w:gridCol w:w="2081"/>
        <w:gridCol w:w="109"/>
        <w:gridCol w:w="109"/>
        <w:gridCol w:w="109"/>
        <w:gridCol w:w="1033"/>
        <w:gridCol w:w="1031"/>
        <w:gridCol w:w="1036"/>
        <w:gridCol w:w="109"/>
        <w:gridCol w:w="157"/>
      </w:tblGrid>
      <w:tr>
        <w:trPr/>
        <w:tc>
          <w:tcPr>
            <w:tcW w:w="235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RECONCILIATION OF GAAP TO NON-GAAP FINANCIAL MEASURES - UNAUDITED</w:t>
            </w:r>
          </w:p>
          <w:p>
            <w:pPr>
              <w:pStyle w:val="TableContents"/>
              <w:bidi w:val="0"/>
              <w:spacing w:lineRule="auto" w:line="240" w:before="0" w:after="0"/>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16"/>
              </w:rPr>
            </w:pPr>
            <w:r>
              <w:rPr>
                <w:rFonts w:ascii="Franklin Gothic Book;sans-serif" w:hAnsi="Franklin Gothic Book;sans-serif"/>
                <w:b w:val="false"/>
                <w:color w:val="060606"/>
                <w:sz w:val="16"/>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$15.2 </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Less: Purchases of plant,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(14.3)</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Add: 3T Heater-Cooler litigation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2.8 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16"/>
              </w:rPr>
            </w:pPr>
            <w:r>
              <w:rPr>
                <w:rFonts w:ascii="Franklin Gothic Book;sans-serif" w:hAnsi="Franklin Gothic Book;sans-serif"/>
                <w:b w:val="false"/>
                <w:color w:val="060606"/>
                <w:sz w:val="16"/>
              </w:rPr>
              <w:t>Adjusted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60606"/>
                <w:sz w:val="16"/>
              </w:rPr>
            </w:pPr>
            <w:r>
              <w:rPr>
                <w:rFonts w:ascii="Franklin Gothic Book;sans-serif" w:hAnsi="Franklin Gothic Book;sans-serif"/>
                <w:b w:val="false"/>
                <w:color w:val="060606"/>
                <w:sz w:val="16"/>
              </w:rPr>
              <w:t>$3.8 </w:t>
            </w:r>
          </w:p>
        </w:tc>
        <w:tc>
          <w:tcPr>
            <w:tcW w:w="10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32" w:before="0" w:after="0"/>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lineRule="auto" w:line="432"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following table presents the reconciliation of GAAP diluted weighted average shares outstanding, used in the computation of GAAP diluted loss per share, to adjusted diluted weighted average shares outstanding, used in the computation of adjusted diluted earnings per share:</w:t>
      </w:r>
    </w:p>
    <w:tbl>
      <w:tblPr>
        <w:tblW w:w="10205" w:type="dxa"/>
        <w:jc w:val="left"/>
        <w:tblInd w:w="0" w:type="dxa"/>
        <w:tblLayout w:type="fixed"/>
        <w:tblCellMar>
          <w:top w:w="28" w:type="dxa"/>
          <w:left w:w="28" w:type="dxa"/>
          <w:bottom w:w="28" w:type="dxa"/>
          <w:right w:w="28" w:type="dxa"/>
        </w:tblCellMar>
      </w:tblPr>
      <w:tblGrid>
        <w:gridCol w:w="2359"/>
        <w:gridCol w:w="2072"/>
        <w:gridCol w:w="2081"/>
        <w:gridCol w:w="109"/>
        <w:gridCol w:w="109"/>
        <w:gridCol w:w="109"/>
        <w:gridCol w:w="109"/>
        <w:gridCol w:w="109"/>
        <w:gridCol w:w="921"/>
        <w:gridCol w:w="921"/>
        <w:gridCol w:w="1306"/>
      </w:tblGrid>
      <w:tr>
        <w:trPr/>
        <w:tc>
          <w:tcPr>
            <w:tcW w:w="235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RECONCILIATION OF GAAP TO NON-GAAP FINANCIAL MEASURES - UNAUDITED</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Three Months Ended March 31, 2025</w:t>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54.4</w:t>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Effects of share-based compensation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w:t>
            </w:r>
          </w:p>
        </w:tc>
      </w:tr>
      <w:tr>
        <w:trPr/>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54.7</w:t>
            </w:r>
          </w:p>
        </w:tc>
      </w:tr>
    </w:tbl>
    <w:p>
      <w:pPr>
        <w:pStyle w:val="TextBody"/>
        <w:bidi w:val="0"/>
        <w:spacing w:lineRule="auto" w:line="288"/>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7800"/>
                <wp:effectExtent l="0" t="0" r="0" b="0"/>
                <wp:wrapNone/>
                <wp:docPr id="20" name="Frame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5215</Words>
  <Characters>29739</Characters>
  <CharactersWithSpaces>34425</CharactersWithSpaces>
  <Paragraphs>1087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