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4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4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1"/>
              </w:rPr>
              <w:t>(Commission</w:t>
            </w:r>
          </w:p>
        </w:tc>
        <w:tc>
          <w:tcPr>
            <w:tcW w:w="1660" w:type="dxa"/>
            <w:vAlign w:val="bottom"/>
          </w:tcPr>
          <w:p>
            <w:pPr>
              <w:jc w:val="center"/>
              <w:ind w:left="250"/>
              <w:spacing w:after="0"/>
              <w:rPr>
                <w:sz w:val="20"/>
                <w:szCs w:val="20"/>
                <w:color w:val="auto"/>
              </w:rPr>
            </w:pPr>
            <w:r>
              <w:rPr>
                <w:rFonts w:ascii="Arial" w:cs="Arial" w:eastAsia="Arial" w:hAnsi="Arial"/>
                <w:sz w:val="18"/>
                <w:szCs w:val="18"/>
                <w:color w:val="auto"/>
                <w:w w:val="92"/>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480" w:type="dxa"/>
            <w:vAlign w:val="bottom"/>
          </w:tcPr>
          <w:p>
            <w:pPr>
              <w:jc w:val="center"/>
              <w:ind w:right="30"/>
              <w:spacing w:after="0"/>
              <w:rPr>
                <w:sz w:val="20"/>
                <w:szCs w:val="20"/>
                <w:color w:val="auto"/>
              </w:rPr>
            </w:pPr>
            <w:r>
              <w:rPr>
                <w:rFonts w:ascii="Arial" w:cs="Arial" w:eastAsia="Arial" w:hAnsi="Arial"/>
                <w:sz w:val="18"/>
                <w:szCs w:val="18"/>
                <w:color w:val="auto"/>
                <w:w w:val="92"/>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18"/>
        </w:trPr>
        <w:tc>
          <w:tcPr>
            <w:tcW w:w="2120" w:type="dxa"/>
            <w:vAlign w:val="bottom"/>
          </w:tcPr>
          <w:p>
            <w:pPr>
              <w:spacing w:after="0"/>
              <w:rPr>
                <w:sz w:val="24"/>
                <w:szCs w:val="24"/>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480" w:type="dxa"/>
            <w:vAlign w:val="bottom"/>
          </w:tcPr>
          <w:p>
            <w:pPr>
              <w:jc w:val="center"/>
              <w:ind w:right="7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11"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58"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58" w:lineRule="exact"/>
        <w:rPr>
          <w:rFonts w:ascii="MS PGothic" w:cs="MS PGothic" w:eastAsia="MS PGothic" w:hAnsi="MS PGothic"/>
          <w:sz w:val="22"/>
          <w:szCs w:val="22"/>
          <w:color w:val="auto"/>
        </w:rPr>
      </w:pPr>
    </w:p>
    <w:p>
      <w:pPr>
        <w:ind w:right="2960" w:firstLine="8"/>
        <w:spacing w:after="0" w:line="520"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66"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2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8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7780"/>
        <w:spacing w:after="0" w:line="301" w:lineRule="exact"/>
        <w:tabs>
          <w:tab w:leader="none" w:pos="107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30"/>
          <w:szCs w:val="30"/>
          <w:color w:val="auto"/>
          <w:vertAlign w:val="subscript"/>
        </w:rPr>
        <w:t>☐</w:t>
      </w:r>
    </w:p>
    <w:p>
      <w:pPr>
        <w:spacing w:after="0" w:line="34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3" w:lineRule="exact"/>
        <w:rPr>
          <w:sz w:val="24"/>
          <w:szCs w:val="24"/>
          <w:color w:val="auto"/>
        </w:rPr>
      </w:pPr>
    </w:p>
    <w:p>
      <w:pPr>
        <w:ind w:left="1076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 w:name="page2"/>
    <w:bookmarkEnd w:id="1"/>
    <w:p>
      <w:pPr>
        <w:ind w:right="66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May 13, 2020, it was determined that Thad Huston, Chief Financial Officer of LivaNova PLC (the "Company" or "LivaNova"), would become the Company’s Principal Accounting Officer, effective May 19, 2020, following the resignation of the Company’s previous Principal Accounting Officer on May 15, 2020.</w:t>
      </w:r>
    </w:p>
    <w:p>
      <w:pPr>
        <w:spacing w:after="0" w:line="105"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Previous to his start at LivaNova as Chief Financial Officer on May 20, 2017, Mr. Huston, age 50, was at Johnson &amp; Johnson, Inc. ("J&amp;J"), where he was most recently Group Chief Financial Officer, Medical Devices. His career at J&amp;J spanned more than twenty-five years and included various senior roles, including: President of J&amp;J’s Xian-Janssen Pharmaceuticals division in China; Vice President - Finance, Chief Financial Officer and Chief Operations Officer in J&amp;J Pharmaceutical Research and Development; as well as Vice President - Finance and Chief Financial Officer at Ortho-McNeil Pharmaceuticals. Prior to this, he held senior financial roles at various J&amp;J locations in the U.S., China, Belgium, Russia and Hungary.</w:t>
      </w:r>
    </w:p>
    <w:p>
      <w:pPr>
        <w:spacing w:after="0" w:line="115" w:lineRule="exact"/>
        <w:rPr>
          <w:sz w:val="20"/>
          <w:szCs w:val="20"/>
          <w:color w:val="auto"/>
        </w:rPr>
      </w:pPr>
    </w:p>
    <w:p>
      <w:pPr>
        <w:jc w:val="both"/>
        <w:ind w:right="100"/>
        <w:spacing w:after="0" w:line="291" w:lineRule="auto"/>
        <w:rPr>
          <w:sz w:val="20"/>
          <w:szCs w:val="20"/>
          <w:color w:val="auto"/>
        </w:rPr>
      </w:pPr>
      <w:r>
        <w:rPr>
          <w:rFonts w:ascii="Arial" w:cs="Arial" w:eastAsia="Arial" w:hAnsi="Arial"/>
          <w:sz w:val="18"/>
          <w:szCs w:val="18"/>
          <w:color w:val="auto"/>
        </w:rPr>
        <w:t>No new compensatory arrangements will be entered into with Mr. Huston in connection with this role, and he did not enter into this position pursuant to any arrangement or understanding with any other person. Mr. Huston does not have any family relationships with any executive officer or director of the Company, and he is not a party to any transaction to be disclosed pursuant to Item 404(a) of Regulation S-K.</w:t>
      </w:r>
    </w:p>
    <w:p>
      <w:pPr>
        <w:sectPr>
          <w:pgSz w:w="11900" w:h="16838" w:orient="portrait"/>
          <w:cols w:equalWidth="0" w:num="1">
            <w:col w:w="11200"/>
          </w:cols>
          <w:pgMar w:left="320" w:top="333"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19, 2020</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Keyna Skeffington</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Company Secretary</w:t>
      </w:r>
    </w:p>
    <w:sectPr>
      <w:pgSz w:w="11900" w:h="16838" w:orient="portrait"/>
      <w:cols w:equalWidth="0" w:num="1">
        <w:col w:w="10980"/>
      </w:cols>
      <w:pgMar w:left="320" w:top="33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2020-05-19T06:37:25Z</dcterms:created>
  <dcterms:modified xsi:type="dcterms:W3CDTF">2020-05-19T06:37:25Z</dcterms:modified>
</cp:coreProperties>
</file>