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jc w:val="center"/>
        <w:spacing w:after="0" w:line="201" w:lineRule="auto"/>
        <w:rPr>
          <w:sz w:val="20"/>
          <w:szCs w:val="20"/>
          <w:color w:val="auto"/>
        </w:rPr>
      </w:pPr>
      <w:r>
        <w:rPr>
          <w:rFonts w:ascii="Arial" w:cs="Arial" w:eastAsia="Arial" w:hAnsi="Arial"/>
          <w:sz w:val="17"/>
          <w:szCs w:val="17"/>
          <w:b w:val="1"/>
          <w:bCs w:val="1"/>
          <w:color w:val="auto"/>
        </w:rPr>
        <w:t>SECURITIES AND EXCHANGE COMMISSION</w:t>
      </w:r>
    </w:p>
    <w:p>
      <w:pPr>
        <w:jc w:val="center"/>
        <w:spacing w:after="0" w:line="205" w:lineRule="auto"/>
        <w:rPr>
          <w:sz w:val="20"/>
          <w:szCs w:val="20"/>
          <w:color w:val="auto"/>
        </w:rPr>
      </w:pPr>
      <w:r>
        <w:rPr>
          <w:rFonts w:ascii="Arial" w:cs="Arial" w:eastAsia="Arial" w:hAnsi="Arial"/>
          <w:sz w:val="15"/>
          <w:szCs w:val="15"/>
          <w:b w:val="1"/>
          <w:bCs w:val="1"/>
          <w:color w:val="auto"/>
        </w:rPr>
        <w:t>Washington, D.C. 20549</w:t>
      </w:r>
    </w:p>
    <w:p>
      <w:pPr>
        <w:ind w:left="5040"/>
        <w:spacing w:after="0"/>
        <w:rPr>
          <w:sz w:val="20"/>
          <w:szCs w:val="20"/>
          <w:color w:val="auto"/>
        </w:rPr>
      </w:pPr>
      <w:r>
        <w:rPr>
          <w:rFonts w:ascii="Arial" w:cs="Arial" w:eastAsia="Arial" w:hAnsi="Arial"/>
          <w:sz w:val="9"/>
          <w:szCs w:val="9"/>
          <w:color w:val="auto"/>
        </w:rPr>
        <w:t>_________________________</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9"/>
          <w:szCs w:val="9"/>
          <w:color w:val="auto"/>
        </w:rPr>
        <w:t>(Mark One)</w:t>
      </w:r>
    </w:p>
    <w:p>
      <w:pPr>
        <w:spacing w:after="0" w:line="13" w:lineRule="exact"/>
        <w:rPr>
          <w:sz w:val="24"/>
          <w:szCs w:val="24"/>
          <w:color w:val="auto"/>
        </w:rPr>
      </w:pPr>
    </w:p>
    <w:p>
      <w:pPr>
        <w:jc w:val="center"/>
        <w:ind w:left="4160" w:right="1620" w:hanging="2544"/>
        <w:spacing w:after="0" w:line="263" w:lineRule="auto"/>
        <w:tabs>
          <w:tab w:leader="none" w:pos="1802"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5"/>
          <w:szCs w:val="15"/>
          <w:color w:val="auto"/>
        </w:rPr>
        <w:t>For the quarterly period ended: March 31, 2021</w:t>
      </w:r>
    </w:p>
    <w:p>
      <w:pPr>
        <w:jc w:val="center"/>
        <w:spacing w:after="0"/>
        <w:rPr>
          <w:sz w:val="20"/>
          <w:szCs w:val="20"/>
          <w:color w:val="auto"/>
        </w:rPr>
      </w:pPr>
      <w:r>
        <w:rPr>
          <w:rFonts w:ascii="Arial" w:cs="Arial" w:eastAsia="Arial" w:hAnsi="Arial"/>
          <w:sz w:val="15"/>
          <w:szCs w:val="15"/>
          <w:b w:val="1"/>
          <w:bCs w:val="1"/>
          <w:color w:val="auto"/>
        </w:rPr>
        <w:t>or</w:t>
      </w:r>
    </w:p>
    <w:p>
      <w:pPr>
        <w:spacing w:after="0" w:line="9" w:lineRule="exact"/>
        <w:rPr>
          <w:sz w:val="24"/>
          <w:szCs w:val="24"/>
          <w:color w:val="auto"/>
        </w:rPr>
      </w:pPr>
    </w:p>
    <w:p>
      <w:pPr>
        <w:jc w:val="center"/>
        <w:ind w:left="3440" w:right="1620" w:hanging="1829"/>
        <w:spacing w:after="0" w:line="280" w:lineRule="auto"/>
        <w:tabs>
          <w:tab w:leader="none" w:pos="1798"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 to _______________</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15875</wp:posOffset>
            </wp:positionV>
            <wp:extent cx="1776730" cy="396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6730" cy="396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LivaNova PLC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3"/>
        </w:trPr>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40" w:type="dxa"/>
            <w:vAlign w:val="bottom"/>
            <w:gridSpan w:val="2"/>
          </w:tcPr>
          <w:p>
            <w:pPr>
              <w:jc w:val="right"/>
              <w:spacing w:after="0"/>
              <w:rPr>
                <w:sz w:val="20"/>
                <w:szCs w:val="20"/>
                <w:color w:val="auto"/>
              </w:rPr>
            </w:pPr>
            <w:r>
              <w:rPr>
                <w:rFonts w:ascii="Arial" w:cs="Arial" w:eastAsia="Arial" w:hAnsi="Arial"/>
                <w:sz w:val="12"/>
                <w:szCs w:val="12"/>
                <w:b w:val="1"/>
                <w:bCs w:val="1"/>
                <w:color w:val="auto"/>
              </w:rPr>
              <w:t xml:space="preserve">England and Wales </w:t>
            </w:r>
            <w:r>
              <w:rPr>
                <w:rFonts w:ascii="Arial" w:cs="Arial" w:eastAsia="Arial" w:hAnsi="Arial"/>
                <w:sz w:val="12"/>
                <w:szCs w:val="12"/>
                <w:i w:val="1"/>
                <w:iCs w:val="1"/>
                <w:color w:val="FFFFFF"/>
              </w:rPr>
              <w:t>...................</w:t>
            </w:r>
          </w:p>
        </w:tc>
        <w:tc>
          <w:tcPr>
            <w:tcW w:w="1100" w:type="dxa"/>
            <w:vAlign w:val="bottom"/>
          </w:tcPr>
          <w:p>
            <w:pPr>
              <w:jc w:val="center"/>
              <w:ind w:right="158"/>
              <w:spacing w:after="0"/>
              <w:rPr>
                <w:sz w:val="20"/>
                <w:szCs w:val="20"/>
                <w:color w:val="auto"/>
              </w:rPr>
            </w:pPr>
            <w:r>
              <w:rPr>
                <w:rFonts w:ascii="Arial" w:cs="Arial" w:eastAsia="Arial" w:hAnsi="Arial"/>
                <w:sz w:val="12"/>
                <w:szCs w:val="12"/>
                <w:b w:val="1"/>
                <w:bCs w:val="1"/>
                <w:color w:val="auto"/>
                <w:w w:val="93"/>
              </w:rPr>
              <w:t>98-1268150</w:t>
            </w:r>
          </w:p>
        </w:tc>
        <w:tc>
          <w:tcPr>
            <w:tcW w:w="218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39"/>
        </w:trPr>
        <w:tc>
          <w:tcPr>
            <w:tcW w:w="2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40" w:type="dxa"/>
            <w:vAlign w:val="bottom"/>
            <w:gridSpan w:val="2"/>
          </w:tcPr>
          <w:p>
            <w:pPr>
              <w:jc w:val="right"/>
              <w:spacing w:after="0"/>
              <w:rPr>
                <w:sz w:val="20"/>
                <w:szCs w:val="20"/>
                <w:color w:val="auto"/>
              </w:rPr>
            </w:pPr>
            <w:r>
              <w:rPr>
                <w:rFonts w:ascii="Arial" w:cs="Arial" w:eastAsia="Arial" w:hAnsi="Arial"/>
                <w:sz w:val="12"/>
                <w:szCs w:val="12"/>
                <w:i w:val="1"/>
                <w:iCs w:val="1"/>
                <w:color w:val="auto"/>
              </w:rPr>
              <w:t xml:space="preserve">(State or other jurisdiction of </w:t>
            </w:r>
            <w:r>
              <w:rPr>
                <w:rFonts w:ascii="Arial" w:cs="Arial" w:eastAsia="Arial" w:hAnsi="Arial"/>
                <w:sz w:val="12"/>
                <w:szCs w:val="12"/>
                <w:i w:val="1"/>
                <w:iCs w:val="1"/>
                <w:color w:val="FFFFFF"/>
              </w:rPr>
              <w:t>..........</w:t>
            </w:r>
          </w:p>
        </w:tc>
        <w:tc>
          <w:tcPr>
            <w:tcW w:w="5180" w:type="dxa"/>
            <w:vAlign w:val="bottom"/>
            <w:gridSpan w:val="3"/>
          </w:tcPr>
          <w:p>
            <w:pPr>
              <w:jc w:val="center"/>
              <w:ind w:right="4280"/>
              <w:spacing w:after="0"/>
              <w:rPr>
                <w:sz w:val="20"/>
                <w:szCs w:val="20"/>
                <w:color w:val="auto"/>
              </w:rPr>
            </w:pPr>
            <w:r>
              <w:rPr>
                <w:rFonts w:ascii="Arial" w:cs="Arial" w:eastAsia="Arial" w:hAnsi="Arial"/>
                <w:sz w:val="12"/>
                <w:szCs w:val="12"/>
                <w:i w:val="1"/>
                <w:iCs w:val="1"/>
                <w:color w:val="auto"/>
                <w:w w:val="93"/>
              </w:rPr>
              <w:t>(I.R.S. Employer</w:t>
            </w:r>
          </w:p>
        </w:tc>
      </w:tr>
      <w:tr>
        <w:trPr>
          <w:trHeight w:val="156"/>
        </w:trPr>
        <w:tc>
          <w:tcPr>
            <w:tcW w:w="2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40" w:type="dxa"/>
            <w:vAlign w:val="bottom"/>
            <w:gridSpan w:val="2"/>
          </w:tcPr>
          <w:p>
            <w:pPr>
              <w:jc w:val="right"/>
              <w:spacing w:after="0"/>
              <w:rPr>
                <w:sz w:val="20"/>
                <w:szCs w:val="20"/>
                <w:color w:val="auto"/>
              </w:rPr>
            </w:pPr>
            <w:r>
              <w:rPr>
                <w:rFonts w:ascii="Arial" w:cs="Arial" w:eastAsia="Arial" w:hAnsi="Arial"/>
                <w:sz w:val="12"/>
                <w:szCs w:val="12"/>
                <w:i w:val="1"/>
                <w:iCs w:val="1"/>
                <w:color w:val="auto"/>
              </w:rPr>
              <w:t xml:space="preserve">incorporation or organization) </w:t>
            </w:r>
            <w:r>
              <w:rPr>
                <w:rFonts w:ascii="Arial" w:cs="Arial" w:eastAsia="Arial" w:hAnsi="Arial"/>
                <w:sz w:val="12"/>
                <w:szCs w:val="12"/>
                <w:i w:val="1"/>
                <w:iCs w:val="1"/>
                <w:color w:val="FFFFFF"/>
              </w:rPr>
              <w:t>........</w:t>
            </w:r>
          </w:p>
        </w:tc>
        <w:tc>
          <w:tcPr>
            <w:tcW w:w="5180" w:type="dxa"/>
            <w:vAlign w:val="bottom"/>
            <w:gridSpan w:val="3"/>
          </w:tcPr>
          <w:p>
            <w:pPr>
              <w:jc w:val="center"/>
              <w:ind w:right="4260"/>
              <w:spacing w:after="0"/>
              <w:rPr>
                <w:sz w:val="20"/>
                <w:szCs w:val="20"/>
                <w:color w:val="auto"/>
              </w:rPr>
            </w:pPr>
            <w:r>
              <w:rPr>
                <w:rFonts w:ascii="Arial" w:cs="Arial" w:eastAsia="Arial" w:hAnsi="Arial"/>
                <w:sz w:val="12"/>
                <w:szCs w:val="12"/>
                <w:i w:val="1"/>
                <w:iCs w:val="1"/>
                <w:color w:val="auto"/>
                <w:w w:val="98"/>
              </w:rPr>
              <w:t>Identification No.)</w:t>
            </w:r>
          </w:p>
        </w:tc>
      </w:tr>
      <w:tr>
        <w:trPr>
          <w:trHeight w:val="307"/>
        </w:trPr>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20" w:type="dxa"/>
            <w:vAlign w:val="bottom"/>
            <w:gridSpan w:val="5"/>
          </w:tcPr>
          <w:p>
            <w:pPr>
              <w:jc w:val="center"/>
              <w:ind w:right="4040"/>
              <w:spacing w:after="0"/>
              <w:rPr>
                <w:sz w:val="20"/>
                <w:szCs w:val="20"/>
                <w:color w:val="auto"/>
              </w:rPr>
            </w:pPr>
            <w:r>
              <w:rPr>
                <w:rFonts w:ascii="Arial" w:cs="Arial" w:eastAsia="Arial" w:hAnsi="Arial"/>
                <w:sz w:val="12"/>
                <w:szCs w:val="12"/>
                <w:b w:val="1"/>
                <w:bCs w:val="1"/>
                <w:color w:val="auto"/>
                <w:w w:val="94"/>
              </w:rPr>
              <w:t>20 Eastbourne Terrace, London, United Kingdom</w:t>
            </w:r>
            <w:r>
              <w:rPr>
                <w:rFonts w:ascii="Arial" w:cs="Arial" w:eastAsia="Arial" w:hAnsi="Arial"/>
                <w:sz w:val="15"/>
                <w:szCs w:val="15"/>
                <w:color w:val="auto"/>
                <w:w w:val="94"/>
              </w:rPr>
              <w:t>,</w:t>
            </w:r>
            <w:r>
              <w:rPr>
                <w:rFonts w:ascii="Arial" w:cs="Arial" w:eastAsia="Arial" w:hAnsi="Arial"/>
                <w:sz w:val="12"/>
                <w:szCs w:val="12"/>
                <w:b w:val="1"/>
                <w:bCs w:val="1"/>
                <w:color w:val="auto"/>
                <w:w w:val="94"/>
              </w:rPr>
              <w:t xml:space="preserve"> W2 6LG</w:t>
            </w:r>
          </w:p>
        </w:tc>
      </w:tr>
      <w:tr>
        <w:trPr>
          <w:trHeight w:val="156"/>
        </w:trPr>
        <w:tc>
          <w:tcPr>
            <w:tcW w:w="2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60" w:type="dxa"/>
            <w:vAlign w:val="bottom"/>
            <w:gridSpan w:val="3"/>
          </w:tcPr>
          <w:p>
            <w:pPr>
              <w:jc w:val="right"/>
              <w:spacing w:after="0"/>
              <w:rPr>
                <w:sz w:val="20"/>
                <w:szCs w:val="20"/>
                <w:color w:val="auto"/>
              </w:rPr>
            </w:pPr>
            <w:r>
              <w:rPr>
                <w:rFonts w:ascii="Arial" w:cs="Arial" w:eastAsia="Arial" w:hAnsi="Arial"/>
                <w:sz w:val="12"/>
                <w:szCs w:val="12"/>
                <w:i w:val="1"/>
                <w:iCs w:val="1"/>
                <w:color w:val="auto"/>
                <w:w w:val="92"/>
              </w:rPr>
              <w:t xml:space="preserve">(Address of principal executive offices) </w:t>
            </w:r>
            <w:r>
              <w:rPr>
                <w:rFonts w:ascii="Arial" w:cs="Arial" w:eastAsia="Arial" w:hAnsi="Arial"/>
                <w:sz w:val="12"/>
                <w:szCs w:val="12"/>
                <w:i w:val="1"/>
                <w:iCs w:val="1"/>
                <w:color w:val="FFFFFF"/>
                <w:w w:val="92"/>
              </w:rPr>
              <w:t>.......................</w:t>
            </w:r>
          </w:p>
        </w:tc>
        <w:tc>
          <w:tcPr>
            <w:tcW w:w="5180" w:type="dxa"/>
            <w:vAlign w:val="bottom"/>
            <w:gridSpan w:val="3"/>
          </w:tcPr>
          <w:p>
            <w:pPr>
              <w:ind w:left="620"/>
              <w:spacing w:after="0"/>
              <w:rPr>
                <w:sz w:val="20"/>
                <w:szCs w:val="20"/>
                <w:color w:val="auto"/>
              </w:rPr>
            </w:pPr>
            <w:r>
              <w:rPr>
                <w:rFonts w:ascii="Arial" w:cs="Arial" w:eastAsia="Arial" w:hAnsi="Arial"/>
                <w:sz w:val="12"/>
                <w:szCs w:val="12"/>
                <w:i w:val="1"/>
                <w:iCs w:val="1"/>
                <w:color w:val="auto"/>
              </w:rPr>
              <w:t>(Zip Code)</w:t>
            </w:r>
          </w:p>
        </w:tc>
      </w:tr>
      <w:tr>
        <w:trPr>
          <w:trHeight w:val="289"/>
        </w:trPr>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40" w:type="dxa"/>
            <w:vAlign w:val="bottom"/>
            <w:gridSpan w:val="6"/>
          </w:tcPr>
          <w:p>
            <w:pPr>
              <w:jc w:val="center"/>
              <w:ind w:right="3420"/>
              <w:spacing w:after="0"/>
              <w:rPr>
                <w:sz w:val="20"/>
                <w:szCs w:val="20"/>
                <w:color w:val="auto"/>
              </w:rPr>
            </w:pPr>
            <w:r>
              <w:rPr>
                <w:rFonts w:ascii="Arial" w:cs="Arial" w:eastAsia="Arial" w:hAnsi="Arial"/>
                <w:sz w:val="12"/>
                <w:szCs w:val="12"/>
                <w:i w:val="1"/>
                <w:iCs w:val="1"/>
                <w:color w:val="auto"/>
                <w:w w:val="93"/>
              </w:rPr>
              <w:t xml:space="preserve">Registrant’s telephone number, including area code: </w:t>
            </w:r>
            <w:r>
              <w:rPr>
                <w:rFonts w:ascii="Arial" w:cs="Arial" w:eastAsia="Arial" w:hAnsi="Arial"/>
                <w:sz w:val="12"/>
                <w:szCs w:val="12"/>
                <w:b w:val="1"/>
                <w:bCs w:val="1"/>
                <w:color w:val="auto"/>
                <w:w w:val="93"/>
              </w:rPr>
              <w:t>(44) (0) 203 325-0660</w:t>
            </w:r>
          </w:p>
        </w:tc>
      </w:tr>
      <w:tr>
        <w:trPr>
          <w:trHeight w:val="187"/>
        </w:trPr>
        <w:tc>
          <w:tcPr>
            <w:tcW w:w="2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r>
      <w:tr>
        <w:trPr>
          <w:trHeight w:val="221"/>
        </w:trPr>
        <w:tc>
          <w:tcPr>
            <w:tcW w:w="2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20" w:type="dxa"/>
            <w:vAlign w:val="bottom"/>
            <w:gridSpan w:val="5"/>
          </w:tcPr>
          <w:p>
            <w:pPr>
              <w:ind w:left="260"/>
              <w:spacing w:after="0"/>
              <w:rPr>
                <w:sz w:val="20"/>
                <w:szCs w:val="20"/>
                <w:color w:val="auto"/>
              </w:rPr>
            </w:pPr>
            <w:r>
              <w:rPr>
                <w:rFonts w:ascii="Arial" w:cs="Arial" w:eastAsia="Arial" w:hAnsi="Arial"/>
                <w:sz w:val="12"/>
                <w:szCs w:val="12"/>
                <w:color w:val="auto"/>
              </w:rPr>
              <w:t>Securities registered pursuant to Section 12(b) of the Act</w:t>
            </w:r>
          </w:p>
        </w:tc>
      </w:tr>
      <w:tr>
        <w:trPr>
          <w:trHeight w:val="242"/>
        </w:trPr>
        <w:tc>
          <w:tcPr>
            <w:tcW w:w="25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Title of each class</w:t>
            </w: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Trading Symbol(s)</w:t>
            </w:r>
          </w:p>
        </w:tc>
        <w:tc>
          <w:tcPr>
            <w:tcW w:w="1100" w:type="dxa"/>
            <w:vAlign w:val="bottom"/>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Name of each exchange on which registered</w:t>
            </w:r>
          </w:p>
        </w:tc>
        <w:tc>
          <w:tcPr>
            <w:tcW w:w="1900" w:type="dxa"/>
            <w:vAlign w:val="bottom"/>
          </w:tcPr>
          <w:p>
            <w:pPr>
              <w:spacing w:after="0"/>
              <w:rPr>
                <w:sz w:val="21"/>
                <w:szCs w:val="21"/>
                <w:color w:val="auto"/>
              </w:rPr>
            </w:pPr>
          </w:p>
        </w:tc>
      </w:tr>
      <w:tr>
        <w:trPr>
          <w:trHeight w:val="166"/>
        </w:trPr>
        <w:tc>
          <w:tcPr>
            <w:tcW w:w="4040" w:type="dxa"/>
            <w:vAlign w:val="bottom"/>
            <w:gridSpan w:val="3"/>
          </w:tcPr>
          <w:p>
            <w:pPr>
              <w:jc w:val="center"/>
              <w:ind w:left="1838"/>
              <w:spacing w:after="0"/>
              <w:rPr>
                <w:sz w:val="20"/>
                <w:szCs w:val="20"/>
                <w:color w:val="auto"/>
              </w:rPr>
            </w:pPr>
            <w:r>
              <w:rPr>
                <w:rFonts w:ascii="Arial" w:cs="Arial" w:eastAsia="Arial" w:hAnsi="Arial"/>
                <w:sz w:val="12"/>
                <w:szCs w:val="12"/>
                <w:color w:val="auto"/>
                <w:w w:val="91"/>
              </w:rPr>
              <w:t>Ordinary Shares - £1.00 par value per share</w:t>
            </w:r>
          </w:p>
        </w:tc>
        <w:tc>
          <w:tcPr>
            <w:tcW w:w="1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rPr>
              <w:t>LIVN</w:t>
            </w:r>
          </w:p>
        </w:tc>
        <w:tc>
          <w:tcPr>
            <w:tcW w:w="1100" w:type="dxa"/>
            <w:vAlign w:val="bottom"/>
          </w:tcPr>
          <w:p>
            <w:pPr>
              <w:spacing w:after="0"/>
              <w:rPr>
                <w:sz w:val="14"/>
                <w:szCs w:val="14"/>
                <w:color w:val="auto"/>
              </w:rPr>
            </w:pPr>
          </w:p>
        </w:tc>
        <w:tc>
          <w:tcPr>
            <w:tcW w:w="4080" w:type="dxa"/>
            <w:vAlign w:val="bottom"/>
            <w:gridSpan w:val="2"/>
          </w:tcPr>
          <w:p>
            <w:pPr>
              <w:jc w:val="center"/>
              <w:ind w:right="1900"/>
              <w:spacing w:after="0"/>
              <w:rPr>
                <w:sz w:val="20"/>
                <w:szCs w:val="20"/>
                <w:color w:val="auto"/>
              </w:rPr>
            </w:pPr>
            <w:r>
              <w:rPr>
                <w:rFonts w:ascii="Arial" w:cs="Arial" w:eastAsia="Arial" w:hAnsi="Arial"/>
                <w:sz w:val="12"/>
                <w:szCs w:val="12"/>
                <w:color w:val="auto"/>
                <w:w w:val="97"/>
              </w:rPr>
              <w:t>NASDAQ Global Market</w:t>
            </w:r>
          </w:p>
        </w:tc>
      </w:tr>
    </w:tbl>
    <w:p>
      <w:pPr>
        <w:spacing w:after="0" w:line="87" w:lineRule="exact"/>
        <w:rPr>
          <w:sz w:val="24"/>
          <w:szCs w:val="24"/>
          <w:color w:val="auto"/>
        </w:rPr>
      </w:pPr>
    </w:p>
    <w:p>
      <w:pPr>
        <w:ind w:right="320" w:firstLine="139"/>
        <w:spacing w:after="0" w:line="160"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7" w:lineRule="exact"/>
        <w:rPr>
          <w:sz w:val="24"/>
          <w:szCs w:val="24"/>
          <w:color w:val="auto"/>
        </w:rPr>
      </w:pPr>
    </w:p>
    <w:p>
      <w:pPr>
        <w:ind w:right="380" w:firstLine="139"/>
        <w:spacing w:after="0" w:line="160"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7" w:lineRule="exact"/>
        <w:rPr>
          <w:sz w:val="24"/>
          <w:szCs w:val="24"/>
          <w:color w:val="auto"/>
        </w:rPr>
      </w:pPr>
    </w:p>
    <w:p>
      <w:pPr>
        <w:ind w:right="300" w:firstLine="139"/>
        <w:spacing w:after="0" w:line="29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06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258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97"/>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406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258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41"/>
        </w:trPr>
        <w:tc>
          <w:tcPr>
            <w:tcW w:w="1620" w:type="dxa"/>
            <w:vAlign w:val="bottom"/>
          </w:tcPr>
          <w:p>
            <w:pPr>
              <w:spacing w:after="0"/>
              <w:rPr>
                <w:sz w:val="20"/>
                <w:szCs w:val="20"/>
                <w:color w:val="auto"/>
              </w:rPr>
            </w:pPr>
            <w:r>
              <w:rPr>
                <w:rFonts w:ascii="Arial" w:cs="Arial" w:eastAsia="Arial" w:hAnsi="Arial"/>
                <w:sz w:val="14"/>
                <w:szCs w:val="14"/>
                <w:color w:val="auto"/>
                <w:w w:val="96"/>
              </w:rPr>
              <w:t>Emerging growth company</w:t>
            </w:r>
          </w:p>
        </w:tc>
        <w:tc>
          <w:tcPr>
            <w:tcW w:w="4060" w:type="dxa"/>
            <w:vAlign w:val="bottom"/>
          </w:tcPr>
          <w:p>
            <w:pPr>
              <w:ind w:left="94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900" w:type="dxa"/>
            <w:vAlign w:val="bottom"/>
            <w:gridSpan w:val="3"/>
          </w:tcPr>
          <w:p>
            <w:pPr>
              <w:spacing w:after="0"/>
              <w:rPr>
                <w:sz w:val="20"/>
                <w:szCs w:val="20"/>
                <w:color w:val="auto"/>
              </w:rPr>
            </w:pPr>
            <w:r>
              <w:rPr>
                <w:rFonts w:ascii="Arial" w:cs="Arial" w:eastAsia="Arial" w:hAnsi="Arial"/>
                <w:sz w:val="14"/>
                <w:szCs w:val="14"/>
                <w:color w:val="auto"/>
                <w:w w:val="90"/>
              </w:rPr>
              <w:t>If an emerging growth company, indicate by check mark if the registrant has elected not to use the extended transition period for complying with any new or revised financial accounting standards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80" w:type="dxa"/>
            <w:vAlign w:val="bottom"/>
            <w:gridSpan w:val="2"/>
          </w:tcPr>
          <w:p>
            <w:pPr>
              <w:spacing w:after="0"/>
              <w:rPr>
                <w:sz w:val="20"/>
                <w:szCs w:val="20"/>
                <w:color w:val="auto"/>
              </w:rPr>
            </w:pPr>
            <w:r>
              <w:rPr>
                <w:rFonts w:ascii="Arial" w:cs="Arial" w:eastAsia="Arial" w:hAnsi="Arial"/>
                <w:sz w:val="14"/>
                <w:szCs w:val="14"/>
                <w:color w:val="auto"/>
              </w:rPr>
              <w:t>provided pursuant to Section 13(a) of the Exchange Act</w:t>
            </w:r>
          </w:p>
        </w:tc>
        <w:tc>
          <w:tcPr>
            <w:tcW w:w="5220" w:type="dxa"/>
            <w:vAlign w:val="bottom"/>
          </w:tcPr>
          <w:p>
            <w:pPr>
              <w:spacing w:after="0"/>
              <w:rPr>
                <w:sz w:val="15"/>
                <w:szCs w:val="15"/>
                <w:color w:val="auto"/>
              </w:rPr>
            </w:pPr>
          </w:p>
        </w:tc>
        <w:tc>
          <w:tcPr>
            <w:tcW w:w="360" w:type="dxa"/>
            <w:vAlign w:val="bottom"/>
            <w:vMerge w:val="restart"/>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03"/>
        </w:trPr>
        <w:tc>
          <w:tcPr>
            <w:tcW w:w="16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680" w:type="dxa"/>
            <w:vAlign w:val="bottom"/>
            <w:gridSpan w:val="2"/>
          </w:tcPr>
          <w:p>
            <w:pPr>
              <w:ind w:left="140"/>
              <w:spacing w:after="0" w:line="150" w:lineRule="exact"/>
              <w:rPr>
                <w:sz w:val="20"/>
                <w:szCs w:val="20"/>
                <w:color w:val="auto"/>
              </w:rPr>
            </w:pPr>
            <w:r>
              <w:rPr>
                <w:rFonts w:ascii="Arial" w:cs="Arial" w:eastAsia="Arial" w:hAnsi="Arial"/>
                <w:sz w:val="12"/>
                <w:szCs w:val="12"/>
                <w:color w:val="auto"/>
                <w:w w:val="94"/>
              </w:rPr>
              <w:t xml:space="preserve">Indicate by check mark whether the registrant is a shell company (as defined in Rule 12b-2 of the Act). Yes </w:t>
            </w:r>
            <w:r>
              <w:rPr>
                <w:rFonts w:ascii="MS PGothic" w:cs="MS PGothic" w:eastAsia="MS PGothic" w:hAnsi="MS PGothic"/>
                <w:sz w:val="13"/>
                <w:szCs w:val="13"/>
                <w:color w:val="auto"/>
                <w:w w:val="94"/>
              </w:rPr>
              <w:t>☐</w:t>
            </w:r>
          </w:p>
        </w:tc>
        <w:tc>
          <w:tcPr>
            <w:tcW w:w="5220" w:type="dxa"/>
            <w:vAlign w:val="bottom"/>
          </w:tcPr>
          <w:p>
            <w:pPr>
              <w:ind w:left="60"/>
              <w:spacing w:after="0" w:line="150"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3"/>
                <w:szCs w:val="13"/>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620" w:type="dxa"/>
            <w:vAlign w:val="bottom"/>
          </w:tcPr>
          <w:p>
            <w:pPr>
              <w:spacing w:after="0"/>
              <w:rPr>
                <w:sz w:val="24"/>
                <w:szCs w:val="24"/>
                <w:color w:val="auto"/>
              </w:rPr>
            </w:pPr>
          </w:p>
        </w:tc>
        <w:tc>
          <w:tcPr>
            <w:tcW w:w="4060" w:type="dxa"/>
            <w:vAlign w:val="bottom"/>
          </w:tcPr>
          <w:p>
            <w:pPr>
              <w:jc w:val="center"/>
              <w:ind w:right="1628"/>
              <w:spacing w:after="0"/>
              <w:rPr>
                <w:sz w:val="20"/>
                <w:szCs w:val="20"/>
                <w:color w:val="auto"/>
              </w:rPr>
            </w:pPr>
            <w:r>
              <w:rPr>
                <w:rFonts w:ascii="Arial" w:cs="Arial" w:eastAsia="Arial" w:hAnsi="Arial"/>
                <w:sz w:val="14"/>
                <w:szCs w:val="14"/>
                <w:i w:val="1"/>
                <w:iCs w:val="1"/>
                <w:color w:val="auto"/>
                <w:w w:val="91"/>
              </w:rPr>
              <w:t>Class</w:t>
            </w:r>
          </w:p>
        </w:tc>
        <w:tc>
          <w:tcPr>
            <w:tcW w:w="5220" w:type="dxa"/>
            <w:vAlign w:val="bottom"/>
          </w:tcPr>
          <w:p>
            <w:pPr>
              <w:jc w:val="center"/>
              <w:ind w:left="209"/>
              <w:spacing w:after="0"/>
              <w:rPr>
                <w:sz w:val="20"/>
                <w:szCs w:val="20"/>
                <w:color w:val="auto"/>
              </w:rPr>
            </w:pPr>
            <w:r>
              <w:rPr>
                <w:rFonts w:ascii="Arial" w:cs="Arial" w:eastAsia="Arial" w:hAnsi="Arial"/>
                <w:sz w:val="15"/>
                <w:szCs w:val="15"/>
                <w:color w:val="auto"/>
                <w:w w:val="95"/>
              </w:rPr>
              <w:t>Outstanding at April 22, 2021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620" w:type="dxa"/>
            <w:vAlign w:val="bottom"/>
          </w:tcPr>
          <w:p>
            <w:pPr>
              <w:spacing w:after="0"/>
              <w:rPr>
                <w:sz w:val="17"/>
                <w:szCs w:val="17"/>
                <w:color w:val="auto"/>
              </w:rPr>
            </w:pPr>
          </w:p>
        </w:tc>
        <w:tc>
          <w:tcPr>
            <w:tcW w:w="4060" w:type="dxa"/>
            <w:vAlign w:val="bottom"/>
          </w:tcPr>
          <w:p>
            <w:pPr>
              <w:jc w:val="center"/>
              <w:ind w:right="1628"/>
              <w:spacing w:after="0"/>
              <w:rPr>
                <w:sz w:val="20"/>
                <w:szCs w:val="20"/>
                <w:color w:val="auto"/>
              </w:rPr>
            </w:pPr>
            <w:r>
              <w:rPr>
                <w:rFonts w:ascii="Arial" w:cs="Arial" w:eastAsia="Arial" w:hAnsi="Arial"/>
                <w:sz w:val="12"/>
                <w:szCs w:val="12"/>
                <w:color w:val="auto"/>
                <w:w w:val="91"/>
              </w:rPr>
              <w:t>Ordinary Shares - £1.00 par value per share</w:t>
            </w:r>
          </w:p>
        </w:tc>
        <w:tc>
          <w:tcPr>
            <w:tcW w:w="5220" w:type="dxa"/>
            <w:vAlign w:val="bottom"/>
          </w:tcPr>
          <w:p>
            <w:pPr>
              <w:jc w:val="right"/>
              <w:ind w:right="2049"/>
              <w:spacing w:after="0"/>
              <w:rPr>
                <w:sz w:val="20"/>
                <w:szCs w:val="20"/>
                <w:color w:val="auto"/>
              </w:rPr>
            </w:pPr>
            <w:r>
              <w:rPr>
                <w:rFonts w:ascii="Arial" w:cs="Arial" w:eastAsia="Arial" w:hAnsi="Arial"/>
                <w:sz w:val="15"/>
                <w:szCs w:val="15"/>
                <w:color w:val="auto"/>
              </w:rPr>
              <w:t>48,856,606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3"/>
        </w:trPr>
        <w:tc>
          <w:tcPr>
            <w:tcW w:w="16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34"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LIVANOVA PLC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900" w:type="dxa"/>
            <w:vAlign w:val="bottom"/>
            <w:tcBorders>
              <w:bottom w:val="single" w:sz="8" w:color="auto"/>
            </w:tcBorders>
            <w:gridSpan w:val="6"/>
          </w:tcPr>
          <w:p>
            <w:pPr>
              <w:jc w:val="center"/>
              <w:ind w:right="3200"/>
              <w:spacing w:after="0"/>
              <w:rPr>
                <w:sz w:val="20"/>
                <w:szCs w:val="20"/>
                <w:color w:val="auto"/>
              </w:rPr>
            </w:pPr>
            <w:r>
              <w:rPr>
                <w:rFonts w:ascii="Arial" w:cs="Arial" w:eastAsia="Arial" w:hAnsi="Arial"/>
                <w:sz w:val="15"/>
                <w:szCs w:val="15"/>
                <w:b w:val="1"/>
                <w:bCs w:val="1"/>
                <w:color w:val="auto"/>
              </w:rPr>
              <w:t>PART I. FINANCIAL INFORMATION</w:t>
            </w: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PAGE NO.</w:t>
            </w:r>
          </w:p>
        </w:tc>
      </w:tr>
      <w:tr>
        <w:trPr>
          <w:trHeight w:val="162"/>
        </w:trPr>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9080" w:type="dxa"/>
            <w:vAlign w:val="bottom"/>
            <w:gridSpan w:val="14"/>
            <w:shd w:val="clear" w:color="auto" w:fill="CCEEFF"/>
          </w:tcPr>
          <w:p>
            <w:pPr>
              <w:spacing w:after="0" w:line="162" w:lineRule="exact"/>
              <w:rPr>
                <w:rFonts w:ascii="Arial" w:cs="Arial" w:eastAsia="Arial" w:hAnsi="Arial"/>
                <w:sz w:val="15"/>
                <w:szCs w:val="15"/>
                <w:color w:val="0000FF"/>
              </w:rPr>
            </w:pPr>
            <w:hyperlink w:anchor="page2">
              <w:r>
                <w:rPr>
                  <w:rFonts w:ascii="Arial" w:cs="Arial" w:eastAsia="Arial" w:hAnsi="Arial"/>
                  <w:sz w:val="15"/>
                  <w:szCs w:val="15"/>
                  <w:color w:val="0000FF"/>
                </w:rPr>
                <w:t>Note About Forward Looking Statements</w:t>
              </w:r>
            </w:hyperlink>
          </w:p>
        </w:tc>
        <w:tc>
          <w:tcPr>
            <w:tcW w:w="660" w:type="dxa"/>
            <w:vAlign w:val="bottom"/>
            <w:gridSpan w:val="3"/>
            <w:shd w:val="clear" w:color="auto" w:fill="CCEEFF"/>
          </w:tcPr>
          <w:p>
            <w:pPr>
              <w:jc w:val="center"/>
              <w:ind w:left="503"/>
              <w:spacing w:after="0" w:line="162" w:lineRule="exact"/>
              <w:rPr>
                <w:rFonts w:ascii="Arial" w:cs="Arial" w:eastAsia="Arial" w:hAnsi="Arial"/>
                <w:sz w:val="15"/>
                <w:szCs w:val="15"/>
                <w:color w:val="0000FF"/>
                <w:w w:val="95"/>
              </w:rPr>
            </w:pPr>
            <w:hyperlink w:anchor="page2">
              <w:r>
                <w:rPr>
                  <w:rFonts w:ascii="Arial" w:cs="Arial" w:eastAsia="Arial" w:hAnsi="Arial"/>
                  <w:sz w:val="15"/>
                  <w:szCs w:val="15"/>
                  <w:color w:val="0000FF"/>
                  <w:w w:val="95"/>
                </w:rPr>
                <w:t>3</w:t>
              </w:r>
            </w:hyperlink>
          </w:p>
        </w:tc>
        <w:tc>
          <w:tcPr>
            <w:tcW w:w="460" w:type="dxa"/>
            <w:vAlign w:val="bottom"/>
            <w:tcBorders>
              <w:left w:val="single" w:sz="8" w:color="CCEEFF"/>
            </w:tcBorders>
            <w:shd w:val="clear" w:color="auto" w:fill="CCEEFF"/>
          </w:tcPr>
          <w:p>
            <w:pPr>
              <w:spacing w:after="0"/>
              <w:rPr>
                <w:sz w:val="14"/>
                <w:szCs w:val="14"/>
                <w:color w:val="auto"/>
              </w:rPr>
            </w:pPr>
          </w:p>
        </w:tc>
      </w:tr>
      <w:tr>
        <w:trPr>
          <w:trHeight w:val="35"/>
        </w:trPr>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r>
      <w:tr>
        <w:trPr>
          <w:trHeight w:val="162"/>
        </w:trPr>
        <w:tc>
          <w:tcPr>
            <w:tcW w:w="1040" w:type="dxa"/>
            <w:vAlign w:val="bottom"/>
            <w:gridSpan w:val="3"/>
          </w:tcPr>
          <w:p>
            <w:pPr>
              <w:spacing w:after="0" w:line="162" w:lineRule="exact"/>
              <w:rPr>
                <w:rFonts w:ascii="Arial" w:cs="Arial" w:eastAsia="Arial" w:hAnsi="Arial"/>
                <w:sz w:val="15"/>
                <w:szCs w:val="15"/>
                <w:color w:val="0000FF"/>
              </w:rPr>
            </w:pPr>
            <w:hyperlink w:anchor="page5">
              <w:r>
                <w:rPr>
                  <w:rFonts w:ascii="Arial" w:cs="Arial" w:eastAsia="Arial" w:hAnsi="Arial"/>
                  <w:sz w:val="15"/>
                  <w:szCs w:val="15"/>
                  <w:color w:val="0000FF"/>
                </w:rPr>
                <w:t>Item 1</w:t>
              </w:r>
            </w:hyperlink>
          </w:p>
        </w:tc>
        <w:tc>
          <w:tcPr>
            <w:tcW w:w="9080" w:type="dxa"/>
            <w:vAlign w:val="bottom"/>
            <w:gridSpan w:val="14"/>
          </w:tcPr>
          <w:p>
            <w:pPr>
              <w:spacing w:after="0" w:line="162" w:lineRule="exact"/>
              <w:rPr>
                <w:rFonts w:ascii="Arial" w:cs="Arial" w:eastAsia="Arial" w:hAnsi="Arial"/>
                <w:sz w:val="15"/>
                <w:szCs w:val="15"/>
                <w:color w:val="0000FF"/>
              </w:rPr>
            </w:pPr>
            <w:hyperlink w:anchor="page5">
              <w:r>
                <w:rPr>
                  <w:rFonts w:ascii="Arial" w:cs="Arial" w:eastAsia="Arial" w:hAnsi="Arial"/>
                  <w:sz w:val="15"/>
                  <w:szCs w:val="15"/>
                  <w:color w:val="0000FF"/>
                </w:rPr>
                <w:t>Condensed Consolidated Financial Statements</w:t>
              </w:r>
            </w:hyperlink>
          </w:p>
        </w:tc>
        <w:tc>
          <w:tcPr>
            <w:tcW w:w="660" w:type="dxa"/>
            <w:vAlign w:val="bottom"/>
            <w:gridSpan w:val="3"/>
          </w:tcPr>
          <w:p>
            <w:pPr>
              <w:jc w:val="center"/>
              <w:ind w:left="503"/>
              <w:spacing w:after="0" w:line="162" w:lineRule="exact"/>
              <w:rPr>
                <w:rFonts w:ascii="Arial" w:cs="Arial" w:eastAsia="Arial" w:hAnsi="Arial"/>
                <w:sz w:val="15"/>
                <w:szCs w:val="15"/>
                <w:color w:val="0000FF"/>
                <w:w w:val="95"/>
              </w:rPr>
            </w:pPr>
            <w:hyperlink w:anchor="page5">
              <w:r>
                <w:rPr>
                  <w:rFonts w:ascii="Arial" w:cs="Arial" w:eastAsia="Arial" w:hAnsi="Arial"/>
                  <w:sz w:val="15"/>
                  <w:szCs w:val="15"/>
                  <w:color w:val="0000FF"/>
                  <w:w w:val="95"/>
                </w:rPr>
                <w:t>5</w:t>
              </w:r>
            </w:hyperlink>
          </w:p>
        </w:tc>
        <w:tc>
          <w:tcPr>
            <w:tcW w:w="460" w:type="dxa"/>
            <w:vAlign w:val="bottom"/>
          </w:tcPr>
          <w:p>
            <w:pPr>
              <w:spacing w:after="0"/>
              <w:rPr>
                <w:sz w:val="14"/>
                <w:szCs w:val="14"/>
                <w:color w:val="auto"/>
              </w:rPr>
            </w:pPr>
          </w:p>
        </w:tc>
      </w:tr>
      <w:tr>
        <w:trPr>
          <w:trHeight w:val="27"/>
        </w:trPr>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r>
      <w:tr>
        <w:trPr>
          <w:trHeight w:val="169"/>
        </w:trPr>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9080" w:type="dxa"/>
            <w:vAlign w:val="bottom"/>
            <w:gridSpan w:val="14"/>
            <w:shd w:val="clear" w:color="auto" w:fill="CCEEFF"/>
          </w:tcPr>
          <w:p>
            <w:pPr>
              <w:spacing w:after="0" w:line="169" w:lineRule="exact"/>
              <w:rPr>
                <w:rFonts w:ascii="Arial" w:cs="Arial" w:eastAsia="Arial" w:hAnsi="Arial"/>
                <w:sz w:val="15"/>
                <w:szCs w:val="15"/>
                <w:color w:val="0000FF"/>
              </w:rPr>
            </w:pPr>
            <w:hyperlink w:anchor="page5">
              <w:r>
                <w:rPr>
                  <w:rFonts w:ascii="Arial" w:cs="Arial" w:eastAsia="Arial" w:hAnsi="Arial"/>
                  <w:sz w:val="15"/>
                  <w:szCs w:val="15"/>
                  <w:color w:val="0000FF"/>
                </w:rPr>
                <w:t>Condensed Consolidated Statements of Income (Loss)</w:t>
              </w:r>
            </w:hyperlink>
          </w:p>
        </w:tc>
        <w:tc>
          <w:tcPr>
            <w:tcW w:w="660" w:type="dxa"/>
            <w:vAlign w:val="bottom"/>
            <w:gridSpan w:val="3"/>
            <w:shd w:val="clear" w:color="auto" w:fill="CCEEFF"/>
          </w:tcPr>
          <w:p>
            <w:pPr>
              <w:jc w:val="center"/>
              <w:ind w:left="503"/>
              <w:spacing w:after="0" w:line="169" w:lineRule="exact"/>
              <w:rPr>
                <w:rFonts w:ascii="Arial" w:cs="Arial" w:eastAsia="Arial" w:hAnsi="Arial"/>
                <w:sz w:val="15"/>
                <w:szCs w:val="15"/>
                <w:color w:val="0000FF"/>
                <w:w w:val="95"/>
              </w:rPr>
            </w:pPr>
            <w:hyperlink w:anchor="page5">
              <w:r>
                <w:rPr>
                  <w:rFonts w:ascii="Arial" w:cs="Arial" w:eastAsia="Arial" w:hAnsi="Arial"/>
                  <w:sz w:val="15"/>
                  <w:szCs w:val="15"/>
                  <w:color w:val="0000FF"/>
                  <w:w w:val="95"/>
                </w:rPr>
                <w:t>5</w:t>
              </w:r>
            </w:hyperlink>
          </w:p>
        </w:tc>
        <w:tc>
          <w:tcPr>
            <w:tcW w:w="460" w:type="dxa"/>
            <w:vAlign w:val="bottom"/>
            <w:tcBorders>
              <w:left w:val="single" w:sz="8" w:color="CCEEFF"/>
            </w:tcBorders>
            <w:shd w:val="clear" w:color="auto" w:fill="CCEEFF"/>
          </w:tcPr>
          <w:p>
            <w:pPr>
              <w:spacing w:after="0"/>
              <w:rPr>
                <w:sz w:val="14"/>
                <w:szCs w:val="14"/>
                <w:color w:val="auto"/>
              </w:rPr>
            </w:pPr>
          </w:p>
        </w:tc>
      </w:tr>
      <w:tr>
        <w:trPr>
          <w:trHeight w:val="35"/>
        </w:trPr>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r>
      <w:tr>
        <w:trPr>
          <w:trHeight w:val="162"/>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80" w:type="dxa"/>
            <w:vAlign w:val="bottom"/>
            <w:gridSpan w:val="14"/>
          </w:tcPr>
          <w:p>
            <w:pPr>
              <w:spacing w:after="0" w:line="162" w:lineRule="exact"/>
              <w:rPr>
                <w:rFonts w:ascii="Arial" w:cs="Arial" w:eastAsia="Arial" w:hAnsi="Arial"/>
                <w:sz w:val="15"/>
                <w:szCs w:val="15"/>
                <w:color w:val="0000FF"/>
              </w:rPr>
            </w:pPr>
            <w:hyperlink w:anchor="page5">
              <w:r>
                <w:rPr>
                  <w:rFonts w:ascii="Arial" w:cs="Arial" w:eastAsia="Arial" w:hAnsi="Arial"/>
                  <w:sz w:val="15"/>
                  <w:szCs w:val="15"/>
                  <w:color w:val="0000FF"/>
                </w:rPr>
                <w:t>Condensed Consolidated Statements of Comprehensive Income (Loss)</w:t>
              </w:r>
            </w:hyperlink>
          </w:p>
        </w:tc>
        <w:tc>
          <w:tcPr>
            <w:tcW w:w="660" w:type="dxa"/>
            <w:vAlign w:val="bottom"/>
            <w:gridSpan w:val="3"/>
          </w:tcPr>
          <w:p>
            <w:pPr>
              <w:jc w:val="center"/>
              <w:ind w:left="503"/>
              <w:spacing w:after="0" w:line="162" w:lineRule="exact"/>
              <w:rPr>
                <w:rFonts w:ascii="Arial" w:cs="Arial" w:eastAsia="Arial" w:hAnsi="Arial"/>
                <w:sz w:val="15"/>
                <w:szCs w:val="15"/>
                <w:color w:val="0000FF"/>
                <w:w w:val="95"/>
              </w:rPr>
            </w:pPr>
            <w:hyperlink w:anchor="page5">
              <w:r>
                <w:rPr>
                  <w:rFonts w:ascii="Arial" w:cs="Arial" w:eastAsia="Arial" w:hAnsi="Arial"/>
                  <w:sz w:val="15"/>
                  <w:szCs w:val="15"/>
                  <w:color w:val="0000FF"/>
                  <w:w w:val="95"/>
                </w:rPr>
                <w:t>6</w:t>
              </w:r>
            </w:hyperlink>
          </w:p>
        </w:tc>
        <w:tc>
          <w:tcPr>
            <w:tcW w:w="460" w:type="dxa"/>
            <w:vAlign w:val="bottom"/>
          </w:tcPr>
          <w:p>
            <w:pPr>
              <w:spacing w:after="0"/>
              <w:rPr>
                <w:sz w:val="14"/>
                <w:szCs w:val="14"/>
                <w:color w:val="auto"/>
              </w:rPr>
            </w:pPr>
          </w:p>
        </w:tc>
      </w:tr>
      <w:tr>
        <w:trPr>
          <w:trHeight w:val="27"/>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r>
      <w:tr>
        <w:trPr>
          <w:trHeight w:val="169"/>
        </w:trPr>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9080" w:type="dxa"/>
            <w:vAlign w:val="bottom"/>
            <w:gridSpan w:val="14"/>
            <w:shd w:val="clear" w:color="auto" w:fill="CCEEFF"/>
          </w:tcPr>
          <w:p>
            <w:pPr>
              <w:spacing w:after="0" w:line="169" w:lineRule="exact"/>
              <w:rPr>
                <w:rFonts w:ascii="Arial" w:cs="Arial" w:eastAsia="Arial" w:hAnsi="Arial"/>
                <w:sz w:val="15"/>
                <w:szCs w:val="15"/>
                <w:color w:val="0000FF"/>
              </w:rPr>
            </w:pPr>
            <w:hyperlink w:anchor="page6">
              <w:r>
                <w:rPr>
                  <w:rFonts w:ascii="Arial" w:cs="Arial" w:eastAsia="Arial" w:hAnsi="Arial"/>
                  <w:sz w:val="15"/>
                  <w:szCs w:val="15"/>
                  <w:color w:val="0000FF"/>
                </w:rPr>
                <w:t>Condensed Consolidated Balance Sheets</w:t>
              </w:r>
            </w:hyperlink>
          </w:p>
        </w:tc>
        <w:tc>
          <w:tcPr>
            <w:tcW w:w="660" w:type="dxa"/>
            <w:vAlign w:val="bottom"/>
            <w:gridSpan w:val="3"/>
            <w:shd w:val="clear" w:color="auto" w:fill="CCEEFF"/>
          </w:tcPr>
          <w:p>
            <w:pPr>
              <w:jc w:val="center"/>
              <w:ind w:left="503"/>
              <w:spacing w:after="0" w:line="169" w:lineRule="exact"/>
              <w:rPr>
                <w:rFonts w:ascii="Arial" w:cs="Arial" w:eastAsia="Arial" w:hAnsi="Arial"/>
                <w:sz w:val="15"/>
                <w:szCs w:val="15"/>
                <w:color w:val="0000FF"/>
                <w:w w:val="95"/>
              </w:rPr>
            </w:pPr>
            <w:hyperlink w:anchor="page6">
              <w:r>
                <w:rPr>
                  <w:rFonts w:ascii="Arial" w:cs="Arial" w:eastAsia="Arial" w:hAnsi="Arial"/>
                  <w:sz w:val="15"/>
                  <w:szCs w:val="15"/>
                  <w:color w:val="0000FF"/>
                  <w:w w:val="95"/>
                </w:rPr>
                <w:t>7</w:t>
              </w:r>
            </w:hyperlink>
          </w:p>
        </w:tc>
        <w:tc>
          <w:tcPr>
            <w:tcW w:w="460" w:type="dxa"/>
            <w:vAlign w:val="bottom"/>
            <w:tcBorders>
              <w:left w:val="single" w:sz="8" w:color="CCEEFF"/>
            </w:tcBorders>
            <w:shd w:val="clear" w:color="auto" w:fill="CCEEFF"/>
          </w:tcPr>
          <w:p>
            <w:pPr>
              <w:spacing w:after="0"/>
              <w:rPr>
                <w:sz w:val="14"/>
                <w:szCs w:val="14"/>
                <w:color w:val="auto"/>
              </w:rPr>
            </w:pPr>
          </w:p>
        </w:tc>
      </w:tr>
      <w:tr>
        <w:trPr>
          <w:trHeight w:val="35"/>
        </w:trPr>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80" w:type="dxa"/>
            <w:vAlign w:val="bottom"/>
            <w:tcBorders>
              <w:right w:val="single" w:sz="8" w:color="CCEE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r>
      <w:tr>
        <w:trPr>
          <w:trHeight w:val="162"/>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80" w:type="dxa"/>
            <w:vAlign w:val="bottom"/>
            <w:gridSpan w:val="14"/>
          </w:tcPr>
          <w:p>
            <w:pPr>
              <w:spacing w:after="0" w:line="162" w:lineRule="exact"/>
              <w:rPr>
                <w:rFonts w:ascii="Arial" w:cs="Arial" w:eastAsia="Arial" w:hAnsi="Arial"/>
                <w:sz w:val="15"/>
                <w:szCs w:val="15"/>
                <w:color w:val="0000FF"/>
              </w:rPr>
            </w:pPr>
            <w:hyperlink w:anchor="page7">
              <w:r>
                <w:rPr>
                  <w:rFonts w:ascii="Arial" w:cs="Arial" w:eastAsia="Arial" w:hAnsi="Arial"/>
                  <w:sz w:val="15"/>
                  <w:szCs w:val="15"/>
                  <w:color w:val="0000FF"/>
                </w:rPr>
                <w:t>Condensed Consolidated Statements of Cash Flows</w:t>
              </w:r>
            </w:hyperlink>
          </w:p>
        </w:tc>
        <w:tc>
          <w:tcPr>
            <w:tcW w:w="660" w:type="dxa"/>
            <w:vAlign w:val="bottom"/>
            <w:gridSpan w:val="3"/>
          </w:tcPr>
          <w:p>
            <w:pPr>
              <w:jc w:val="center"/>
              <w:ind w:left="503"/>
              <w:spacing w:after="0" w:line="162" w:lineRule="exact"/>
              <w:rPr>
                <w:rFonts w:ascii="Arial" w:cs="Arial" w:eastAsia="Arial" w:hAnsi="Arial"/>
                <w:sz w:val="15"/>
                <w:szCs w:val="15"/>
                <w:color w:val="0000FF"/>
                <w:w w:val="95"/>
              </w:rPr>
            </w:pPr>
            <w:hyperlink w:anchor="page7">
              <w:r>
                <w:rPr>
                  <w:rFonts w:ascii="Arial" w:cs="Arial" w:eastAsia="Arial" w:hAnsi="Arial"/>
                  <w:sz w:val="15"/>
                  <w:szCs w:val="15"/>
                  <w:color w:val="0000FF"/>
                  <w:w w:val="95"/>
                </w:rPr>
                <w:t>8</w:t>
              </w:r>
            </w:hyperlink>
          </w:p>
        </w:tc>
        <w:tc>
          <w:tcPr>
            <w:tcW w:w="460" w:type="dxa"/>
            <w:vAlign w:val="bottom"/>
          </w:tcPr>
          <w:p>
            <w:pPr>
              <w:spacing w:after="0"/>
              <w:rPr>
                <w:sz w:val="14"/>
                <w:szCs w:val="14"/>
                <w:color w:val="auto"/>
              </w:rPr>
            </w:pPr>
          </w:p>
        </w:tc>
      </w:tr>
      <w:tr>
        <w:trPr>
          <w:trHeight w:val="27"/>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r>
      <w:tr>
        <w:trPr>
          <w:trHeight w:val="169"/>
        </w:trPr>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9080" w:type="dxa"/>
            <w:vAlign w:val="bottom"/>
            <w:gridSpan w:val="14"/>
            <w:shd w:val="clear" w:color="auto" w:fill="CCEEFF"/>
          </w:tcPr>
          <w:p>
            <w:pPr>
              <w:spacing w:after="0" w:line="169" w:lineRule="exact"/>
              <w:rPr>
                <w:rFonts w:ascii="Arial" w:cs="Arial" w:eastAsia="Arial" w:hAnsi="Arial"/>
                <w:sz w:val="15"/>
                <w:szCs w:val="15"/>
                <w:color w:val="0000FF"/>
              </w:rPr>
            </w:pPr>
            <w:hyperlink w:anchor="page8">
              <w:r>
                <w:rPr>
                  <w:rFonts w:ascii="Arial" w:cs="Arial" w:eastAsia="Arial" w:hAnsi="Arial"/>
                  <w:sz w:val="15"/>
                  <w:szCs w:val="15"/>
                  <w:color w:val="0000FF"/>
                </w:rPr>
                <w:t>Notes to the Condensed Consolidated Financial Statements</w:t>
              </w:r>
            </w:hyperlink>
          </w:p>
        </w:tc>
        <w:tc>
          <w:tcPr>
            <w:tcW w:w="660" w:type="dxa"/>
            <w:vAlign w:val="bottom"/>
            <w:gridSpan w:val="3"/>
            <w:shd w:val="clear" w:color="auto" w:fill="CCEEFF"/>
          </w:tcPr>
          <w:p>
            <w:pPr>
              <w:jc w:val="center"/>
              <w:ind w:left="503"/>
              <w:spacing w:after="0" w:line="169" w:lineRule="exact"/>
              <w:rPr>
                <w:rFonts w:ascii="Arial" w:cs="Arial" w:eastAsia="Arial" w:hAnsi="Arial"/>
                <w:sz w:val="15"/>
                <w:szCs w:val="15"/>
                <w:color w:val="0000FF"/>
                <w:w w:val="95"/>
              </w:rPr>
            </w:pPr>
            <w:hyperlink w:anchor="page8">
              <w:r>
                <w:rPr>
                  <w:rFonts w:ascii="Arial" w:cs="Arial" w:eastAsia="Arial" w:hAnsi="Arial"/>
                  <w:sz w:val="15"/>
                  <w:szCs w:val="15"/>
                  <w:color w:val="0000FF"/>
                  <w:w w:val="95"/>
                </w:rPr>
                <w:t>9</w:t>
              </w:r>
            </w:hyperlink>
          </w:p>
        </w:tc>
        <w:tc>
          <w:tcPr>
            <w:tcW w:w="460" w:type="dxa"/>
            <w:vAlign w:val="bottom"/>
            <w:tcBorders>
              <w:left w:val="single" w:sz="8" w:color="CCEEFF"/>
            </w:tcBorders>
            <w:shd w:val="clear" w:color="auto" w:fill="CCEEFF"/>
          </w:tcPr>
          <w:p>
            <w:pPr>
              <w:spacing w:after="0"/>
              <w:rPr>
                <w:sz w:val="14"/>
                <w:szCs w:val="14"/>
                <w:color w:val="auto"/>
              </w:rPr>
            </w:pPr>
          </w:p>
        </w:tc>
      </w:tr>
      <w:tr>
        <w:trPr>
          <w:trHeight w:val="35"/>
        </w:trPr>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r>
      <w:tr>
        <w:trPr>
          <w:trHeight w:val="162"/>
        </w:trPr>
        <w:tc>
          <w:tcPr>
            <w:tcW w:w="1040" w:type="dxa"/>
            <w:vAlign w:val="bottom"/>
            <w:gridSpan w:val="3"/>
          </w:tcPr>
          <w:p>
            <w:pPr>
              <w:spacing w:after="0" w:line="162" w:lineRule="exact"/>
              <w:rPr>
                <w:rFonts w:ascii="Arial" w:cs="Arial" w:eastAsia="Arial" w:hAnsi="Arial"/>
                <w:sz w:val="15"/>
                <w:szCs w:val="15"/>
                <w:color w:val="0000FF"/>
              </w:rPr>
            </w:pPr>
            <w:hyperlink w:anchor="page31">
              <w:r>
                <w:rPr>
                  <w:rFonts w:ascii="Arial" w:cs="Arial" w:eastAsia="Arial" w:hAnsi="Arial"/>
                  <w:sz w:val="15"/>
                  <w:szCs w:val="15"/>
                  <w:color w:val="0000FF"/>
                </w:rPr>
                <w:t>Item 2</w:t>
              </w:r>
            </w:hyperlink>
          </w:p>
        </w:tc>
        <w:tc>
          <w:tcPr>
            <w:tcW w:w="9080" w:type="dxa"/>
            <w:vAlign w:val="bottom"/>
            <w:gridSpan w:val="14"/>
          </w:tcPr>
          <w:p>
            <w:pPr>
              <w:spacing w:after="0" w:line="162" w:lineRule="exact"/>
              <w:rPr>
                <w:rFonts w:ascii="Arial" w:cs="Arial" w:eastAsia="Arial" w:hAnsi="Arial"/>
                <w:sz w:val="15"/>
                <w:szCs w:val="15"/>
                <w:color w:val="0000FF"/>
              </w:rPr>
            </w:pPr>
            <w:hyperlink w:anchor="page31">
              <w:r>
                <w:rPr>
                  <w:rFonts w:ascii="Arial" w:cs="Arial" w:eastAsia="Arial" w:hAnsi="Arial"/>
                  <w:sz w:val="15"/>
                  <w:szCs w:val="15"/>
                  <w:color w:val="0000FF"/>
                </w:rPr>
                <w:t>Management’s Discussion and Analysis of Financial Condition and Results of Operations</w:t>
              </w:r>
            </w:hyperlink>
          </w:p>
        </w:tc>
        <w:tc>
          <w:tcPr>
            <w:tcW w:w="660" w:type="dxa"/>
            <w:vAlign w:val="bottom"/>
            <w:gridSpan w:val="3"/>
          </w:tcPr>
          <w:p>
            <w:pPr>
              <w:jc w:val="center"/>
              <w:ind w:left="423"/>
              <w:spacing w:after="0" w:line="162" w:lineRule="exact"/>
              <w:rPr>
                <w:rFonts w:ascii="Arial" w:cs="Arial" w:eastAsia="Arial" w:hAnsi="Arial"/>
                <w:sz w:val="15"/>
                <w:szCs w:val="15"/>
                <w:color w:val="0000FF"/>
                <w:w w:val="95"/>
              </w:rPr>
            </w:pPr>
            <w:hyperlink w:anchor="page31">
              <w:r>
                <w:rPr>
                  <w:rFonts w:ascii="Arial" w:cs="Arial" w:eastAsia="Arial" w:hAnsi="Arial"/>
                  <w:sz w:val="15"/>
                  <w:szCs w:val="15"/>
                  <w:color w:val="0000FF"/>
                  <w:w w:val="95"/>
                </w:rPr>
                <w:t>32</w:t>
              </w:r>
            </w:hyperlink>
          </w:p>
        </w:tc>
        <w:tc>
          <w:tcPr>
            <w:tcW w:w="460" w:type="dxa"/>
            <w:vAlign w:val="bottom"/>
          </w:tcPr>
          <w:p>
            <w:pPr>
              <w:spacing w:after="0"/>
              <w:rPr>
                <w:sz w:val="14"/>
                <w:szCs w:val="14"/>
                <w:color w:val="auto"/>
              </w:rPr>
            </w:pPr>
          </w:p>
        </w:tc>
      </w:tr>
      <w:tr>
        <w:trPr>
          <w:trHeight w:val="27"/>
        </w:trPr>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r>
      <w:tr>
        <w:trPr>
          <w:trHeight w:val="169"/>
        </w:trPr>
        <w:tc>
          <w:tcPr>
            <w:tcW w:w="1040" w:type="dxa"/>
            <w:vAlign w:val="bottom"/>
            <w:tcBorders>
              <w:right w:val="single" w:sz="8" w:color="CCEEFF"/>
            </w:tcBorders>
            <w:gridSpan w:val="3"/>
            <w:shd w:val="clear" w:color="auto" w:fill="CCEEFF"/>
          </w:tcPr>
          <w:p>
            <w:pPr>
              <w:spacing w:after="0" w:line="169" w:lineRule="exact"/>
              <w:rPr>
                <w:rFonts w:ascii="Arial" w:cs="Arial" w:eastAsia="Arial" w:hAnsi="Arial"/>
                <w:sz w:val="15"/>
                <w:szCs w:val="15"/>
                <w:color w:val="0000FF"/>
              </w:rPr>
            </w:pPr>
            <w:hyperlink w:anchor="page40">
              <w:r>
                <w:rPr>
                  <w:rFonts w:ascii="Arial" w:cs="Arial" w:eastAsia="Arial" w:hAnsi="Arial"/>
                  <w:sz w:val="15"/>
                  <w:szCs w:val="15"/>
                  <w:color w:val="0000FF"/>
                </w:rPr>
                <w:t>Item 3</w:t>
              </w:r>
            </w:hyperlink>
          </w:p>
        </w:tc>
        <w:tc>
          <w:tcPr>
            <w:tcW w:w="9080" w:type="dxa"/>
            <w:vAlign w:val="bottom"/>
            <w:gridSpan w:val="14"/>
            <w:shd w:val="clear" w:color="auto" w:fill="CCEEFF"/>
          </w:tcPr>
          <w:p>
            <w:pPr>
              <w:spacing w:after="0" w:line="169" w:lineRule="exact"/>
              <w:rPr>
                <w:rFonts w:ascii="Arial" w:cs="Arial" w:eastAsia="Arial" w:hAnsi="Arial"/>
                <w:sz w:val="15"/>
                <w:szCs w:val="15"/>
                <w:color w:val="0000FF"/>
              </w:rPr>
            </w:pPr>
            <w:hyperlink w:anchor="page40">
              <w:r>
                <w:rPr>
                  <w:rFonts w:ascii="Arial" w:cs="Arial" w:eastAsia="Arial" w:hAnsi="Arial"/>
                  <w:sz w:val="15"/>
                  <w:szCs w:val="15"/>
                  <w:color w:val="0000FF"/>
                </w:rPr>
                <w:t>Quantitative and Qualitative Disclosures About Market Risk</w:t>
              </w:r>
            </w:hyperlink>
          </w:p>
        </w:tc>
        <w:tc>
          <w:tcPr>
            <w:tcW w:w="660" w:type="dxa"/>
            <w:vAlign w:val="bottom"/>
            <w:gridSpan w:val="3"/>
            <w:shd w:val="clear" w:color="auto" w:fill="CCEEFF"/>
          </w:tcPr>
          <w:p>
            <w:pPr>
              <w:jc w:val="center"/>
              <w:ind w:left="423"/>
              <w:spacing w:after="0" w:line="169" w:lineRule="exact"/>
              <w:rPr>
                <w:rFonts w:ascii="Arial" w:cs="Arial" w:eastAsia="Arial" w:hAnsi="Arial"/>
                <w:sz w:val="15"/>
                <w:szCs w:val="15"/>
                <w:color w:val="0000FF"/>
                <w:w w:val="95"/>
              </w:rPr>
            </w:pPr>
            <w:hyperlink w:anchor="page40">
              <w:r>
                <w:rPr>
                  <w:rFonts w:ascii="Arial" w:cs="Arial" w:eastAsia="Arial" w:hAnsi="Arial"/>
                  <w:sz w:val="15"/>
                  <w:szCs w:val="15"/>
                  <w:color w:val="0000FF"/>
                  <w:w w:val="95"/>
                </w:rPr>
                <w:t>40</w:t>
              </w:r>
            </w:hyperlink>
          </w:p>
        </w:tc>
        <w:tc>
          <w:tcPr>
            <w:tcW w:w="460" w:type="dxa"/>
            <w:vAlign w:val="bottom"/>
            <w:tcBorders>
              <w:left w:val="single" w:sz="8" w:color="CCEEFF"/>
            </w:tcBorders>
            <w:shd w:val="clear" w:color="auto" w:fill="CCEEFF"/>
          </w:tcPr>
          <w:p>
            <w:pPr>
              <w:spacing w:after="0"/>
              <w:rPr>
                <w:sz w:val="14"/>
                <w:szCs w:val="14"/>
                <w:color w:val="auto"/>
              </w:rPr>
            </w:pPr>
          </w:p>
        </w:tc>
      </w:tr>
      <w:tr>
        <w:trPr>
          <w:trHeight w:val="35"/>
        </w:trPr>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8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r>
      <w:tr>
        <w:trPr>
          <w:trHeight w:val="169"/>
        </w:trPr>
        <w:tc>
          <w:tcPr>
            <w:tcW w:w="1040" w:type="dxa"/>
            <w:vAlign w:val="bottom"/>
            <w:gridSpan w:val="3"/>
          </w:tcPr>
          <w:p>
            <w:pPr>
              <w:spacing w:after="0" w:line="162" w:lineRule="exact"/>
              <w:rPr>
                <w:rFonts w:ascii="Arial" w:cs="Arial" w:eastAsia="Arial" w:hAnsi="Arial"/>
                <w:sz w:val="15"/>
                <w:szCs w:val="15"/>
                <w:color w:val="0000FF"/>
              </w:rPr>
            </w:pPr>
            <w:hyperlink w:anchor="page41">
              <w:r>
                <w:rPr>
                  <w:rFonts w:ascii="Arial" w:cs="Arial" w:eastAsia="Arial" w:hAnsi="Arial"/>
                  <w:sz w:val="15"/>
                  <w:szCs w:val="15"/>
                  <w:color w:val="0000FF"/>
                </w:rPr>
                <w:t>Item 4</w:t>
              </w:r>
            </w:hyperlink>
          </w:p>
        </w:tc>
        <w:tc>
          <w:tcPr>
            <w:tcW w:w="9080" w:type="dxa"/>
            <w:vAlign w:val="bottom"/>
            <w:gridSpan w:val="14"/>
          </w:tcPr>
          <w:p>
            <w:pPr>
              <w:spacing w:after="0" w:line="162" w:lineRule="exact"/>
              <w:rPr>
                <w:rFonts w:ascii="Arial" w:cs="Arial" w:eastAsia="Arial" w:hAnsi="Arial"/>
                <w:sz w:val="15"/>
                <w:szCs w:val="15"/>
                <w:color w:val="0000FF"/>
              </w:rPr>
            </w:pPr>
            <w:hyperlink w:anchor="page41">
              <w:r>
                <w:rPr>
                  <w:rFonts w:ascii="Arial" w:cs="Arial" w:eastAsia="Arial" w:hAnsi="Arial"/>
                  <w:sz w:val="15"/>
                  <w:szCs w:val="15"/>
                  <w:color w:val="0000FF"/>
                </w:rPr>
                <w:t>Controls and Procedures</w:t>
              </w:r>
            </w:hyperlink>
          </w:p>
        </w:tc>
        <w:tc>
          <w:tcPr>
            <w:tcW w:w="660" w:type="dxa"/>
            <w:vAlign w:val="bottom"/>
            <w:gridSpan w:val="3"/>
          </w:tcPr>
          <w:p>
            <w:pPr>
              <w:jc w:val="center"/>
              <w:ind w:left="423"/>
              <w:spacing w:after="0" w:line="162" w:lineRule="exact"/>
              <w:rPr>
                <w:rFonts w:ascii="Arial" w:cs="Arial" w:eastAsia="Arial" w:hAnsi="Arial"/>
                <w:sz w:val="15"/>
                <w:szCs w:val="15"/>
                <w:color w:val="0000FF"/>
                <w:w w:val="95"/>
              </w:rPr>
            </w:pPr>
            <w:hyperlink w:anchor="page41">
              <w:r>
                <w:rPr>
                  <w:rFonts w:ascii="Arial" w:cs="Arial" w:eastAsia="Arial" w:hAnsi="Arial"/>
                  <w:sz w:val="15"/>
                  <w:szCs w:val="15"/>
                  <w:color w:val="0000FF"/>
                  <w:w w:val="95"/>
                </w:rPr>
                <w:t>41</w:t>
              </w:r>
            </w:hyperlink>
          </w:p>
        </w:tc>
        <w:tc>
          <w:tcPr>
            <w:tcW w:w="460" w:type="dxa"/>
            <w:vAlign w:val="bottom"/>
          </w:tcPr>
          <w:p>
            <w:pPr>
              <w:spacing w:after="0"/>
              <w:rPr>
                <w:sz w:val="14"/>
                <w:szCs w:val="14"/>
                <w:color w:val="auto"/>
              </w:rPr>
            </w:pPr>
          </w:p>
        </w:tc>
      </w:tr>
      <w:tr>
        <w:trPr>
          <w:trHeight w:val="224"/>
        </w:trPr>
        <w:tc>
          <w:tcPr>
            <w:tcW w:w="400" w:type="dxa"/>
            <w:vAlign w:val="bottom"/>
            <w:tcBorders>
              <w:top w:val="single" w:sz="8" w:color="0000FF"/>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right w:val="single" w:sz="8" w:color="CCEEFF"/>
            </w:tcBorders>
            <w:shd w:val="clear" w:color="auto" w:fill="CCEEFF"/>
          </w:tcPr>
          <w:p>
            <w:pPr>
              <w:spacing w:after="0"/>
              <w:rPr>
                <w:sz w:val="19"/>
                <w:szCs w:val="19"/>
                <w:color w:val="auto"/>
              </w:rPr>
            </w:pPr>
          </w:p>
        </w:tc>
        <w:tc>
          <w:tcPr>
            <w:tcW w:w="520" w:type="dxa"/>
            <w:vAlign w:val="bottom"/>
            <w:tcBorders>
              <w:top w:val="single" w:sz="8" w:color="0000FF"/>
              <w:bottom w:val="single" w:sz="8" w:color="auto"/>
            </w:tcBorders>
            <w:shd w:val="clear" w:color="auto" w:fill="CCEEFF"/>
          </w:tcPr>
          <w:p>
            <w:pPr>
              <w:spacing w:after="0"/>
              <w:rPr>
                <w:sz w:val="19"/>
                <w:szCs w:val="19"/>
                <w:color w:val="auto"/>
              </w:rPr>
            </w:pPr>
          </w:p>
        </w:tc>
        <w:tc>
          <w:tcPr>
            <w:tcW w:w="260" w:type="dxa"/>
            <w:vAlign w:val="bottom"/>
            <w:tcBorders>
              <w:top w:val="single" w:sz="8" w:color="0000FF"/>
              <w:bottom w:val="single" w:sz="8" w:color="auto"/>
            </w:tcBorders>
            <w:shd w:val="clear" w:color="auto" w:fill="CCEEFF"/>
          </w:tcPr>
          <w:p>
            <w:pPr>
              <w:spacing w:after="0"/>
              <w:rPr>
                <w:sz w:val="19"/>
                <w:szCs w:val="19"/>
                <w:color w:val="auto"/>
              </w:rPr>
            </w:pPr>
          </w:p>
        </w:tc>
        <w:tc>
          <w:tcPr>
            <w:tcW w:w="360" w:type="dxa"/>
            <w:vAlign w:val="bottom"/>
            <w:tcBorders>
              <w:top w:val="single" w:sz="8" w:color="0000FF"/>
              <w:bottom w:val="single" w:sz="8" w:color="auto"/>
              <w:right w:val="single" w:sz="8" w:color="CCEEFF"/>
            </w:tcBorders>
            <w:shd w:val="clear" w:color="auto" w:fill="CCEEFF"/>
          </w:tcPr>
          <w:p>
            <w:pPr>
              <w:spacing w:after="0"/>
              <w:rPr>
                <w:sz w:val="19"/>
                <w:szCs w:val="19"/>
                <w:color w:val="auto"/>
              </w:rPr>
            </w:pPr>
          </w:p>
        </w:tc>
        <w:tc>
          <w:tcPr>
            <w:tcW w:w="380" w:type="dxa"/>
            <w:vAlign w:val="bottom"/>
            <w:tcBorders>
              <w:top w:val="single" w:sz="8" w:color="0000FF"/>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740" w:type="dxa"/>
            <w:vAlign w:val="bottom"/>
            <w:tcBorders>
              <w:bottom w:val="single" w:sz="8" w:color="auto"/>
            </w:tcBorders>
            <w:gridSpan w:val="5"/>
            <w:shd w:val="clear" w:color="auto" w:fill="CCEEFF"/>
          </w:tcPr>
          <w:p>
            <w:pPr>
              <w:jc w:val="center"/>
              <w:ind w:right="3360"/>
              <w:spacing w:after="0"/>
              <w:rPr>
                <w:sz w:val="20"/>
                <w:szCs w:val="20"/>
                <w:color w:val="auto"/>
              </w:rPr>
            </w:pPr>
            <w:r>
              <w:rPr>
                <w:rFonts w:ascii="Arial" w:cs="Arial" w:eastAsia="Arial" w:hAnsi="Arial"/>
                <w:sz w:val="15"/>
                <w:szCs w:val="15"/>
                <w:b w:val="1"/>
                <w:bCs w:val="1"/>
                <w:color w:val="auto"/>
              </w:rPr>
              <w:t>PART II. OTHER INFORMATION</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0000FF"/>
              <w:bottom w:val="single" w:sz="8" w:color="CCEEFF"/>
            </w:tcBorders>
            <w:shd w:val="clear" w:color="auto" w:fill="CCEEFF"/>
          </w:tcPr>
          <w:p>
            <w:pPr>
              <w:spacing w:after="0"/>
              <w:rPr>
                <w:sz w:val="19"/>
                <w:szCs w:val="19"/>
                <w:color w:val="auto"/>
              </w:rPr>
            </w:pPr>
          </w:p>
        </w:tc>
        <w:tc>
          <w:tcPr>
            <w:tcW w:w="46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137"/>
        </w:trPr>
        <w:tc>
          <w:tcPr>
            <w:tcW w:w="1040" w:type="dxa"/>
            <w:vAlign w:val="bottom"/>
            <w:gridSpan w:val="3"/>
          </w:tcPr>
          <w:p>
            <w:pPr>
              <w:spacing w:after="0" w:line="122" w:lineRule="exact"/>
              <w:rPr>
                <w:rFonts w:ascii="Arial" w:cs="Arial" w:eastAsia="Arial" w:hAnsi="Arial"/>
                <w:sz w:val="14"/>
                <w:szCs w:val="14"/>
                <w:color w:val="0000FF"/>
              </w:rPr>
            </w:pPr>
            <w:hyperlink w:anchor="page42">
              <w:r>
                <w:rPr>
                  <w:rFonts w:ascii="Arial" w:cs="Arial" w:eastAsia="Arial" w:hAnsi="Arial"/>
                  <w:sz w:val="14"/>
                  <w:szCs w:val="14"/>
                  <w:color w:val="0000FF"/>
                </w:rPr>
                <w:t>Item 1</w:t>
              </w:r>
            </w:hyperlink>
          </w:p>
        </w:tc>
        <w:tc>
          <w:tcPr>
            <w:tcW w:w="9080" w:type="dxa"/>
            <w:vAlign w:val="bottom"/>
            <w:gridSpan w:val="14"/>
          </w:tcPr>
          <w:p>
            <w:pPr>
              <w:spacing w:after="0" w:line="131" w:lineRule="exact"/>
              <w:rPr>
                <w:rFonts w:ascii="Arial" w:cs="Arial" w:eastAsia="Arial" w:hAnsi="Arial"/>
                <w:sz w:val="15"/>
                <w:szCs w:val="15"/>
                <w:color w:val="0000FF"/>
              </w:rPr>
            </w:pPr>
            <w:hyperlink w:anchor="page42">
              <w:r>
                <w:rPr>
                  <w:rFonts w:ascii="Arial" w:cs="Arial" w:eastAsia="Arial" w:hAnsi="Arial"/>
                  <w:sz w:val="15"/>
                  <w:szCs w:val="15"/>
                  <w:color w:val="0000FF"/>
                </w:rPr>
                <w:t>Legal Proceedings</w:t>
              </w:r>
            </w:hyperlink>
          </w:p>
        </w:tc>
        <w:tc>
          <w:tcPr>
            <w:tcW w:w="660" w:type="dxa"/>
            <w:vAlign w:val="bottom"/>
            <w:gridSpan w:val="3"/>
          </w:tcPr>
          <w:p>
            <w:pPr>
              <w:jc w:val="center"/>
              <w:ind w:left="423"/>
              <w:spacing w:after="0" w:line="122" w:lineRule="exact"/>
              <w:rPr>
                <w:rFonts w:ascii="Arial" w:cs="Arial" w:eastAsia="Arial" w:hAnsi="Arial"/>
                <w:sz w:val="14"/>
                <w:szCs w:val="14"/>
                <w:color w:val="0000FF"/>
              </w:rPr>
            </w:pPr>
            <w:hyperlink w:anchor="page42">
              <w:r>
                <w:rPr>
                  <w:rFonts w:ascii="Arial" w:cs="Arial" w:eastAsia="Arial" w:hAnsi="Arial"/>
                  <w:sz w:val="14"/>
                  <w:szCs w:val="14"/>
                  <w:color w:val="0000FF"/>
                </w:rPr>
                <w:t>42</w:t>
              </w:r>
            </w:hyperlink>
          </w:p>
        </w:tc>
        <w:tc>
          <w:tcPr>
            <w:tcW w:w="460" w:type="dxa"/>
            <w:vAlign w:val="bottom"/>
          </w:tcPr>
          <w:p>
            <w:pPr>
              <w:spacing w:after="0"/>
              <w:rPr>
                <w:sz w:val="11"/>
                <w:szCs w:val="11"/>
                <w:color w:val="auto"/>
              </w:rPr>
            </w:pPr>
          </w:p>
        </w:tc>
      </w:tr>
      <w:tr>
        <w:trPr>
          <w:trHeight w:val="23"/>
        </w:trPr>
        <w:tc>
          <w:tcPr>
            <w:tcW w:w="4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162"/>
        </w:trPr>
        <w:tc>
          <w:tcPr>
            <w:tcW w:w="520" w:type="dxa"/>
            <w:vAlign w:val="bottom"/>
            <w:gridSpan w:val="2"/>
            <w:shd w:val="clear" w:color="auto" w:fill="CCEEFF"/>
          </w:tcPr>
          <w:p>
            <w:pPr>
              <w:spacing w:after="0" w:line="162" w:lineRule="exact"/>
              <w:rPr>
                <w:rFonts w:ascii="Arial" w:cs="Arial" w:eastAsia="Arial" w:hAnsi="Arial"/>
                <w:sz w:val="15"/>
                <w:szCs w:val="15"/>
                <w:color w:val="0000FF"/>
                <w:w w:val="96"/>
              </w:rPr>
            </w:pPr>
            <w:hyperlink w:anchor="page42">
              <w:r>
                <w:rPr>
                  <w:rFonts w:ascii="Arial" w:cs="Arial" w:eastAsia="Arial" w:hAnsi="Arial"/>
                  <w:sz w:val="15"/>
                  <w:szCs w:val="15"/>
                  <w:color w:val="0000FF"/>
                  <w:w w:val="96"/>
                </w:rPr>
                <w:t>Item 1A</w:t>
              </w:r>
            </w:hyperlink>
          </w:p>
        </w:tc>
        <w:tc>
          <w:tcPr>
            <w:tcW w:w="520" w:type="dxa"/>
            <w:vAlign w:val="bottom"/>
            <w:tcBorders>
              <w:right w:val="single" w:sz="8" w:color="CCEEFF"/>
            </w:tcBorders>
            <w:shd w:val="clear" w:color="auto" w:fill="CCEEFF"/>
          </w:tcPr>
          <w:p>
            <w:pPr>
              <w:spacing w:after="0"/>
              <w:rPr>
                <w:sz w:val="14"/>
                <w:szCs w:val="14"/>
                <w:color w:val="auto"/>
              </w:rPr>
            </w:pPr>
          </w:p>
        </w:tc>
        <w:tc>
          <w:tcPr>
            <w:tcW w:w="9080" w:type="dxa"/>
            <w:vAlign w:val="bottom"/>
            <w:gridSpan w:val="14"/>
            <w:shd w:val="clear" w:color="auto" w:fill="CCEEFF"/>
          </w:tcPr>
          <w:p>
            <w:pPr>
              <w:spacing w:after="0" w:line="162" w:lineRule="exact"/>
              <w:rPr>
                <w:rFonts w:ascii="Arial" w:cs="Arial" w:eastAsia="Arial" w:hAnsi="Arial"/>
                <w:sz w:val="15"/>
                <w:szCs w:val="15"/>
                <w:color w:val="0000FF"/>
              </w:rPr>
            </w:pPr>
            <w:hyperlink w:anchor="page42">
              <w:r>
                <w:rPr>
                  <w:rFonts w:ascii="Arial" w:cs="Arial" w:eastAsia="Arial" w:hAnsi="Arial"/>
                  <w:sz w:val="15"/>
                  <w:szCs w:val="15"/>
                  <w:color w:val="0000FF"/>
                </w:rPr>
                <w:t>Risk Factors</w:t>
              </w:r>
            </w:hyperlink>
          </w:p>
        </w:tc>
        <w:tc>
          <w:tcPr>
            <w:tcW w:w="660" w:type="dxa"/>
            <w:vAlign w:val="bottom"/>
            <w:gridSpan w:val="3"/>
            <w:shd w:val="clear" w:color="auto" w:fill="CCEEFF"/>
          </w:tcPr>
          <w:p>
            <w:pPr>
              <w:jc w:val="center"/>
              <w:ind w:left="423"/>
              <w:spacing w:after="0" w:line="162" w:lineRule="exact"/>
              <w:rPr>
                <w:rFonts w:ascii="Arial" w:cs="Arial" w:eastAsia="Arial" w:hAnsi="Arial"/>
                <w:sz w:val="15"/>
                <w:szCs w:val="15"/>
                <w:color w:val="0000FF"/>
                <w:w w:val="95"/>
              </w:rPr>
            </w:pPr>
            <w:hyperlink w:anchor="page42">
              <w:r>
                <w:rPr>
                  <w:rFonts w:ascii="Arial" w:cs="Arial" w:eastAsia="Arial" w:hAnsi="Arial"/>
                  <w:sz w:val="15"/>
                  <w:szCs w:val="15"/>
                  <w:color w:val="0000FF"/>
                  <w:w w:val="95"/>
                </w:rPr>
                <w:t>42</w:t>
              </w:r>
            </w:hyperlink>
          </w:p>
        </w:tc>
        <w:tc>
          <w:tcPr>
            <w:tcW w:w="460" w:type="dxa"/>
            <w:vAlign w:val="bottom"/>
            <w:tcBorders>
              <w:left w:val="single" w:sz="8" w:color="CCEEFF"/>
            </w:tcBorders>
            <w:shd w:val="clear" w:color="auto" w:fill="CCEEFF"/>
          </w:tcPr>
          <w:p>
            <w:pPr>
              <w:spacing w:after="0"/>
              <w:rPr>
                <w:sz w:val="14"/>
                <w:szCs w:val="14"/>
                <w:color w:val="auto"/>
              </w:rPr>
            </w:pPr>
          </w:p>
        </w:tc>
      </w:tr>
      <w:tr>
        <w:trPr>
          <w:trHeight w:val="35"/>
        </w:trPr>
        <w:tc>
          <w:tcPr>
            <w:tcW w:w="4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r>
      <w:tr>
        <w:trPr>
          <w:trHeight w:val="162"/>
        </w:trPr>
        <w:tc>
          <w:tcPr>
            <w:tcW w:w="520" w:type="dxa"/>
            <w:vAlign w:val="bottom"/>
            <w:gridSpan w:val="2"/>
          </w:tcPr>
          <w:p>
            <w:pPr>
              <w:spacing w:after="0" w:line="162" w:lineRule="exact"/>
              <w:rPr>
                <w:rFonts w:ascii="Arial" w:cs="Arial" w:eastAsia="Arial" w:hAnsi="Arial"/>
                <w:sz w:val="15"/>
                <w:szCs w:val="15"/>
                <w:color w:val="0000FF"/>
              </w:rPr>
            </w:pPr>
            <w:hyperlink w:anchor="page42">
              <w:r>
                <w:rPr>
                  <w:rFonts w:ascii="Arial" w:cs="Arial" w:eastAsia="Arial" w:hAnsi="Arial"/>
                  <w:sz w:val="15"/>
                  <w:szCs w:val="15"/>
                  <w:color w:val="0000FF"/>
                </w:rPr>
                <w:t>Item 2</w:t>
              </w:r>
            </w:hyperlink>
          </w:p>
        </w:tc>
        <w:tc>
          <w:tcPr>
            <w:tcW w:w="520" w:type="dxa"/>
            <w:vAlign w:val="bottom"/>
          </w:tcPr>
          <w:p>
            <w:pPr>
              <w:spacing w:after="0"/>
              <w:rPr>
                <w:sz w:val="14"/>
                <w:szCs w:val="14"/>
                <w:color w:val="auto"/>
              </w:rPr>
            </w:pPr>
          </w:p>
        </w:tc>
        <w:tc>
          <w:tcPr>
            <w:tcW w:w="9080" w:type="dxa"/>
            <w:vAlign w:val="bottom"/>
            <w:gridSpan w:val="14"/>
          </w:tcPr>
          <w:p>
            <w:pPr>
              <w:spacing w:after="0" w:line="162" w:lineRule="exact"/>
              <w:rPr>
                <w:rFonts w:ascii="Arial" w:cs="Arial" w:eastAsia="Arial" w:hAnsi="Arial"/>
                <w:sz w:val="15"/>
                <w:szCs w:val="15"/>
                <w:color w:val="0000FF"/>
              </w:rPr>
            </w:pPr>
            <w:hyperlink w:anchor="page42">
              <w:r>
                <w:rPr>
                  <w:rFonts w:ascii="Arial" w:cs="Arial" w:eastAsia="Arial" w:hAnsi="Arial"/>
                  <w:sz w:val="15"/>
                  <w:szCs w:val="15"/>
                  <w:color w:val="0000FF"/>
                </w:rPr>
                <w:t>Unregistered Sales of Equity Securities and Use of Proceeds</w:t>
              </w:r>
            </w:hyperlink>
          </w:p>
        </w:tc>
        <w:tc>
          <w:tcPr>
            <w:tcW w:w="660" w:type="dxa"/>
            <w:vAlign w:val="bottom"/>
            <w:gridSpan w:val="3"/>
          </w:tcPr>
          <w:p>
            <w:pPr>
              <w:jc w:val="center"/>
              <w:ind w:left="423"/>
              <w:spacing w:after="0" w:line="162" w:lineRule="exact"/>
              <w:rPr>
                <w:rFonts w:ascii="Arial" w:cs="Arial" w:eastAsia="Arial" w:hAnsi="Arial"/>
                <w:sz w:val="15"/>
                <w:szCs w:val="15"/>
                <w:color w:val="0000FF"/>
                <w:w w:val="95"/>
              </w:rPr>
            </w:pPr>
            <w:hyperlink w:anchor="page42">
              <w:r>
                <w:rPr>
                  <w:rFonts w:ascii="Arial" w:cs="Arial" w:eastAsia="Arial" w:hAnsi="Arial"/>
                  <w:sz w:val="15"/>
                  <w:szCs w:val="15"/>
                  <w:color w:val="0000FF"/>
                  <w:w w:val="95"/>
                </w:rPr>
                <w:t>42</w:t>
              </w:r>
            </w:hyperlink>
          </w:p>
        </w:tc>
        <w:tc>
          <w:tcPr>
            <w:tcW w:w="460" w:type="dxa"/>
            <w:vAlign w:val="bottom"/>
          </w:tcPr>
          <w:p>
            <w:pPr>
              <w:spacing w:after="0"/>
              <w:rPr>
                <w:sz w:val="14"/>
                <w:szCs w:val="14"/>
                <w:color w:val="auto"/>
              </w:rPr>
            </w:pPr>
          </w:p>
        </w:tc>
      </w:tr>
      <w:tr>
        <w:trPr>
          <w:trHeight w:val="27"/>
        </w:trPr>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r>
      <w:tr>
        <w:trPr>
          <w:trHeight w:val="169"/>
        </w:trPr>
        <w:tc>
          <w:tcPr>
            <w:tcW w:w="1040" w:type="dxa"/>
            <w:vAlign w:val="bottom"/>
            <w:tcBorders>
              <w:right w:val="single" w:sz="8" w:color="CCEEFF"/>
            </w:tcBorders>
            <w:gridSpan w:val="3"/>
            <w:shd w:val="clear" w:color="auto" w:fill="CCEEFF"/>
          </w:tcPr>
          <w:p>
            <w:pPr>
              <w:spacing w:after="0" w:line="169" w:lineRule="exact"/>
              <w:rPr>
                <w:rFonts w:ascii="Arial" w:cs="Arial" w:eastAsia="Arial" w:hAnsi="Arial"/>
                <w:sz w:val="15"/>
                <w:szCs w:val="15"/>
                <w:color w:val="0000FF"/>
              </w:rPr>
            </w:pPr>
            <w:hyperlink w:anchor="page42">
              <w:r>
                <w:rPr>
                  <w:rFonts w:ascii="Arial" w:cs="Arial" w:eastAsia="Arial" w:hAnsi="Arial"/>
                  <w:sz w:val="15"/>
                  <w:szCs w:val="15"/>
                  <w:color w:val="0000FF"/>
                </w:rPr>
                <w:t>Item 3</w:t>
              </w:r>
            </w:hyperlink>
          </w:p>
        </w:tc>
        <w:tc>
          <w:tcPr>
            <w:tcW w:w="9080" w:type="dxa"/>
            <w:vAlign w:val="bottom"/>
            <w:gridSpan w:val="14"/>
            <w:shd w:val="clear" w:color="auto" w:fill="CCEEFF"/>
          </w:tcPr>
          <w:p>
            <w:pPr>
              <w:spacing w:after="0" w:line="169" w:lineRule="exact"/>
              <w:rPr>
                <w:rFonts w:ascii="Arial" w:cs="Arial" w:eastAsia="Arial" w:hAnsi="Arial"/>
                <w:sz w:val="15"/>
                <w:szCs w:val="15"/>
                <w:color w:val="0000FF"/>
              </w:rPr>
            </w:pPr>
            <w:hyperlink w:anchor="page42">
              <w:r>
                <w:rPr>
                  <w:rFonts w:ascii="Arial" w:cs="Arial" w:eastAsia="Arial" w:hAnsi="Arial"/>
                  <w:sz w:val="15"/>
                  <w:szCs w:val="15"/>
                  <w:color w:val="0000FF"/>
                </w:rPr>
                <w:t>Defaults Upon Senior Securities</w:t>
              </w:r>
            </w:hyperlink>
          </w:p>
        </w:tc>
        <w:tc>
          <w:tcPr>
            <w:tcW w:w="660" w:type="dxa"/>
            <w:vAlign w:val="bottom"/>
            <w:gridSpan w:val="3"/>
            <w:shd w:val="clear" w:color="auto" w:fill="CCEEFF"/>
          </w:tcPr>
          <w:p>
            <w:pPr>
              <w:jc w:val="center"/>
              <w:ind w:left="423"/>
              <w:spacing w:after="0" w:line="169" w:lineRule="exact"/>
              <w:rPr>
                <w:rFonts w:ascii="Arial" w:cs="Arial" w:eastAsia="Arial" w:hAnsi="Arial"/>
                <w:sz w:val="15"/>
                <w:szCs w:val="15"/>
                <w:color w:val="0000FF"/>
                <w:w w:val="95"/>
              </w:rPr>
            </w:pPr>
            <w:hyperlink w:anchor="page42">
              <w:r>
                <w:rPr>
                  <w:rFonts w:ascii="Arial" w:cs="Arial" w:eastAsia="Arial" w:hAnsi="Arial"/>
                  <w:sz w:val="15"/>
                  <w:szCs w:val="15"/>
                  <w:color w:val="0000FF"/>
                  <w:w w:val="95"/>
                </w:rPr>
                <w:t>42</w:t>
              </w:r>
            </w:hyperlink>
          </w:p>
        </w:tc>
        <w:tc>
          <w:tcPr>
            <w:tcW w:w="460" w:type="dxa"/>
            <w:vAlign w:val="bottom"/>
            <w:tcBorders>
              <w:left w:val="single" w:sz="8" w:color="CCEEFF"/>
            </w:tcBorders>
            <w:shd w:val="clear" w:color="auto" w:fill="CCEEFF"/>
          </w:tcPr>
          <w:p>
            <w:pPr>
              <w:spacing w:after="0"/>
              <w:rPr>
                <w:sz w:val="14"/>
                <w:szCs w:val="14"/>
                <w:color w:val="auto"/>
              </w:rPr>
            </w:pPr>
          </w:p>
        </w:tc>
      </w:tr>
      <w:tr>
        <w:trPr>
          <w:trHeight w:val="35"/>
        </w:trPr>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r>
      <w:tr>
        <w:trPr>
          <w:trHeight w:val="162"/>
        </w:trPr>
        <w:tc>
          <w:tcPr>
            <w:tcW w:w="1040" w:type="dxa"/>
            <w:vAlign w:val="bottom"/>
            <w:gridSpan w:val="3"/>
          </w:tcPr>
          <w:p>
            <w:pPr>
              <w:spacing w:after="0" w:line="162" w:lineRule="exact"/>
              <w:rPr>
                <w:rFonts w:ascii="Arial" w:cs="Arial" w:eastAsia="Arial" w:hAnsi="Arial"/>
                <w:sz w:val="15"/>
                <w:szCs w:val="15"/>
                <w:color w:val="0000FF"/>
              </w:rPr>
            </w:pPr>
            <w:hyperlink w:anchor="page42">
              <w:r>
                <w:rPr>
                  <w:rFonts w:ascii="Arial" w:cs="Arial" w:eastAsia="Arial" w:hAnsi="Arial"/>
                  <w:sz w:val="15"/>
                  <w:szCs w:val="15"/>
                  <w:color w:val="0000FF"/>
                </w:rPr>
                <w:t>Item 4</w:t>
              </w:r>
            </w:hyperlink>
          </w:p>
        </w:tc>
        <w:tc>
          <w:tcPr>
            <w:tcW w:w="9080" w:type="dxa"/>
            <w:vAlign w:val="bottom"/>
            <w:gridSpan w:val="14"/>
          </w:tcPr>
          <w:p>
            <w:pPr>
              <w:spacing w:after="0" w:line="162" w:lineRule="exact"/>
              <w:rPr>
                <w:rFonts w:ascii="Arial" w:cs="Arial" w:eastAsia="Arial" w:hAnsi="Arial"/>
                <w:sz w:val="15"/>
                <w:szCs w:val="15"/>
                <w:color w:val="0000FF"/>
              </w:rPr>
            </w:pPr>
            <w:hyperlink w:anchor="page42">
              <w:r>
                <w:rPr>
                  <w:rFonts w:ascii="Arial" w:cs="Arial" w:eastAsia="Arial" w:hAnsi="Arial"/>
                  <w:sz w:val="15"/>
                  <w:szCs w:val="15"/>
                  <w:color w:val="0000FF"/>
                </w:rPr>
                <w:t>Mine Safety Disclosures</w:t>
              </w:r>
            </w:hyperlink>
          </w:p>
        </w:tc>
        <w:tc>
          <w:tcPr>
            <w:tcW w:w="660" w:type="dxa"/>
            <w:vAlign w:val="bottom"/>
            <w:gridSpan w:val="3"/>
          </w:tcPr>
          <w:p>
            <w:pPr>
              <w:jc w:val="center"/>
              <w:ind w:left="423"/>
              <w:spacing w:after="0" w:line="162" w:lineRule="exact"/>
              <w:rPr>
                <w:rFonts w:ascii="Arial" w:cs="Arial" w:eastAsia="Arial" w:hAnsi="Arial"/>
                <w:sz w:val="15"/>
                <w:szCs w:val="15"/>
                <w:color w:val="0000FF"/>
                <w:w w:val="95"/>
              </w:rPr>
            </w:pPr>
            <w:hyperlink w:anchor="page42">
              <w:r>
                <w:rPr>
                  <w:rFonts w:ascii="Arial" w:cs="Arial" w:eastAsia="Arial" w:hAnsi="Arial"/>
                  <w:sz w:val="15"/>
                  <w:szCs w:val="15"/>
                  <w:color w:val="0000FF"/>
                  <w:w w:val="95"/>
                </w:rPr>
                <w:t>42</w:t>
              </w:r>
            </w:hyperlink>
          </w:p>
        </w:tc>
        <w:tc>
          <w:tcPr>
            <w:tcW w:w="460" w:type="dxa"/>
            <w:vAlign w:val="bottom"/>
          </w:tcPr>
          <w:p>
            <w:pPr>
              <w:spacing w:after="0"/>
              <w:rPr>
                <w:sz w:val="14"/>
                <w:szCs w:val="14"/>
                <w:color w:val="auto"/>
              </w:rPr>
            </w:pPr>
          </w:p>
        </w:tc>
      </w:tr>
      <w:tr>
        <w:trPr>
          <w:trHeight w:val="27"/>
        </w:trPr>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r>
      <w:tr>
        <w:trPr>
          <w:trHeight w:val="169"/>
        </w:trPr>
        <w:tc>
          <w:tcPr>
            <w:tcW w:w="1040" w:type="dxa"/>
            <w:vAlign w:val="bottom"/>
            <w:tcBorders>
              <w:right w:val="single" w:sz="8" w:color="CCEEFF"/>
            </w:tcBorders>
            <w:gridSpan w:val="3"/>
            <w:shd w:val="clear" w:color="auto" w:fill="CCEEFF"/>
          </w:tcPr>
          <w:p>
            <w:pPr>
              <w:spacing w:after="0" w:line="169" w:lineRule="exact"/>
              <w:rPr>
                <w:rFonts w:ascii="Arial" w:cs="Arial" w:eastAsia="Arial" w:hAnsi="Arial"/>
                <w:sz w:val="15"/>
                <w:szCs w:val="15"/>
                <w:color w:val="0000FF"/>
              </w:rPr>
            </w:pPr>
            <w:hyperlink w:anchor="page42">
              <w:r>
                <w:rPr>
                  <w:rFonts w:ascii="Arial" w:cs="Arial" w:eastAsia="Arial" w:hAnsi="Arial"/>
                  <w:sz w:val="15"/>
                  <w:szCs w:val="15"/>
                  <w:color w:val="0000FF"/>
                </w:rPr>
                <w:t>Item 5</w:t>
              </w:r>
            </w:hyperlink>
          </w:p>
        </w:tc>
        <w:tc>
          <w:tcPr>
            <w:tcW w:w="9080" w:type="dxa"/>
            <w:vAlign w:val="bottom"/>
            <w:gridSpan w:val="14"/>
            <w:shd w:val="clear" w:color="auto" w:fill="CCEEFF"/>
          </w:tcPr>
          <w:p>
            <w:pPr>
              <w:spacing w:after="0" w:line="169" w:lineRule="exact"/>
              <w:rPr>
                <w:rFonts w:ascii="Arial" w:cs="Arial" w:eastAsia="Arial" w:hAnsi="Arial"/>
                <w:sz w:val="15"/>
                <w:szCs w:val="15"/>
                <w:color w:val="0000FF"/>
              </w:rPr>
            </w:pPr>
            <w:hyperlink w:anchor="page42">
              <w:r>
                <w:rPr>
                  <w:rFonts w:ascii="Arial" w:cs="Arial" w:eastAsia="Arial" w:hAnsi="Arial"/>
                  <w:sz w:val="15"/>
                  <w:szCs w:val="15"/>
                  <w:color w:val="0000FF"/>
                </w:rPr>
                <w:t>Other Information</w:t>
              </w:r>
            </w:hyperlink>
          </w:p>
        </w:tc>
        <w:tc>
          <w:tcPr>
            <w:tcW w:w="660" w:type="dxa"/>
            <w:vAlign w:val="bottom"/>
            <w:gridSpan w:val="3"/>
            <w:shd w:val="clear" w:color="auto" w:fill="CCEEFF"/>
          </w:tcPr>
          <w:p>
            <w:pPr>
              <w:jc w:val="center"/>
              <w:ind w:left="423"/>
              <w:spacing w:after="0" w:line="169" w:lineRule="exact"/>
              <w:rPr>
                <w:rFonts w:ascii="Arial" w:cs="Arial" w:eastAsia="Arial" w:hAnsi="Arial"/>
                <w:sz w:val="15"/>
                <w:szCs w:val="15"/>
                <w:color w:val="0000FF"/>
                <w:w w:val="95"/>
              </w:rPr>
            </w:pPr>
            <w:hyperlink w:anchor="page42">
              <w:r>
                <w:rPr>
                  <w:rFonts w:ascii="Arial" w:cs="Arial" w:eastAsia="Arial" w:hAnsi="Arial"/>
                  <w:sz w:val="15"/>
                  <w:szCs w:val="15"/>
                  <w:color w:val="0000FF"/>
                  <w:w w:val="95"/>
                </w:rPr>
                <w:t>42</w:t>
              </w:r>
            </w:hyperlink>
          </w:p>
        </w:tc>
        <w:tc>
          <w:tcPr>
            <w:tcW w:w="460" w:type="dxa"/>
            <w:vAlign w:val="bottom"/>
            <w:tcBorders>
              <w:left w:val="single" w:sz="8" w:color="CCEEFF"/>
            </w:tcBorders>
            <w:shd w:val="clear" w:color="auto" w:fill="CCEEFF"/>
          </w:tcPr>
          <w:p>
            <w:pPr>
              <w:spacing w:after="0"/>
              <w:rPr>
                <w:sz w:val="14"/>
                <w:szCs w:val="14"/>
                <w:color w:val="auto"/>
              </w:rPr>
            </w:pPr>
          </w:p>
        </w:tc>
      </w:tr>
      <w:tr>
        <w:trPr>
          <w:trHeight w:val="35"/>
        </w:trPr>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3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60" w:type="dxa"/>
            <w:vAlign w:val="bottom"/>
            <w:tcBorders>
              <w:left w:val="single" w:sz="8" w:color="0000FF"/>
            </w:tcBorders>
            <w:shd w:val="clear" w:color="auto" w:fill="CCEEFF"/>
          </w:tcPr>
          <w:p>
            <w:pPr>
              <w:spacing w:after="0"/>
              <w:rPr>
                <w:sz w:val="3"/>
                <w:szCs w:val="3"/>
                <w:color w:val="auto"/>
              </w:rPr>
            </w:pPr>
          </w:p>
        </w:tc>
      </w:tr>
      <w:tr>
        <w:trPr>
          <w:trHeight w:val="162"/>
        </w:trPr>
        <w:tc>
          <w:tcPr>
            <w:tcW w:w="1040" w:type="dxa"/>
            <w:vAlign w:val="bottom"/>
            <w:gridSpan w:val="3"/>
          </w:tcPr>
          <w:p>
            <w:pPr>
              <w:spacing w:after="0" w:line="162" w:lineRule="exact"/>
              <w:rPr>
                <w:rFonts w:ascii="Arial" w:cs="Arial" w:eastAsia="Arial" w:hAnsi="Arial"/>
                <w:sz w:val="15"/>
                <w:szCs w:val="15"/>
                <w:color w:val="0000FF"/>
              </w:rPr>
            </w:pPr>
            <w:hyperlink w:anchor="page42">
              <w:r>
                <w:rPr>
                  <w:rFonts w:ascii="Arial" w:cs="Arial" w:eastAsia="Arial" w:hAnsi="Arial"/>
                  <w:sz w:val="15"/>
                  <w:szCs w:val="15"/>
                  <w:color w:val="0000FF"/>
                </w:rPr>
                <w:t>Item 6</w:t>
              </w:r>
            </w:hyperlink>
          </w:p>
        </w:tc>
        <w:tc>
          <w:tcPr>
            <w:tcW w:w="9080" w:type="dxa"/>
            <w:vAlign w:val="bottom"/>
            <w:gridSpan w:val="14"/>
          </w:tcPr>
          <w:p>
            <w:pPr>
              <w:spacing w:after="0" w:line="162" w:lineRule="exact"/>
              <w:rPr>
                <w:rFonts w:ascii="Arial" w:cs="Arial" w:eastAsia="Arial" w:hAnsi="Arial"/>
                <w:sz w:val="15"/>
                <w:szCs w:val="15"/>
                <w:color w:val="0000FF"/>
              </w:rPr>
            </w:pPr>
            <w:hyperlink w:anchor="page42">
              <w:r>
                <w:rPr>
                  <w:rFonts w:ascii="Arial" w:cs="Arial" w:eastAsia="Arial" w:hAnsi="Arial"/>
                  <w:sz w:val="15"/>
                  <w:szCs w:val="15"/>
                  <w:color w:val="0000FF"/>
                </w:rPr>
                <w:t>Exhibits</w:t>
              </w:r>
            </w:hyperlink>
          </w:p>
        </w:tc>
        <w:tc>
          <w:tcPr>
            <w:tcW w:w="660" w:type="dxa"/>
            <w:vAlign w:val="bottom"/>
            <w:gridSpan w:val="3"/>
          </w:tcPr>
          <w:p>
            <w:pPr>
              <w:jc w:val="center"/>
              <w:ind w:left="423"/>
              <w:spacing w:after="0" w:line="162" w:lineRule="exact"/>
              <w:rPr>
                <w:rFonts w:ascii="Arial" w:cs="Arial" w:eastAsia="Arial" w:hAnsi="Arial"/>
                <w:sz w:val="15"/>
                <w:szCs w:val="15"/>
                <w:color w:val="0000FF"/>
                <w:w w:val="95"/>
              </w:rPr>
            </w:pPr>
            <w:hyperlink w:anchor="page42">
              <w:r>
                <w:rPr>
                  <w:rFonts w:ascii="Arial" w:cs="Arial" w:eastAsia="Arial" w:hAnsi="Arial"/>
                  <w:sz w:val="15"/>
                  <w:szCs w:val="15"/>
                  <w:color w:val="0000FF"/>
                  <w:w w:val="95"/>
                </w:rPr>
                <w:t>43</w:t>
              </w:r>
            </w:hyperlink>
          </w:p>
        </w:tc>
        <w:tc>
          <w:tcPr>
            <w:tcW w:w="460" w:type="dxa"/>
            <w:vAlign w:val="bottom"/>
          </w:tcPr>
          <w:p>
            <w:pPr>
              <w:spacing w:after="0"/>
              <w:rPr>
                <w:sz w:val="14"/>
                <w:szCs w:val="14"/>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bl>
    <w:p>
      <w:pPr>
        <w:spacing w:after="0" w:line="26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this Quarterly Report on Form 10-Q, “LivaNova,” “the Company,” “we,” “us” and “our” refer to LivaNova PLC and its consolidated subsidiaries.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This report may contain references to our proprietary intellectual property, including among others:</w:t>
      </w:r>
    </w:p>
    <w:p>
      <w:pPr>
        <w:spacing w:after="0" w:line="23" w:lineRule="exact"/>
        <w:rPr>
          <w:sz w:val="20"/>
          <w:szCs w:val="20"/>
          <w:color w:val="auto"/>
        </w:rPr>
      </w:pPr>
    </w:p>
    <w:p>
      <w:pPr>
        <w:ind w:left="540" w:right="240" w:hanging="270"/>
        <w:spacing w:after="0" w:line="188" w:lineRule="auto"/>
        <w:tabs>
          <w:tab w:leader="none" w:pos="5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Trademarks for our VNS therapy systems, the VNS Therapy</w:t>
      </w:r>
      <w:r>
        <w:rPr>
          <w:rFonts w:ascii="Arial" w:cs="Arial" w:eastAsia="Arial" w:hAnsi="Arial"/>
          <w:sz w:val="21"/>
          <w:szCs w:val="21"/>
          <w:color w:val="auto"/>
          <w:vertAlign w:val="superscript"/>
        </w:rPr>
        <w:t>®</w:t>
      </w:r>
      <w:r>
        <w:rPr>
          <w:rFonts w:ascii="Arial" w:cs="Arial" w:eastAsia="Arial" w:hAnsi="Arial"/>
          <w:sz w:val="14"/>
          <w:szCs w:val="14"/>
          <w:color w:val="auto"/>
        </w:rPr>
        <w:t xml:space="preserve"> System, the VITARIA</w:t>
      </w:r>
      <w:r>
        <w:rPr>
          <w:rFonts w:ascii="Arial" w:cs="Arial" w:eastAsia="Arial" w:hAnsi="Arial"/>
          <w:sz w:val="21"/>
          <w:szCs w:val="21"/>
          <w:color w:val="auto"/>
          <w:vertAlign w:val="superscript"/>
        </w:rPr>
        <w:t>®</w:t>
      </w:r>
      <w:r>
        <w:rPr>
          <w:rFonts w:ascii="Arial" w:cs="Arial" w:eastAsia="Arial" w:hAnsi="Arial"/>
          <w:sz w:val="14"/>
          <w:szCs w:val="14"/>
          <w:color w:val="auto"/>
        </w:rPr>
        <w:t xml:space="preserve"> System and our proprietary pulse generator products: Model 102 (Pulse</w:t>
      </w:r>
      <w:r>
        <w:rPr>
          <w:rFonts w:ascii="Arial" w:cs="Arial" w:eastAsia="Arial" w:hAnsi="Arial"/>
          <w:sz w:val="21"/>
          <w:szCs w:val="21"/>
          <w:color w:val="auto"/>
          <w:vertAlign w:val="superscript"/>
        </w:rPr>
        <w:t>®</w:t>
      </w:r>
      <w:r>
        <w:rPr>
          <w:rFonts w:ascii="Arial" w:cs="Arial" w:eastAsia="Arial" w:hAnsi="Arial"/>
          <w:sz w:val="14"/>
          <w:szCs w:val="14"/>
          <w:color w:val="auto"/>
        </w:rPr>
        <w:t>), Model 102R (Pulse Duo</w:t>
      </w:r>
      <w:r>
        <w:rPr>
          <w:rFonts w:ascii="Arial" w:cs="Arial" w:eastAsia="Arial" w:hAnsi="Arial"/>
          <w:sz w:val="21"/>
          <w:szCs w:val="21"/>
          <w:color w:val="auto"/>
          <w:vertAlign w:val="superscript"/>
        </w:rPr>
        <w:t>®</w:t>
      </w:r>
      <w:r>
        <w:rPr>
          <w:rFonts w:ascii="Arial" w:cs="Arial" w:eastAsia="Arial" w:hAnsi="Arial"/>
          <w:sz w:val="14"/>
          <w:szCs w:val="14"/>
          <w:color w:val="auto"/>
        </w:rPr>
        <w:t>), Model 103 (Demipulse</w:t>
      </w:r>
      <w:r>
        <w:rPr>
          <w:rFonts w:ascii="Arial" w:cs="Arial" w:eastAsia="Arial" w:hAnsi="Arial"/>
          <w:sz w:val="21"/>
          <w:szCs w:val="21"/>
          <w:color w:val="auto"/>
          <w:vertAlign w:val="superscript"/>
        </w:rPr>
        <w:t>®</w:t>
      </w:r>
      <w:r>
        <w:rPr>
          <w:rFonts w:ascii="Arial" w:cs="Arial" w:eastAsia="Arial" w:hAnsi="Arial"/>
          <w:sz w:val="14"/>
          <w:szCs w:val="14"/>
          <w:color w:val="auto"/>
        </w:rPr>
        <w:t>), Model 104 (Demipulse Duo</w:t>
      </w:r>
      <w:r>
        <w:rPr>
          <w:rFonts w:ascii="Arial" w:cs="Arial" w:eastAsia="Arial" w:hAnsi="Arial"/>
          <w:sz w:val="21"/>
          <w:szCs w:val="21"/>
          <w:color w:val="auto"/>
          <w:vertAlign w:val="superscript"/>
        </w:rPr>
        <w:t>®</w:t>
      </w:r>
      <w:r>
        <w:rPr>
          <w:rFonts w:ascii="Arial" w:cs="Arial" w:eastAsia="Arial" w:hAnsi="Arial"/>
          <w:sz w:val="14"/>
          <w:szCs w:val="14"/>
          <w:color w:val="auto"/>
        </w:rPr>
        <w:t>), Model 106 (AspireSR</w:t>
      </w:r>
      <w:r>
        <w:rPr>
          <w:rFonts w:ascii="Arial" w:cs="Arial" w:eastAsia="Arial" w:hAnsi="Arial"/>
          <w:sz w:val="21"/>
          <w:szCs w:val="21"/>
          <w:color w:val="auto"/>
          <w:vertAlign w:val="superscript"/>
        </w:rPr>
        <w:t>®</w:t>
      </w:r>
      <w:r>
        <w:rPr>
          <w:rFonts w:ascii="Arial" w:cs="Arial" w:eastAsia="Arial" w:hAnsi="Arial"/>
          <w:sz w:val="14"/>
          <w:szCs w:val="14"/>
          <w:color w:val="auto"/>
        </w:rPr>
        <w:t>), Model 1000 (SenTiva</w:t>
      </w:r>
      <w:r>
        <w:rPr>
          <w:rFonts w:ascii="Arial" w:cs="Arial" w:eastAsia="Arial" w:hAnsi="Arial"/>
          <w:sz w:val="21"/>
          <w:szCs w:val="21"/>
          <w:color w:val="auto"/>
          <w:vertAlign w:val="superscript"/>
        </w:rPr>
        <w:t>®</w:t>
      </w:r>
      <w:r>
        <w:rPr>
          <w:rFonts w:ascii="Arial" w:cs="Arial" w:eastAsia="Arial" w:hAnsi="Arial"/>
          <w:sz w:val="14"/>
          <w:szCs w:val="14"/>
          <w:color w:val="auto"/>
        </w:rPr>
        <w:t>), Model 1000-D (SenTiva</w:t>
      </w:r>
      <w:r>
        <w:rPr>
          <w:rFonts w:ascii="Arial" w:cs="Arial" w:eastAsia="Arial" w:hAnsi="Arial"/>
          <w:sz w:val="21"/>
          <w:szCs w:val="21"/>
          <w:color w:val="auto"/>
          <w:vertAlign w:val="superscript"/>
        </w:rPr>
        <w:t>®</w:t>
      </w:r>
      <w:r>
        <w:rPr>
          <w:rFonts w:ascii="Arial" w:cs="Arial" w:eastAsia="Arial" w:hAnsi="Arial"/>
          <w:sz w:val="14"/>
          <w:szCs w:val="14"/>
          <w:color w:val="auto"/>
        </w:rPr>
        <w:t xml:space="preserve"> Duo), Model 7103 (VITARIA</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TitrationAssist</w:t>
      </w:r>
      <w:r>
        <w:rPr>
          <w:rFonts w:ascii="Arial" w:cs="Arial" w:eastAsia="Arial" w:hAnsi="Arial"/>
          <w:sz w:val="21"/>
          <w:szCs w:val="21"/>
          <w:color w:val="auto"/>
          <w:vertAlign w:val="superscript"/>
        </w:rPr>
        <w:t>™</w:t>
      </w:r>
      <w:r>
        <w:rPr>
          <w:rFonts w:ascii="Arial" w:cs="Arial" w:eastAsia="Arial" w:hAnsi="Arial"/>
          <w:sz w:val="14"/>
          <w:szCs w:val="14"/>
          <w:color w:val="auto"/>
        </w:rPr>
        <w:t>) and Model 8103 (Symmetry</w:t>
      </w:r>
      <w:r>
        <w:rPr>
          <w:rFonts w:ascii="Arial" w:cs="Arial" w:eastAsia="Arial" w:hAnsi="Arial"/>
          <w:sz w:val="21"/>
          <w:szCs w:val="21"/>
          <w:color w:val="auto"/>
          <w:vertAlign w:val="superscript"/>
        </w:rPr>
        <w:t>®)</w:t>
      </w:r>
      <w:r>
        <w:rPr>
          <w:rFonts w:ascii="Arial" w:cs="Arial" w:eastAsia="Arial" w:hAnsi="Arial"/>
          <w:sz w:val="14"/>
          <w:szCs w:val="14"/>
          <w:color w:val="auto"/>
        </w:rPr>
        <w:t>.</w:t>
      </w:r>
    </w:p>
    <w:p>
      <w:pPr>
        <w:ind w:left="540" w:right="320" w:hanging="270"/>
        <w:spacing w:after="0" w:line="183" w:lineRule="auto"/>
        <w:tabs>
          <w:tab w:leader="none" w:pos="536" w:val="left"/>
        </w:tabs>
        <w:numPr>
          <w:ilvl w:val="0"/>
          <w:numId w:val="3"/>
        </w:numPr>
        <w:rPr>
          <w:rFonts w:ascii="Arial" w:cs="Arial" w:eastAsia="Arial" w:hAnsi="Arial"/>
          <w:sz w:val="15"/>
          <w:szCs w:val="15"/>
          <w:color w:val="auto"/>
        </w:rPr>
      </w:pPr>
      <w:r>
        <w:rPr>
          <w:rFonts w:ascii="Arial" w:cs="Arial" w:eastAsia="Arial" w:hAnsi="Arial"/>
          <w:sz w:val="15"/>
          <w:szCs w:val="15"/>
          <w:color w:val="auto"/>
        </w:rPr>
        <w:t>Trademarks for our Cardiopulmonary product systems: S5</w:t>
      </w:r>
      <w:r>
        <w:rPr>
          <w:rFonts w:ascii="Arial" w:cs="Arial" w:eastAsia="Arial" w:hAnsi="Arial"/>
          <w:sz w:val="23"/>
          <w:szCs w:val="23"/>
          <w:color w:val="auto"/>
          <w:vertAlign w:val="superscript"/>
        </w:rPr>
        <w:t>®</w:t>
      </w:r>
      <w:r>
        <w:rPr>
          <w:rFonts w:ascii="Arial" w:cs="Arial" w:eastAsia="Arial" w:hAnsi="Arial"/>
          <w:sz w:val="15"/>
          <w:szCs w:val="15"/>
          <w:color w:val="auto"/>
        </w:rPr>
        <w:t xml:space="preserve"> heart-lung machine, S3</w:t>
      </w:r>
      <w:r>
        <w:rPr>
          <w:rFonts w:ascii="Arial" w:cs="Arial" w:eastAsia="Arial" w:hAnsi="Arial"/>
          <w:sz w:val="23"/>
          <w:szCs w:val="23"/>
          <w:color w:val="auto"/>
          <w:vertAlign w:val="superscript"/>
        </w:rPr>
        <w:t>®</w:t>
      </w:r>
      <w:r>
        <w:rPr>
          <w:rFonts w:ascii="Arial" w:cs="Arial" w:eastAsia="Arial" w:hAnsi="Arial"/>
          <w:sz w:val="15"/>
          <w:szCs w:val="15"/>
          <w:color w:val="auto"/>
        </w:rPr>
        <w:t xml:space="preserve"> heart-lung machine, S5 Pro</w:t>
      </w:r>
      <w:r>
        <w:rPr>
          <w:rFonts w:ascii="Arial" w:cs="Arial" w:eastAsia="Arial" w:hAnsi="Arial"/>
          <w:sz w:val="23"/>
          <w:szCs w:val="23"/>
          <w:color w:val="auto"/>
          <w:vertAlign w:val="superscript"/>
        </w:rPr>
        <w:t>™</w:t>
      </w:r>
      <w:r>
        <w:rPr>
          <w:rFonts w:ascii="Arial" w:cs="Arial" w:eastAsia="Arial" w:hAnsi="Arial"/>
          <w:sz w:val="15"/>
          <w:szCs w:val="15"/>
          <w:color w:val="auto"/>
        </w:rPr>
        <w:t xml:space="preserve"> heart-lung machine, B-Capta</w:t>
      </w:r>
      <w:r>
        <w:rPr>
          <w:rFonts w:ascii="Arial" w:cs="Arial" w:eastAsia="Arial" w:hAnsi="Arial"/>
          <w:sz w:val="23"/>
          <w:szCs w:val="23"/>
          <w:color w:val="auto"/>
          <w:vertAlign w:val="superscript"/>
        </w:rPr>
        <w:t>®</w:t>
      </w:r>
      <w:r>
        <w:rPr>
          <w:rFonts w:ascii="Arial" w:cs="Arial" w:eastAsia="Arial" w:hAnsi="Arial"/>
          <w:sz w:val="15"/>
          <w:szCs w:val="15"/>
          <w:color w:val="auto"/>
        </w:rPr>
        <w:t>, Inspire</w:t>
      </w:r>
      <w:r>
        <w:rPr>
          <w:rFonts w:ascii="Arial" w:cs="Arial" w:eastAsia="Arial" w:hAnsi="Arial"/>
          <w:sz w:val="23"/>
          <w:szCs w:val="23"/>
          <w:color w:val="auto"/>
          <w:vertAlign w:val="superscript"/>
        </w:rPr>
        <w:t>®</w:t>
      </w:r>
      <w:r>
        <w:rPr>
          <w:rFonts w:ascii="Arial" w:cs="Arial" w:eastAsia="Arial" w:hAnsi="Arial"/>
          <w:sz w:val="15"/>
          <w:szCs w:val="15"/>
          <w:color w:val="auto"/>
        </w:rPr>
        <w:t>, Heartlink</w:t>
      </w:r>
      <w:r>
        <w:rPr>
          <w:rFonts w:ascii="Arial" w:cs="Arial" w:eastAsia="Arial" w:hAnsi="Arial"/>
          <w:sz w:val="23"/>
          <w:szCs w:val="23"/>
          <w:color w:val="auto"/>
          <w:vertAlign w:val="superscript"/>
        </w:rPr>
        <w:t>®</w:t>
      </w:r>
      <w:r>
        <w:rPr>
          <w:rFonts w:ascii="Arial" w:cs="Arial" w:eastAsia="Arial" w:hAnsi="Arial"/>
          <w:sz w:val="15"/>
          <w:szCs w:val="15"/>
          <w:color w:val="auto"/>
        </w:rPr>
        <w:t>, XTRA</w:t>
      </w:r>
      <w:r>
        <w:rPr>
          <w:rFonts w:ascii="Arial" w:cs="Arial" w:eastAsia="Arial" w:hAnsi="Arial"/>
          <w:sz w:val="23"/>
          <w:szCs w:val="23"/>
          <w:color w:val="auto"/>
          <w:vertAlign w:val="superscript"/>
        </w:rPr>
        <w:t>®</w:t>
      </w:r>
      <w:r>
        <w:rPr>
          <w:rFonts w:ascii="Arial" w:cs="Arial" w:eastAsia="Arial" w:hAnsi="Arial"/>
          <w:sz w:val="15"/>
          <w:szCs w:val="15"/>
          <w:color w:val="auto"/>
        </w:rPr>
        <w:t xml:space="preserve"> Autotransfusion System, 3T Heater-Cooler</w:t>
      </w:r>
      <w:r>
        <w:rPr>
          <w:rFonts w:ascii="Arial" w:cs="Arial" w:eastAsia="Arial" w:hAnsi="Arial"/>
          <w:sz w:val="23"/>
          <w:szCs w:val="23"/>
          <w:color w:val="auto"/>
          <w:vertAlign w:val="superscript"/>
        </w:rPr>
        <w:t>®</w:t>
      </w:r>
      <w:r>
        <w:rPr>
          <w:rFonts w:ascii="Arial" w:cs="Arial" w:eastAsia="Arial" w:hAnsi="Arial"/>
          <w:sz w:val="15"/>
          <w:szCs w:val="15"/>
          <w:color w:val="auto"/>
        </w:rPr>
        <w:t>, Connect™ and Revolution</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1" w:lineRule="exact"/>
        <w:rPr>
          <w:rFonts w:ascii="Arial" w:cs="Arial" w:eastAsia="Arial" w:hAnsi="Arial"/>
          <w:sz w:val="15"/>
          <w:szCs w:val="15"/>
          <w:color w:val="auto"/>
        </w:rPr>
      </w:pPr>
    </w:p>
    <w:p>
      <w:pPr>
        <w:ind w:left="540" w:right="40" w:hanging="270"/>
        <w:spacing w:after="0" w:line="185" w:lineRule="auto"/>
        <w:tabs>
          <w:tab w:leader="none" w:pos="536" w:val="left"/>
        </w:tabs>
        <w:numPr>
          <w:ilvl w:val="0"/>
          <w:numId w:val="3"/>
        </w:numPr>
        <w:rPr>
          <w:rFonts w:ascii="Arial" w:cs="Arial" w:eastAsia="Arial" w:hAnsi="Arial"/>
          <w:sz w:val="13"/>
          <w:szCs w:val="13"/>
          <w:color w:val="auto"/>
        </w:rPr>
      </w:pPr>
      <w:r>
        <w:rPr>
          <w:rFonts w:ascii="Arial" w:cs="Arial" w:eastAsia="Arial" w:hAnsi="Arial"/>
          <w:sz w:val="13"/>
          <w:szCs w:val="13"/>
          <w:color w:val="auto"/>
        </w:rPr>
        <w:t>Trademarks for our line of surgical tissue and mechanical valve replacements and repair products: Mitroflow</w:t>
      </w:r>
      <w:r>
        <w:rPr>
          <w:rFonts w:ascii="Arial" w:cs="Arial" w:eastAsia="Arial" w:hAnsi="Arial"/>
          <w:sz w:val="20"/>
          <w:szCs w:val="20"/>
          <w:color w:val="auto"/>
          <w:vertAlign w:val="superscript"/>
        </w:rPr>
        <w:t>®</w:t>
      </w:r>
      <w:r>
        <w:rPr>
          <w:rFonts w:ascii="Arial" w:cs="Arial" w:eastAsia="Arial" w:hAnsi="Arial"/>
          <w:sz w:val="13"/>
          <w:szCs w:val="13"/>
          <w:color w:val="auto"/>
        </w:rPr>
        <w:t>, Crown PRT</w:t>
      </w:r>
      <w:r>
        <w:rPr>
          <w:rFonts w:ascii="Arial" w:cs="Arial" w:eastAsia="Arial" w:hAnsi="Arial"/>
          <w:sz w:val="20"/>
          <w:szCs w:val="20"/>
          <w:color w:val="auto"/>
          <w:vertAlign w:val="superscript"/>
        </w:rPr>
        <w:t>®</w:t>
      </w:r>
      <w:r>
        <w:rPr>
          <w:rFonts w:ascii="Arial" w:cs="Arial" w:eastAsia="Arial" w:hAnsi="Arial"/>
          <w:sz w:val="13"/>
          <w:szCs w:val="13"/>
          <w:color w:val="auto"/>
        </w:rPr>
        <w:t>, Solo Smart™, Perceval</w:t>
      </w:r>
      <w:r>
        <w:rPr>
          <w:rFonts w:ascii="Arial" w:cs="Arial" w:eastAsia="Arial" w:hAnsi="Arial"/>
          <w:sz w:val="20"/>
          <w:szCs w:val="20"/>
          <w:color w:val="auto"/>
          <w:vertAlign w:val="superscript"/>
        </w:rPr>
        <w:t>®</w:t>
      </w:r>
      <w:r>
        <w:rPr>
          <w:rFonts w:ascii="Arial" w:cs="Arial" w:eastAsia="Arial" w:hAnsi="Arial"/>
          <w:sz w:val="13"/>
          <w:szCs w:val="13"/>
          <w:color w:val="auto"/>
        </w:rPr>
        <w:t>, Perceval</w:t>
      </w:r>
      <w:r>
        <w:rPr>
          <w:rFonts w:ascii="Arial" w:cs="Arial" w:eastAsia="Arial" w:hAnsi="Arial"/>
          <w:sz w:val="20"/>
          <w:szCs w:val="20"/>
          <w:color w:val="auto"/>
          <w:vertAlign w:val="superscript"/>
        </w:rPr>
        <w:t>®</w:t>
      </w:r>
      <w:r>
        <w:rPr>
          <w:rFonts w:ascii="Arial" w:cs="Arial" w:eastAsia="Arial" w:hAnsi="Arial"/>
          <w:sz w:val="13"/>
          <w:szCs w:val="13"/>
          <w:color w:val="auto"/>
        </w:rPr>
        <w:t xml:space="preserve"> Plus, Miami Instruments™, Top Hat</w:t>
      </w:r>
      <w:r>
        <w:rPr>
          <w:rFonts w:ascii="Arial" w:cs="Arial" w:eastAsia="Arial" w:hAnsi="Arial"/>
          <w:sz w:val="20"/>
          <w:szCs w:val="20"/>
          <w:color w:val="auto"/>
          <w:vertAlign w:val="superscript"/>
        </w:rPr>
        <w:t>®</w:t>
      </w:r>
      <w:r>
        <w:rPr>
          <w:rFonts w:ascii="Arial" w:cs="Arial" w:eastAsia="Arial" w:hAnsi="Arial"/>
          <w:sz w:val="13"/>
          <w:szCs w:val="13"/>
          <w:color w:val="auto"/>
        </w:rPr>
        <w:t>, Reduced Series Aortic Valves™, Carbomedics Carbo-Seal</w:t>
      </w:r>
      <w:r>
        <w:rPr>
          <w:rFonts w:ascii="Arial" w:cs="Arial" w:eastAsia="Arial" w:hAnsi="Arial"/>
          <w:sz w:val="20"/>
          <w:szCs w:val="20"/>
          <w:color w:val="auto"/>
          <w:vertAlign w:val="superscript"/>
        </w:rPr>
        <w:t>®</w:t>
      </w:r>
      <w:r>
        <w:rPr>
          <w:rFonts w:ascii="Arial" w:cs="Arial" w:eastAsia="Arial" w:hAnsi="Arial"/>
          <w:sz w:val="13"/>
          <w:szCs w:val="13"/>
          <w:color w:val="auto"/>
        </w:rPr>
        <w:t>, Carbo-Seal Valsalva</w:t>
      </w:r>
      <w:r>
        <w:rPr>
          <w:rFonts w:ascii="Arial" w:cs="Arial" w:eastAsia="Arial" w:hAnsi="Arial"/>
          <w:sz w:val="20"/>
          <w:szCs w:val="20"/>
          <w:color w:val="auto"/>
          <w:vertAlign w:val="superscript"/>
        </w:rPr>
        <w:t>®</w:t>
      </w:r>
      <w:r>
        <w:rPr>
          <w:rFonts w:ascii="Arial" w:cs="Arial" w:eastAsia="Arial" w:hAnsi="Arial"/>
          <w:sz w:val="13"/>
          <w:szCs w:val="13"/>
          <w:color w:val="auto"/>
        </w:rPr>
        <w:t>, Carbomedics Standard</w:t>
      </w:r>
      <w:r>
        <w:rPr>
          <w:rFonts w:ascii="Arial" w:cs="Arial" w:eastAsia="Arial" w:hAnsi="Arial"/>
          <w:sz w:val="20"/>
          <w:szCs w:val="20"/>
          <w:color w:val="auto"/>
          <w:vertAlign w:val="superscript"/>
        </w:rPr>
        <w:t>®</w:t>
      </w:r>
      <w:r>
        <w:rPr>
          <w:rFonts w:ascii="Arial" w:cs="Arial" w:eastAsia="Arial" w:hAnsi="Arial"/>
          <w:sz w:val="13"/>
          <w:szCs w:val="13"/>
          <w:color w:val="auto"/>
        </w:rPr>
        <w:t>, Orbis™ and Optiform</w:t>
      </w:r>
      <w:r>
        <w:rPr>
          <w:rFonts w:ascii="Arial" w:cs="Arial" w:eastAsia="Arial" w:hAnsi="Arial"/>
          <w:sz w:val="20"/>
          <w:szCs w:val="20"/>
          <w:color w:val="auto"/>
          <w:vertAlign w:val="superscript"/>
        </w:rPr>
        <w:t>®</w:t>
      </w:r>
      <w:r>
        <w:rPr>
          <w:rFonts w:ascii="Arial" w:cs="Arial" w:eastAsia="Arial" w:hAnsi="Arial"/>
          <w:sz w:val="13"/>
          <w:szCs w:val="13"/>
          <w:color w:val="auto"/>
        </w:rPr>
        <w:t>, and Mitral valve repair products: Memo3D</w:t>
      </w:r>
      <w:r>
        <w:rPr>
          <w:rFonts w:ascii="Arial" w:cs="Arial" w:eastAsia="Arial" w:hAnsi="Arial"/>
          <w:sz w:val="20"/>
          <w:szCs w:val="20"/>
          <w:color w:val="auto"/>
          <w:vertAlign w:val="superscript"/>
        </w:rPr>
        <w:t>®</w:t>
      </w:r>
      <w:r>
        <w:rPr>
          <w:rFonts w:ascii="Arial" w:cs="Arial" w:eastAsia="Arial" w:hAnsi="Arial"/>
          <w:sz w:val="13"/>
          <w:szCs w:val="13"/>
          <w:color w:val="auto"/>
        </w:rPr>
        <w:t>, Memo3D ReChord</w:t>
      </w:r>
      <w:r>
        <w:rPr>
          <w:rFonts w:ascii="Arial" w:cs="Arial" w:eastAsia="Arial" w:hAnsi="Arial"/>
          <w:sz w:val="20"/>
          <w:szCs w:val="20"/>
          <w:color w:val="auto"/>
          <w:vertAlign w:val="superscript"/>
        </w:rPr>
        <w:t>™</w:t>
      </w:r>
      <w:r>
        <w:rPr>
          <w:rFonts w:ascii="Arial" w:cs="Arial" w:eastAsia="Arial" w:hAnsi="Arial"/>
          <w:sz w:val="13"/>
          <w:szCs w:val="13"/>
          <w:color w:val="auto"/>
        </w:rPr>
        <w:t>, MEMO 4D</w:t>
      </w:r>
      <w:r>
        <w:rPr>
          <w:rFonts w:ascii="Arial" w:cs="Arial" w:eastAsia="Arial" w:hAnsi="Arial"/>
          <w:sz w:val="20"/>
          <w:szCs w:val="20"/>
          <w:color w:val="auto"/>
          <w:vertAlign w:val="superscript"/>
        </w:rPr>
        <w:t>®</w:t>
      </w:r>
      <w:r>
        <w:rPr>
          <w:rFonts w:ascii="Arial" w:cs="Arial" w:eastAsia="Arial" w:hAnsi="Arial"/>
          <w:sz w:val="13"/>
          <w:szCs w:val="13"/>
          <w:color w:val="auto"/>
        </w:rPr>
        <w:t>, AnnuloFlo</w:t>
      </w:r>
      <w:r>
        <w:rPr>
          <w:rFonts w:ascii="Arial" w:cs="Arial" w:eastAsia="Arial" w:hAnsi="Arial"/>
          <w:sz w:val="20"/>
          <w:szCs w:val="20"/>
          <w:color w:val="auto"/>
          <w:vertAlign w:val="superscript"/>
        </w:rPr>
        <w:t>®</w:t>
      </w:r>
      <w:r>
        <w:rPr>
          <w:rFonts w:ascii="Arial" w:cs="Arial" w:eastAsia="Arial" w:hAnsi="Arial"/>
          <w:sz w:val="13"/>
          <w:szCs w:val="13"/>
          <w:color w:val="auto"/>
        </w:rPr>
        <w:t>, AnnuloFlex</w:t>
      </w:r>
      <w:r>
        <w:rPr>
          <w:rFonts w:ascii="Arial" w:cs="Arial" w:eastAsia="Arial" w:hAnsi="Arial"/>
          <w:sz w:val="20"/>
          <w:szCs w:val="20"/>
          <w:color w:val="auto"/>
          <w:vertAlign w:val="superscript"/>
        </w:rPr>
        <w:t>®</w:t>
      </w:r>
      <w:r>
        <w:rPr>
          <w:rFonts w:ascii="Arial" w:cs="Arial" w:eastAsia="Arial" w:hAnsi="Arial"/>
          <w:sz w:val="13"/>
          <w:szCs w:val="13"/>
          <w:color w:val="auto"/>
        </w:rPr>
        <w:t>, Bicarbon Slimline™, Bicarbon Fitline™ and Bicarbon Overline</w:t>
      </w:r>
      <w:r>
        <w:rPr>
          <w:rFonts w:ascii="Arial" w:cs="Arial" w:eastAsia="Arial" w:hAnsi="Arial"/>
          <w:sz w:val="20"/>
          <w:szCs w:val="20"/>
          <w:color w:val="auto"/>
          <w:vertAlign w:val="superscript"/>
        </w:rPr>
        <w:t>®</w:t>
      </w:r>
      <w:r>
        <w:rPr>
          <w:rFonts w:ascii="Arial" w:cs="Arial" w:eastAsia="Arial" w:hAnsi="Arial"/>
          <w:sz w:val="13"/>
          <w:szCs w:val="13"/>
          <w:color w:val="auto"/>
        </w:rPr>
        <w:t>.</w:t>
      </w:r>
    </w:p>
    <w:p>
      <w:pPr>
        <w:ind w:left="540" w:hanging="270"/>
        <w:spacing w:after="0" w:line="181"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Trademarks for our advanced circulatory support systems: TandemLife</w:t>
      </w:r>
      <w:r>
        <w:rPr>
          <w:rFonts w:ascii="Arial" w:cs="Arial" w:eastAsia="Arial" w:hAnsi="Arial"/>
          <w:sz w:val="24"/>
          <w:szCs w:val="24"/>
          <w:color w:val="auto"/>
          <w:vertAlign w:val="superscript"/>
        </w:rPr>
        <w:t>®</w:t>
      </w:r>
      <w:r>
        <w:rPr>
          <w:rFonts w:ascii="Arial" w:cs="Arial" w:eastAsia="Arial" w:hAnsi="Arial"/>
          <w:sz w:val="15"/>
          <w:szCs w:val="15"/>
          <w:color w:val="auto"/>
        </w:rPr>
        <w:t>, TandemHeart</w:t>
      </w:r>
      <w:r>
        <w:rPr>
          <w:rFonts w:ascii="Arial" w:cs="Arial" w:eastAsia="Arial" w:hAnsi="Arial"/>
          <w:sz w:val="24"/>
          <w:szCs w:val="24"/>
          <w:color w:val="auto"/>
          <w:vertAlign w:val="superscript"/>
        </w:rPr>
        <w:t>®</w:t>
      </w:r>
      <w:r>
        <w:rPr>
          <w:rFonts w:ascii="Arial" w:cs="Arial" w:eastAsia="Arial" w:hAnsi="Arial"/>
          <w:sz w:val="15"/>
          <w:szCs w:val="15"/>
          <w:color w:val="auto"/>
        </w:rPr>
        <w:t>, TandemLung</w:t>
      </w:r>
      <w:r>
        <w:rPr>
          <w:rFonts w:ascii="Arial" w:cs="Arial" w:eastAsia="Arial" w:hAnsi="Arial"/>
          <w:sz w:val="24"/>
          <w:szCs w:val="24"/>
          <w:color w:val="auto"/>
          <w:vertAlign w:val="superscript"/>
        </w:rPr>
        <w:t>®</w:t>
      </w:r>
      <w:r>
        <w:rPr>
          <w:rFonts w:ascii="Arial" w:cs="Arial" w:eastAsia="Arial" w:hAnsi="Arial"/>
          <w:sz w:val="15"/>
          <w:szCs w:val="15"/>
          <w:color w:val="auto"/>
        </w:rPr>
        <w:t>, ProtekDuo</w:t>
      </w:r>
      <w:r>
        <w:rPr>
          <w:rFonts w:ascii="Arial" w:cs="Arial" w:eastAsia="Arial" w:hAnsi="Arial"/>
          <w:sz w:val="24"/>
          <w:szCs w:val="24"/>
          <w:color w:val="auto"/>
          <w:vertAlign w:val="superscript"/>
        </w:rPr>
        <w:t>®</w:t>
      </w:r>
      <w:r>
        <w:rPr>
          <w:rFonts w:ascii="Arial" w:cs="Arial" w:eastAsia="Arial" w:hAnsi="Arial"/>
          <w:sz w:val="15"/>
          <w:szCs w:val="15"/>
          <w:color w:val="auto"/>
        </w:rPr>
        <w:t>, and LifeSPARC™.</w:t>
      </w:r>
    </w:p>
    <w:p>
      <w:pPr>
        <w:ind w:left="540" w:hanging="270"/>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Trademarks for our obstructive sleep apnea system: ImThera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Aura6000</w:t>
      </w:r>
      <w:r>
        <w:rPr>
          <w:rFonts w:ascii="Arial" w:cs="Arial" w:eastAsia="Arial" w:hAnsi="Arial"/>
          <w:sz w:val="24"/>
          <w:szCs w:val="24"/>
          <w:color w:val="auto"/>
          <w:vertAlign w:val="superscript"/>
        </w:rPr>
        <w:t>®</w:t>
      </w:r>
      <w:r>
        <w:rPr>
          <w:rFonts w:ascii="Arial" w:cs="Arial" w:eastAsia="Arial" w:hAnsi="Arial"/>
          <w:sz w:val="15"/>
          <w:szCs w:val="15"/>
          <w:color w:val="auto"/>
        </w:rPr>
        <w:t>.</w:t>
      </w:r>
    </w:p>
    <w:p>
      <w:pPr>
        <w:spacing w:after="0" w:line="24" w:lineRule="exact"/>
        <w:rPr>
          <w:sz w:val="20"/>
          <w:szCs w:val="20"/>
          <w:color w:val="auto"/>
        </w:rPr>
      </w:pPr>
    </w:p>
    <w:p>
      <w:pPr>
        <w:ind w:right="380" w:firstLine="139"/>
        <w:spacing w:after="0" w:line="236" w:lineRule="auto"/>
        <w:rPr>
          <w:sz w:val="20"/>
          <w:szCs w:val="20"/>
          <w:color w:val="auto"/>
        </w:rPr>
      </w:pPr>
      <w:r>
        <w:rPr>
          <w:rFonts w:ascii="Arial" w:cs="Arial" w:eastAsia="Arial" w:hAnsi="Arial"/>
          <w:sz w:val="14"/>
          <w:szCs w:val="14"/>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 </w:t>
      </w:r>
      <w:r>
        <w:rPr>
          <w:rFonts w:ascii="Arial" w:cs="Arial" w:eastAsia="Arial" w:hAnsi="Arial"/>
          <w:sz w:val="22"/>
          <w:szCs w:val="22"/>
          <w:color w:val="auto"/>
          <w:vertAlign w:val="superscript"/>
        </w:rPr>
        <w:t>®</w:t>
      </w:r>
      <w:r>
        <w:rPr>
          <w:rFonts w:ascii="Arial" w:cs="Arial" w:eastAsia="Arial" w:hAnsi="Arial"/>
          <w:sz w:val="14"/>
          <w:szCs w:val="14"/>
          <w:color w:val="auto"/>
        </w:rPr>
        <w:t xml:space="preserve"> or </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symbols, but such references are not intended to indicate in any way that we will not assert, to the fullest extent under applicable law, our rights to these trademarks and tradenames.</w:t>
      </w:r>
    </w:p>
    <w:p>
      <w:pPr>
        <w:spacing w:after="0" w:line="198"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________________________________________</w:t>
      </w: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5"/>
          <w:szCs w:val="15"/>
          <w:b w:val="1"/>
          <w:bCs w:val="1"/>
          <w:color w:val="auto"/>
        </w:rPr>
        <w:t>NOTE ABOUT FORWARD LOOKING STATEMENTS</w:t>
      </w:r>
    </w:p>
    <w:p>
      <w:pPr>
        <w:spacing w:after="0" w:line="146" w:lineRule="exact"/>
        <w:rPr>
          <w:sz w:val="20"/>
          <w:szCs w:val="20"/>
          <w:color w:val="auto"/>
        </w:rPr>
      </w:pPr>
    </w:p>
    <w:p>
      <w:pPr>
        <w:ind w:firstLine="139"/>
        <w:spacing w:after="0" w:line="280" w:lineRule="auto"/>
        <w:rPr>
          <w:sz w:val="20"/>
          <w:szCs w:val="20"/>
          <w:color w:val="auto"/>
        </w:rPr>
      </w:pPr>
      <w:r>
        <w:rPr>
          <w:rFonts w:ascii="Arial" w:cs="Arial" w:eastAsia="Arial" w:hAnsi="Arial"/>
          <w:sz w:val="14"/>
          <w:szCs w:val="14"/>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62" w:lineRule="exact"/>
        <w:rPr>
          <w:sz w:val="20"/>
          <w:szCs w:val="20"/>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our common stock price;</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activist investors causing disruptions to the business;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our profitability;</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regulatory activities and announcements, including the failure to obtain regulatory approvals for our new products;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effectiveness of our internal controls over financial reporting;</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fluctuations in future quarterly operating results;</w:t>
      </w:r>
    </w:p>
    <w:p>
      <w:pPr>
        <w:spacing w:after="0" w:line="105" w:lineRule="exact"/>
        <w:rPr>
          <w:rFonts w:ascii="Arial" w:cs="Arial" w:eastAsia="Arial" w:hAnsi="Arial"/>
          <w:sz w:val="15"/>
          <w:szCs w:val="15"/>
          <w:color w:val="auto"/>
        </w:rPr>
      </w:pPr>
    </w:p>
    <w:p>
      <w:pPr>
        <w:ind w:left="480" w:right="180" w:hanging="279"/>
        <w:spacing w:after="0" w:line="289" w:lineRule="auto"/>
        <w:tabs>
          <w:tab w:leader="none" w:pos="476"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to comply with, or changes in, laws, regulations or administrative practices affecting government regulation of our products, including, but not limited to, U.S. Food and Drug Administration (“FDA”) laws and regulations;</w:t>
      </w:r>
    </w:p>
    <w:p>
      <w:pPr>
        <w:spacing w:after="0" w:line="47"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to establish, expand or maintain market acceptance of our products for the treatment of our approved indications;</w:t>
      </w:r>
    </w:p>
    <w:p>
      <w:pPr>
        <w:spacing w:after="0" w:line="105" w:lineRule="exact"/>
        <w:rPr>
          <w:rFonts w:ascii="Arial" w:cs="Arial" w:eastAsia="Arial" w:hAnsi="Arial"/>
          <w:sz w:val="15"/>
          <w:szCs w:val="15"/>
          <w:color w:val="auto"/>
        </w:rPr>
      </w:pPr>
    </w:p>
    <w:p>
      <w:pPr>
        <w:ind w:left="480" w:right="80" w:hanging="279"/>
        <w:spacing w:after="0" w:line="273" w:lineRule="auto"/>
        <w:tabs>
          <w:tab w:leader="none" w:pos="476" w:val="left"/>
        </w:tabs>
        <w:numPr>
          <w:ilvl w:val="0"/>
          <w:numId w:val="4"/>
        </w:numPr>
        <w:rPr>
          <w:rFonts w:ascii="Arial" w:cs="Arial" w:eastAsia="Arial" w:hAnsi="Arial"/>
          <w:sz w:val="15"/>
          <w:szCs w:val="15"/>
          <w:color w:val="auto"/>
        </w:rPr>
      </w:pPr>
      <w:r>
        <w:rPr>
          <w:rFonts w:ascii="Arial" w:cs="Arial" w:eastAsia="Arial" w:hAnsi="Arial"/>
          <w:sz w:val="15"/>
          <w:szCs w:val="15"/>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58"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to maintain the current regulatory approvals for our products’ approved indications;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to obtain or maintain coverage and reimbursement for our products’ approved indications;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unfavorable results from clinical studies;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variations in sales and operating expenses relative to estimates;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on certain suppliers and manufacturers to provide certain materials, components and contract services necessary for the production of our products;</w:t>
      </w:r>
    </w:p>
    <w:p>
      <w:pPr>
        <w:spacing w:after="0" w:line="116" w:lineRule="exact"/>
        <w:rPr>
          <w:rFonts w:ascii="Arial" w:cs="Arial" w:eastAsia="Arial" w:hAnsi="Arial"/>
          <w:sz w:val="14"/>
          <w:szCs w:val="14"/>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product liability, intellectual property, shareholder-related, environmental-related, income tax and other litigation, disputes, losses and costs;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protection, expiration and validity of our intellectual property;</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technology, including the development of superior or alternative technology or devices by competitors;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competition from providers of alternative medical therapies, such as pharmaceutical companies and providers of cannabis;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cyber-attacks or other disruptions to our information technology systems;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to comply with applicable U.S. laws and regulations, including federal and state privacy and security laws and regulations;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to comply with applicable non-U.S. laws and regulations;</w:t>
      </w:r>
    </w:p>
    <w:p>
      <w:pPr>
        <w:spacing w:after="0" w:line="200" w:lineRule="exact"/>
        <w:rPr>
          <w:sz w:val="20"/>
          <w:szCs w:val="20"/>
          <w:color w:val="auto"/>
        </w:rPr>
      </w:pPr>
    </w:p>
    <w:p>
      <w:pPr>
        <w:spacing w:after="0" w:line="287"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3" w:name="page4"/>
    <w:bookmarkEnd w:id="3"/>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non-U.S. operational and economic risks and concerns;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failure to attract or retain key personnel;</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failure of new acquisitions to further our strategic objectives or strengthen our existing businesses;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losses or costs from pending or future lawsuits and governmental investigations;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accounting rules that adversely affect the characterization of our consolidated financial position, results of operations or cash flows;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customer spending patterns;</w:t>
      </w:r>
    </w:p>
    <w:p>
      <w:pPr>
        <w:spacing w:after="0" w:line="105" w:lineRule="exact"/>
        <w:rPr>
          <w:rFonts w:ascii="Arial" w:cs="Arial" w:eastAsia="Arial" w:hAnsi="Arial"/>
          <w:sz w:val="15"/>
          <w:szCs w:val="15"/>
          <w:color w:val="auto"/>
        </w:rPr>
      </w:pPr>
    </w:p>
    <w:p>
      <w:pPr>
        <w:ind w:left="480" w:right="600" w:hanging="279"/>
        <w:spacing w:after="0" w:line="289" w:lineRule="auto"/>
        <w:tabs>
          <w:tab w:leader="none" w:pos="476"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continued volatility in the global market and worldwide economic conditions, including volatility caused by Brexit and/or changes to existing trade agreements and relationships between the U.S. and other countries;</w:t>
      </w:r>
    </w:p>
    <w:p>
      <w:pPr>
        <w:spacing w:after="0" w:line="47" w:lineRule="exact"/>
        <w:rPr>
          <w:rFonts w:ascii="Arial" w:cs="Arial" w:eastAsia="Arial" w:hAnsi="Arial"/>
          <w:sz w:val="15"/>
          <w:szCs w:val="15"/>
          <w:color w:val="auto"/>
        </w:rPr>
      </w:pPr>
    </w:p>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risks relating to the outbreak and spread of COVID-19 around the world;</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tax laws, including changes related to Brexit, or exposure to additional income tax liabilities;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harsh weather or natural disasters that interrupt our business operations or the business operations of our hospital-customers; and</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failure of the market to adopt new therapies or to adopt new therapies quickly.</w:t>
      </w:r>
    </w:p>
    <w:p>
      <w:pPr>
        <w:spacing w:after="0" w:line="105" w:lineRule="exact"/>
        <w:rPr>
          <w:sz w:val="20"/>
          <w:szCs w:val="20"/>
          <w:color w:val="auto"/>
        </w:rPr>
      </w:pPr>
    </w:p>
    <w:p>
      <w:pPr>
        <w:ind w:right="20" w:firstLine="139"/>
        <w:spacing w:after="0" w:line="301" w:lineRule="auto"/>
        <w:rPr>
          <w:sz w:val="20"/>
          <w:szCs w:val="20"/>
          <w:color w:val="auto"/>
        </w:rPr>
      </w:pPr>
      <w:r>
        <w:rPr>
          <w:rFonts w:ascii="Arial" w:cs="Arial" w:eastAsia="Arial" w:hAnsi="Arial"/>
          <w:sz w:val="14"/>
          <w:szCs w:val="14"/>
          <w:color w:val="auto"/>
        </w:rPr>
        <w:t>Other factors that could cause our actual results to differ from our projected results are described in (1) “Part II, Item 1A. Risk Factors” and elsewhere in this and our other Quarterly Reports on Form 10-Q, (2) our Annual Report on Form 10-K for the fiscal year ended December 31, 2020 (“2020 Form 10-K”), (3) our reports and registration statements filed and furnished from time to time with the Securities and Exchange Commission (“SEC”) and (4) other announcements we make from time to time.</w:t>
      </w:r>
    </w:p>
    <w:p>
      <w:pPr>
        <w:spacing w:after="0" w:line="42" w:lineRule="exact"/>
        <w:rPr>
          <w:sz w:val="20"/>
          <w:szCs w:val="20"/>
          <w:color w:val="auto"/>
        </w:rPr>
      </w:pPr>
    </w:p>
    <w:p>
      <w:pPr>
        <w:ind w:firstLine="139"/>
        <w:spacing w:after="0" w:line="263" w:lineRule="auto"/>
        <w:rPr>
          <w:sz w:val="20"/>
          <w:szCs w:val="20"/>
          <w:color w:val="auto"/>
        </w:rPr>
      </w:pPr>
      <w:r>
        <w:rPr>
          <w:rFonts w:ascii="Arial" w:cs="Arial" w:eastAsia="Arial" w:hAnsi="Arial"/>
          <w:sz w:val="15"/>
          <w:szCs w:val="15"/>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months ended March 31, 2021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2020 Form 10-K and in our Quarterly Reports on Form 10-Q.</w:t>
      </w:r>
    </w:p>
    <w:p>
      <w:pPr>
        <w:spacing w:after="0" w:line="109" w:lineRule="exact"/>
        <w:rPr>
          <w:sz w:val="20"/>
          <w:szCs w:val="20"/>
          <w:color w:val="auto"/>
        </w:rPr>
      </w:pPr>
    </w:p>
    <w:p>
      <w:pPr>
        <w:jc w:val="center"/>
        <w:ind w:right="-359"/>
        <w:spacing w:after="0"/>
        <w:rPr>
          <w:sz w:val="20"/>
          <w:szCs w:val="20"/>
          <w:color w:val="auto"/>
        </w:rPr>
      </w:pPr>
      <w:r>
        <w:rPr>
          <w:rFonts w:ascii="Arial" w:cs="Arial" w:eastAsia="Arial" w:hAnsi="Arial"/>
          <w:sz w:val="15"/>
          <w:szCs w:val="15"/>
          <w:b w:val="1"/>
          <w:bCs w:val="1"/>
          <w:color w:val="auto"/>
        </w:rPr>
        <w:t>Financial Information and Currency of Financial Statements</w:t>
      </w:r>
    </w:p>
    <w:p>
      <w:pPr>
        <w:spacing w:after="0" w:line="146" w:lineRule="exact"/>
        <w:rPr>
          <w:sz w:val="20"/>
          <w:szCs w:val="20"/>
          <w:color w:val="auto"/>
        </w:rPr>
      </w:pPr>
    </w:p>
    <w:p>
      <w:pPr>
        <w:ind w:right="220" w:firstLine="139"/>
        <w:spacing w:after="0" w:line="289" w:lineRule="auto"/>
        <w:rPr>
          <w:sz w:val="20"/>
          <w:szCs w:val="20"/>
          <w:color w:val="auto"/>
        </w:rPr>
      </w:pPr>
      <w:r>
        <w:rPr>
          <w:rFonts w:ascii="Arial" w:cs="Arial" w:eastAsia="Arial" w:hAnsi="Arial"/>
          <w:sz w:val="15"/>
          <w:szCs w:val="15"/>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30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60"/>
          </w:cols>
          <w:pgMar w:left="320" w:top="788" w:right="41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PART I. FINANCIAL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 </w:t>
      </w:r>
      <w:r>
        <w:rPr>
          <w:rFonts w:ascii="Arial" w:cs="Arial" w:eastAsia="Arial" w:hAnsi="Arial"/>
          <w:sz w:val="19"/>
          <w:szCs w:val="19"/>
          <w:b w:val="1"/>
          <w:bCs w:val="1"/>
          <w:i w:val="1"/>
          <w:iCs w:val="1"/>
          <w:color w:val="auto"/>
        </w:rPr>
        <w:t>Financial Statements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LIVANOVA PLC AND SUBSIDIARIES</w:t>
      </w:r>
    </w:p>
    <w:p>
      <w:pPr>
        <w:spacing w:after="0" w:line="5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CONDENSED CONSOLIDATED STATEMENTS OF INCOME (LOSS)</w:t>
      </w:r>
    </w:p>
    <w:p>
      <w:pPr>
        <w:spacing w:after="0" w:line="5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(UNAUDITED)</w:t>
      </w:r>
    </w:p>
    <w:p>
      <w:pPr>
        <w:spacing w:after="0" w:line="6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0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5"/>
                <w:szCs w:val="15"/>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640" w:type="dxa"/>
            <w:vAlign w:val="bottom"/>
            <w:tcBorders>
              <w:bottom w:val="single" w:sz="8" w:color="auto"/>
            </w:tcBorders>
          </w:tcPr>
          <w:p>
            <w:pPr>
              <w:spacing w:after="0"/>
              <w:rPr>
                <w:sz w:val="16"/>
                <w:szCs w:val="16"/>
                <w:color w:val="auto"/>
              </w:rPr>
            </w:pPr>
          </w:p>
        </w:tc>
      </w:tr>
      <w:tr>
        <w:trPr>
          <w:trHeight w:val="188"/>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247,603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242,397</w:t>
            </w:r>
          </w:p>
        </w:tc>
      </w:tr>
      <w:tr>
        <w:trPr>
          <w:trHeight w:val="196"/>
        </w:trPr>
        <w:tc>
          <w:tcPr>
            <w:tcW w:w="7700" w:type="dxa"/>
            <w:vAlign w:val="bottom"/>
          </w:tcPr>
          <w:p>
            <w:pPr>
              <w:spacing w:after="0"/>
              <w:rPr>
                <w:sz w:val="20"/>
                <w:szCs w:val="20"/>
                <w:color w:val="auto"/>
              </w:rPr>
            </w:pPr>
            <w:r>
              <w:rPr>
                <w:rFonts w:ascii="Arial" w:cs="Arial" w:eastAsia="Arial" w:hAnsi="Arial"/>
                <w:sz w:val="15"/>
                <w:szCs w:val="15"/>
                <w:color w:val="auto"/>
              </w:rPr>
              <w:t>Costs and expenses:</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7"/>
        </w:trPr>
        <w:tc>
          <w:tcPr>
            <w:tcW w:w="7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sales - exclusive of amortization</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79,216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68,923</w:t>
            </w:r>
          </w:p>
        </w:tc>
      </w:tr>
      <w:tr>
        <w:trPr>
          <w:trHeight w:val="196"/>
        </w:trPr>
        <w:tc>
          <w:tcPr>
            <w:tcW w:w="7700" w:type="dxa"/>
            <w:vAlign w:val="bottom"/>
          </w:tcPr>
          <w:p>
            <w:pPr>
              <w:ind w:left="120"/>
              <w:spacing w:after="0"/>
              <w:rPr>
                <w:sz w:val="20"/>
                <w:szCs w:val="20"/>
                <w:color w:val="auto"/>
              </w:rPr>
            </w:pPr>
            <w:r>
              <w:rPr>
                <w:rFonts w:ascii="Arial" w:cs="Arial" w:eastAsia="Arial" w:hAnsi="Arial"/>
                <w:sz w:val="15"/>
                <w:szCs w:val="15"/>
                <w:color w:val="auto"/>
              </w:rPr>
              <w:t>Product remediation</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1,466</w:t>
            </w:r>
          </w:p>
        </w:tc>
      </w:tr>
      <w:tr>
        <w:trPr>
          <w:trHeight w:val="197"/>
        </w:trPr>
        <w:tc>
          <w:tcPr>
            <w:tcW w:w="7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general and administrative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112,618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120,177</w:t>
            </w:r>
          </w:p>
        </w:tc>
      </w:tr>
      <w:tr>
        <w:trPr>
          <w:trHeight w:val="196"/>
        </w:trPr>
        <w:tc>
          <w:tcPr>
            <w:tcW w:w="770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44,625</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35,902</w:t>
            </w:r>
          </w:p>
        </w:tc>
      </w:tr>
      <w:tr>
        <w:trPr>
          <w:trHeight w:val="197"/>
        </w:trPr>
        <w:tc>
          <w:tcPr>
            <w:tcW w:w="7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Merger and integration expenses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3,474</w:t>
            </w:r>
          </w:p>
        </w:tc>
      </w:tr>
      <w:tr>
        <w:trPr>
          <w:trHeight w:val="196"/>
        </w:trPr>
        <w:tc>
          <w:tcPr>
            <w:tcW w:w="7700" w:type="dxa"/>
            <w:vAlign w:val="bottom"/>
          </w:tcPr>
          <w:p>
            <w:pPr>
              <w:ind w:left="120"/>
              <w:spacing w:after="0"/>
              <w:rPr>
                <w:sz w:val="20"/>
                <w:szCs w:val="20"/>
                <w:color w:val="auto"/>
              </w:rPr>
            </w:pPr>
            <w:r>
              <w:rPr>
                <w:rFonts w:ascii="Arial" w:cs="Arial" w:eastAsia="Arial" w:hAnsi="Arial"/>
                <w:sz w:val="15"/>
                <w:szCs w:val="15"/>
                <w:color w:val="auto"/>
              </w:rPr>
              <w:t>Restructuring expenses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6,092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1,580</w:t>
            </w:r>
          </w:p>
        </w:tc>
      </w:tr>
      <w:tr>
        <w:trPr>
          <w:trHeight w:val="197"/>
        </w:trPr>
        <w:tc>
          <w:tcPr>
            <w:tcW w:w="7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Revaluation of disposal group</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7700" w:type="dxa"/>
            <w:vAlign w:val="bottom"/>
          </w:tcPr>
          <w:p>
            <w:pPr>
              <w:ind w:left="120"/>
              <w:spacing w:after="0"/>
              <w:rPr>
                <w:sz w:val="20"/>
                <w:szCs w:val="20"/>
                <w:color w:val="auto"/>
              </w:rPr>
            </w:pPr>
            <w:r>
              <w:rPr>
                <w:rFonts w:ascii="Arial" w:cs="Arial" w:eastAsia="Arial" w:hAnsi="Arial"/>
                <w:sz w:val="15"/>
                <w:szCs w:val="15"/>
                <w:color w:val="auto"/>
              </w:rPr>
              <w:t>Amortization of intangibles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6,699</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10,267</w:t>
            </w:r>
          </w:p>
        </w:tc>
      </w:tr>
      <w:tr>
        <w:trPr>
          <w:trHeight w:val="197"/>
        </w:trPr>
        <w:tc>
          <w:tcPr>
            <w:tcW w:w="7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Litigation provision, net</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3,044</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8"/>
        </w:trPr>
        <w:tc>
          <w:tcPr>
            <w:tcW w:w="7700" w:type="dxa"/>
            <w:vAlign w:val="bottom"/>
          </w:tcPr>
          <w:p>
            <w:pPr>
              <w:ind w:left="180"/>
              <w:spacing w:after="0"/>
              <w:rPr>
                <w:sz w:val="20"/>
                <w:szCs w:val="20"/>
                <w:color w:val="auto"/>
              </w:rPr>
            </w:pPr>
            <w:r>
              <w:rPr>
                <w:rFonts w:ascii="Arial" w:cs="Arial" w:eastAsia="Arial" w:hAnsi="Arial"/>
                <w:sz w:val="15"/>
                <w:szCs w:val="15"/>
                <w:color w:val="auto"/>
              </w:rPr>
              <w:t>Operating (loss) income from continuing operations</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(4,423)</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608</w:t>
            </w: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r>
      <w:tr>
        <w:trPr>
          <w:trHeight w:val="196"/>
        </w:trPr>
        <w:tc>
          <w:tcPr>
            <w:tcW w:w="7700" w:type="dxa"/>
            <w:vAlign w:val="bottom"/>
          </w:tcPr>
          <w:p>
            <w:pPr>
              <w:spacing w:after="0"/>
              <w:rPr>
                <w:sz w:val="20"/>
                <w:szCs w:val="20"/>
                <w:color w:val="auto"/>
              </w:rPr>
            </w:pPr>
            <w:r>
              <w:rPr>
                <w:rFonts w:ascii="Arial" w:cs="Arial" w:eastAsia="Arial" w:hAnsi="Arial"/>
                <w:sz w:val="15"/>
                <w:szCs w:val="15"/>
                <w:color w:val="auto"/>
              </w:rPr>
              <w:t>Interest expense</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(15,936)</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(4,849)</w:t>
            </w: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and other losses</w:t>
            </w: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(6,369)</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(1,914)</w:t>
            </w:r>
          </w:p>
        </w:tc>
      </w:tr>
      <w:tr>
        <w:trPr>
          <w:trHeight w:val="188"/>
        </w:trPr>
        <w:tc>
          <w:tcPr>
            <w:tcW w:w="7700" w:type="dxa"/>
            <w:vAlign w:val="bottom"/>
          </w:tcPr>
          <w:p>
            <w:pPr>
              <w:ind w:left="120"/>
              <w:spacing w:after="0"/>
              <w:rPr>
                <w:sz w:val="20"/>
                <w:szCs w:val="20"/>
                <w:color w:val="auto"/>
              </w:rPr>
            </w:pPr>
            <w:r>
              <w:rPr>
                <w:rFonts w:ascii="Arial" w:cs="Arial" w:eastAsia="Arial" w:hAnsi="Arial"/>
                <w:sz w:val="15"/>
                <w:szCs w:val="15"/>
                <w:color w:val="auto"/>
              </w:rPr>
              <w:t>Loss from continuing operations before tax</w:t>
            </w: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(26,802)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(6,007)</w:t>
            </w: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(44,714)</w:t>
            </w:r>
          </w:p>
        </w:tc>
      </w:tr>
      <w:tr>
        <w:trPr>
          <w:trHeight w:val="196"/>
        </w:trPr>
        <w:tc>
          <w:tcPr>
            <w:tcW w:w="77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Losses from equity method investments</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w:t>
            </w:r>
          </w:p>
        </w:tc>
      </w:tr>
      <w:tr>
        <w:trPr>
          <w:trHeight w:val="188"/>
        </w:trPr>
        <w:tc>
          <w:tcPr>
            <w:tcW w:w="7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 income from continuing operations</w:t>
            </w: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(29,698)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38,578</w:t>
            </w:r>
          </w:p>
        </w:tc>
      </w:tr>
      <w:tr>
        <w:trPr>
          <w:trHeight w:val="196"/>
        </w:trPr>
        <w:tc>
          <w:tcPr>
            <w:tcW w:w="7700" w:type="dxa"/>
            <w:vAlign w:val="bottom"/>
          </w:tcPr>
          <w:p>
            <w:pPr>
              <w:ind w:left="120"/>
              <w:spacing w:after="0"/>
              <w:rPr>
                <w:sz w:val="20"/>
                <w:szCs w:val="20"/>
                <w:color w:val="auto"/>
              </w:rPr>
            </w:pPr>
            <w:r>
              <w:rPr>
                <w:rFonts w:ascii="Arial" w:cs="Arial" w:eastAsia="Arial" w:hAnsi="Arial"/>
                <w:sz w:val="15"/>
                <w:szCs w:val="15"/>
                <w:color w:val="auto"/>
              </w:rPr>
              <w:t>Net loss from discontinued operations, net of tax</w:t>
            </w:r>
          </w:p>
        </w:tc>
        <w:tc>
          <w:tcPr>
            <w:tcW w:w="10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(995)</w:t>
            </w:r>
          </w:p>
        </w:tc>
      </w:tr>
      <w:tr>
        <w:trPr>
          <w:trHeight w:val="213"/>
        </w:trPr>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1080" w:type="dxa"/>
            <w:vAlign w:val="bottom"/>
            <w:tcBorders>
              <w:top w:val="single" w:sz="8" w:color="auto"/>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37,583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74"/>
        </w:trPr>
        <w:tc>
          <w:tcPr>
            <w:tcW w:w="7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Basic (loss) income per share: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6"/>
        </w:trPr>
        <w:tc>
          <w:tcPr>
            <w:tcW w:w="7700" w:type="dxa"/>
            <w:vAlign w:val="bottom"/>
          </w:tcPr>
          <w:p>
            <w:pPr>
              <w:ind w:left="120"/>
              <w:spacing w:after="0"/>
              <w:rPr>
                <w:sz w:val="20"/>
                <w:szCs w:val="20"/>
                <w:color w:val="auto"/>
              </w:rPr>
            </w:pPr>
            <w:r>
              <w:rPr>
                <w:rFonts w:ascii="Arial" w:cs="Arial" w:eastAsia="Arial" w:hAnsi="Arial"/>
                <w:sz w:val="15"/>
                <w:szCs w:val="15"/>
                <w:color w:val="auto"/>
              </w:rPr>
              <w:t>Continuing operations</w:t>
            </w:r>
          </w:p>
        </w:tc>
        <w:tc>
          <w:tcPr>
            <w:tcW w:w="1080" w:type="dxa"/>
            <w:vAlign w:val="bottom"/>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(0.61)</w:t>
            </w:r>
          </w:p>
        </w:tc>
        <w:tc>
          <w:tcPr>
            <w:tcW w:w="100" w:type="dxa"/>
            <w:vAlign w:val="bottom"/>
          </w:tcPr>
          <w:p>
            <w:pPr>
              <w:spacing w:after="0"/>
              <w:rPr>
                <w:sz w:val="17"/>
                <w:szCs w:val="17"/>
                <w:color w:val="auto"/>
              </w:rPr>
            </w:pPr>
          </w:p>
        </w:tc>
        <w:tc>
          <w:tcPr>
            <w:tcW w:w="1080" w:type="dxa"/>
            <w:vAlign w:val="bottom"/>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0.80</w:t>
            </w:r>
          </w:p>
        </w:tc>
      </w:tr>
      <w:tr>
        <w:trPr>
          <w:trHeight w:val="197"/>
        </w:trPr>
        <w:tc>
          <w:tcPr>
            <w:tcW w:w="7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Discontinued operations</w:t>
            </w:r>
          </w:p>
        </w:tc>
        <w:tc>
          <w:tcPr>
            <w:tcW w:w="10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r>
      <w:tr>
        <w:trPr>
          <w:trHeight w:val="188"/>
        </w:trPr>
        <w:tc>
          <w:tcPr>
            <w:tcW w:w="77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(0.61)</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0.78</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5"/>
        </w:trPr>
        <w:tc>
          <w:tcPr>
            <w:tcW w:w="77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96"/>
        </w:trPr>
        <w:tc>
          <w:tcPr>
            <w:tcW w:w="7700" w:type="dxa"/>
            <w:vAlign w:val="bottom"/>
          </w:tcPr>
          <w:p>
            <w:pPr>
              <w:spacing w:after="0"/>
              <w:rPr>
                <w:sz w:val="20"/>
                <w:szCs w:val="20"/>
                <w:color w:val="auto"/>
              </w:rPr>
            </w:pPr>
            <w:r>
              <w:rPr>
                <w:rFonts w:ascii="Arial" w:cs="Arial" w:eastAsia="Arial" w:hAnsi="Arial"/>
                <w:sz w:val="15"/>
                <w:szCs w:val="15"/>
                <w:color w:val="auto"/>
              </w:rPr>
              <w:t>Diluted (loss) income per share:</w:t>
            </w: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7"/>
        </w:trPr>
        <w:tc>
          <w:tcPr>
            <w:tcW w:w="7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Continuing operations</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0.79</w:t>
            </w:r>
          </w:p>
        </w:tc>
      </w:tr>
      <w:tr>
        <w:trPr>
          <w:trHeight w:val="196"/>
        </w:trPr>
        <w:tc>
          <w:tcPr>
            <w:tcW w:w="7700" w:type="dxa"/>
            <w:vAlign w:val="bottom"/>
          </w:tcPr>
          <w:p>
            <w:pPr>
              <w:ind w:left="120"/>
              <w:spacing w:after="0"/>
              <w:rPr>
                <w:sz w:val="20"/>
                <w:szCs w:val="20"/>
                <w:color w:val="auto"/>
              </w:rPr>
            </w:pPr>
            <w:r>
              <w:rPr>
                <w:rFonts w:ascii="Arial" w:cs="Arial" w:eastAsia="Arial" w:hAnsi="Arial"/>
                <w:sz w:val="15"/>
                <w:szCs w:val="15"/>
                <w:color w:val="auto"/>
              </w:rPr>
              <w:t>Discontinued operations</w:t>
            </w:r>
          </w:p>
        </w:tc>
        <w:tc>
          <w:tcPr>
            <w:tcW w:w="10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(0.02)</w:t>
            </w:r>
          </w:p>
        </w:tc>
      </w:tr>
      <w:tr>
        <w:trPr>
          <w:trHeight w:val="213"/>
        </w:trPr>
        <w:tc>
          <w:tcPr>
            <w:tcW w:w="77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7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7"/>
        </w:trPr>
        <w:tc>
          <w:tcPr>
            <w:tcW w:w="7700" w:type="dxa"/>
            <w:vAlign w:val="bottom"/>
            <w:shd w:val="clear" w:color="auto" w:fill="CCEEFF"/>
          </w:tcPr>
          <w:p>
            <w:pPr>
              <w:spacing w:after="0"/>
              <w:rPr>
                <w:sz w:val="20"/>
                <w:szCs w:val="20"/>
                <w:color w:val="auto"/>
              </w:rPr>
            </w:pPr>
            <w:r>
              <w:rPr>
                <w:rFonts w:ascii="Arial" w:cs="Arial" w:eastAsia="Arial" w:hAnsi="Arial"/>
                <w:sz w:val="15"/>
                <w:szCs w:val="15"/>
                <w:color w:val="auto"/>
              </w:rPr>
              <w:t>Shares used in computing basic (loss) income per share</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48,736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48,485</w:t>
            </w:r>
          </w:p>
        </w:tc>
      </w:tr>
      <w:tr>
        <w:trPr>
          <w:trHeight w:val="196"/>
        </w:trPr>
        <w:tc>
          <w:tcPr>
            <w:tcW w:w="7700" w:type="dxa"/>
            <w:vAlign w:val="bottom"/>
          </w:tcPr>
          <w:p>
            <w:pPr>
              <w:spacing w:after="0"/>
              <w:rPr>
                <w:sz w:val="20"/>
                <w:szCs w:val="20"/>
                <w:color w:val="auto"/>
              </w:rPr>
            </w:pPr>
            <w:r>
              <w:rPr>
                <w:rFonts w:ascii="Arial" w:cs="Arial" w:eastAsia="Arial" w:hAnsi="Arial"/>
                <w:sz w:val="15"/>
                <w:szCs w:val="15"/>
                <w:color w:val="auto"/>
              </w:rPr>
              <w:t>Shares used in computing diluted (loss) income per share</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48,736</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48,769</w:t>
            </w:r>
          </w:p>
        </w:tc>
      </w:tr>
    </w:tbl>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45720</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CONDENSED CONSOLIDATED STATEMENTS OF COMPREHENSIVE INCOME (LOSS)</w:t>
      </w: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(UNAUDITED)</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6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5"/>
                <w:szCs w:val="15"/>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88"/>
        </w:trPr>
        <w:tc>
          <w:tcPr>
            <w:tcW w:w="77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2020</w:t>
            </w:r>
          </w:p>
        </w:tc>
        <w:tc>
          <w:tcPr>
            <w:tcW w:w="620" w:type="dxa"/>
            <w:vAlign w:val="bottom"/>
            <w:tcBorders>
              <w:bottom w:val="single" w:sz="8" w:color="auto"/>
            </w:tcBorders>
          </w:tcPr>
          <w:p>
            <w:pPr>
              <w:spacing w:after="0"/>
              <w:rPr>
                <w:sz w:val="16"/>
                <w:szCs w:val="16"/>
                <w:color w:val="auto"/>
              </w:rPr>
            </w:pPr>
          </w:p>
        </w:tc>
      </w:tr>
      <w:tr>
        <w:trPr>
          <w:trHeight w:val="188"/>
        </w:trPr>
        <w:tc>
          <w:tcPr>
            <w:tcW w:w="776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(29,698)</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37,583</w:t>
            </w:r>
          </w:p>
        </w:tc>
      </w:tr>
      <w:tr>
        <w:trPr>
          <w:trHeight w:val="196"/>
        </w:trPr>
        <w:tc>
          <w:tcPr>
            <w:tcW w:w="776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97"/>
        </w:trPr>
        <w:tc>
          <w:tcPr>
            <w:tcW w:w="77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change in unrealized gain (loss) on derivatives</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(1,356)</w:t>
            </w:r>
          </w:p>
        </w:tc>
      </w:tr>
      <w:tr>
        <w:trPr>
          <w:trHeight w:val="196"/>
        </w:trPr>
        <w:tc>
          <w:tcPr>
            <w:tcW w:w="77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Tax effect</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w:t>
            </w:r>
          </w:p>
        </w:tc>
      </w:tr>
      <w:tr>
        <w:trPr>
          <w:trHeight w:val="188"/>
        </w:trPr>
        <w:tc>
          <w:tcPr>
            <w:tcW w:w="77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of tax</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(1,031)</w:t>
            </w:r>
          </w:p>
        </w:tc>
      </w:tr>
      <w:tr>
        <w:trPr>
          <w:trHeight w:val="196"/>
        </w:trPr>
        <w:tc>
          <w:tcPr>
            <w:tcW w:w="77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Foreign currency translation adjustment</w:t>
            </w: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(25,875)</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(32,100)</w:t>
            </w:r>
          </w:p>
        </w:tc>
      </w:tr>
      <w:tr>
        <w:trPr>
          <w:trHeight w:val="188"/>
        </w:trPr>
        <w:tc>
          <w:tcPr>
            <w:tcW w:w="7760" w:type="dxa"/>
            <w:vAlign w:val="bottom"/>
            <w:shd w:val="clear" w:color="auto" w:fill="CCEEFF"/>
          </w:tcPr>
          <w:p>
            <w:pPr>
              <w:spacing w:after="0"/>
              <w:rPr>
                <w:sz w:val="20"/>
                <w:szCs w:val="20"/>
                <w:color w:val="auto"/>
              </w:rPr>
            </w:pPr>
            <w:r>
              <w:rPr>
                <w:rFonts w:ascii="Arial" w:cs="Arial" w:eastAsia="Arial" w:hAnsi="Arial"/>
                <w:sz w:val="15"/>
                <w:szCs w:val="15"/>
                <w:color w:val="auto"/>
              </w:rPr>
              <w:t>Total other comprehensive income (loss)</w:t>
            </w:r>
          </w:p>
        </w:tc>
        <w:tc>
          <w:tcPr>
            <w:tcW w:w="10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(25,871)</w:t>
            </w:r>
          </w:p>
        </w:tc>
        <w:tc>
          <w:tcPr>
            <w:tcW w:w="8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(33,131)</w:t>
            </w:r>
          </w:p>
        </w:tc>
      </w:tr>
      <w:tr>
        <w:trPr>
          <w:trHeight w:val="188"/>
        </w:trPr>
        <w:tc>
          <w:tcPr>
            <w:tcW w:w="7760" w:type="dxa"/>
            <w:vAlign w:val="bottom"/>
          </w:tcPr>
          <w:p>
            <w:pPr>
              <w:spacing w:after="0"/>
              <w:rPr>
                <w:sz w:val="20"/>
                <w:szCs w:val="20"/>
                <w:color w:val="auto"/>
              </w:rPr>
            </w:pPr>
            <w:r>
              <w:rPr>
                <w:rFonts w:ascii="Arial" w:cs="Arial" w:eastAsia="Arial" w:hAnsi="Arial"/>
                <w:sz w:val="15"/>
                <w:szCs w:val="15"/>
                <w:color w:val="auto"/>
              </w:rPr>
              <w:t>Total comprehensive income (loss)</w:t>
            </w:r>
          </w:p>
        </w:tc>
        <w:tc>
          <w:tcPr>
            <w:tcW w:w="108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(55,569)</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4,452</w:t>
            </w:r>
          </w:p>
        </w:tc>
      </w:tr>
      <w:tr>
        <w:trPr>
          <w:trHeight w:val="20"/>
        </w:trPr>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45720</wp:posOffset>
            </wp:positionV>
            <wp:extent cx="71774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(UNAUDITED)</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thousands, except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6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26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2021</w:t>
            </w:r>
          </w:p>
        </w:tc>
        <w:tc>
          <w:tcPr>
            <w:tcW w:w="200" w:type="dxa"/>
            <w:vAlign w:val="bottom"/>
          </w:tcPr>
          <w:p>
            <w:pPr>
              <w:spacing w:after="0"/>
              <w:rPr>
                <w:sz w:val="17"/>
                <w:szCs w:val="17"/>
                <w:color w:val="auto"/>
              </w:rPr>
            </w:pPr>
          </w:p>
        </w:tc>
        <w:tc>
          <w:tcPr>
            <w:tcW w:w="1700" w:type="dxa"/>
            <w:vAlign w:val="bottom"/>
          </w:tcPr>
          <w:p>
            <w:pPr>
              <w:jc w:val="right"/>
              <w:ind w:right="25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76"/>
        </w:trPr>
        <w:tc>
          <w:tcPr>
            <w:tcW w:w="7360" w:type="dxa"/>
            <w:vAlign w:val="bottom"/>
            <w:vMerge w:val="continue"/>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252,832</w:t>
            </w:r>
          </w:p>
        </w:tc>
        <w:tc>
          <w:tcPr>
            <w:tcW w:w="0" w:type="dxa"/>
            <w:vAlign w:val="bottom"/>
          </w:tcPr>
          <w:p>
            <w:pPr>
              <w:spacing w:after="0"/>
              <w:rPr>
                <w:sz w:val="1"/>
                <w:szCs w:val="1"/>
                <w:color w:val="auto"/>
              </w:rPr>
            </w:pPr>
          </w:p>
        </w:tc>
      </w:tr>
      <w:tr>
        <w:trPr>
          <w:trHeight w:val="182"/>
        </w:trPr>
        <w:tc>
          <w:tcPr>
            <w:tcW w:w="7360" w:type="dxa"/>
            <w:vAlign w:val="bottom"/>
          </w:tcPr>
          <w:p>
            <w:pPr>
              <w:ind w:left="120"/>
              <w:spacing w:after="0"/>
              <w:rPr>
                <w:sz w:val="20"/>
                <w:szCs w:val="20"/>
                <w:color w:val="auto"/>
              </w:rPr>
            </w:pPr>
            <w:r>
              <w:rPr>
                <w:rFonts w:ascii="Arial" w:cs="Arial" w:eastAsia="Arial" w:hAnsi="Arial"/>
                <w:sz w:val="14"/>
                <w:szCs w:val="14"/>
                <w:color w:val="auto"/>
              </w:rPr>
              <w:t>Accounts receivable, net of allowance of $11,268 at March 31, 2021 and $10,310 at December 31, 2020</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180,707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184,356</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126,675</w:t>
            </w:r>
          </w:p>
        </w:tc>
        <w:tc>
          <w:tcPr>
            <w:tcW w:w="0" w:type="dxa"/>
            <w:vAlign w:val="bottom"/>
          </w:tcPr>
          <w:p>
            <w:pPr>
              <w:spacing w:after="0"/>
              <w:rPr>
                <w:sz w:val="1"/>
                <w:szCs w:val="1"/>
                <w:color w:val="auto"/>
              </w:rPr>
            </w:pPr>
          </w:p>
        </w:tc>
      </w:tr>
      <w:tr>
        <w:trPr>
          <w:trHeight w:val="182"/>
        </w:trPr>
        <w:tc>
          <w:tcPr>
            <w:tcW w:w="7360" w:type="dxa"/>
            <w:vAlign w:val="bottom"/>
          </w:tcPr>
          <w:p>
            <w:pPr>
              <w:ind w:left="120"/>
              <w:spacing w:after="0"/>
              <w:rPr>
                <w:sz w:val="20"/>
                <w:szCs w:val="20"/>
                <w:color w:val="auto"/>
              </w:rPr>
            </w:pPr>
            <w:r>
              <w:rPr>
                <w:rFonts w:ascii="Arial" w:cs="Arial" w:eastAsia="Arial" w:hAnsi="Arial"/>
                <w:sz w:val="14"/>
                <w:szCs w:val="14"/>
                <w:color w:val="auto"/>
              </w:rPr>
              <w:t>Prepaid and refundable taxes</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36,632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60,240</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Assets held for sale</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70,539</w:t>
            </w:r>
          </w:p>
        </w:tc>
        <w:tc>
          <w:tcPr>
            <w:tcW w:w="0" w:type="dxa"/>
            <w:vAlign w:val="bottom"/>
          </w:tcPr>
          <w:p>
            <w:pPr>
              <w:spacing w:after="0"/>
              <w:rPr>
                <w:sz w:val="1"/>
                <w:szCs w:val="1"/>
                <w:color w:val="auto"/>
              </w:rPr>
            </w:pPr>
          </w:p>
        </w:tc>
      </w:tr>
      <w:tr>
        <w:trPr>
          <w:trHeight w:val="182"/>
        </w:trPr>
        <w:tc>
          <w:tcPr>
            <w:tcW w:w="73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28,754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24,792</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690,630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719,434</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157,892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163,805</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909,992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922,318</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423,850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437,636</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assets</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50,525</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36,772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31,094</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color w:val="auto"/>
              </w:rPr>
              <w:t>Long-term derivative assets</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84,852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72,302</w:t>
            </w:r>
          </w:p>
        </w:tc>
        <w:tc>
          <w:tcPr>
            <w:tcW w:w="0" w:type="dxa"/>
            <w:vAlign w:val="bottom"/>
          </w:tcPr>
          <w:p>
            <w:pPr>
              <w:spacing w:after="0"/>
              <w:rPr>
                <w:sz w:val="1"/>
                <w:szCs w:val="1"/>
                <w:color w:val="auto"/>
              </w:rPr>
            </w:pPr>
          </w:p>
        </w:tc>
      </w:tr>
      <w:tr>
        <w:trPr>
          <w:trHeight w:val="185"/>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12,399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11,247</w:t>
            </w:r>
          </w:p>
        </w:tc>
        <w:tc>
          <w:tcPr>
            <w:tcW w:w="0" w:type="dxa"/>
            <w:vAlign w:val="bottom"/>
          </w:tcPr>
          <w:p>
            <w:pPr>
              <w:spacing w:after="0"/>
              <w:rPr>
                <w:sz w:val="1"/>
                <w:szCs w:val="1"/>
                <w:color w:val="auto"/>
              </w:rPr>
            </w:pPr>
          </w:p>
        </w:tc>
      </w:tr>
      <w:tr>
        <w:trPr>
          <w:trHeight w:val="180"/>
        </w:trPr>
        <w:tc>
          <w:tcPr>
            <w:tcW w:w="736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2,369,169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2,411,351</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60" w:type="dxa"/>
            <w:vAlign w:val="bottom"/>
            <w:shd w:val="clear" w:color="auto" w:fill="CCEEFF"/>
          </w:tcPr>
          <w:p>
            <w:pPr>
              <w:spacing w:after="0" w:line="160" w:lineRule="exact"/>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debt obligations</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13,343</w:t>
            </w:r>
          </w:p>
        </w:tc>
        <w:tc>
          <w:tcPr>
            <w:tcW w:w="0" w:type="dxa"/>
            <w:vAlign w:val="bottom"/>
          </w:tcPr>
          <w:p>
            <w:pPr>
              <w:spacing w:after="0"/>
              <w:rPr>
                <w:sz w:val="1"/>
                <w:szCs w:val="1"/>
                <w:color w:val="auto"/>
              </w:rPr>
            </w:pPr>
          </w:p>
        </w:tc>
      </w:tr>
      <w:tr>
        <w:trPr>
          <w:trHeight w:val="182"/>
        </w:trPr>
        <w:tc>
          <w:tcPr>
            <w:tcW w:w="736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62,448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73,668</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liabilities and other</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95,408</w:t>
            </w:r>
          </w:p>
        </w:tc>
        <w:tc>
          <w:tcPr>
            <w:tcW w:w="0" w:type="dxa"/>
            <w:vAlign w:val="bottom"/>
          </w:tcPr>
          <w:p>
            <w:pPr>
              <w:spacing w:after="0"/>
              <w:rPr>
                <w:sz w:val="1"/>
                <w:szCs w:val="1"/>
                <w:color w:val="auto"/>
              </w:rPr>
            </w:pPr>
          </w:p>
        </w:tc>
      </w:tr>
      <w:tr>
        <w:trPr>
          <w:trHeight w:val="182"/>
        </w:trPr>
        <w:tc>
          <w:tcPr>
            <w:tcW w:w="7360" w:type="dxa"/>
            <w:vAlign w:val="bottom"/>
          </w:tcPr>
          <w:p>
            <w:pPr>
              <w:ind w:left="120"/>
              <w:spacing w:after="0"/>
              <w:rPr>
                <w:sz w:val="20"/>
                <w:szCs w:val="20"/>
                <w:color w:val="auto"/>
              </w:rPr>
            </w:pPr>
            <w:r>
              <w:rPr>
                <w:rFonts w:ascii="Arial" w:cs="Arial" w:eastAsia="Arial" w:hAnsi="Arial"/>
                <w:sz w:val="14"/>
                <w:szCs w:val="14"/>
                <w:color w:val="auto"/>
              </w:rPr>
              <w:t>Current litigation provision liability</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26,570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28,612</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payable</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16,463</w:t>
            </w:r>
          </w:p>
        </w:tc>
        <w:tc>
          <w:tcPr>
            <w:tcW w:w="0" w:type="dxa"/>
            <w:vAlign w:val="bottom"/>
          </w:tcPr>
          <w:p>
            <w:pPr>
              <w:spacing w:after="0"/>
              <w:rPr>
                <w:sz w:val="1"/>
                <w:szCs w:val="1"/>
                <w:color w:val="auto"/>
              </w:rPr>
            </w:pPr>
          </w:p>
        </w:tc>
      </w:tr>
      <w:tr>
        <w:trPr>
          <w:trHeight w:val="182"/>
        </w:trPr>
        <w:tc>
          <w:tcPr>
            <w:tcW w:w="7360" w:type="dxa"/>
            <w:vAlign w:val="bottom"/>
          </w:tcPr>
          <w:p>
            <w:pPr>
              <w:ind w:left="120"/>
              <w:spacing w:after="0"/>
              <w:rPr>
                <w:sz w:val="20"/>
                <w:szCs w:val="20"/>
                <w:color w:val="auto"/>
              </w:rPr>
            </w:pPr>
            <w:r>
              <w:rPr>
                <w:rFonts w:ascii="Arial" w:cs="Arial" w:eastAsia="Arial" w:hAnsi="Arial"/>
                <w:sz w:val="14"/>
                <w:szCs w:val="14"/>
                <w:color w:val="auto"/>
              </w:rPr>
              <w:t>Accrued employee compensation and related benefits</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56,860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51,879</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Liabilities held for sale</w:t>
            </w:r>
          </w:p>
        </w:tc>
        <w:tc>
          <w:tcPr>
            <w:tcW w:w="26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27,118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29,679</w:t>
            </w:r>
          </w:p>
        </w:tc>
        <w:tc>
          <w:tcPr>
            <w:tcW w:w="0" w:type="dxa"/>
            <w:vAlign w:val="bottom"/>
          </w:tcPr>
          <w:p>
            <w:pPr>
              <w:spacing w:after="0"/>
              <w:rPr>
                <w:sz w:val="1"/>
                <w:szCs w:val="1"/>
                <w:color w:val="auto"/>
              </w:rPr>
            </w:pPr>
          </w:p>
        </w:tc>
      </w:tr>
      <w:tr>
        <w:trPr>
          <w:trHeight w:val="173"/>
        </w:trPr>
        <w:tc>
          <w:tcPr>
            <w:tcW w:w="7360" w:type="dxa"/>
            <w:vAlign w:val="bottom"/>
          </w:tcPr>
          <w:p>
            <w:pPr>
              <w:ind w:left="18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295,356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309,052</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Long-term debt obligations</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646,369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642,298</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color w:val="auto"/>
              </w:rPr>
              <w:t>Contingent consideration</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89,847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89,850</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Litigation provision liability</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7,878</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8,151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8,915</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Long-term operating lease liabilities</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42,221</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color w:val="auto"/>
              </w:rPr>
              <w:t>Long-term employee compensation and related benefits</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19,010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20,628</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Long-term derivative liabilities</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121,940</w:t>
            </w:r>
          </w:p>
        </w:tc>
        <w:tc>
          <w:tcPr>
            <w:tcW w:w="0" w:type="dxa"/>
            <w:vAlign w:val="bottom"/>
          </w:tcPr>
          <w:p>
            <w:pPr>
              <w:spacing w:after="0"/>
              <w:rPr>
                <w:sz w:val="1"/>
                <w:szCs w:val="1"/>
                <w:color w:val="auto"/>
              </w:rPr>
            </w:pPr>
          </w:p>
        </w:tc>
      </w:tr>
      <w:tr>
        <w:trPr>
          <w:trHeight w:val="182"/>
        </w:trPr>
        <w:tc>
          <w:tcPr>
            <w:tcW w:w="7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49,740</w:t>
            </w:r>
          </w:p>
        </w:tc>
        <w:tc>
          <w:tcPr>
            <w:tcW w:w="0" w:type="dxa"/>
            <w:vAlign w:val="bottom"/>
          </w:tcPr>
          <w:p>
            <w:pPr>
              <w:spacing w:after="0"/>
              <w:rPr>
                <w:sz w:val="1"/>
                <w:szCs w:val="1"/>
                <w:color w:val="auto"/>
              </w:rPr>
            </w:pPr>
          </w:p>
        </w:tc>
      </w:tr>
      <w:tr>
        <w:trPr>
          <w:trHeight w:val="180"/>
        </w:trPr>
        <w:tc>
          <w:tcPr>
            <w:tcW w:w="7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1,303,412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1,292,522</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color w:val="auto"/>
              </w:rPr>
              <w:t>Commitments and contingencies (Note 8)</w:t>
            </w: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Stockholders’ Equity:</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line="142" w:lineRule="exact"/>
              <w:rPr>
                <w:sz w:val="20"/>
                <w:szCs w:val="20"/>
                <w:color w:val="auto"/>
              </w:rPr>
            </w:pPr>
            <w:r>
              <w:rPr>
                <w:rFonts w:ascii="Arial" w:cs="Arial" w:eastAsia="Arial" w:hAnsi="Arial"/>
                <w:sz w:val="14"/>
                <w:szCs w:val="14"/>
                <w:color w:val="auto"/>
                <w:w w:val="92"/>
              </w:rPr>
              <w:t>Ordinary Shares, £1.00 par value: unlimited shares authorized; 49,454,726 shares issued and 48,844,543 shares outstanding at</w:t>
            </w:r>
          </w:p>
        </w:tc>
        <w:tc>
          <w:tcPr>
            <w:tcW w:w="260" w:type="dxa"/>
            <w:vAlign w:val="bottom"/>
          </w:tcPr>
          <w:p>
            <w:pPr>
              <w:spacing w:after="0"/>
              <w:rPr>
                <w:sz w:val="12"/>
                <w:szCs w:val="12"/>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color w:val="auto"/>
              </w:rPr>
              <w:t>76,310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76,300</w:t>
            </w:r>
          </w:p>
        </w:tc>
        <w:tc>
          <w:tcPr>
            <w:tcW w:w="0" w:type="dxa"/>
            <w:vAlign w:val="bottom"/>
          </w:tcPr>
          <w:p>
            <w:pPr>
              <w:spacing w:after="0"/>
              <w:rPr>
                <w:sz w:val="1"/>
                <w:szCs w:val="1"/>
                <w:color w:val="auto"/>
              </w:rPr>
            </w:pPr>
          </w:p>
        </w:tc>
      </w:tr>
      <w:tr>
        <w:trPr>
          <w:trHeight w:val="179"/>
        </w:trPr>
        <w:tc>
          <w:tcPr>
            <w:tcW w:w="7360" w:type="dxa"/>
            <w:vAlign w:val="bottom"/>
          </w:tcPr>
          <w:p>
            <w:pPr>
              <w:spacing w:after="0"/>
              <w:rPr>
                <w:sz w:val="20"/>
                <w:szCs w:val="20"/>
                <w:color w:val="auto"/>
              </w:rPr>
            </w:pPr>
            <w:r>
              <w:rPr>
                <w:rFonts w:ascii="Arial" w:cs="Arial" w:eastAsia="Arial" w:hAnsi="Arial"/>
                <w:sz w:val="14"/>
                <w:szCs w:val="14"/>
                <w:color w:val="auto"/>
              </w:rPr>
              <w:t>March 31, 2021; 49,447,473 shares issued and 48,655,863 shares outstanding at December 31, 2020</w:t>
            </w:r>
          </w:p>
        </w:tc>
        <w:tc>
          <w:tcPr>
            <w:tcW w:w="2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1,770,407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1,768,156</w:t>
            </w:r>
          </w:p>
        </w:tc>
        <w:tc>
          <w:tcPr>
            <w:tcW w:w="0" w:type="dxa"/>
            <w:vAlign w:val="bottom"/>
          </w:tcPr>
          <w:p>
            <w:pPr>
              <w:spacing w:after="0"/>
              <w:rPr>
                <w:sz w:val="1"/>
                <w:szCs w:val="1"/>
                <w:color w:val="auto"/>
              </w:rPr>
            </w:pPr>
          </w:p>
        </w:tc>
      </w:tr>
      <w:tr>
        <w:trPr>
          <w:trHeight w:val="182"/>
        </w:trPr>
        <w:tc>
          <w:tcPr>
            <w:tcW w:w="7360" w:type="dxa"/>
            <w:vAlign w:val="bottom"/>
          </w:tcPr>
          <w:p>
            <w:pPr>
              <w:spacing w:after="0"/>
              <w:rPr>
                <w:sz w:val="20"/>
                <w:szCs w:val="20"/>
                <w:color w:val="auto"/>
              </w:rPr>
            </w:pPr>
            <w:r>
              <w:rPr>
                <w:rFonts w:ascii="Arial" w:cs="Arial" w:eastAsia="Arial" w:hAnsi="Arial"/>
                <w:sz w:val="14"/>
                <w:szCs w:val="14"/>
                <w:color w:val="auto"/>
              </w:rPr>
              <w:t>Accumulated other comprehensive income</w:t>
            </w:r>
          </w:p>
        </w:tc>
        <w:tc>
          <w:tcPr>
            <w:tcW w:w="26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27,809</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(782,100)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(752,402)</w:t>
            </w:r>
          </w:p>
        </w:tc>
        <w:tc>
          <w:tcPr>
            <w:tcW w:w="0" w:type="dxa"/>
            <w:vAlign w:val="bottom"/>
          </w:tcPr>
          <w:p>
            <w:pPr>
              <w:spacing w:after="0"/>
              <w:rPr>
                <w:sz w:val="1"/>
                <w:szCs w:val="1"/>
                <w:color w:val="auto"/>
              </w:rPr>
            </w:pPr>
          </w:p>
        </w:tc>
      </w:tr>
      <w:tr>
        <w:trPr>
          <w:trHeight w:val="182"/>
        </w:trPr>
        <w:tc>
          <w:tcPr>
            <w:tcW w:w="7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Treasury stock at cost, 610,183 ordinary shares at March 31, 2021; 791,610 ordinary shares at December 31, 2020</w:t>
            </w: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77"/>
        </w:trPr>
        <w:tc>
          <w:tcPr>
            <w:tcW w:w="7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1,065,757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1,118,829</w:t>
            </w:r>
          </w:p>
        </w:tc>
        <w:tc>
          <w:tcPr>
            <w:tcW w:w="0" w:type="dxa"/>
            <w:vAlign w:val="bottom"/>
          </w:tcPr>
          <w:p>
            <w:pPr>
              <w:spacing w:after="0"/>
              <w:rPr>
                <w:sz w:val="1"/>
                <w:szCs w:val="1"/>
                <w:color w:val="auto"/>
              </w:rPr>
            </w:pPr>
          </w:p>
        </w:tc>
      </w:tr>
      <w:tr>
        <w:trPr>
          <w:trHeight w:val="180"/>
        </w:trPr>
        <w:tc>
          <w:tcPr>
            <w:tcW w:w="7360" w:type="dxa"/>
            <w:vAlign w:val="bottom"/>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2,369,169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2,411,351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45720</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666" w:right="31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3"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(UNAUDITED)</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r>
      <w:tr>
        <w:trPr>
          <w:trHeight w:val="174"/>
        </w:trPr>
        <w:tc>
          <w:tcPr>
            <w:tcW w:w="7760" w:type="dxa"/>
            <w:vAlign w:val="bottom"/>
          </w:tcPr>
          <w:p>
            <w:pPr>
              <w:spacing w:after="0"/>
              <w:rPr>
                <w:sz w:val="15"/>
                <w:szCs w:val="15"/>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167"/>
        </w:trPr>
        <w:tc>
          <w:tcPr>
            <w:tcW w:w="776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8"/>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 income</w:t>
            </w:r>
          </w:p>
        </w:tc>
        <w:tc>
          <w:tcPr>
            <w:tcW w:w="1080" w:type="dxa"/>
            <w:vAlign w:val="bottom"/>
            <w:shd w:val="clear" w:color="auto" w:fill="CCEEFF"/>
          </w:tcPr>
          <w:p>
            <w:pPr>
              <w:jc w:val="right"/>
              <w:ind w:right="931"/>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37,583</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Non-cash items included in net loss:</w:t>
            </w: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8"/>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Remeasurement of derivative instruments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(9,752)</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9,536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9,043</w:t>
            </w:r>
          </w:p>
        </w:tc>
      </w:tr>
      <w:tr>
        <w:trPr>
          <w:trHeight w:val="188"/>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10,267</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6,079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6,796</w:t>
            </w:r>
          </w:p>
        </w:tc>
      </w:tr>
      <w:tr>
        <w:trPr>
          <w:trHeight w:val="188"/>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operating lease assets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Remeasurement of Respicardia investment and loan</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(4,640)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debt issuance costs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Remeasurement of contingent consideration to fair value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(17,283)</w:t>
            </w:r>
          </w:p>
        </w:tc>
      </w:tr>
      <w:tr>
        <w:trPr>
          <w:trHeight w:val="188"/>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tax expense (benefit)</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(22,884)</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Other</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(1,968)</w:t>
            </w:r>
          </w:p>
        </w:tc>
      </w:tr>
      <w:tr>
        <w:trPr>
          <w:trHeight w:val="188"/>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Changes in operating assets and liabilities: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(3,372)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24,336</w:t>
            </w:r>
          </w:p>
        </w:tc>
      </w:tr>
      <w:tr>
        <w:trPr>
          <w:trHeight w:val="188"/>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Inventories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(12,513)</w:t>
            </w: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Other current and non-current assets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26,820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(15,948)</w:t>
            </w:r>
          </w:p>
        </w:tc>
      </w:tr>
      <w:tr>
        <w:trPr>
          <w:trHeight w:val="188"/>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 and accrued current and non-current liabilities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w:t>
            </w: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Taxes payable</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(3,337)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Litigation provision liability</w:t>
            </w:r>
          </w:p>
        </w:tc>
        <w:tc>
          <w:tcPr>
            <w:tcW w:w="10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(115,609)</w:t>
            </w:r>
          </w:p>
        </w:tc>
      </w:tr>
      <w:tr>
        <w:trPr>
          <w:trHeight w:val="173"/>
        </w:trPr>
        <w:tc>
          <w:tcPr>
            <w:tcW w:w="776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19,480</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(106,045)</w:t>
            </w:r>
          </w:p>
        </w:tc>
      </w:tr>
      <w:tr>
        <w:trPr>
          <w:trHeight w:val="168"/>
        </w:trPr>
        <w:tc>
          <w:tcPr>
            <w:tcW w:w="7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Purchases of property, plant and equipment</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(8,220)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(8,597)</w:t>
            </w:r>
          </w:p>
        </w:tc>
      </w:tr>
      <w:tr>
        <w:trPr>
          <w:trHeight w:val="188"/>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 of investments</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Proceeds from asset sales</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834</w:t>
            </w:r>
          </w:p>
        </w:tc>
      </w:tr>
      <w:tr>
        <w:trPr>
          <w:trHeight w:val="188"/>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0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173"/>
        </w:trPr>
        <w:tc>
          <w:tcPr>
            <w:tcW w:w="776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Net cash used in investing activities</w:t>
            </w:r>
          </w:p>
        </w:tc>
        <w:tc>
          <w:tcPr>
            <w:tcW w:w="10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(9,858)</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(11,085)</w:t>
            </w:r>
          </w:p>
        </w:tc>
      </w:tr>
      <w:tr>
        <w:trPr>
          <w:trHeight w:val="168"/>
        </w:trPr>
        <w:tc>
          <w:tcPr>
            <w:tcW w:w="7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Payment of contingent consideration</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(4,387)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(4,604)</w:t>
            </w:r>
          </w:p>
        </w:tc>
      </w:tr>
      <w:tr>
        <w:trPr>
          <w:trHeight w:val="188"/>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repurchased from employees for minimum tax withholding</w:t>
            </w:r>
          </w:p>
        </w:tc>
        <w:tc>
          <w:tcPr>
            <w:tcW w:w="10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Change in short-term borrowing, net</w:t>
            </w:r>
          </w:p>
        </w:tc>
        <w:tc>
          <w:tcPr>
            <w:tcW w:w="10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(2,477)</w:t>
            </w:r>
          </w:p>
        </w:tc>
      </w:tr>
      <w:tr>
        <w:trPr>
          <w:trHeight w:val="188"/>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long-term debt obligations</w:t>
            </w:r>
          </w:p>
        </w:tc>
        <w:tc>
          <w:tcPr>
            <w:tcW w:w="10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162,899</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Proceeds from short term borrowings (maturities greater than 90 days)</w:t>
            </w:r>
          </w:p>
        </w:tc>
        <w:tc>
          <w:tcPr>
            <w:tcW w:w="10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46,115</w:t>
            </w:r>
          </w:p>
        </w:tc>
      </w:tr>
      <w:tr>
        <w:trPr>
          <w:trHeight w:val="188"/>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Closing adjustment payment for sale of CRM business</w:t>
            </w:r>
          </w:p>
        </w:tc>
        <w:tc>
          <w:tcPr>
            <w:tcW w:w="10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(14,891)</w:t>
            </w:r>
          </w:p>
        </w:tc>
      </w:tr>
      <w:tr>
        <w:trPr>
          <w:trHeight w:val="182"/>
        </w:trPr>
        <w:tc>
          <w:tcPr>
            <w:tcW w:w="77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180"/>
        </w:trPr>
        <w:tc>
          <w:tcPr>
            <w:tcW w:w="776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0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(8,328)</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183,093</w:t>
            </w:r>
          </w:p>
        </w:tc>
      </w:tr>
      <w:tr>
        <w:trPr>
          <w:trHeight w:val="173"/>
        </w:trPr>
        <w:tc>
          <w:tcPr>
            <w:tcW w:w="7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w:t>
            </w:r>
          </w:p>
        </w:tc>
      </w:tr>
      <w:tr>
        <w:trPr>
          <w:trHeight w:val="180"/>
        </w:trPr>
        <w:tc>
          <w:tcPr>
            <w:tcW w:w="776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64,686</w:t>
            </w:r>
          </w:p>
        </w:tc>
      </w:tr>
      <w:tr>
        <w:trPr>
          <w:trHeight w:val="182"/>
        </w:trPr>
        <w:tc>
          <w:tcPr>
            <w:tcW w:w="77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252,832</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61,137</w:t>
            </w:r>
          </w:p>
        </w:tc>
      </w:tr>
      <w:tr>
        <w:trPr>
          <w:trHeight w:val="205"/>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1080" w:type="dxa"/>
            <w:vAlign w:val="bottom"/>
            <w:tcBorders>
              <w:bottom w:val="single" w:sz="8" w:color="auto"/>
            </w:tcBorders>
            <w:shd w:val="clear" w:color="auto" w:fill="CCEEFF"/>
          </w:tcPr>
          <w:p>
            <w:pPr>
              <w:jc w:val="right"/>
              <w:ind w:right="93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252,539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125,823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45720</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539" w:right="31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(Unaudited)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Unaudited Condensed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Basis of Presentation</w:t>
      </w:r>
    </w:p>
    <w:p>
      <w:pPr>
        <w:spacing w:after="0" w:line="98" w:lineRule="exact"/>
        <w:rPr>
          <w:sz w:val="20"/>
          <w:szCs w:val="20"/>
          <w:color w:val="auto"/>
        </w:rPr>
      </w:pPr>
    </w:p>
    <w:p>
      <w:pPr>
        <w:ind w:right="160" w:firstLine="139"/>
        <w:spacing w:after="0" w:line="262" w:lineRule="auto"/>
        <w:rPr>
          <w:sz w:val="20"/>
          <w:szCs w:val="20"/>
          <w:color w:val="auto"/>
        </w:rPr>
      </w:pPr>
      <w:r>
        <w:rPr>
          <w:rFonts w:ascii="Arial" w:cs="Arial" w:eastAsia="Arial" w:hAnsi="Arial"/>
          <w:sz w:val="15"/>
          <w:szCs w:val="15"/>
          <w:color w:val="auto"/>
        </w:rPr>
        <w:t>The accompanying condensed consolidated financial statements of LivaNova as of, and for the three months ended March 31, 2021 and 2020, have been prepared in accordance with U.S. GAAP for interim financial information and the instructions to Form 10-Q and Article 10 of Regulation S-X. The accompanying condensed consolidated balance sheet of LivaNova at December 31, 2020 has been derived from audited financial statements contained in our 2020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months ended March 31, 2021, and are not necessarily indicative of the results that may be expected for the year ending December 31, 2021. The financial information presented herein should be read in conjunction with the audited consolidated financial statements and notes thereto accompanying our 2020 Form 10-K.</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Recent Developments Regarding COVID-19</w:t>
      </w:r>
    </w:p>
    <w:p>
      <w:pPr>
        <w:spacing w:after="0" w:line="98" w:lineRule="exact"/>
        <w:rPr>
          <w:sz w:val="20"/>
          <w:szCs w:val="20"/>
          <w:color w:val="auto"/>
        </w:rPr>
      </w:pPr>
    </w:p>
    <w:p>
      <w:pPr>
        <w:ind w:firstLine="139"/>
        <w:spacing w:after="0" w:line="268" w:lineRule="auto"/>
        <w:rPr>
          <w:sz w:val="20"/>
          <w:szCs w:val="20"/>
          <w:color w:val="auto"/>
        </w:rPr>
      </w:pPr>
      <w:r>
        <w:rPr>
          <w:rFonts w:ascii="Arial" w:cs="Arial" w:eastAsia="Arial" w:hAnsi="Arial"/>
          <w:sz w:val="15"/>
          <w:szCs w:val="15"/>
          <w:color w:val="auto"/>
        </w:rPr>
        <w:t>Due to the COVID-19 pandemic (“COVID-19”), we have experienced and may continue to experience significant and unpredictable reductions in the demand for our products as healthcare customers have diverted medical resources and priorities towards the treatment of COVID-19. In addition, public health bodies have delayed elective procedures during the COVID-19 pandemic, which has negatively impacted the usage of our products, including the number of Neuromodulation procedures. Further, some people are avoiding seeking treatment for non-COVID-19 emergency procedures, which has also negatively impacted the demand for our products.</w:t>
      </w:r>
    </w:p>
    <w:p>
      <w:pPr>
        <w:spacing w:after="0" w:line="62" w:lineRule="exact"/>
        <w:rPr>
          <w:sz w:val="20"/>
          <w:szCs w:val="20"/>
          <w:color w:val="auto"/>
        </w:rPr>
      </w:pPr>
    </w:p>
    <w:p>
      <w:pPr>
        <w:ind w:right="40" w:firstLine="139"/>
        <w:spacing w:after="0" w:line="327" w:lineRule="auto"/>
        <w:rPr>
          <w:sz w:val="20"/>
          <w:szCs w:val="20"/>
          <w:color w:val="auto"/>
        </w:rPr>
      </w:pPr>
      <w:r>
        <w:rPr>
          <w:rFonts w:ascii="Arial" w:cs="Arial" w:eastAsia="Arial" w:hAnsi="Arial"/>
          <w:sz w:val="14"/>
          <w:szCs w:val="14"/>
          <w:color w:val="auto"/>
        </w:rPr>
        <w:t>We observed improving market dynamics during the first quarter of 2021, especially in the Unites States; however, we continue to be impacted in regions with COVID-19 case rate variability. We expect the recovery to continue during the remainder of the year as patients and their caregivers return to in-person physician visits and procedure volumes improve.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w:t>
      </w:r>
    </w:p>
    <w:p>
      <w:pPr>
        <w:spacing w:after="0" w:line="98" w:lineRule="exact"/>
        <w:rPr>
          <w:sz w:val="20"/>
          <w:szCs w:val="20"/>
          <w:color w:val="auto"/>
        </w:rPr>
      </w:pPr>
    </w:p>
    <w:p>
      <w:pPr>
        <w:jc w:val="both"/>
        <w:ind w:right="20" w:firstLine="139"/>
        <w:spacing w:after="0" w:line="289" w:lineRule="auto"/>
        <w:rPr>
          <w:sz w:val="20"/>
          <w:szCs w:val="20"/>
          <w:color w:val="auto"/>
        </w:rPr>
      </w:pPr>
      <w:r>
        <w:rPr>
          <w:rFonts w:ascii="Arial" w:cs="Arial" w:eastAsia="Arial" w:hAnsi="Arial"/>
          <w:sz w:val="15"/>
          <w:szCs w:val="15"/>
          <w:color w:val="auto"/>
        </w:rPr>
        <w:t>We have reclassified certain prior period amounts for comparative purposes. These reclassifications did not have a material effect on our financial condition, results of operations or cash flows.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Significant Accounting Policies</w:t>
      </w:r>
    </w:p>
    <w:p>
      <w:pPr>
        <w:spacing w:after="0" w:line="98" w:lineRule="exact"/>
        <w:rPr>
          <w:sz w:val="20"/>
          <w:szCs w:val="20"/>
          <w:color w:val="auto"/>
        </w:rPr>
      </w:pPr>
    </w:p>
    <w:p>
      <w:pPr>
        <w:ind w:right="540" w:firstLine="139"/>
        <w:spacing w:after="0" w:line="289" w:lineRule="auto"/>
        <w:rPr>
          <w:sz w:val="20"/>
          <w:szCs w:val="20"/>
          <w:color w:val="auto"/>
        </w:rPr>
      </w:pPr>
      <w:r>
        <w:rPr>
          <w:rFonts w:ascii="Arial" w:cs="Arial" w:eastAsia="Arial" w:hAnsi="Arial"/>
          <w:sz w:val="15"/>
          <w:szCs w:val="15"/>
          <w:color w:val="auto"/>
        </w:rPr>
        <w:t>Our significant accounting policies are detailed in “Note 2. Basis of Presentation, Use of Accounting Estimates and Significant Accounting Policies” and “Note 3. Revenue Recognition” of our 2020 Form 10-K.</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Assets and Liabilities Held For Sale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Heart Valves</w:t>
      </w:r>
    </w:p>
    <w:p>
      <w:pPr>
        <w:spacing w:after="0" w:line="98" w:lineRule="exact"/>
        <w:rPr>
          <w:sz w:val="20"/>
          <w:szCs w:val="20"/>
          <w:color w:val="auto"/>
        </w:rPr>
      </w:pPr>
    </w:p>
    <w:p>
      <w:pPr>
        <w:jc w:val="both"/>
        <w:ind w:firstLine="139"/>
        <w:spacing w:after="0" w:line="262" w:lineRule="auto"/>
        <w:rPr>
          <w:sz w:val="20"/>
          <w:szCs w:val="20"/>
          <w:color w:val="auto"/>
        </w:rPr>
      </w:pPr>
      <w:r>
        <w:rPr>
          <w:rFonts w:ascii="Arial" w:cs="Arial" w:eastAsia="Arial" w:hAnsi="Arial"/>
          <w:sz w:val="15"/>
          <w:szCs w:val="15"/>
          <w:color w:val="auto"/>
        </w:rPr>
        <w:t>On December 2, 2020, LivaNova entered into a Share and Asset Purchase Agreement (“Purchase Agreement”) with Mitral Holdco S.à r.l. (the “Purchaser”), a company incorporated under the laws of Luxembourg and wholly owned and controlled by funds advised by Gyrus Capital S.A., a Swiss private equity firm. The Purchase Agreement provides for the divestiture of certain of LivaNova’s subsidiaries as well as certain other assets and liabilities relating to the Company’s Heart Valve business and site management operations conducted by the Company’s subsidiary LivaNova Site Management S.r.l. (“LSM”) at the Company’s Saluggia campus. The purchase price of €60.0 million (approximately $70.4 million as of March 31, 2021) will be payable in two tranches: €50.0 million (approximately $58.7 million as of March 31, 2021) payable at closing, subject to customary trade working capital and net indebtedness adjustments, as set forth in the Purchase Agreement, and an additional €10.0 million (approximately $11.7 million as of March 31, 2021) payable on December 30, 2022.</w:t>
      </w:r>
    </w:p>
    <w:p>
      <w:pPr>
        <w:spacing w:after="0" w:line="70" w:lineRule="exact"/>
        <w:rPr>
          <w:sz w:val="20"/>
          <w:szCs w:val="20"/>
          <w:color w:val="auto"/>
        </w:rPr>
      </w:pPr>
    </w:p>
    <w:p>
      <w:pPr>
        <w:jc w:val="both"/>
        <w:ind w:firstLine="139"/>
        <w:spacing w:after="0" w:line="301" w:lineRule="auto"/>
        <w:rPr>
          <w:sz w:val="20"/>
          <w:szCs w:val="20"/>
          <w:color w:val="auto"/>
        </w:rPr>
      </w:pPr>
      <w:r>
        <w:rPr>
          <w:rFonts w:ascii="Arial" w:cs="Arial" w:eastAsia="Arial" w:hAnsi="Arial"/>
          <w:sz w:val="14"/>
          <w:szCs w:val="14"/>
          <w:color w:val="auto"/>
        </w:rPr>
        <w:t>On April 9, 2021, LivaNova and the Purchaser entered into an Amended and Restated Share and Asset Purchase Agreement (the “A&amp;R Purchase Agreement”) which amends and restates the original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9" w:name="page10"/>
    <w:bookmarkEnd w:id="9"/>
    <w:p>
      <w:pPr>
        <w:ind w:right="20" w:firstLine="139"/>
        <w:spacing w:after="0" w:line="289" w:lineRule="auto"/>
        <w:rPr>
          <w:sz w:val="20"/>
          <w:szCs w:val="20"/>
          <w:color w:val="auto"/>
        </w:rPr>
      </w:pPr>
      <w:r>
        <w:rPr>
          <w:rFonts w:ascii="Arial" w:cs="Arial" w:eastAsia="Arial" w:hAnsi="Arial"/>
          <w:sz w:val="15"/>
          <w:szCs w:val="15"/>
          <w:color w:val="auto"/>
        </w:rPr>
        <w:t>In addition, the A&amp;R Purchase Agreement includes certain amendments relating to mechanics and timing for the initial closing of the transaction and subsequent closings of the local businesses. The initial closing of the transaction with respect to the heart valve business is expected to occur in the first half of 2021.</w:t>
      </w:r>
    </w:p>
    <w:p>
      <w:pPr>
        <w:spacing w:after="0" w:line="47" w:lineRule="exact"/>
        <w:rPr>
          <w:sz w:val="20"/>
          <w:szCs w:val="20"/>
          <w:color w:val="auto"/>
        </w:rPr>
      </w:pPr>
    </w:p>
    <w:p>
      <w:pPr>
        <w:ind w:right="120" w:firstLine="139"/>
        <w:spacing w:after="0" w:line="301" w:lineRule="auto"/>
        <w:rPr>
          <w:sz w:val="20"/>
          <w:szCs w:val="20"/>
          <w:color w:val="auto"/>
        </w:rPr>
      </w:pPr>
      <w:r>
        <w:rPr>
          <w:rFonts w:ascii="Arial" w:cs="Arial" w:eastAsia="Arial" w:hAnsi="Arial"/>
          <w:sz w:val="14"/>
          <w:szCs w:val="14"/>
          <w:color w:val="auto"/>
        </w:rPr>
        <w:t>As a result of entering into the Purchase Agreement, during the fourth quarter of 2020 the Company concluded that the assets and liabilities of the Heart Valve business being sold meet the criteria to be classified as held for sale. As a result, we recognized an impairment of $180.2 million during the fourth quarter of 2020 to record the Heart Valves disposal group at fair value less estimated cost to sell. During the first quarter of 2021 we increased the carrying value of the disposal group by $1.0 million.</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major classes of assets and liabilities held for sale on the consolidated balance sheet as of March 31, 2021 and December 31, 2020 were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 2021</w:t>
            </w:r>
          </w:p>
        </w:tc>
        <w:tc>
          <w:tcPr>
            <w:tcW w:w="220" w:type="dxa"/>
            <w:vAlign w:val="bottom"/>
          </w:tcPr>
          <w:p>
            <w:pPr>
              <w:spacing w:after="0"/>
              <w:rPr>
                <w:sz w:val="17"/>
                <w:szCs w:val="17"/>
                <w:color w:val="auto"/>
              </w:rPr>
            </w:pPr>
          </w:p>
        </w:tc>
        <w:tc>
          <w:tcPr>
            <w:tcW w:w="1760" w:type="dxa"/>
            <w:vAlign w:val="bottom"/>
          </w:tcPr>
          <w:p>
            <w:pPr>
              <w:jc w:val="right"/>
              <w:ind w:right="303"/>
              <w:spacing w:after="0"/>
              <w:rPr>
                <w:sz w:val="20"/>
                <w:szCs w:val="20"/>
                <w:color w:val="auto"/>
              </w:rPr>
            </w:pPr>
            <w:r>
              <w:rPr>
                <w:rFonts w:ascii="Arial" w:cs="Arial" w:eastAsia="Arial" w:hAnsi="Arial"/>
                <w:sz w:val="15"/>
                <w:szCs w:val="15"/>
                <w:b w:val="1"/>
                <w:bCs w:val="1"/>
                <w:color w:val="auto"/>
              </w:rPr>
              <w:t>December 31, 2020</w:t>
            </w:r>
          </w:p>
        </w:tc>
      </w:tr>
      <w:tr>
        <w:trPr>
          <w:trHeight w:val="188"/>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Accounts receivable, net</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20,280</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20,059</w:t>
            </w:r>
          </w:p>
        </w:tc>
      </w:tr>
      <w:tr>
        <w:trPr>
          <w:trHeight w:val="196"/>
        </w:trPr>
        <w:tc>
          <w:tcPr>
            <w:tcW w:w="7160" w:type="dxa"/>
            <w:vAlign w:val="bottom"/>
          </w:tcPr>
          <w:p>
            <w:pPr>
              <w:spacing w:after="0"/>
              <w:rPr>
                <w:sz w:val="20"/>
                <w:szCs w:val="20"/>
                <w:color w:val="auto"/>
              </w:rPr>
            </w:pPr>
            <w:r>
              <w:rPr>
                <w:rFonts w:ascii="Arial" w:cs="Arial" w:eastAsia="Arial" w:hAnsi="Arial"/>
                <w:sz w:val="15"/>
                <w:szCs w:val="15"/>
                <w:color w:val="auto"/>
              </w:rPr>
              <w:t>Inventories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44,623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45,081</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Prepaid and refundable taxes</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2,751</w:t>
            </w:r>
          </w:p>
        </w:tc>
      </w:tr>
      <w:tr>
        <w:trPr>
          <w:trHeight w:val="196"/>
        </w:trPr>
        <w:tc>
          <w:tcPr>
            <w:tcW w:w="716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2,488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2,436</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Property, plant and equipment, net</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25,042</w:t>
            </w:r>
          </w:p>
        </w:tc>
      </w:tr>
      <w:tr>
        <w:trPr>
          <w:trHeight w:val="196"/>
        </w:trPr>
        <w:tc>
          <w:tcPr>
            <w:tcW w:w="7160" w:type="dxa"/>
            <w:vAlign w:val="bottom"/>
          </w:tcPr>
          <w:p>
            <w:pPr>
              <w:spacing w:after="0"/>
              <w:rPr>
                <w:sz w:val="20"/>
                <w:szCs w:val="20"/>
                <w:color w:val="auto"/>
              </w:rPr>
            </w:pPr>
            <w:r>
              <w:rPr>
                <w:rFonts w:ascii="Arial" w:cs="Arial" w:eastAsia="Arial" w:hAnsi="Arial"/>
                <w:sz w:val="15"/>
                <w:szCs w:val="15"/>
                <w:color w:val="auto"/>
              </w:rPr>
              <w:t>Intangible assets, net</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150,197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153,632</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2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7160" w:type="dxa"/>
            <w:vAlign w:val="bottom"/>
          </w:tcPr>
          <w:p>
            <w:pPr>
              <w:spacing w:after="0"/>
              <w:rPr>
                <w:sz w:val="20"/>
                <w:szCs w:val="20"/>
                <w:color w:val="auto"/>
              </w:rPr>
            </w:pPr>
            <w:r>
              <w:rPr>
                <w:rFonts w:ascii="Arial" w:cs="Arial" w:eastAsia="Arial" w:hAnsi="Arial"/>
                <w:sz w:val="15"/>
                <w:szCs w:val="15"/>
                <w:color w:val="auto"/>
              </w:rPr>
              <w:t>Operating lease assets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1,508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1,698</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Impairment charge of disposal group</w:t>
            </w:r>
          </w:p>
        </w:tc>
        <w:tc>
          <w:tcPr>
            <w:tcW w:w="2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(179,194)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(180,160)</w:t>
            </w:r>
          </w:p>
        </w:tc>
      </w:tr>
      <w:tr>
        <w:trPr>
          <w:trHeight w:val="188"/>
        </w:trPr>
        <w:tc>
          <w:tcPr>
            <w:tcW w:w="7160" w:type="dxa"/>
            <w:vAlign w:val="bottom"/>
          </w:tcPr>
          <w:p>
            <w:pPr>
              <w:spacing w:after="0"/>
              <w:rPr>
                <w:sz w:val="20"/>
                <w:szCs w:val="20"/>
                <w:color w:val="auto"/>
              </w:rPr>
            </w:pPr>
            <w:r>
              <w:rPr>
                <w:rFonts w:ascii="Arial" w:cs="Arial" w:eastAsia="Arial" w:hAnsi="Arial"/>
                <w:sz w:val="15"/>
                <w:szCs w:val="15"/>
                <w:color w:val="auto"/>
              </w:rPr>
              <w:t>Total assets held for sale</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67,475</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70,539</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4"/>
        </w:trPr>
        <w:tc>
          <w:tcPr>
            <w:tcW w:w="7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5"/>
                <w:szCs w:val="15"/>
                <w:color w:val="auto"/>
              </w:rPr>
              <w:t>Accounts payable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7,492</w:t>
            </w:r>
          </w:p>
        </w:tc>
        <w:tc>
          <w:tcPr>
            <w:tcW w:w="14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spacing w:after="0"/>
              <w:rPr>
                <w:sz w:val="20"/>
                <w:szCs w:val="20"/>
                <w:color w:val="auto"/>
              </w:rPr>
            </w:pPr>
            <w:r>
              <w:rPr>
                <w:rFonts w:ascii="Arial" w:cs="Arial" w:eastAsia="Arial" w:hAnsi="Arial"/>
                <w:sz w:val="15"/>
                <w:szCs w:val="15"/>
                <w:color w:val="auto"/>
              </w:rPr>
              <w:t>9,518</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Accrued liabilities and other</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4,205</w:t>
            </w:r>
          </w:p>
        </w:tc>
      </w:tr>
      <w:tr>
        <w:trPr>
          <w:trHeight w:val="196"/>
        </w:trPr>
        <w:tc>
          <w:tcPr>
            <w:tcW w:w="7160" w:type="dxa"/>
            <w:vAlign w:val="bottom"/>
          </w:tcPr>
          <w:p>
            <w:pPr>
              <w:spacing w:after="0"/>
              <w:rPr>
                <w:sz w:val="20"/>
                <w:szCs w:val="20"/>
                <w:color w:val="auto"/>
              </w:rPr>
            </w:pPr>
            <w:r>
              <w:rPr>
                <w:rFonts w:ascii="Arial" w:cs="Arial" w:eastAsia="Arial" w:hAnsi="Arial"/>
                <w:sz w:val="15"/>
                <w:szCs w:val="15"/>
                <w:color w:val="auto"/>
              </w:rPr>
              <w:t>Taxes payable</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543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363</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Accrued employee compensation and related benefits</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8,781</w:t>
            </w:r>
          </w:p>
        </w:tc>
      </w:tr>
      <w:tr>
        <w:trPr>
          <w:trHeight w:val="196"/>
        </w:trPr>
        <w:tc>
          <w:tcPr>
            <w:tcW w:w="716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614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671</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Long-term employee compensation and related benefits</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4,994</w:t>
            </w:r>
          </w:p>
        </w:tc>
      </w:tr>
      <w:tr>
        <w:trPr>
          <w:trHeight w:val="196"/>
        </w:trPr>
        <w:tc>
          <w:tcPr>
            <w:tcW w:w="7160" w:type="dxa"/>
            <w:vAlign w:val="bottom"/>
          </w:tcPr>
          <w:p>
            <w:pPr>
              <w:spacing w:after="0"/>
              <w:rPr>
                <w:sz w:val="20"/>
                <w:szCs w:val="20"/>
                <w:color w:val="auto"/>
              </w:rPr>
            </w:pPr>
            <w:r>
              <w:rPr>
                <w:rFonts w:ascii="Arial" w:cs="Arial" w:eastAsia="Arial" w:hAnsi="Arial"/>
                <w:sz w:val="15"/>
                <w:szCs w:val="15"/>
                <w:color w:val="auto"/>
              </w:rPr>
              <w:t>Long-term operating lease liabilities</w:t>
            </w:r>
          </w:p>
        </w:tc>
        <w:tc>
          <w:tcPr>
            <w:tcW w:w="2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531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841</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w:t>
            </w:r>
          </w:p>
        </w:tc>
      </w:tr>
      <w:tr>
        <w:trPr>
          <w:trHeight w:val="188"/>
        </w:trPr>
        <w:tc>
          <w:tcPr>
            <w:tcW w:w="7160" w:type="dxa"/>
            <w:vAlign w:val="bottom"/>
          </w:tcPr>
          <w:p>
            <w:pPr>
              <w:spacing w:after="0"/>
              <w:rPr>
                <w:sz w:val="20"/>
                <w:szCs w:val="20"/>
                <w:color w:val="auto"/>
              </w:rPr>
            </w:pPr>
            <w:r>
              <w:rPr>
                <w:rFonts w:ascii="Arial" w:cs="Arial" w:eastAsia="Arial" w:hAnsi="Arial"/>
                <w:sz w:val="15"/>
                <w:szCs w:val="15"/>
                <w:color w:val="auto"/>
              </w:rPr>
              <w:t>Total liabilities held for sale</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27,118</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29,679</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Restructuring</w:t>
      </w:r>
    </w:p>
    <w:p>
      <w:pPr>
        <w:spacing w:after="0" w:line="102" w:lineRule="exact"/>
        <w:rPr>
          <w:sz w:val="20"/>
          <w:szCs w:val="20"/>
          <w:color w:val="auto"/>
        </w:rPr>
      </w:pPr>
    </w:p>
    <w:p>
      <w:pPr>
        <w:ind w:right="200" w:firstLine="139"/>
        <w:spacing w:after="0" w:line="370" w:lineRule="auto"/>
        <w:rPr>
          <w:sz w:val="20"/>
          <w:szCs w:val="20"/>
          <w:color w:val="auto"/>
        </w:rPr>
      </w:pPr>
      <w:r>
        <w:rPr>
          <w:rFonts w:ascii="Arial" w:cs="Arial" w:eastAsia="Arial" w:hAnsi="Arial"/>
          <w:sz w:val="13"/>
          <w:szCs w:val="13"/>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condensed consolidated statements of income (loss).</w:t>
      </w:r>
    </w:p>
    <w:p>
      <w:pPr>
        <w:spacing w:after="0" w:line="2" w:lineRule="exact"/>
        <w:rPr>
          <w:sz w:val="20"/>
          <w:szCs w:val="20"/>
          <w:color w:val="auto"/>
        </w:rPr>
      </w:pPr>
    </w:p>
    <w:p>
      <w:pPr>
        <w:ind w:right="200" w:firstLine="139"/>
        <w:spacing w:after="0" w:line="273" w:lineRule="auto"/>
        <w:rPr>
          <w:sz w:val="20"/>
          <w:szCs w:val="20"/>
          <w:color w:val="auto"/>
        </w:rPr>
      </w:pPr>
      <w:r>
        <w:rPr>
          <w:rFonts w:ascii="Arial" w:cs="Arial" w:eastAsia="Arial" w:hAnsi="Arial"/>
          <w:sz w:val="15"/>
          <w:szCs w:val="15"/>
          <w:color w:val="auto"/>
        </w:rPr>
        <w:t>During the fourth quarter of 2020, we initiated a reorganization plan (the “2020 Plan”) to reduce our cost structure. We incurred restructuring expenses of $5.3 million during the three months ended December 31, 2020 primarily associated with severance costs for 54 employees, and $6.1 million during the three months ended March 31, 2021 primarily associated with severance costs for 12 additional employees under the 2020 Plan and lease abandonment costs.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0" w:name="page11"/>
    <w:bookmarkEnd w:id="10"/>
    <w:p>
      <w:pPr>
        <w:ind w:right="220" w:firstLine="139"/>
        <w:spacing w:after="0" w:line="277" w:lineRule="auto"/>
        <w:rPr>
          <w:sz w:val="20"/>
          <w:szCs w:val="20"/>
          <w:color w:val="auto"/>
        </w:rPr>
      </w:pPr>
      <w:r>
        <w:rPr>
          <w:rFonts w:ascii="Arial" w:cs="Arial" w:eastAsia="Arial" w:hAnsi="Arial"/>
          <w:sz w:val="15"/>
          <w:szCs w:val="15"/>
          <w:color w:val="auto"/>
        </w:rPr>
        <w:t>The following table provides a reconciliation of the beginning and ending balance of the accruals and other reserves recorded in connection with our restructuring plans included within accrued liabilities and other and other long-term liabilities on the condensed consolidated balance sheet (in thousands):</w:t>
      </w:r>
    </w:p>
    <w:tbl>
      <w:tblPr>
        <w:tblLayout w:type="fixed"/>
        <w:tblInd w:w="0" w:type="dxa"/>
        <w:tblCellMar>
          <w:top w:w="0" w:type="dxa"/>
          <w:left w:w="0" w:type="dxa"/>
          <w:bottom w:w="0" w:type="dxa"/>
          <w:right w:w="0" w:type="dxa"/>
        </w:tblCellMar>
      </w:tblPr>
      <w:tr>
        <w:trPr>
          <w:trHeight w:val="156"/>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2"/>
          </w:tcPr>
          <w:p>
            <w:pPr>
              <w:ind w:left="60"/>
              <w:spacing w:after="0" w:line="156" w:lineRule="exact"/>
              <w:rPr>
                <w:sz w:val="20"/>
                <w:szCs w:val="20"/>
                <w:color w:val="auto"/>
              </w:rPr>
            </w:pPr>
            <w:r>
              <w:rPr>
                <w:rFonts w:ascii="Arial" w:cs="Arial" w:eastAsia="Arial" w:hAnsi="Arial"/>
                <w:sz w:val="15"/>
                <w:szCs w:val="15"/>
                <w:b w:val="1"/>
                <w:bCs w:val="1"/>
                <w:color w:val="auto"/>
              </w:rPr>
              <w:t>Employee Severance and</w:t>
            </w: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Other</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Total</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2"/>
          </w:tcPr>
          <w:p>
            <w:pPr>
              <w:ind w:left="60"/>
              <w:spacing w:after="0"/>
              <w:rPr>
                <w:sz w:val="20"/>
                <w:szCs w:val="20"/>
                <w:color w:val="auto"/>
              </w:rPr>
            </w:pPr>
            <w:r>
              <w:rPr>
                <w:rFonts w:ascii="Arial" w:cs="Arial" w:eastAsia="Arial" w:hAnsi="Arial"/>
                <w:sz w:val="15"/>
                <w:szCs w:val="15"/>
                <w:b w:val="1"/>
                <w:bCs w:val="1"/>
                <w:color w:val="auto"/>
              </w:rPr>
              <w:t>Other Termination Costs</w:t>
            </w:r>
          </w:p>
        </w:tc>
        <w:tc>
          <w:tcPr>
            <w:tcW w:w="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at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top w:val="single" w:sz="8" w:color="auto"/>
            </w:tcBorders>
            <w:shd w:val="clear" w:color="auto" w:fill="CCEEFF"/>
          </w:tcPr>
          <w:p>
            <w:pPr>
              <w:jc w:val="center"/>
              <w:ind w:left="1363"/>
              <w:spacing w:after="0"/>
              <w:rPr>
                <w:sz w:val="20"/>
                <w:szCs w:val="20"/>
                <w:color w:val="auto"/>
              </w:rPr>
            </w:pPr>
            <w:r>
              <w:rPr>
                <w:rFonts w:ascii="Arial" w:cs="Arial" w:eastAsia="Arial" w:hAnsi="Arial"/>
                <w:sz w:val="15"/>
                <w:szCs w:val="15"/>
                <w:color w:val="auto"/>
                <w:w w:val="95"/>
              </w:rPr>
              <w:t>5,749</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2"/>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6,295</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20"/>
                <w:szCs w:val="20"/>
                <w:color w:val="auto"/>
              </w:rPr>
            </w:pPr>
            <w:r>
              <w:rPr>
                <w:rFonts w:ascii="Arial" w:cs="Arial" w:eastAsia="Arial" w:hAnsi="Arial"/>
                <w:sz w:val="15"/>
                <w:szCs w:val="15"/>
                <w:color w:val="auto"/>
              </w:rPr>
              <w:t>Charges</w:t>
            </w:r>
          </w:p>
        </w:tc>
        <w:tc>
          <w:tcPr>
            <w:tcW w:w="160" w:type="dxa"/>
            <w:vAlign w:val="bottom"/>
          </w:tcPr>
          <w:p>
            <w:pPr>
              <w:spacing w:after="0"/>
              <w:rPr>
                <w:sz w:val="17"/>
                <w:szCs w:val="17"/>
                <w:color w:val="auto"/>
              </w:rPr>
            </w:pPr>
          </w:p>
        </w:tc>
        <w:tc>
          <w:tcPr>
            <w:tcW w:w="1920" w:type="dxa"/>
            <w:vAlign w:val="bottom"/>
          </w:tcPr>
          <w:p>
            <w:pPr>
              <w:jc w:val="center"/>
              <w:ind w:left="1383"/>
              <w:spacing w:after="0"/>
              <w:rPr>
                <w:sz w:val="20"/>
                <w:szCs w:val="20"/>
                <w:color w:val="auto"/>
              </w:rPr>
            </w:pPr>
            <w:r>
              <w:rPr>
                <w:rFonts w:ascii="Arial" w:cs="Arial" w:eastAsia="Arial" w:hAnsi="Arial"/>
                <w:sz w:val="15"/>
                <w:szCs w:val="15"/>
                <w:color w:val="auto"/>
                <w:w w:val="90"/>
              </w:rPr>
              <w:t>4,110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1,982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6,092</w:t>
            </w: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Cash payments and other</w:t>
            </w:r>
          </w:p>
        </w:tc>
        <w:tc>
          <w:tcPr>
            <w:tcW w:w="1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center"/>
              <w:ind w:left="1343"/>
              <w:spacing w:after="0"/>
              <w:rPr>
                <w:sz w:val="20"/>
                <w:szCs w:val="20"/>
                <w:color w:val="auto"/>
              </w:rPr>
            </w:pPr>
            <w:r>
              <w:rPr>
                <w:rFonts w:ascii="Arial" w:cs="Arial" w:eastAsia="Arial" w:hAnsi="Arial"/>
                <w:sz w:val="15"/>
                <w:szCs w:val="15"/>
                <w:color w:val="auto"/>
                <w:w w:val="96"/>
              </w:rPr>
              <w:t>(4,652)</w:t>
            </w: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(2,129)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(6,781)</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20"/>
                <w:szCs w:val="20"/>
                <w:color w:val="auto"/>
              </w:rPr>
            </w:pPr>
            <w:r>
              <w:rPr>
                <w:rFonts w:ascii="Arial" w:cs="Arial" w:eastAsia="Arial" w:hAnsi="Arial"/>
                <w:sz w:val="15"/>
                <w:szCs w:val="15"/>
                <w:color w:val="auto"/>
              </w:rPr>
              <w:t>Balance at March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tcPr>
          <w:p>
            <w:pPr>
              <w:jc w:val="center"/>
              <w:ind w:left="1363"/>
              <w:spacing w:after="0"/>
              <w:rPr>
                <w:sz w:val="20"/>
                <w:szCs w:val="20"/>
                <w:color w:val="auto"/>
              </w:rPr>
            </w:pPr>
            <w:r>
              <w:rPr>
                <w:rFonts w:ascii="Arial" w:cs="Arial" w:eastAsia="Arial" w:hAnsi="Arial"/>
                <w:sz w:val="15"/>
                <w:szCs w:val="15"/>
                <w:color w:val="auto"/>
                <w:w w:val="95"/>
              </w:rPr>
              <w:t>5,207</w:t>
            </w:r>
          </w:p>
        </w:tc>
        <w:tc>
          <w:tcPr>
            <w:tcW w:w="100" w:type="dxa"/>
            <w:vAlign w:val="bottom"/>
          </w:tcPr>
          <w:p>
            <w:pPr>
              <w:spacing w:after="0"/>
              <w:rPr>
                <w:sz w:val="16"/>
                <w:szCs w:val="16"/>
                <w:color w:val="auto"/>
              </w:rPr>
            </w:pPr>
          </w:p>
        </w:tc>
        <w:tc>
          <w:tcPr>
            <w:tcW w:w="1040" w:type="dxa"/>
            <w:vAlign w:val="bottom"/>
            <w:tcBorders>
              <w:bottom w:val="single" w:sz="8" w:color="auto"/>
            </w:tcBorders>
            <w:gridSpan w:val="2"/>
          </w:tcPr>
          <w:p>
            <w:pPr>
              <w:jc w:val="right"/>
              <w:ind w:right="86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5,606</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140"/>
              <w:spacing w:after="0"/>
              <w:rPr>
                <w:sz w:val="20"/>
                <w:szCs w:val="20"/>
                <w:color w:val="auto"/>
              </w:rPr>
            </w:pPr>
            <w:r>
              <w:rPr>
                <w:rFonts w:ascii="Arial" w:cs="Arial" w:eastAsia="Arial" w:hAnsi="Arial"/>
                <w:sz w:val="15"/>
                <w:szCs w:val="15"/>
                <w:color w:val="auto"/>
                <w:w w:val="94"/>
              </w:rPr>
              <w:t>The following table presents restructuring expense by reportable segment (in thousands):</w:t>
            </w: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7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2020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Cardiovascular</w:t>
            </w:r>
          </w:p>
        </w:tc>
        <w:tc>
          <w:tcPr>
            <w:tcW w:w="1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3"/>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1,896</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20"/>
                <w:szCs w:val="20"/>
                <w:color w:val="auto"/>
              </w:rPr>
            </w:pPr>
            <w:r>
              <w:rPr>
                <w:rFonts w:ascii="Arial" w:cs="Arial" w:eastAsia="Arial" w:hAnsi="Arial"/>
                <w:sz w:val="15"/>
                <w:szCs w:val="15"/>
                <w:color w:val="auto"/>
              </w:rPr>
              <w:t>Neuromodulation</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1,210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2,986</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20"/>
                <w:szCs w:val="20"/>
                <w:color w:val="auto"/>
              </w:rPr>
            </w:pPr>
            <w:r>
              <w:rPr>
                <w:rFonts w:ascii="Arial" w:cs="Arial" w:eastAsia="Arial" w:hAnsi="Arial"/>
                <w:sz w:val="15"/>
                <w:szCs w:val="15"/>
                <w:color w:val="auto"/>
              </w:rPr>
              <w:t>Total</w:t>
            </w: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803"/>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6,092</w:t>
            </w:r>
          </w:p>
        </w:tc>
        <w:tc>
          <w:tcPr>
            <w:tcW w:w="100" w:type="dxa"/>
            <w:vAlign w:val="bottom"/>
          </w:tcPr>
          <w:p>
            <w:pPr>
              <w:spacing w:after="0"/>
              <w:rPr>
                <w:sz w:val="16"/>
                <w:szCs w:val="16"/>
                <w:color w:val="auto"/>
              </w:rPr>
            </w:pP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1,580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Investments</w:t>
      </w:r>
    </w:p>
    <w:p>
      <w:pPr>
        <w:spacing w:after="0" w:line="102" w:lineRule="exact"/>
        <w:rPr>
          <w:sz w:val="20"/>
          <w:szCs w:val="20"/>
          <w:color w:val="auto"/>
        </w:rPr>
      </w:pPr>
    </w:p>
    <w:p>
      <w:pPr>
        <w:ind w:right="20" w:firstLine="139"/>
        <w:spacing w:after="0" w:line="273" w:lineRule="auto"/>
        <w:rPr>
          <w:sz w:val="20"/>
          <w:szCs w:val="20"/>
          <w:color w:val="auto"/>
        </w:rPr>
      </w:pPr>
      <w:r>
        <w:rPr>
          <w:rFonts w:ascii="Arial" w:cs="Arial" w:eastAsia="Arial" w:hAnsi="Arial"/>
          <w:sz w:val="15"/>
          <w:szCs w:val="15"/>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w:t>
      </w: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5"/>
          <w:szCs w:val="15"/>
          <w:color w:val="auto"/>
        </w:rPr>
        <w:t>transactions for the identical or similar investment of the same issuer. The below equity investments are included in investments on the condensed consolidated balance sheets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7"/>
                <w:szCs w:val="17"/>
                <w:color w:val="auto"/>
              </w:rPr>
            </w:pPr>
          </w:p>
        </w:tc>
        <w:tc>
          <w:tcPr>
            <w:tcW w:w="1440" w:type="dxa"/>
            <w:vAlign w:val="bottom"/>
          </w:tcPr>
          <w:p>
            <w:pPr>
              <w:jc w:val="right"/>
              <w:ind w:right="83"/>
              <w:spacing w:after="0"/>
              <w:rPr>
                <w:sz w:val="20"/>
                <w:szCs w:val="20"/>
                <w:color w:val="auto"/>
              </w:rPr>
            </w:pPr>
            <w:r>
              <w:rPr>
                <w:rFonts w:ascii="Arial" w:cs="Arial" w:eastAsia="Arial" w:hAnsi="Arial"/>
                <w:sz w:val="15"/>
                <w:szCs w:val="15"/>
                <w:b w:val="1"/>
                <w:bCs w:val="1"/>
                <w:color w:val="auto"/>
                <w:w w:val="93"/>
              </w:rPr>
              <w:t>December 31, 2020</w:t>
            </w:r>
          </w:p>
        </w:tc>
      </w:tr>
      <w:tr>
        <w:trPr>
          <w:trHeight w:val="188"/>
        </w:trPr>
        <w:tc>
          <w:tcPr>
            <w:tcW w:w="802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5"/>
                <w:szCs w:val="15"/>
                <w:color w:val="auto"/>
              </w:rPr>
              <w:t xml:space="preserve">Respicardia Inc. </w:t>
            </w:r>
            <w:r>
              <w:rPr>
                <w:rFonts w:ascii="Arial" w:cs="Arial" w:eastAsia="Arial" w:hAnsi="Arial"/>
                <w:sz w:val="20"/>
                <w:szCs w:val="20"/>
                <w:color w:val="auto"/>
                <w:vertAlign w:val="superscript"/>
              </w:rPr>
              <w:t>(1) (2)</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21,796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17,706</w:t>
            </w:r>
          </w:p>
        </w:tc>
      </w:tr>
      <w:tr>
        <w:trPr>
          <w:trHeight w:val="197"/>
        </w:trPr>
        <w:tc>
          <w:tcPr>
            <w:tcW w:w="8020" w:type="dxa"/>
            <w:vAlign w:val="bottom"/>
          </w:tcPr>
          <w:p>
            <w:pPr>
              <w:spacing w:after="0" w:line="197" w:lineRule="exact"/>
              <w:rPr>
                <w:sz w:val="20"/>
                <w:szCs w:val="20"/>
                <w:color w:val="auto"/>
              </w:rPr>
            </w:pPr>
            <w:r>
              <w:rPr>
                <w:rFonts w:ascii="Arial" w:cs="Arial" w:eastAsia="Arial" w:hAnsi="Arial"/>
                <w:sz w:val="15"/>
                <w:szCs w:val="15"/>
                <w:color w:val="auto"/>
              </w:rPr>
              <w:t xml:space="preserve">ALung Technologies, Inc. </w:t>
            </w:r>
            <w:r>
              <w:rPr>
                <w:rFonts w:ascii="Arial" w:cs="Arial" w:eastAsia="Arial" w:hAnsi="Arial"/>
                <w:sz w:val="20"/>
                <w:szCs w:val="20"/>
                <w:color w:val="auto"/>
                <w:vertAlign w:val="superscript"/>
              </w:rPr>
              <w:t>(3)</w:t>
            </w:r>
          </w:p>
        </w:tc>
        <w:tc>
          <w:tcPr>
            <w:tcW w:w="2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3,000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3,000</w:t>
            </w: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Ceribell, Inc.</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r>
      <w:tr>
        <w:trPr>
          <w:trHeight w:val="196"/>
        </w:trPr>
        <w:tc>
          <w:tcPr>
            <w:tcW w:w="8020" w:type="dxa"/>
            <w:vAlign w:val="bottom"/>
          </w:tcPr>
          <w:p>
            <w:pPr>
              <w:spacing w:after="0"/>
              <w:rPr>
                <w:sz w:val="20"/>
                <w:szCs w:val="20"/>
                <w:color w:val="auto"/>
              </w:rPr>
            </w:pPr>
            <w:r>
              <w:rPr>
                <w:rFonts w:ascii="Arial" w:cs="Arial" w:eastAsia="Arial" w:hAnsi="Arial"/>
                <w:sz w:val="15"/>
                <w:szCs w:val="15"/>
                <w:color w:val="auto"/>
              </w:rPr>
              <w:t>ShiraTronics, Inc.</w:t>
            </w:r>
          </w:p>
        </w:tc>
        <w:tc>
          <w:tcPr>
            <w:tcW w:w="2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2,045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2,045</w:t>
            </w: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Noctrix Health, Inc.</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1,359</w:t>
            </w:r>
          </w:p>
        </w:tc>
      </w:tr>
      <w:tr>
        <w:trPr>
          <w:trHeight w:val="196"/>
        </w:trPr>
        <w:tc>
          <w:tcPr>
            <w:tcW w:w="8020" w:type="dxa"/>
            <w:vAlign w:val="bottom"/>
          </w:tcPr>
          <w:p>
            <w:pPr>
              <w:spacing w:after="0"/>
              <w:rPr>
                <w:sz w:val="20"/>
                <w:szCs w:val="20"/>
                <w:color w:val="auto"/>
              </w:rPr>
            </w:pPr>
            <w:r>
              <w:rPr>
                <w:rFonts w:ascii="Arial" w:cs="Arial" w:eastAsia="Arial" w:hAnsi="Arial"/>
                <w:sz w:val="15"/>
                <w:szCs w:val="15"/>
                <w:color w:val="auto"/>
              </w:rPr>
              <w:t>MD Start II</w:t>
            </w:r>
          </w:p>
        </w:tc>
        <w:tc>
          <w:tcPr>
            <w:tcW w:w="2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1,174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1,227</w:t>
            </w: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Rainbow Medical Ltd.</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w:t>
            </w:r>
          </w:p>
        </w:tc>
      </w:tr>
      <w:tr>
        <w:trPr>
          <w:trHeight w:val="196"/>
        </w:trPr>
        <w:tc>
          <w:tcPr>
            <w:tcW w:w="80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Highlife S.A.S.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1,163</w:t>
            </w:r>
          </w:p>
        </w:tc>
      </w:tr>
      <w:tr>
        <w:trPr>
          <w:trHeight w:val="188"/>
        </w:trPr>
        <w:tc>
          <w:tcPr>
            <w:tcW w:w="80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36,436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30,701</w:t>
            </w:r>
          </w:p>
        </w:tc>
      </w:tr>
      <w:tr>
        <w:trPr>
          <w:trHeight w:val="188"/>
        </w:trPr>
        <w:tc>
          <w:tcPr>
            <w:tcW w:w="80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Equity method investment</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336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393</w:t>
            </w:r>
          </w:p>
        </w:tc>
      </w:tr>
      <w:tr>
        <w:trPr>
          <w:trHeight w:val="213"/>
        </w:trPr>
        <w:tc>
          <w:tcPr>
            <w:tcW w:w="8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36,772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31,094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540" w:right="100" w:hanging="270"/>
        <w:spacing w:after="0" w:line="295" w:lineRule="auto"/>
        <w:tabs>
          <w:tab w:leader="none" w:pos="533" w:val="left"/>
        </w:tabs>
        <w:numPr>
          <w:ilvl w:val="0"/>
          <w:numId w:val="6"/>
        </w:numPr>
        <w:rPr>
          <w:rFonts w:ascii="Arial" w:cs="Arial" w:eastAsia="Arial" w:hAnsi="Arial"/>
          <w:sz w:val="12"/>
          <w:szCs w:val="12"/>
          <w:color w:val="auto"/>
        </w:rPr>
      </w:pPr>
      <w:r>
        <w:rPr>
          <w:rFonts w:ascii="Arial" w:cs="Arial" w:eastAsia="Arial" w:hAnsi="Arial"/>
          <w:sz w:val="13"/>
          <w:szCs w:val="13"/>
          <w:color w:val="auto"/>
        </w:rPr>
        <w:t xml:space="preserve">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$1.3 million </w:t>
      </w:r>
      <w:r>
        <w:rPr>
          <w:rFonts w:ascii="Arial" w:cs="Arial" w:eastAsia="Arial" w:hAnsi="Arial"/>
          <w:sz w:val="14"/>
          <w:szCs w:val="14"/>
          <w:color w:val="auto"/>
        </w:rPr>
        <w:t>and</w:t>
      </w:r>
      <w:r>
        <w:rPr>
          <w:rFonts w:ascii="Arial" w:cs="Arial" w:eastAsia="Arial" w:hAnsi="Arial"/>
          <w:sz w:val="13"/>
          <w:szCs w:val="13"/>
          <w:color w:val="auto"/>
        </w:rPr>
        <w:t xml:space="preserve"> $0.8 million as of March 31, 2021 and December 31, 2020, respectively, which is included in prepaid expenses and other current assets on the condensed consolidated balance sheet.</w:t>
      </w:r>
    </w:p>
    <w:p>
      <w:pPr>
        <w:spacing w:after="0" w:line="1" w:lineRule="exact"/>
        <w:rPr>
          <w:rFonts w:ascii="Arial" w:cs="Arial" w:eastAsia="Arial" w:hAnsi="Arial"/>
          <w:sz w:val="12"/>
          <w:szCs w:val="12"/>
          <w:color w:val="auto"/>
        </w:rPr>
      </w:pPr>
    </w:p>
    <w:p>
      <w:pPr>
        <w:ind w:left="540" w:right="40" w:hanging="270"/>
        <w:spacing w:after="0" w:line="269"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April 2021, Zoll Medical Corporation acquired Respicardia Inc. As a result of the acquisition we received proceeds of $23.1 million for our investment and loan receivable with carrying values of $17.7 million and $0.8 million as of December 31, 2020, respectively. The Company recorded a gain of $4.6 million during the first quarter of 2021 to adjust the investment and loans receivable to fair value, which is included in foreign exchange and other losses on the condensed consolidated statement of income (loss).</w:t>
      </w:r>
    </w:p>
    <w:p>
      <w:pPr>
        <w:spacing w:after="0" w:line="2" w:lineRule="exact"/>
        <w:rPr>
          <w:rFonts w:ascii="Arial" w:cs="Arial" w:eastAsia="Arial" w:hAnsi="Arial"/>
          <w:sz w:val="14"/>
          <w:szCs w:val="14"/>
          <w:color w:val="auto"/>
        </w:rPr>
      </w:pPr>
    </w:p>
    <w:p>
      <w:pPr>
        <w:ind w:left="540" w:hanging="270"/>
        <w:spacing w:after="0" w:line="265"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ALung Technologies, Inc. (“ALung”) is a privately held medical device company focused on creating advanced medical devices for treating respiratory failure. ALung’s Hemolung Respiratory Assist System is a dialysis-like alternative or supplement to mechanical ventilation which removes carbon dioxide directly from the blood in patients with acute respiratory failure. We have a loan outstanding to ALung, with a carrying amount of $2.5 million and $2.5 million as of March 31, 2021 and December 31, 2020, respectively, which is included in prepaid expenses and other current assets on the condensed consolidated balance sheet.</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Fair Value Measurements</w:t>
      </w:r>
    </w:p>
    <w:p>
      <w:pPr>
        <w:spacing w:after="0" w:line="102" w:lineRule="exact"/>
        <w:rPr>
          <w:sz w:val="20"/>
          <w:szCs w:val="20"/>
          <w:color w:val="auto"/>
        </w:rPr>
      </w:pPr>
    </w:p>
    <w:p>
      <w:pPr>
        <w:ind w:right="620" w:firstLine="139"/>
        <w:spacing w:after="0" w:line="327" w:lineRule="auto"/>
        <w:rPr>
          <w:sz w:val="20"/>
          <w:szCs w:val="20"/>
          <w:color w:val="auto"/>
        </w:rPr>
      </w:pPr>
      <w:r>
        <w:rPr>
          <w:rFonts w:ascii="Arial" w:cs="Arial" w:eastAsia="Arial" w:hAnsi="Arial"/>
          <w:sz w:val="14"/>
          <w:szCs w:val="14"/>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three months ended March 31, 2021 and 2020.</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Assets and Liabilities Measured at Fair Value on a Recurring Basis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40" w:type="dxa"/>
            <w:vAlign w:val="bottom"/>
            <w:gridSpan w:val="8"/>
          </w:tcPr>
          <w:p>
            <w:pPr>
              <w:ind w:left="140"/>
              <w:spacing w:after="0"/>
              <w:rPr>
                <w:sz w:val="20"/>
                <w:szCs w:val="20"/>
                <w:color w:val="auto"/>
              </w:rPr>
            </w:pPr>
            <w:r>
              <w:rPr>
                <w:rFonts w:ascii="Arial" w:cs="Arial" w:eastAsia="Arial" w:hAnsi="Arial"/>
                <w:sz w:val="15"/>
                <w:szCs w:val="15"/>
                <w:color w:val="auto"/>
                <w:w w:val="94"/>
              </w:rPr>
              <w:t>The following tables provide information by level for assets and liabilities that are measured at fair value on a recurring basis (in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4"/>
        </w:trPr>
        <w:tc>
          <w:tcPr>
            <w:tcW w:w="5560" w:type="dxa"/>
            <w:vAlign w:val="bottom"/>
          </w:tcPr>
          <w:p>
            <w:pPr>
              <w:spacing w:after="0"/>
              <w:rPr>
                <w:sz w:val="24"/>
                <w:szCs w:val="24"/>
                <w:color w:val="auto"/>
              </w:rPr>
            </w:pPr>
          </w:p>
        </w:tc>
        <w:tc>
          <w:tcPr>
            <w:tcW w:w="1780" w:type="dxa"/>
            <w:vAlign w:val="bottom"/>
            <w:gridSpan w:val="3"/>
          </w:tcPr>
          <w:p>
            <w:pPr>
              <w:ind w:left="80"/>
              <w:spacing w:after="0"/>
              <w:rPr>
                <w:sz w:val="20"/>
                <w:szCs w:val="20"/>
                <w:color w:val="auto"/>
              </w:rPr>
            </w:pPr>
            <w:r>
              <w:rPr>
                <w:rFonts w:ascii="Arial" w:cs="Arial" w:eastAsia="Arial" w:hAnsi="Arial"/>
                <w:sz w:val="15"/>
                <w:szCs w:val="15"/>
                <w:b w:val="1"/>
                <w:bCs w:val="1"/>
                <w:color w:val="auto"/>
              </w:rPr>
              <w:t>Fair Value as of March</w:t>
            </w: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center"/>
              <w:ind w:right="63"/>
              <w:spacing w:after="0"/>
              <w:rPr>
                <w:sz w:val="20"/>
                <w:szCs w:val="20"/>
                <w:color w:val="auto"/>
              </w:rPr>
            </w:pPr>
            <w:r>
              <w:rPr>
                <w:rFonts w:ascii="Arial" w:cs="Arial" w:eastAsia="Arial" w:hAnsi="Arial"/>
                <w:sz w:val="15"/>
                <w:szCs w:val="15"/>
                <w:b w:val="1"/>
                <w:bCs w:val="1"/>
                <w:color w:val="auto"/>
                <w:w w:val="92"/>
              </w:rPr>
              <w:t>Fair Value Measurements Using Inputs Considered as:</w:t>
            </w:r>
          </w:p>
        </w:tc>
        <w:tc>
          <w:tcPr>
            <w:tcW w:w="0" w:type="dxa"/>
            <w:vAlign w:val="bottom"/>
          </w:tcPr>
          <w:p>
            <w:pPr>
              <w:spacing w:after="0"/>
              <w:rPr>
                <w:sz w:val="1"/>
                <w:szCs w:val="1"/>
                <w:color w:val="auto"/>
              </w:rPr>
            </w:pPr>
          </w:p>
        </w:tc>
      </w:tr>
      <w:tr>
        <w:trPr>
          <w:trHeight w:val="200"/>
        </w:trPr>
        <w:tc>
          <w:tcPr>
            <w:tcW w:w="556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320" w:type="dxa"/>
            <w:vAlign w:val="bottom"/>
          </w:tcPr>
          <w:p>
            <w:pPr>
              <w:spacing w:after="0"/>
              <w:rPr>
                <w:sz w:val="17"/>
                <w:szCs w:val="17"/>
                <w:color w:val="auto"/>
              </w:rPr>
            </w:pPr>
          </w:p>
        </w:tc>
        <w:tc>
          <w:tcPr>
            <w:tcW w:w="1360" w:type="dxa"/>
            <w:vAlign w:val="bottom"/>
          </w:tcPr>
          <w:p>
            <w:pPr>
              <w:jc w:val="right"/>
              <w:ind w:right="503"/>
              <w:spacing w:after="0"/>
              <w:rPr>
                <w:sz w:val="20"/>
                <w:szCs w:val="20"/>
                <w:color w:val="auto"/>
              </w:rPr>
            </w:pPr>
            <w:r>
              <w:rPr>
                <w:rFonts w:ascii="Arial" w:cs="Arial" w:eastAsia="Arial" w:hAnsi="Arial"/>
                <w:sz w:val="15"/>
                <w:szCs w:val="15"/>
                <w:b w:val="1"/>
                <w:bCs w:val="1"/>
                <w:color w:val="auto"/>
              </w:rPr>
              <w:t>31, 2021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5"/>
                <w:szCs w:val="15"/>
                <w:b w:val="1"/>
                <w:bCs w:val="1"/>
                <w:color w:val="auto"/>
              </w:rPr>
              <w:t>Level 1</w:t>
            </w:r>
          </w:p>
        </w:tc>
        <w:tc>
          <w:tcPr>
            <w:tcW w:w="260" w:type="dxa"/>
            <w:vAlign w:val="bottom"/>
          </w:tcPr>
          <w:p>
            <w:pPr>
              <w:spacing w:after="0"/>
              <w:rPr>
                <w:sz w:val="17"/>
                <w:szCs w:val="17"/>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4"/>
              </w:rPr>
              <w:t>Level 2</w:t>
            </w:r>
          </w:p>
        </w:tc>
        <w:tc>
          <w:tcPr>
            <w:tcW w:w="240" w:type="dxa"/>
            <w:vAlign w:val="bottom"/>
          </w:tcPr>
          <w:p>
            <w:pPr>
              <w:spacing w:after="0"/>
              <w:rPr>
                <w:sz w:val="17"/>
                <w:szCs w:val="17"/>
                <w:color w:val="auto"/>
              </w:rPr>
            </w:pPr>
          </w:p>
        </w:tc>
        <w:tc>
          <w:tcPr>
            <w:tcW w:w="1000" w:type="dxa"/>
            <w:vAlign w:val="bottom"/>
          </w:tcPr>
          <w:p>
            <w:pPr>
              <w:jc w:val="right"/>
              <w:ind w:right="3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76"/>
        </w:trPr>
        <w:tc>
          <w:tcPr>
            <w:tcW w:w="5560" w:type="dxa"/>
            <w:vAlign w:val="bottom"/>
            <w:vMerge w:val="continue"/>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560" w:type="dxa"/>
            <w:vAlign w:val="bottom"/>
            <w:shd w:val="clear" w:color="auto" w:fill="CCEEFF"/>
          </w:tcPr>
          <w:p>
            <w:pPr>
              <w:ind w:left="120"/>
              <w:spacing w:after="0" w:line="151" w:lineRule="exact"/>
              <w:rPr>
                <w:sz w:val="20"/>
                <w:szCs w:val="20"/>
                <w:color w:val="auto"/>
              </w:rPr>
            </w:pPr>
            <w:r>
              <w:rPr>
                <w:rFonts w:ascii="Arial" w:cs="Arial" w:eastAsia="Arial" w:hAnsi="Arial"/>
                <w:sz w:val="15"/>
                <w:szCs w:val="15"/>
                <w:color w:val="auto"/>
                <w:w w:val="97"/>
              </w:rPr>
              <w:t>Derivative assets - designated as cash flow hedges (foreign currency exchange rate</w:t>
            </w:r>
          </w:p>
        </w:tc>
        <w:tc>
          <w:tcPr>
            <w:tcW w:w="32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3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1,379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6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1,379</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“FX”)</w:t>
            </w:r>
          </w:p>
        </w:tc>
        <w:tc>
          <w:tcPr>
            <w:tcW w:w="32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ind w:left="120"/>
              <w:spacing w:after="0"/>
              <w:rPr>
                <w:sz w:val="20"/>
                <w:szCs w:val="20"/>
                <w:color w:val="auto"/>
              </w:rPr>
            </w:pPr>
            <w:r>
              <w:rPr>
                <w:rFonts w:ascii="Arial" w:cs="Arial" w:eastAsia="Arial" w:hAnsi="Arial"/>
                <w:sz w:val="15"/>
                <w:szCs w:val="15"/>
                <w:color w:val="auto"/>
              </w:rPr>
              <w:t>Derivative assets - freestanding instruments (FX)</w:t>
            </w:r>
          </w:p>
        </w:tc>
        <w:tc>
          <w:tcPr>
            <w:tcW w:w="3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863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Derivative assets - capped call derivatives</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84,852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84,852</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Convertible notes receivable</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2,758</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89,852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87,610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designated as cash flow hedges (FX)</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724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724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freestanding instruments (interest rate swaps)</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freestanding instruments (FX)</w:t>
            </w:r>
          </w:p>
        </w:tc>
        <w:tc>
          <w:tcPr>
            <w:tcW w:w="3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705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embedded exchange feature</w:t>
            </w: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148,091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148,091</w:t>
            </w:r>
          </w:p>
        </w:tc>
        <w:tc>
          <w:tcPr>
            <w:tcW w:w="0" w:type="dxa"/>
            <w:vAlign w:val="bottom"/>
          </w:tcPr>
          <w:p>
            <w:pPr>
              <w:spacing w:after="0"/>
              <w:rPr>
                <w:sz w:val="1"/>
                <w:szCs w:val="1"/>
                <w:color w:val="auto"/>
              </w:rPr>
            </w:pPr>
          </w:p>
        </w:tc>
      </w:tr>
      <w:tr>
        <w:trPr>
          <w:trHeight w:val="196"/>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other</w:t>
            </w:r>
          </w:p>
        </w:tc>
        <w:tc>
          <w:tcPr>
            <w:tcW w:w="32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1,123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1,123</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Contingent consideration arrangements</w:t>
            </w:r>
          </w:p>
        </w:tc>
        <w:tc>
          <w:tcPr>
            <w:tcW w:w="3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99,271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99,271</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249,950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1,465</w:t>
            </w:r>
          </w:p>
        </w:tc>
        <w:tc>
          <w:tcPr>
            <w:tcW w:w="100" w:type="dxa"/>
            <w:vAlign w:val="bottom"/>
          </w:tcPr>
          <w:p>
            <w:pPr>
              <w:spacing w:after="0"/>
              <w:rPr>
                <w:sz w:val="16"/>
                <w:szCs w:val="16"/>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248,485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Fair Value as of</w:t>
            </w:r>
          </w:p>
        </w:tc>
        <w:tc>
          <w:tcPr>
            <w:tcW w:w="1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7"/>
          </w:tcPr>
          <w:p>
            <w:pPr>
              <w:jc w:val="center"/>
              <w:ind w:right="63"/>
              <w:spacing w:after="0"/>
              <w:rPr>
                <w:sz w:val="20"/>
                <w:szCs w:val="20"/>
                <w:color w:val="auto"/>
              </w:rPr>
            </w:pPr>
            <w:r>
              <w:rPr>
                <w:rFonts w:ascii="Arial" w:cs="Arial" w:eastAsia="Arial" w:hAnsi="Arial"/>
                <w:sz w:val="15"/>
                <w:szCs w:val="15"/>
                <w:b w:val="1"/>
                <w:bCs w:val="1"/>
                <w:color w:val="auto"/>
                <w:w w:val="92"/>
              </w:rPr>
              <w:t>Fair Value Measurements Using Inputs Considered as:</w:t>
            </w:r>
          </w:p>
        </w:tc>
        <w:tc>
          <w:tcPr>
            <w:tcW w:w="0" w:type="dxa"/>
            <w:vAlign w:val="bottom"/>
          </w:tcPr>
          <w:p>
            <w:pPr>
              <w:spacing w:after="0"/>
              <w:rPr>
                <w:sz w:val="1"/>
                <w:szCs w:val="1"/>
                <w:color w:val="auto"/>
              </w:rPr>
            </w:pPr>
          </w:p>
        </w:tc>
      </w:tr>
      <w:tr>
        <w:trPr>
          <w:trHeight w:val="200"/>
        </w:trPr>
        <w:tc>
          <w:tcPr>
            <w:tcW w:w="556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December 31, 2020</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5"/>
                <w:szCs w:val="15"/>
                <w:b w:val="1"/>
                <w:bCs w:val="1"/>
                <w:color w:val="auto"/>
              </w:rPr>
              <w:t>Level 1</w:t>
            </w: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Level 2</w:t>
            </w:r>
          </w:p>
        </w:tc>
        <w:tc>
          <w:tcPr>
            <w:tcW w:w="240" w:type="dxa"/>
            <w:vAlign w:val="bottom"/>
          </w:tcPr>
          <w:p>
            <w:pPr>
              <w:spacing w:after="0"/>
              <w:rPr>
                <w:sz w:val="17"/>
                <w:szCs w:val="17"/>
                <w:color w:val="auto"/>
              </w:rPr>
            </w:pPr>
          </w:p>
        </w:tc>
        <w:tc>
          <w:tcPr>
            <w:tcW w:w="1000" w:type="dxa"/>
            <w:vAlign w:val="bottom"/>
          </w:tcPr>
          <w:p>
            <w:pPr>
              <w:jc w:val="right"/>
              <w:ind w:right="3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76"/>
        </w:trPr>
        <w:tc>
          <w:tcPr>
            <w:tcW w:w="5560" w:type="dxa"/>
            <w:vAlign w:val="bottom"/>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assets - designated as cash flow hedges (FX)</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560" w:type="dxa"/>
            <w:vAlign w:val="bottom"/>
          </w:tcPr>
          <w:p>
            <w:pPr>
              <w:ind w:left="120"/>
              <w:spacing w:after="0"/>
              <w:rPr>
                <w:sz w:val="20"/>
                <w:szCs w:val="20"/>
                <w:color w:val="auto"/>
              </w:rPr>
            </w:pPr>
            <w:r>
              <w:rPr>
                <w:rFonts w:ascii="Arial" w:cs="Arial" w:eastAsia="Arial" w:hAnsi="Arial"/>
                <w:sz w:val="15"/>
                <w:szCs w:val="15"/>
                <w:color w:val="auto"/>
              </w:rPr>
              <w:t>Derivative assets - freestanding instruments (FX)</w:t>
            </w:r>
          </w:p>
        </w:tc>
        <w:tc>
          <w:tcPr>
            <w:tcW w:w="2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assets - capped call derivatives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72,302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72,302</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Convertible notes receivable</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2,775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2,775</w:t>
            </w: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78,025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75,077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designated as cash flow hedges (FX)</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freestanding instruments (interest rate swaps)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freestanding instruments (FX)</w:t>
            </w:r>
          </w:p>
        </w:tc>
        <w:tc>
          <w:tcPr>
            <w:tcW w:w="2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4,073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embedded exchange feature</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121,756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121,756</w:t>
            </w:r>
          </w:p>
        </w:tc>
        <w:tc>
          <w:tcPr>
            <w:tcW w:w="0" w:type="dxa"/>
            <w:vAlign w:val="bottom"/>
          </w:tcPr>
          <w:p>
            <w:pPr>
              <w:spacing w:after="0"/>
              <w:rPr>
                <w:sz w:val="1"/>
                <w:szCs w:val="1"/>
                <w:color w:val="auto"/>
              </w:rPr>
            </w:pPr>
          </w:p>
        </w:tc>
      </w:tr>
      <w:tr>
        <w:trPr>
          <w:trHeight w:val="196"/>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other</w:t>
            </w:r>
          </w:p>
        </w:tc>
        <w:tc>
          <w:tcPr>
            <w:tcW w:w="2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4,290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4,290</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Contingent consideration arrangements</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103,818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103,818</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3"/>
              <w:spacing w:after="0"/>
              <w:rPr>
                <w:sz w:val="20"/>
                <w:szCs w:val="20"/>
                <w:color w:val="auto"/>
              </w:rPr>
            </w:pPr>
            <w:r>
              <w:rPr>
                <w:rFonts w:ascii="Arial" w:cs="Arial" w:eastAsia="Arial" w:hAnsi="Arial"/>
                <w:sz w:val="15"/>
                <w:szCs w:val="15"/>
                <w:color w:val="auto"/>
              </w:rPr>
              <w:t>234,025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4,161</w:t>
            </w:r>
          </w:p>
        </w:tc>
        <w:tc>
          <w:tcPr>
            <w:tcW w:w="100" w:type="dxa"/>
            <w:vAlign w:val="bottom"/>
          </w:tcPr>
          <w:p>
            <w:pPr>
              <w:spacing w:after="0"/>
              <w:rPr>
                <w:sz w:val="16"/>
                <w:szCs w:val="16"/>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229,864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2"/>
        </w:trPr>
        <w:tc>
          <w:tcPr>
            <w:tcW w:w="55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13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5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3" w:name="page14"/>
    <w:bookmarkEnd w:id="13"/>
    <w:p>
      <w:pPr>
        <w:ind w:right="260" w:firstLine="139"/>
        <w:spacing w:after="0" w:line="277" w:lineRule="auto"/>
        <w:rPr>
          <w:sz w:val="20"/>
          <w:szCs w:val="20"/>
          <w:color w:val="auto"/>
        </w:rPr>
      </w:pPr>
      <w:r>
        <w:rPr>
          <w:rFonts w:ascii="Arial" w:cs="Arial" w:eastAsia="Arial" w:hAnsi="Arial"/>
          <w:sz w:val="15"/>
          <w:szCs w:val="15"/>
          <w:color w:val="auto"/>
        </w:rPr>
        <w:t>The following table provides a reconciliation of the beginning and ending balances of our recurring fair value measurements, using significant unobservable inputs (Level 3) (in thousands):</w:t>
      </w:r>
    </w:p>
    <w:tbl>
      <w:tblPr>
        <w:tblLayout w:type="fixed"/>
        <w:tblInd w:w="0" w:type="dxa"/>
        <w:tblCellMar>
          <w:top w:w="0" w:type="dxa"/>
          <w:left w:w="0" w:type="dxa"/>
          <w:bottom w:w="0" w:type="dxa"/>
          <w:right w:w="0" w:type="dxa"/>
        </w:tblCellMar>
      </w:tblPr>
      <w:tr>
        <w:trPr>
          <w:trHeight w:val="156"/>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line="156" w:lineRule="exact"/>
              <w:rPr>
                <w:sz w:val="20"/>
                <w:szCs w:val="20"/>
                <w:color w:val="auto"/>
              </w:rPr>
            </w:pPr>
            <w:r>
              <w:rPr>
                <w:rFonts w:ascii="Arial" w:cs="Arial" w:eastAsia="Arial" w:hAnsi="Arial"/>
                <w:sz w:val="15"/>
                <w:szCs w:val="15"/>
                <w:b w:val="1"/>
                <w:bCs w:val="1"/>
                <w:color w:val="auto"/>
                <w:w w:val="93"/>
              </w:rPr>
              <w:t>Embedded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9"/>
              </w:rPr>
              <w:t>Other</w:t>
            </w:r>
          </w:p>
        </w:tc>
        <w:tc>
          <w:tcPr>
            <w:tcW w:w="180" w:type="dxa"/>
            <w:vAlign w:val="bottom"/>
          </w:tcPr>
          <w:p>
            <w:pPr>
              <w:spacing w:after="0"/>
              <w:rPr>
                <w:sz w:val="13"/>
                <w:szCs w:val="13"/>
                <w:color w:val="auto"/>
              </w:rPr>
            </w:pPr>
          </w:p>
        </w:tc>
        <w:tc>
          <w:tcPr>
            <w:tcW w:w="1320" w:type="dxa"/>
            <w:vAlign w:val="bottom"/>
          </w:tcPr>
          <w:p>
            <w:pPr>
              <w:jc w:val="center"/>
              <w:ind w:right="103"/>
              <w:spacing w:after="0" w:line="156" w:lineRule="exact"/>
              <w:rPr>
                <w:sz w:val="20"/>
                <w:szCs w:val="20"/>
                <w:color w:val="auto"/>
              </w:rPr>
            </w:pPr>
            <w:r>
              <w:rPr>
                <w:rFonts w:ascii="Arial" w:cs="Arial" w:eastAsia="Arial" w:hAnsi="Arial"/>
                <w:sz w:val="15"/>
                <w:szCs w:val="15"/>
                <w:b w:val="1"/>
                <w:bCs w:val="1"/>
                <w:color w:val="auto"/>
                <w:w w:val="93"/>
              </w:rPr>
              <w:t>Contingent</w:t>
            </w:r>
          </w:p>
        </w:tc>
        <w:tc>
          <w:tcPr>
            <w:tcW w:w="0" w:type="dxa"/>
            <w:vAlign w:val="bottom"/>
          </w:tcPr>
          <w:p>
            <w:pPr>
              <w:spacing w:after="0"/>
              <w:rPr>
                <w:sz w:val="1"/>
                <w:szCs w:val="1"/>
                <w:color w:val="auto"/>
              </w:rPr>
            </w:pPr>
          </w:p>
        </w:tc>
      </w:tr>
      <w:tr>
        <w:trPr>
          <w:trHeight w:val="150"/>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Capped Call</w:t>
            </w:r>
          </w:p>
        </w:tc>
        <w:tc>
          <w:tcPr>
            <w:tcW w:w="136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Convertible Notes</w:t>
            </w:r>
          </w:p>
        </w:tc>
        <w:tc>
          <w:tcPr>
            <w:tcW w:w="1320" w:type="dxa"/>
            <w:vAlign w:val="bottom"/>
            <w:gridSpan w:val="3"/>
          </w:tcPr>
          <w:p>
            <w:pPr>
              <w:jc w:val="center"/>
              <w:ind w:right="80"/>
              <w:spacing w:after="0" w:line="151" w:lineRule="exact"/>
              <w:rPr>
                <w:sz w:val="20"/>
                <w:szCs w:val="20"/>
                <w:color w:val="auto"/>
              </w:rPr>
            </w:pPr>
            <w:r>
              <w:rPr>
                <w:rFonts w:ascii="Arial" w:cs="Arial" w:eastAsia="Arial" w:hAnsi="Arial"/>
                <w:sz w:val="15"/>
                <w:szCs w:val="15"/>
                <w:b w:val="1"/>
                <w:bCs w:val="1"/>
                <w:color w:val="auto"/>
                <w:w w:val="92"/>
              </w:rPr>
              <w:t>Exchange Feature</w:t>
            </w: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03"/>
              <w:spacing w:after="0" w:line="151" w:lineRule="exact"/>
              <w:rPr>
                <w:sz w:val="20"/>
                <w:szCs w:val="20"/>
                <w:color w:val="auto"/>
              </w:rPr>
            </w:pPr>
            <w:r>
              <w:rPr>
                <w:rFonts w:ascii="Arial" w:cs="Arial" w:eastAsia="Arial" w:hAnsi="Arial"/>
                <w:sz w:val="15"/>
                <w:szCs w:val="15"/>
                <w:b w:val="1"/>
                <w:bCs w:val="1"/>
                <w:color w:val="auto"/>
                <w:w w:val="93"/>
              </w:rPr>
              <w:t>Consideration</w:t>
            </w:r>
          </w:p>
        </w:tc>
        <w:tc>
          <w:tcPr>
            <w:tcW w:w="0" w:type="dxa"/>
            <w:vAlign w:val="bottom"/>
          </w:tcPr>
          <w:p>
            <w:pPr>
              <w:spacing w:after="0"/>
              <w:rPr>
                <w:sz w:val="1"/>
                <w:szCs w:val="1"/>
                <w:color w:val="auto"/>
              </w:rPr>
            </w:pPr>
          </w:p>
        </w:tc>
      </w:tr>
      <w:tr>
        <w:trPr>
          <w:trHeight w:val="150"/>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line="151" w:lineRule="exact"/>
              <w:rPr>
                <w:sz w:val="20"/>
                <w:szCs w:val="20"/>
                <w:color w:val="auto"/>
              </w:rPr>
            </w:pPr>
            <w:r>
              <w:rPr>
                <w:rFonts w:ascii="Arial" w:cs="Arial" w:eastAsia="Arial" w:hAnsi="Arial"/>
                <w:sz w:val="15"/>
                <w:szCs w:val="15"/>
                <w:b w:val="1"/>
                <w:bCs w:val="1"/>
                <w:color w:val="auto"/>
                <w:w w:val="94"/>
              </w:rPr>
              <w:t>Derivative</w:t>
            </w: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4"/>
              </w:rPr>
              <w:t>Derivative</w:t>
            </w:r>
          </w:p>
        </w:tc>
        <w:tc>
          <w:tcPr>
            <w:tcW w:w="180" w:type="dxa"/>
            <w:vAlign w:val="bottom"/>
          </w:tcPr>
          <w:p>
            <w:pPr>
              <w:spacing w:after="0"/>
              <w:rPr>
                <w:sz w:val="13"/>
                <w:szCs w:val="13"/>
                <w:color w:val="auto"/>
              </w:rPr>
            </w:pPr>
          </w:p>
        </w:tc>
        <w:tc>
          <w:tcPr>
            <w:tcW w:w="1320" w:type="dxa"/>
            <w:vAlign w:val="bottom"/>
          </w:tcPr>
          <w:p>
            <w:pPr>
              <w:jc w:val="center"/>
              <w:ind w:right="103"/>
              <w:spacing w:after="0" w:line="151" w:lineRule="exact"/>
              <w:rPr>
                <w:sz w:val="20"/>
                <w:szCs w:val="20"/>
                <w:color w:val="auto"/>
              </w:rPr>
            </w:pPr>
            <w:r>
              <w:rPr>
                <w:rFonts w:ascii="Arial" w:cs="Arial" w:eastAsia="Arial" w:hAnsi="Arial"/>
                <w:sz w:val="15"/>
                <w:szCs w:val="15"/>
                <w:b w:val="1"/>
                <w:bCs w:val="1"/>
                <w:color w:val="auto"/>
              </w:rPr>
              <w:t>Liability</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5"/>
                <w:szCs w:val="15"/>
                <w:b w:val="1"/>
                <w:bCs w:val="1"/>
                <w:color w:val="auto"/>
              </w:rPr>
              <w:t>Derivative Asset</w:t>
            </w:r>
          </w:p>
        </w:tc>
        <w:tc>
          <w:tcPr>
            <w:tcW w:w="18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5"/>
                <w:szCs w:val="15"/>
                <w:b w:val="1"/>
                <w:bCs w:val="1"/>
                <w:color w:val="auto"/>
              </w:rPr>
              <w:t>Receivable</w:t>
            </w:r>
          </w:p>
        </w:tc>
        <w:tc>
          <w:tcPr>
            <w:tcW w:w="18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Liability</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Liabilities</w:t>
            </w:r>
          </w:p>
        </w:tc>
        <w:tc>
          <w:tcPr>
            <w:tcW w:w="18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Arial" w:cs="Arial" w:eastAsia="Arial" w:hAnsi="Arial"/>
                <w:sz w:val="15"/>
                <w:szCs w:val="15"/>
                <w:b w:val="1"/>
                <w:bCs w:val="1"/>
                <w:color w:val="auto"/>
                <w:w w:val="92"/>
              </w:rPr>
              <w:t>Arrangements</w:t>
            </w:r>
          </w:p>
        </w:tc>
        <w:tc>
          <w:tcPr>
            <w:tcW w:w="0" w:type="dxa"/>
            <w:vAlign w:val="bottom"/>
          </w:tcPr>
          <w:p>
            <w:pPr>
              <w:spacing w:after="0"/>
              <w:rPr>
                <w:sz w:val="1"/>
                <w:szCs w:val="1"/>
                <w:color w:val="auto"/>
              </w:rPr>
            </w:pPr>
          </w:p>
        </w:tc>
      </w:tr>
      <w:tr>
        <w:trPr>
          <w:trHeight w:val="188"/>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As of December 31, 2020</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72,302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121,756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103,818</w:t>
            </w:r>
          </w:p>
        </w:tc>
        <w:tc>
          <w:tcPr>
            <w:tcW w:w="0" w:type="dxa"/>
            <w:vAlign w:val="bottom"/>
          </w:tcPr>
          <w:p>
            <w:pPr>
              <w:spacing w:after="0"/>
              <w:rPr>
                <w:sz w:val="1"/>
                <w:szCs w:val="1"/>
                <w:color w:val="auto"/>
              </w:rPr>
            </w:pPr>
          </w:p>
        </w:tc>
      </w:tr>
      <w:tr>
        <w:trPr>
          <w:trHeight w:val="197"/>
        </w:trPr>
        <w:tc>
          <w:tcPr>
            <w:tcW w:w="4620" w:type="dxa"/>
            <w:vAlign w:val="bottom"/>
          </w:tcPr>
          <w:p>
            <w:pPr>
              <w:spacing w:after="0" w:line="197" w:lineRule="exact"/>
              <w:rPr>
                <w:sz w:val="20"/>
                <w:szCs w:val="20"/>
                <w:color w:val="auto"/>
              </w:rPr>
            </w:pPr>
            <w:r>
              <w:rPr>
                <w:rFonts w:ascii="Arial" w:cs="Arial" w:eastAsia="Arial" w:hAnsi="Arial"/>
                <w:sz w:val="15"/>
                <w:szCs w:val="15"/>
                <w:color w:val="auto"/>
              </w:rPr>
              <w:t xml:space="preserve">Payments </w:t>
            </w:r>
            <w:r>
              <w:rPr>
                <w:rFonts w:ascii="Arial" w:cs="Arial" w:eastAsia="Arial" w:hAnsi="Arial"/>
                <w:sz w:val="20"/>
                <w:szCs w:val="20"/>
                <w:color w:val="auto"/>
                <w:vertAlign w:val="superscript"/>
              </w:rPr>
              <w:t>(1)</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Changes in fair value</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12,550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26,335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Arial" w:cs="Arial" w:eastAsia="Arial" w:hAnsi="Arial"/>
                <w:sz w:val="15"/>
                <w:szCs w:val="15"/>
                <w:color w:val="auto"/>
              </w:rPr>
              <w:t>Total at March 31, 2021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84,852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148,091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99,271</w:t>
            </w: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Less current portion at March 31, 2021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9,424</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Arial" w:cs="Arial" w:eastAsia="Arial" w:hAnsi="Arial"/>
                <w:sz w:val="15"/>
                <w:szCs w:val="15"/>
                <w:color w:val="auto"/>
              </w:rPr>
              <w:t>Long-term portion at March 31, 2021</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84,852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148,091</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89,847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540" w:right="1040" w:hanging="270"/>
        <w:spacing w:after="0" w:line="280" w:lineRule="auto"/>
        <w:tabs>
          <w:tab w:leader="none" w:pos="533" w:val="left"/>
        </w:tabs>
        <w:numPr>
          <w:ilvl w:val="0"/>
          <w:numId w:val="7"/>
        </w:numPr>
        <w:rPr>
          <w:rFonts w:ascii="Arial" w:cs="Arial" w:eastAsia="Arial" w:hAnsi="Arial"/>
          <w:sz w:val="12"/>
          <w:szCs w:val="12"/>
          <w:color w:val="auto"/>
        </w:rPr>
      </w:pPr>
      <w:r>
        <w:rPr>
          <w:rFonts w:ascii="Arial" w:cs="Arial" w:eastAsia="Arial" w:hAnsi="Arial"/>
          <w:sz w:val="14"/>
          <w:szCs w:val="14"/>
          <w:color w:val="auto"/>
        </w:rPr>
        <w:t>During the three months ended March 31, 2021, we paid $5.0 million under the contingent consideration arrangement for the acquisition of Miami Instruments, LLC (“Miami Instruments”).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Embedded Exchange Feature and Capped Call Derivatives</w:t>
      </w:r>
    </w:p>
    <w:p>
      <w:pPr>
        <w:spacing w:after="0" w:line="98" w:lineRule="exact"/>
        <w:rPr>
          <w:sz w:val="20"/>
          <w:szCs w:val="20"/>
          <w:color w:val="auto"/>
        </w:rPr>
      </w:pPr>
    </w:p>
    <w:p>
      <w:pPr>
        <w:ind w:right="120" w:firstLine="139"/>
        <w:spacing w:after="0" w:line="265" w:lineRule="auto"/>
        <w:rPr>
          <w:sz w:val="20"/>
          <w:szCs w:val="20"/>
          <w:color w:val="auto"/>
        </w:rPr>
      </w:pPr>
      <w:r>
        <w:rPr>
          <w:rFonts w:ascii="Arial" w:cs="Arial" w:eastAsia="Arial" w:hAnsi="Arial"/>
          <w:sz w:val="15"/>
          <w:szCs w:val="15"/>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6.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65" w:lineRule="exact"/>
        <w:rPr>
          <w:sz w:val="20"/>
          <w:szCs w:val="20"/>
          <w:color w:val="auto"/>
        </w:rPr>
      </w:pPr>
    </w:p>
    <w:p>
      <w:pPr>
        <w:ind w:right="200" w:firstLine="139"/>
        <w:spacing w:after="0" w:line="286" w:lineRule="auto"/>
        <w:rPr>
          <w:sz w:val="20"/>
          <w:szCs w:val="20"/>
          <w:color w:val="auto"/>
        </w:rPr>
      </w:pPr>
      <w:r>
        <w:rPr>
          <w:rFonts w:ascii="Arial" w:cs="Arial" w:eastAsia="Arial" w:hAnsi="Arial"/>
          <w:sz w:val="14"/>
          <w:szCs w:val="14"/>
          <w:color w:val="auto"/>
        </w:rPr>
        <w:t>The embedded exchange feature and capped call derivatives are classified as Level 3 as the Company uses historical volatility and implied volatility from options traded to determine expected stock price volatility which is an unobservable input that is significant to the valuation. In general, an increase in our stock price or stock price volatility would increase the fair value of the embedded exchange feature and capped call derivatives which would result in an increase in expense. As time to the expiration of the derivatives decreases with passage of time, the fair value of the derivatives would decrease. The future impact on net income depends on how significant inputs such as stock price, stock price volatility and time to the expiration of the derivatives change in relation to other inputs. Changes in the fair value of the embedded exchange feature derivative and capped call derivatives are recognized in foreign exchange and other losses in the condensed consolidated statements of income (loss).</w:t>
      </w:r>
    </w:p>
    <w:p>
      <w:pPr>
        <w:spacing w:after="0" w:line="52" w:lineRule="exact"/>
        <w:rPr>
          <w:sz w:val="20"/>
          <w:szCs w:val="20"/>
          <w:color w:val="auto"/>
        </w:rPr>
      </w:pPr>
    </w:p>
    <w:p>
      <w:pPr>
        <w:ind w:firstLine="139"/>
        <w:spacing w:after="0" w:line="268" w:lineRule="auto"/>
        <w:rPr>
          <w:sz w:val="20"/>
          <w:szCs w:val="20"/>
          <w:color w:val="auto"/>
        </w:rPr>
      </w:pPr>
      <w:r>
        <w:rPr>
          <w:rFonts w:ascii="Arial" w:cs="Arial" w:eastAsia="Arial" w:hAnsi="Arial"/>
          <w:sz w:val="15"/>
          <w:szCs w:val="15"/>
          <w:color w:val="auto"/>
        </w:rPr>
        <w:t>The stock price volatility as of March 31, 2021 was 34%. As of March 31, 2021, a 10% lower volatility, holding other inputs constant, would result in approximate fair value for the embedded exchange feature derivative of $131.7 million and a 10% higher volatility, holding other inputs constant, would result in approximate fair value of $165.6 million. As of March 31, 2021, a 10% lower volatility, holding other inputs constant would result in approximate fair value for the capped call derivatives of $88.9 million and a 10% higher volatility, holding other inputs constant, would result in approximate fair value of $78.5 million.</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Contingent Consideration Arrangements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00" w:type="dxa"/>
            <w:vAlign w:val="bottom"/>
            <w:gridSpan w:val="4"/>
          </w:tcPr>
          <w:p>
            <w:pPr>
              <w:ind w:left="140"/>
              <w:spacing w:after="0"/>
              <w:rPr>
                <w:sz w:val="20"/>
                <w:szCs w:val="20"/>
                <w:color w:val="auto"/>
              </w:rPr>
            </w:pPr>
            <w:r>
              <w:rPr>
                <w:rFonts w:ascii="Arial" w:cs="Arial" w:eastAsia="Arial" w:hAnsi="Arial"/>
                <w:sz w:val="15"/>
                <w:szCs w:val="15"/>
                <w:color w:val="auto"/>
              </w:rPr>
              <w:t>The following table provides the fair value of our Level 3 contingent consideration arrangements by acquisition (in thousands):</w:t>
            </w: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0"/>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 2021</w:t>
            </w:r>
          </w:p>
        </w:tc>
        <w:tc>
          <w:tcPr>
            <w:tcW w:w="220" w:type="dxa"/>
            <w:vAlign w:val="bottom"/>
          </w:tcPr>
          <w:p>
            <w:pPr>
              <w:spacing w:after="0"/>
              <w:rPr>
                <w:sz w:val="19"/>
                <w:szCs w:val="19"/>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2020</w:t>
            </w:r>
          </w:p>
        </w:tc>
      </w:tr>
      <w:tr>
        <w:trPr>
          <w:trHeight w:val="188"/>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ImThera Medical, Inc. (“ImThera”)</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89,426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89,436</w:t>
            </w:r>
          </w:p>
        </w:tc>
      </w:tr>
      <w:tr>
        <w:trPr>
          <w:trHeight w:val="196"/>
        </w:trPr>
        <w:tc>
          <w:tcPr>
            <w:tcW w:w="7240" w:type="dxa"/>
            <w:vAlign w:val="bottom"/>
          </w:tcPr>
          <w:p>
            <w:pPr>
              <w:spacing w:after="0"/>
              <w:rPr>
                <w:sz w:val="20"/>
                <w:szCs w:val="20"/>
                <w:color w:val="auto"/>
              </w:rPr>
            </w:pPr>
            <w:r>
              <w:rPr>
                <w:rFonts w:ascii="Arial" w:cs="Arial" w:eastAsia="Arial" w:hAnsi="Arial"/>
                <w:sz w:val="15"/>
                <w:szCs w:val="15"/>
                <w:color w:val="auto"/>
              </w:rPr>
              <w:t>CardiacAssist, Inc., doing business as TandemLife (“TandemLife”)</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8,942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8,809</w:t>
            </w:r>
          </w:p>
        </w:tc>
      </w:tr>
      <w:tr>
        <w:trPr>
          <w:trHeight w:val="197"/>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Miami Instruments</w:t>
            </w: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5,573</w:t>
            </w:r>
          </w:p>
        </w:tc>
      </w:tr>
      <w:tr>
        <w:trPr>
          <w:trHeight w:val="188"/>
        </w:trPr>
        <w:tc>
          <w:tcPr>
            <w:tcW w:w="724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99,271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103,818</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right="160" w:firstLine="139"/>
        <w:spacing w:after="0" w:line="273" w:lineRule="auto"/>
        <w:rPr>
          <w:sz w:val="20"/>
          <w:szCs w:val="20"/>
          <w:color w:val="auto"/>
        </w:rPr>
      </w:pPr>
      <w:r>
        <w:rPr>
          <w:rFonts w:ascii="Arial" w:cs="Arial" w:eastAsia="Arial" w:hAnsi="Arial"/>
          <w:sz w:val="15"/>
          <w:szCs w:val="15"/>
          <w:color w:val="auto"/>
        </w:rPr>
        <w:t>The ImThera business combination involved contingent consideration arrangements composed of potential cash payments upon the achievement of a certain regulatory milestone and a sales-based earnout associated with sales of products. The sales-based earnout is valued using projected sales from our internal strategic plan. Both arrangements are Level 3 fair value measurements and include the following significant unobservable inputs as of March 31,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36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ImThera Acquisition</w:t>
            </w:r>
          </w:p>
        </w:tc>
        <w:tc>
          <w:tcPr>
            <w:tcW w:w="120" w:type="dxa"/>
            <w:vAlign w:val="bottom"/>
            <w:tcBorders>
              <w:bottom w:val="single" w:sz="8" w:color="CCEEFF"/>
            </w:tcBorders>
          </w:tcPr>
          <w:p>
            <w:pPr>
              <w:spacing w:after="0"/>
              <w:rPr>
                <w:sz w:val="17"/>
                <w:szCs w:val="17"/>
                <w:color w:val="auto"/>
              </w:rPr>
            </w:pPr>
          </w:p>
        </w:tc>
        <w:tc>
          <w:tcPr>
            <w:tcW w:w="302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Valuation Technique</w:t>
            </w:r>
          </w:p>
        </w:tc>
        <w:tc>
          <w:tcPr>
            <w:tcW w:w="10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tcPr>
          <w:p>
            <w:pPr>
              <w:ind w:left="78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Inputs</w:t>
            </w:r>
          </w:p>
        </w:tc>
        <w:tc>
          <w:tcPr>
            <w:tcW w:w="600" w:type="dxa"/>
            <w:vAlign w:val="bottom"/>
            <w:tcBorders>
              <w:bottom w:val="single" w:sz="8" w:color="auto"/>
            </w:tcBorders>
          </w:tcPr>
          <w:p>
            <w:pPr>
              <w:spacing w:after="0"/>
              <w:rPr>
                <w:sz w:val="17"/>
                <w:szCs w:val="17"/>
                <w:color w:val="auto"/>
              </w:rPr>
            </w:pPr>
          </w:p>
        </w:tc>
      </w:tr>
      <w:tr>
        <w:trPr>
          <w:trHeight w:val="188"/>
        </w:trPr>
        <w:tc>
          <w:tcPr>
            <w:tcW w:w="3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Regulatory milestone-based payment</w:t>
            </w: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Discounted cash flow</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 rate</w:t>
            </w: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6.7%</w:t>
            </w:r>
          </w:p>
        </w:tc>
        <w:tc>
          <w:tcPr>
            <w:tcW w:w="600" w:type="dxa"/>
            <w:vAlign w:val="bottom"/>
            <w:shd w:val="clear" w:color="auto" w:fill="CCEEFF"/>
          </w:tcPr>
          <w:p>
            <w:pPr>
              <w:spacing w:after="0"/>
              <w:rPr>
                <w:sz w:val="16"/>
                <w:szCs w:val="16"/>
                <w:color w:val="auto"/>
              </w:rPr>
            </w:pPr>
          </w:p>
        </w:tc>
      </w:tr>
      <w:tr>
        <w:trPr>
          <w:trHeight w:val="196"/>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2"/>
          </w:tcPr>
          <w:p>
            <w:pPr>
              <w:ind w:left="20"/>
              <w:spacing w:after="0"/>
              <w:rPr>
                <w:sz w:val="20"/>
                <w:szCs w:val="20"/>
                <w:color w:val="auto"/>
              </w:rPr>
            </w:pPr>
            <w:r>
              <w:rPr>
                <w:rFonts w:ascii="Arial" w:cs="Arial" w:eastAsia="Arial" w:hAnsi="Arial"/>
                <w:sz w:val="15"/>
                <w:szCs w:val="15"/>
                <w:color w:val="auto"/>
              </w:rPr>
              <w:t>Probability of payment</w:t>
            </w:r>
          </w:p>
        </w:tc>
        <w:tc>
          <w:tcPr>
            <w:tcW w:w="6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w w:val="93"/>
              </w:rPr>
              <w:t>85%</w:t>
            </w:r>
          </w:p>
        </w:tc>
        <w:tc>
          <w:tcPr>
            <w:tcW w:w="600" w:type="dxa"/>
            <w:vAlign w:val="bottom"/>
          </w:tcPr>
          <w:p>
            <w:pPr>
              <w:spacing w:after="0"/>
              <w:rPr>
                <w:sz w:val="17"/>
                <w:szCs w:val="17"/>
                <w:color w:val="auto"/>
              </w:rPr>
            </w:pPr>
          </w:p>
        </w:tc>
      </w:tr>
      <w:tr>
        <w:trPr>
          <w:trHeight w:val="197"/>
        </w:trPr>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Projected payment year</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2024</w:t>
            </w:r>
          </w:p>
        </w:tc>
        <w:tc>
          <w:tcPr>
            <w:tcW w:w="600" w:type="dxa"/>
            <w:vAlign w:val="bottom"/>
            <w:shd w:val="clear" w:color="auto" w:fill="CCEEFF"/>
          </w:tcPr>
          <w:p>
            <w:pPr>
              <w:spacing w:after="0"/>
              <w:rPr>
                <w:sz w:val="17"/>
                <w:szCs w:val="17"/>
                <w:color w:val="auto"/>
              </w:rPr>
            </w:pPr>
          </w:p>
        </w:tc>
      </w:tr>
      <w:tr>
        <w:trPr>
          <w:trHeight w:val="231"/>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97"/>
        </w:trPr>
        <w:tc>
          <w:tcPr>
            <w:tcW w:w="3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Sales-based earnout</w:t>
            </w: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Monte Carlo simulation</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Risk-adjusted discount rate</w:t>
            </w:r>
          </w:p>
        </w:tc>
        <w:tc>
          <w:tcPr>
            <w:tcW w:w="600" w:type="dxa"/>
            <w:vAlign w:val="bottom"/>
            <w:shd w:val="clear" w:color="auto" w:fill="CCEEFF"/>
          </w:tcPr>
          <w:p>
            <w:pPr>
              <w:jc w:val="center"/>
              <w:ind w:left="43"/>
              <w:spacing w:after="0"/>
              <w:rPr>
                <w:sz w:val="20"/>
                <w:szCs w:val="20"/>
                <w:color w:val="auto"/>
              </w:rPr>
            </w:pPr>
            <w:r>
              <w:rPr>
                <w:rFonts w:ascii="Arial" w:cs="Arial" w:eastAsia="Arial" w:hAnsi="Arial"/>
                <w:sz w:val="15"/>
                <w:szCs w:val="15"/>
                <w:color w:val="auto"/>
                <w:w w:val="93"/>
              </w:rPr>
              <w:t>12.0%</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center"/>
              <w:ind w:right="43"/>
              <w:spacing w:after="0"/>
              <w:rPr>
                <w:sz w:val="20"/>
                <w:szCs w:val="20"/>
                <w:color w:val="auto"/>
              </w:rPr>
            </w:pPr>
            <w:r>
              <w:rPr>
                <w:rFonts w:ascii="Arial" w:cs="Arial" w:eastAsia="Arial" w:hAnsi="Arial"/>
                <w:sz w:val="15"/>
                <w:szCs w:val="15"/>
                <w:color w:val="auto"/>
                <w:w w:val="93"/>
              </w:rPr>
              <w:t>12.7%</w:t>
            </w:r>
          </w:p>
        </w:tc>
      </w:tr>
      <w:tr>
        <w:trPr>
          <w:trHeight w:val="196"/>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2"/>
          </w:tcPr>
          <w:p>
            <w:pPr>
              <w:ind w:left="20"/>
              <w:spacing w:after="0"/>
              <w:rPr>
                <w:sz w:val="20"/>
                <w:szCs w:val="20"/>
                <w:color w:val="auto"/>
              </w:rPr>
            </w:pPr>
            <w:r>
              <w:rPr>
                <w:rFonts w:ascii="Arial" w:cs="Arial" w:eastAsia="Arial" w:hAnsi="Arial"/>
                <w:sz w:val="15"/>
                <w:szCs w:val="15"/>
                <w:color w:val="auto"/>
              </w:rPr>
              <w:t>Credit risk discount rate</w:t>
            </w:r>
          </w:p>
        </w:tc>
        <w:tc>
          <w:tcPr>
            <w:tcW w:w="600" w:type="dxa"/>
            <w:vAlign w:val="bottom"/>
          </w:tcPr>
          <w:p>
            <w:pPr>
              <w:jc w:val="center"/>
              <w:ind w:left="43"/>
              <w:spacing w:after="0"/>
              <w:rPr>
                <w:sz w:val="20"/>
                <w:szCs w:val="20"/>
                <w:color w:val="auto"/>
              </w:rPr>
            </w:pPr>
            <w:r>
              <w:rPr>
                <w:rFonts w:ascii="Arial" w:cs="Arial" w:eastAsia="Arial" w:hAnsi="Arial"/>
                <w:sz w:val="15"/>
                <w:szCs w:val="15"/>
                <w:color w:val="auto"/>
                <w:w w:val="93"/>
              </w:rPr>
              <w:t>7.0%</w:t>
            </w:r>
          </w:p>
        </w:tc>
        <w:tc>
          <w:tcPr>
            <w:tcW w:w="50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600" w:type="dxa"/>
            <w:vAlign w:val="bottom"/>
          </w:tcPr>
          <w:p>
            <w:pPr>
              <w:jc w:val="center"/>
              <w:ind w:right="43"/>
              <w:spacing w:after="0"/>
              <w:rPr>
                <w:sz w:val="20"/>
                <w:szCs w:val="20"/>
                <w:color w:val="auto"/>
              </w:rPr>
            </w:pPr>
            <w:r>
              <w:rPr>
                <w:rFonts w:ascii="Arial" w:cs="Arial" w:eastAsia="Arial" w:hAnsi="Arial"/>
                <w:sz w:val="15"/>
                <w:szCs w:val="15"/>
                <w:color w:val="auto"/>
                <w:w w:val="93"/>
              </w:rPr>
              <w:t>7.8%</w:t>
            </w:r>
          </w:p>
        </w:tc>
      </w:tr>
      <w:tr>
        <w:trPr>
          <w:trHeight w:val="197"/>
        </w:trPr>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 volatility</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32.5%</w:t>
            </w:r>
          </w:p>
        </w:tc>
        <w:tc>
          <w:tcPr>
            <w:tcW w:w="600" w:type="dxa"/>
            <w:vAlign w:val="bottom"/>
            <w:shd w:val="clear" w:color="auto" w:fill="CCEEFF"/>
          </w:tcPr>
          <w:p>
            <w:pPr>
              <w:spacing w:after="0"/>
              <w:rPr>
                <w:sz w:val="17"/>
                <w:szCs w:val="17"/>
                <w:color w:val="auto"/>
              </w:rPr>
            </w:pPr>
          </w:p>
        </w:tc>
      </w:tr>
      <w:tr>
        <w:trPr>
          <w:trHeight w:val="196"/>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2"/>
          </w:tcPr>
          <w:p>
            <w:pPr>
              <w:ind w:left="20"/>
              <w:spacing w:after="0"/>
              <w:rPr>
                <w:sz w:val="20"/>
                <w:szCs w:val="20"/>
                <w:color w:val="auto"/>
              </w:rPr>
            </w:pPr>
            <w:r>
              <w:rPr>
                <w:rFonts w:ascii="Arial" w:cs="Arial" w:eastAsia="Arial" w:hAnsi="Arial"/>
                <w:sz w:val="15"/>
                <w:szCs w:val="15"/>
                <w:color w:val="auto"/>
              </w:rPr>
              <w:t>Probability of payment</w:t>
            </w:r>
          </w:p>
        </w:tc>
        <w:tc>
          <w:tcPr>
            <w:tcW w:w="6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5"/>
                <w:szCs w:val="15"/>
                <w:color w:val="auto"/>
                <w:w w:val="93"/>
              </w:rPr>
              <w:t>85%</w:t>
            </w:r>
          </w:p>
        </w:tc>
        <w:tc>
          <w:tcPr>
            <w:tcW w:w="600" w:type="dxa"/>
            <w:vAlign w:val="bottom"/>
          </w:tcPr>
          <w:p>
            <w:pPr>
              <w:spacing w:after="0"/>
              <w:rPr>
                <w:sz w:val="17"/>
                <w:szCs w:val="17"/>
                <w:color w:val="auto"/>
              </w:rPr>
            </w:pPr>
          </w:p>
        </w:tc>
      </w:tr>
      <w:tr>
        <w:trPr>
          <w:trHeight w:val="197"/>
        </w:trPr>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Projected years of earnout</w:t>
            </w:r>
          </w:p>
        </w:tc>
        <w:tc>
          <w:tcPr>
            <w:tcW w:w="600" w:type="dxa"/>
            <w:vAlign w:val="bottom"/>
            <w:shd w:val="clear" w:color="auto" w:fill="CCEEFF"/>
          </w:tcPr>
          <w:p>
            <w:pPr>
              <w:jc w:val="center"/>
              <w:ind w:left="43"/>
              <w:spacing w:after="0"/>
              <w:rPr>
                <w:sz w:val="20"/>
                <w:szCs w:val="20"/>
                <w:color w:val="auto"/>
              </w:rPr>
            </w:pPr>
            <w:r>
              <w:rPr>
                <w:rFonts w:ascii="Arial" w:cs="Arial" w:eastAsia="Arial" w:hAnsi="Arial"/>
                <w:sz w:val="15"/>
                <w:szCs w:val="15"/>
                <w:color w:val="auto"/>
                <w:w w:val="95"/>
              </w:rPr>
              <w:t>2025</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center"/>
              <w:ind w:right="43"/>
              <w:spacing w:after="0"/>
              <w:rPr>
                <w:sz w:val="20"/>
                <w:szCs w:val="20"/>
                <w:color w:val="auto"/>
              </w:rPr>
            </w:pPr>
            <w:r>
              <w:rPr>
                <w:rFonts w:ascii="Arial" w:cs="Arial" w:eastAsia="Arial" w:hAnsi="Arial"/>
                <w:sz w:val="15"/>
                <w:szCs w:val="15"/>
                <w:color w:val="auto"/>
                <w:w w:val="95"/>
              </w:rPr>
              <w:t>2028</w:t>
            </w:r>
          </w:p>
        </w:tc>
      </w:tr>
    </w:tbl>
    <w:p>
      <w:pPr>
        <w:spacing w:after="0" w:line="198" w:lineRule="exact"/>
        <w:rPr>
          <w:sz w:val="20"/>
          <w:szCs w:val="20"/>
          <w:color w:val="auto"/>
        </w:rPr>
      </w:pPr>
    </w:p>
    <w:p>
      <w:pPr>
        <w:ind w:right="640" w:firstLine="139"/>
        <w:spacing w:after="0" w:line="327" w:lineRule="auto"/>
        <w:rPr>
          <w:sz w:val="20"/>
          <w:szCs w:val="20"/>
          <w:color w:val="auto"/>
        </w:rPr>
      </w:pPr>
      <w:r>
        <w:rPr>
          <w:rFonts w:ascii="Arial" w:cs="Arial" w:eastAsia="Arial" w:hAnsi="Arial"/>
          <w:sz w:val="14"/>
          <w:szCs w:val="14"/>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as of March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40" w:type="dxa"/>
            <w:vAlign w:val="bottom"/>
            <w:tcBorders>
              <w:bottom w:val="single" w:sz="8" w:color="auto"/>
            </w:tcBorders>
          </w:tcPr>
          <w:p>
            <w:pPr>
              <w:ind w:left="920"/>
              <w:spacing w:after="0"/>
              <w:rPr>
                <w:sz w:val="20"/>
                <w:szCs w:val="20"/>
                <w:color w:val="auto"/>
              </w:rPr>
            </w:pPr>
            <w:r>
              <w:rPr>
                <w:rFonts w:ascii="Arial" w:cs="Arial" w:eastAsia="Arial" w:hAnsi="Arial"/>
                <w:sz w:val="15"/>
                <w:szCs w:val="15"/>
                <w:b w:val="1"/>
                <w:bCs w:val="1"/>
                <w:color w:val="auto"/>
              </w:rPr>
              <w:t>TandemLife Acquisition</w:t>
            </w:r>
          </w:p>
        </w:tc>
        <w:tc>
          <w:tcPr>
            <w:tcW w:w="100" w:type="dxa"/>
            <w:vAlign w:val="bottom"/>
            <w:tcBorders>
              <w:bottom w:val="single" w:sz="8" w:color="CCEEFF"/>
            </w:tcBorders>
          </w:tcPr>
          <w:p>
            <w:pPr>
              <w:spacing w:after="0"/>
              <w:rPr>
                <w:sz w:val="17"/>
                <w:szCs w:val="17"/>
                <w:color w:val="auto"/>
              </w:rPr>
            </w:pPr>
          </w:p>
        </w:tc>
        <w:tc>
          <w:tcPr>
            <w:tcW w:w="300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3020" w:type="dxa"/>
            <w:vAlign w:val="bottom"/>
            <w:tcBorders>
              <w:bottom w:val="single" w:sz="8" w:color="auto"/>
            </w:tcBorders>
          </w:tcPr>
          <w:p>
            <w:pPr>
              <w:ind w:left="84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5"/>
                <w:szCs w:val="15"/>
                <w:b w:val="1"/>
                <w:bCs w:val="1"/>
                <w:color w:val="auto"/>
              </w:rPr>
              <w:t>Inputs</w:t>
            </w:r>
          </w:p>
        </w:tc>
        <w:tc>
          <w:tcPr>
            <w:tcW w:w="20" w:type="dxa"/>
            <w:vAlign w:val="bottom"/>
          </w:tcPr>
          <w:p>
            <w:pPr>
              <w:spacing w:after="0"/>
              <w:rPr>
                <w:sz w:val="17"/>
                <w:szCs w:val="17"/>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Regulatory milestone-based payment</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Discounted cash flow</w:t>
            </w: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Discount rate</w:t>
            </w:r>
          </w:p>
        </w:tc>
        <w:tc>
          <w:tcPr>
            <w:tcW w:w="1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4.9%</w:t>
            </w:r>
          </w:p>
        </w:tc>
        <w:tc>
          <w:tcPr>
            <w:tcW w:w="20" w:type="dxa"/>
            <w:vAlign w:val="bottom"/>
          </w:tcPr>
          <w:p>
            <w:pPr>
              <w:spacing w:after="0"/>
              <w:rPr>
                <w:sz w:val="16"/>
                <w:szCs w:val="16"/>
                <w:color w:val="auto"/>
              </w:rPr>
            </w:pPr>
          </w:p>
        </w:tc>
      </w:tr>
      <w:tr>
        <w:trPr>
          <w:trHeight w:val="196"/>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2"/>
          </w:tcPr>
          <w:p>
            <w:pPr>
              <w:spacing w:after="0"/>
              <w:rPr>
                <w:sz w:val="20"/>
                <w:szCs w:val="20"/>
                <w:color w:val="auto"/>
              </w:rPr>
            </w:pPr>
            <w:r>
              <w:rPr>
                <w:rFonts w:ascii="Arial" w:cs="Arial" w:eastAsia="Arial" w:hAnsi="Arial"/>
                <w:sz w:val="15"/>
                <w:szCs w:val="15"/>
                <w:color w:val="auto"/>
              </w:rPr>
              <w:t>Probability of payment</w:t>
            </w:r>
          </w:p>
        </w:tc>
        <w:tc>
          <w:tcPr>
            <w:tcW w:w="1460" w:type="dxa"/>
            <w:vAlign w:val="bottom"/>
          </w:tcPr>
          <w:p>
            <w:pPr>
              <w:jc w:val="center"/>
              <w:spacing w:after="0"/>
              <w:rPr>
                <w:sz w:val="20"/>
                <w:szCs w:val="20"/>
                <w:color w:val="auto"/>
              </w:rPr>
            </w:pPr>
            <w:r>
              <w:rPr>
                <w:rFonts w:ascii="Arial" w:cs="Arial" w:eastAsia="Arial" w:hAnsi="Arial"/>
                <w:sz w:val="15"/>
                <w:szCs w:val="15"/>
                <w:color w:val="auto"/>
                <w:w w:val="93"/>
              </w:rPr>
              <w:t>70%</w:t>
            </w:r>
          </w:p>
        </w:tc>
        <w:tc>
          <w:tcPr>
            <w:tcW w:w="20" w:type="dxa"/>
            <w:vAlign w:val="bottom"/>
          </w:tcPr>
          <w:p>
            <w:pPr>
              <w:spacing w:after="0"/>
              <w:rPr>
                <w:sz w:val="17"/>
                <w:szCs w:val="17"/>
                <w:color w:val="auto"/>
              </w:rPr>
            </w:pPr>
          </w:p>
        </w:tc>
      </w:tr>
      <w:tr>
        <w:trPr>
          <w:trHeight w:val="197"/>
        </w:trPr>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Projected payment year</w:t>
            </w:r>
          </w:p>
        </w:tc>
        <w:tc>
          <w:tcPr>
            <w:tcW w:w="1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2021</w:t>
            </w:r>
          </w:p>
        </w:tc>
        <w:tc>
          <w:tcPr>
            <w:tcW w:w="20" w:type="dxa"/>
            <w:vAlign w:val="bottom"/>
          </w:tcPr>
          <w:p>
            <w:pPr>
              <w:spacing w:after="0"/>
              <w:rPr>
                <w:sz w:val="17"/>
                <w:szCs w:val="17"/>
                <w:color w:val="auto"/>
              </w:rPr>
            </w:pPr>
          </w:p>
        </w:tc>
      </w:tr>
      <w:tr>
        <w:trPr>
          <w:trHeight w:val="913"/>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tcPr>
          <w:p>
            <w:pPr>
              <w:jc w:val="right"/>
              <w:ind w:right="683"/>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34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0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0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Note 6. Financing Arrangements</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outstanding principal amount of our long-term debt as of March 31, 2021 and December 31, 2020 was as follows (in thousands, except interest rates):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5"/>
              </w:rPr>
              <w:t>March 31, 2021</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3"/>
              </w:rPr>
              <w:t>December 31, 2020</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Maturity</w:t>
            </w:r>
          </w:p>
        </w:tc>
        <w:tc>
          <w:tcPr>
            <w:tcW w:w="100" w:type="dxa"/>
            <w:vAlign w:val="bottom"/>
            <w:tcBorders>
              <w:bottom w:val="single" w:sz="8" w:color="CCEEFF"/>
            </w:tcBorders>
          </w:tcPr>
          <w:p>
            <w:pPr>
              <w:spacing w:after="0"/>
              <w:rPr>
                <w:sz w:val="17"/>
                <w:szCs w:val="17"/>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Interest Rate</w:t>
            </w:r>
          </w:p>
        </w:tc>
      </w:tr>
      <w:tr>
        <w:trPr>
          <w:trHeight w:val="211"/>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2020 Senior Secured Term Loan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425,167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424,002</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8"/>
              </w:rPr>
              <w:t>June 2025</w:t>
            </w:r>
          </w:p>
        </w:tc>
        <w:tc>
          <w:tcPr>
            <w:tcW w:w="30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LIBOR (1% Floor)  +  6.50%</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2020 Cash Exchangeable Senior Notes</w:t>
            </w:r>
          </w:p>
        </w:tc>
        <w:tc>
          <w:tcPr>
            <w:tcW w:w="1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215,145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212,073</w:t>
            </w: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December 2025</w:t>
            </w:r>
          </w:p>
        </w:tc>
        <w:tc>
          <w:tcPr>
            <w:tcW w:w="3000" w:type="dxa"/>
            <w:vAlign w:val="bottom"/>
          </w:tcPr>
          <w:p>
            <w:pPr>
              <w:jc w:val="center"/>
              <w:spacing w:after="0"/>
              <w:rPr>
                <w:sz w:val="20"/>
                <w:szCs w:val="20"/>
                <w:color w:val="auto"/>
              </w:rPr>
            </w:pPr>
            <w:r>
              <w:rPr>
                <w:rFonts w:ascii="Arial" w:cs="Arial" w:eastAsia="Arial" w:hAnsi="Arial"/>
                <w:sz w:val="15"/>
                <w:szCs w:val="15"/>
                <w:color w:val="auto"/>
                <w:w w:val="93"/>
              </w:rPr>
              <w:t>3.00%</w:t>
            </w:r>
          </w:p>
        </w:tc>
      </w:tr>
      <w:tr>
        <w:trPr>
          <w:trHeight w:val="197"/>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Bank of America Merrill Lynch Banco Múltiplo S.A.</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5,901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6,515</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6"/>
              </w:rPr>
              <w:t>July 2021</w:t>
            </w:r>
          </w:p>
        </w:tc>
        <w:tc>
          <w:tcPr>
            <w:tcW w:w="3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4.27%</w:t>
            </w: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Mediocredito Italiano</w:t>
            </w:r>
          </w:p>
        </w:tc>
        <w:tc>
          <w:tcPr>
            <w:tcW w:w="12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5,198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5,406</w:t>
            </w: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December 2023</w:t>
            </w:r>
          </w:p>
        </w:tc>
        <w:tc>
          <w:tcPr>
            <w:tcW w:w="3000" w:type="dxa"/>
            <w:vAlign w:val="bottom"/>
          </w:tcPr>
          <w:p>
            <w:pPr>
              <w:jc w:val="right"/>
              <w:ind w:right="223"/>
              <w:spacing w:after="0"/>
              <w:rPr>
                <w:sz w:val="20"/>
                <w:szCs w:val="20"/>
                <w:color w:val="auto"/>
              </w:rPr>
            </w:pPr>
            <w:r>
              <w:rPr>
                <w:rFonts w:ascii="Arial" w:cs="Arial" w:eastAsia="Arial" w:hAnsi="Arial"/>
                <w:sz w:val="15"/>
                <w:szCs w:val="15"/>
                <w:color w:val="auto"/>
              </w:rPr>
              <w:t>0.50 %  -  2.74%</w:t>
            </w:r>
          </w:p>
        </w:tc>
      </w:tr>
      <w:tr>
        <w:trPr>
          <w:trHeight w:val="197"/>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Bank of America, U.S.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2,016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January 2023</w:t>
            </w:r>
          </w:p>
        </w:tc>
        <w:tc>
          <w:tcPr>
            <w:tcW w:w="3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2.75%</w:t>
            </w:r>
          </w:p>
        </w:tc>
      </w:tr>
      <w:tr>
        <w:trPr>
          <w:trHeight w:val="196"/>
        </w:trPr>
        <w:tc>
          <w:tcPr>
            <w:tcW w:w="3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660</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r>
      <w:tr>
        <w:trPr>
          <w:trHeight w:val="188"/>
        </w:trPr>
        <w:tc>
          <w:tcPr>
            <w:tcW w:w="37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long-term facilities</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654,068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650,675</w:t>
            </w: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r>
      <w:tr>
        <w:trPr>
          <w:trHeight w:val="196"/>
        </w:trPr>
        <w:tc>
          <w:tcPr>
            <w:tcW w:w="3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current portion of long-term debt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7,699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8,377</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r>
      <w:tr>
        <w:trPr>
          <w:trHeight w:val="213"/>
        </w:trPr>
        <w:tc>
          <w:tcPr>
            <w:tcW w:w="3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646,369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642,298</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18"/>
                <w:szCs w:val="18"/>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w:t>
      </w:r>
    </w:p>
    <w:p>
      <w:pPr>
        <w:spacing w:after="0" w:line="98" w:lineRule="exact"/>
        <w:rPr>
          <w:sz w:val="20"/>
          <w:szCs w:val="20"/>
          <w:color w:val="auto"/>
        </w:rPr>
      </w:pPr>
    </w:p>
    <w:p>
      <w:pPr>
        <w:jc w:val="both"/>
        <w:ind w:right="320" w:firstLine="139"/>
        <w:spacing w:after="0" w:line="370" w:lineRule="auto"/>
        <w:rPr>
          <w:sz w:val="20"/>
          <w:szCs w:val="20"/>
          <w:color w:val="auto"/>
        </w:rPr>
      </w:pPr>
      <w:r>
        <w:rPr>
          <w:rFonts w:ascii="Arial" w:cs="Arial" w:eastAsia="Arial" w:hAnsi="Arial"/>
          <w:sz w:val="13"/>
          <w:szCs w:val="13"/>
          <w:color w:val="auto"/>
        </w:rPr>
        <w:t>The outstanding principal amount of our short-term unsecured revolving credit agreements and other agreements with various banks was $4.1 million and $5.0 million, at March 31, 2021 and December 31, 2020, respectively, with interest rates ranging from 3.06% to 7.65% and loan terms ranging from overnight to 365 days, as of March 31, 2021.</w:t>
      </w:r>
    </w:p>
    <w:p>
      <w:pPr>
        <w:spacing w:after="0" w:line="2" w:lineRule="exact"/>
        <w:rPr>
          <w:sz w:val="20"/>
          <w:szCs w:val="20"/>
          <w:color w:val="auto"/>
        </w:rPr>
      </w:pPr>
    </w:p>
    <w:p>
      <w:pPr>
        <w:jc w:val="both"/>
        <w:ind w:right="80" w:firstLine="139"/>
        <w:spacing w:after="0" w:line="301" w:lineRule="auto"/>
        <w:rPr>
          <w:sz w:val="20"/>
          <w:szCs w:val="20"/>
          <w:color w:val="auto"/>
        </w:rPr>
      </w:pPr>
      <w:r>
        <w:rPr>
          <w:rFonts w:ascii="Arial" w:cs="Arial" w:eastAsia="Arial" w:hAnsi="Arial"/>
          <w:sz w:val="14"/>
          <w:szCs w:val="14"/>
          <w:color w:val="auto"/>
        </w:rPr>
        <w:t>On December 30, 2020, we entered into the $50.0 million 2020 Revolving Credit Facility for working capital needs. The 2020 Revolving Credit Facility has a maturity of June 30, 2024 and borrowings bear interest at either LIBOR (subject to a 1% floor) plus 5.0% or ABR (subject to a 2% floor) plus 4.0%. There were no borrowings under the 2020 Revolving Credit Facility during the three months ended March 31, 2021. The 2020 Revolving Credit Facility has financial covenants consistent with those of the Term Loan described below.</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2020 Senior Secured Term Loan</w:t>
      </w:r>
    </w:p>
    <w:p>
      <w:pPr>
        <w:spacing w:after="0" w:line="98" w:lineRule="exact"/>
        <w:rPr>
          <w:sz w:val="20"/>
          <w:szCs w:val="20"/>
          <w:color w:val="auto"/>
        </w:rPr>
      </w:pPr>
    </w:p>
    <w:p>
      <w:pPr>
        <w:ind w:right="40" w:firstLine="139"/>
        <w:spacing w:after="0" w:line="278" w:lineRule="auto"/>
        <w:rPr>
          <w:sz w:val="20"/>
          <w:szCs w:val="20"/>
          <w:color w:val="auto"/>
        </w:rPr>
      </w:pPr>
      <w:r>
        <w:rPr>
          <w:rFonts w:ascii="Arial" w:cs="Arial" w:eastAsia="Arial" w:hAnsi="Arial"/>
          <w:sz w:val="14"/>
          <w:szCs w:val="14"/>
          <w:color w:val="auto"/>
        </w:rPr>
        <w:t>On June 10, 2020, we entered into a $450.0 million five-year senior secured term loan (the “Term Loan”) through our wholly owned subsidiary LivaNova USA Inc., with funds managed by affiliates of Ares Management Corporation, as administrative agent and collateral agent, resulting in cash proceeds of approximately $421.5 million, net of discounts and issuance costs. The obligations under the Term Loan are guaranteed by LivaNova and its existing and future wholly owned material subsidiaries, and are secured by a perfected security interest in substantially all tangible and intangible assets of LivaNova and certain U.S. and UK subsidiaries of LivaNova, subject in each case to certain exceptions contained in the Term Loan. Borrowings under the Term Loan bear interest at a variable annual rate equal to the three-month LIBOR rate (subject to a 1% floor), plus an applicable margin of</w:t>
      </w:r>
    </w:p>
    <w:p>
      <w:pPr>
        <w:spacing w:after="0" w:line="3" w:lineRule="exact"/>
        <w:rPr>
          <w:sz w:val="20"/>
          <w:szCs w:val="20"/>
          <w:color w:val="auto"/>
        </w:rPr>
      </w:pPr>
    </w:p>
    <w:p>
      <w:pPr>
        <w:ind w:right="60"/>
        <w:spacing w:after="0" w:line="280" w:lineRule="auto"/>
        <w:rPr>
          <w:sz w:val="20"/>
          <w:szCs w:val="20"/>
          <w:color w:val="auto"/>
        </w:rPr>
      </w:pPr>
      <w:r>
        <w:rPr>
          <w:rFonts w:ascii="Arial" w:cs="Arial" w:eastAsia="Arial" w:hAnsi="Arial"/>
          <w:sz w:val="14"/>
          <w:szCs w:val="14"/>
          <w:color w:val="auto"/>
        </w:rPr>
        <w:t>6.5% per annum. The effective interest rate of the Term Loan at March 31, 2021 was 9.05%. The Term Loan will mature on June 30, 2025 and includes certain affirmative, negative and financial covenants. The financial covenants under the Term Loan state (i) the net revenue of LivaNova PLC, LivaNova USA, Inc. and any restricted subsidiaries on a consolidated basis shall not be lower than $700 million for each trailing 12 month period, such threshold to decrease pro rata (not below $550 million) upon prepayments of the Term Loan made by LivaNova USA, Inc. out of the proceeds of certain asset sales, and (ii) the total secured leverage ratio (as defined in the debt agreement) for LivaNova PLC, LivaNova USA, Inc. and any restricted subsidiaries on a consolidated basis shall not be greater than the applicable ratio set forth below:</w:t>
      </w:r>
    </w:p>
    <w:tbl>
      <w:tblPr>
        <w:tblLayout w:type="fixed"/>
        <w:tblInd w:w="0" w:type="dxa"/>
        <w:tblCellMar>
          <w:top w:w="0" w:type="dxa"/>
          <w:left w:w="0" w:type="dxa"/>
          <w:bottom w:w="0" w:type="dxa"/>
          <w:right w:w="0" w:type="dxa"/>
        </w:tblCellMar>
      </w:tblPr>
      <w:tr>
        <w:trPr>
          <w:trHeight w:val="206"/>
        </w:trPr>
        <w:tc>
          <w:tcPr>
            <w:tcW w:w="7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Test Period</w:t>
            </w:r>
          </w:p>
        </w:tc>
        <w:tc>
          <w:tcPr>
            <w:tcW w:w="100" w:type="dxa"/>
            <w:vAlign w:val="bottom"/>
            <w:tcBorders>
              <w:bottom w:val="single" w:sz="8" w:color="CCEEFF"/>
            </w:tcBorders>
          </w:tcPr>
          <w:p>
            <w:pPr>
              <w:spacing w:after="0"/>
              <w:rPr>
                <w:sz w:val="17"/>
                <w:szCs w:val="17"/>
                <w:color w:val="auto"/>
              </w:rPr>
            </w:pPr>
          </w:p>
        </w:tc>
        <w:tc>
          <w:tcPr>
            <w:tcW w:w="3760" w:type="dxa"/>
            <w:vAlign w:val="bottom"/>
            <w:tcBorders>
              <w:bottom w:val="single" w:sz="8" w:color="auto"/>
            </w:tcBorders>
            <w:gridSpan w:val="2"/>
          </w:tcPr>
          <w:p>
            <w:pPr>
              <w:jc w:val="right"/>
              <w:ind w:right="743"/>
              <w:spacing w:after="0" w:line="206" w:lineRule="exact"/>
              <w:rPr>
                <w:sz w:val="20"/>
                <w:szCs w:val="20"/>
                <w:color w:val="auto"/>
              </w:rPr>
            </w:pPr>
            <w:r>
              <w:rPr>
                <w:rFonts w:ascii="Arial" w:cs="Arial" w:eastAsia="Arial" w:hAnsi="Arial"/>
                <w:sz w:val="15"/>
                <w:szCs w:val="15"/>
                <w:b w:val="1"/>
                <w:bCs w:val="1"/>
                <w:color w:val="auto"/>
              </w:rPr>
              <w:t xml:space="preserve">Total Secured Leverage Ratio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3"/>
        </w:trPr>
        <w:tc>
          <w:tcPr>
            <w:tcW w:w="10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w w:val="95"/>
              </w:rPr>
              <w:t>4</w:t>
            </w:r>
          </w:p>
        </w:tc>
        <w:tc>
          <w:tcPr>
            <w:tcW w:w="740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5"/>
                <w:szCs w:val="15"/>
                <w:color w:val="auto"/>
                <w:w w:val="97"/>
              </w:rPr>
              <w:t>Quarters ending June 30, 2020 through each fiscal quarter thereafter until (and including) the fiscal quarter ending</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5.625</w:t>
            </w:r>
          </w:p>
        </w:tc>
        <w:tc>
          <w:tcPr>
            <w:tcW w:w="1920" w:type="dxa"/>
            <w:vAlign w:val="bottom"/>
            <w:vMerge w:val="restart"/>
            <w:shd w:val="clear" w:color="auto" w:fill="CCEEFF"/>
          </w:tcPr>
          <w:p>
            <w:pPr>
              <w:jc w:val="right"/>
              <w:ind w:right="1463"/>
              <w:spacing w:after="0"/>
              <w:rPr>
                <w:sz w:val="20"/>
                <w:szCs w:val="20"/>
                <w:color w:val="auto"/>
              </w:rPr>
            </w:pPr>
            <w:r>
              <w:rPr>
                <w:rFonts w:ascii="Arial" w:cs="Arial" w:eastAsia="Arial" w:hAnsi="Arial"/>
                <w:sz w:val="15"/>
                <w:szCs w:val="15"/>
                <w:color w:val="auto"/>
                <w:w w:val="95"/>
              </w:rPr>
              <w:t>: 1.00</w:t>
            </w:r>
          </w:p>
        </w:tc>
        <w:tc>
          <w:tcPr>
            <w:tcW w:w="0" w:type="dxa"/>
            <w:vAlign w:val="bottom"/>
          </w:tcPr>
          <w:p>
            <w:pPr>
              <w:spacing w:after="0"/>
              <w:rPr>
                <w:sz w:val="1"/>
                <w:szCs w:val="1"/>
                <w:color w:val="auto"/>
              </w:rPr>
            </w:pPr>
          </w:p>
        </w:tc>
      </w:tr>
      <w:tr>
        <w:trPr>
          <w:trHeight w:val="196"/>
        </w:trPr>
        <w:tc>
          <w:tcPr>
            <w:tcW w:w="75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June 30, 2021</w:t>
            </w:r>
          </w:p>
        </w:tc>
        <w:tc>
          <w:tcPr>
            <w:tcW w:w="1840" w:type="dxa"/>
            <w:vAlign w:val="bottom"/>
            <w:vMerge w:val="continue"/>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20"/>
                <w:szCs w:val="20"/>
                <w:color w:val="auto"/>
              </w:rPr>
            </w:pPr>
            <w:r>
              <w:rPr>
                <w:rFonts w:ascii="Arial" w:cs="Arial" w:eastAsia="Arial" w:hAnsi="Arial"/>
                <w:sz w:val="15"/>
                <w:szCs w:val="15"/>
                <w:color w:val="auto"/>
                <w:w w:val="95"/>
              </w:rPr>
              <w:t>4</w:t>
            </w:r>
          </w:p>
        </w:tc>
        <w:tc>
          <w:tcPr>
            <w:tcW w:w="7400" w:type="dxa"/>
            <w:vAlign w:val="bottom"/>
            <w:gridSpan w:val="2"/>
          </w:tcPr>
          <w:p>
            <w:pPr>
              <w:ind w:left="20"/>
              <w:spacing w:after="0"/>
              <w:rPr>
                <w:sz w:val="20"/>
                <w:szCs w:val="20"/>
                <w:color w:val="auto"/>
              </w:rPr>
            </w:pPr>
            <w:r>
              <w:rPr>
                <w:rFonts w:ascii="Arial" w:cs="Arial" w:eastAsia="Arial" w:hAnsi="Arial"/>
                <w:sz w:val="15"/>
                <w:szCs w:val="15"/>
                <w:color w:val="auto"/>
              </w:rPr>
              <w:t>Quarters ending September 30, 2021 and ending each fiscal quarter thereafter</w:t>
            </w:r>
          </w:p>
        </w:tc>
        <w:tc>
          <w:tcPr>
            <w:tcW w:w="1840" w:type="dxa"/>
            <w:vAlign w:val="bottom"/>
          </w:tcPr>
          <w:p>
            <w:pPr>
              <w:jc w:val="right"/>
              <w:spacing w:after="0"/>
              <w:rPr>
                <w:sz w:val="20"/>
                <w:szCs w:val="20"/>
                <w:color w:val="auto"/>
              </w:rPr>
            </w:pPr>
            <w:r>
              <w:rPr>
                <w:rFonts w:ascii="Arial" w:cs="Arial" w:eastAsia="Arial" w:hAnsi="Arial"/>
                <w:sz w:val="15"/>
                <w:szCs w:val="15"/>
                <w:color w:val="auto"/>
              </w:rPr>
              <w:t>4.5</w:t>
            </w:r>
          </w:p>
        </w:tc>
        <w:tc>
          <w:tcPr>
            <w:tcW w:w="1920" w:type="dxa"/>
            <w:vAlign w:val="bottom"/>
          </w:tcPr>
          <w:p>
            <w:pPr>
              <w:jc w:val="right"/>
              <w:ind w:right="1463"/>
              <w:spacing w:after="0"/>
              <w:rPr>
                <w:sz w:val="20"/>
                <w:szCs w:val="20"/>
                <w:color w:val="auto"/>
              </w:rPr>
            </w:pPr>
            <w:r>
              <w:rPr>
                <w:rFonts w:ascii="Arial" w:cs="Arial" w:eastAsia="Arial" w:hAnsi="Arial"/>
                <w:sz w:val="15"/>
                <w:szCs w:val="15"/>
                <w:color w:val="auto"/>
                <w:w w:val="95"/>
              </w:rPr>
              <w:t>: 1.00</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540" w:right="500" w:hanging="270"/>
        <w:spacing w:after="0" w:line="320" w:lineRule="auto"/>
        <w:tabs>
          <w:tab w:leader="none" w:pos="533" w:val="left"/>
        </w:tabs>
        <w:numPr>
          <w:ilvl w:val="0"/>
          <w:numId w:val="8"/>
        </w:numPr>
        <w:rPr>
          <w:rFonts w:ascii="Arial" w:cs="Arial" w:eastAsia="Arial" w:hAnsi="Arial"/>
          <w:sz w:val="11"/>
          <w:szCs w:val="11"/>
          <w:color w:val="auto"/>
        </w:rPr>
      </w:pPr>
      <w:r>
        <w:rPr>
          <w:rFonts w:ascii="Arial" w:cs="Arial" w:eastAsia="Arial" w:hAnsi="Arial"/>
          <w:sz w:val="13"/>
          <w:szCs w:val="13"/>
          <w:color w:val="auto"/>
        </w:rPr>
        <w:t>The secured leverage ratio is calculated as the ratio of (a) debt secured by a lien on assets to (b) Consolidated EBITDA as defined under the Term Loan agreement for the period of four consecutive fiscal quarters ended on the calculation date. The Company was in compliance with all financial covenants as of March 31, 2021, as amended.</w:t>
      </w:r>
    </w:p>
    <w:p>
      <w:pPr>
        <w:spacing w:after="0" w:line="85" w:lineRule="exact"/>
        <w:rPr>
          <w:sz w:val="20"/>
          <w:szCs w:val="20"/>
          <w:color w:val="auto"/>
        </w:rPr>
      </w:pPr>
    </w:p>
    <w:p>
      <w:pPr>
        <w:ind w:right="120" w:firstLine="139"/>
        <w:spacing w:after="0" w:line="273" w:lineRule="auto"/>
        <w:rPr>
          <w:sz w:val="20"/>
          <w:szCs w:val="20"/>
          <w:color w:val="auto"/>
        </w:rPr>
      </w:pPr>
      <w:r>
        <w:rPr>
          <w:rFonts w:ascii="Arial" w:cs="Arial" w:eastAsia="Arial" w:hAnsi="Arial"/>
          <w:sz w:val="15"/>
          <w:szCs w:val="15"/>
          <w:color w:val="auto"/>
        </w:rPr>
        <w:t xml:space="preserve">Debt discounts and issuance costs related to the Term Loan were approximately $28.5 million and included various legal, bank and accounting fees. Amortization of debt discount and issuance costs </w:t>
      </w:r>
      <w:r>
        <w:rPr>
          <w:rFonts w:ascii="Arial" w:cs="Arial" w:eastAsia="Arial" w:hAnsi="Arial"/>
          <w:sz w:val="13"/>
          <w:szCs w:val="13"/>
          <w:color w:val="auto"/>
        </w:rPr>
        <w:t>was</w:t>
      </w:r>
      <w:r>
        <w:rPr>
          <w:rFonts w:ascii="Arial" w:cs="Arial" w:eastAsia="Arial" w:hAnsi="Arial"/>
          <w:sz w:val="15"/>
          <w:szCs w:val="15"/>
          <w:color w:val="auto"/>
        </w:rPr>
        <w:t xml:space="preserve"> $1.2 million for the three months ended March 31, 2021 and is included in interest expense on the condensed consolidated statement of income (loss). The unamortized discount related to the Term Loan as of March 31, 2021 was $24.8 million.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2020 Cash Exchangeable Senior Notes</w:t>
      </w:r>
    </w:p>
    <w:p>
      <w:pPr>
        <w:spacing w:after="0" w:line="98" w:lineRule="exact"/>
        <w:rPr>
          <w:sz w:val="20"/>
          <w:szCs w:val="20"/>
          <w:color w:val="auto"/>
        </w:rPr>
      </w:pPr>
    </w:p>
    <w:p>
      <w:pPr>
        <w:ind w:right="60" w:firstLine="139"/>
        <w:spacing w:after="0" w:line="283" w:lineRule="auto"/>
        <w:rPr>
          <w:sz w:val="20"/>
          <w:szCs w:val="20"/>
          <w:color w:val="auto"/>
        </w:rPr>
      </w:pPr>
      <w:r>
        <w:rPr>
          <w:rFonts w:ascii="Arial" w:cs="Arial" w:eastAsia="Arial" w:hAnsi="Arial"/>
          <w:sz w:val="14"/>
          <w:szCs w:val="14"/>
          <w:color w:val="auto"/>
        </w:rPr>
        <w:t>On June 17, 2020, our wholly-owned subsidiary, LivaNova USA, Inc., issued $287.5 million aggregate principal amount of 3.00% cash exchangeable senior notes (the “Notes”) by private placement to qualified institutional buyers pursuant to Rule 144A under the Securities Act of 1933, as amended. The sale of the Notes resulted in approximately</w:t>
      </w:r>
    </w:p>
    <w:p>
      <w:pPr>
        <w:spacing w:after="0" w:line="1" w:lineRule="exact"/>
        <w:rPr>
          <w:sz w:val="20"/>
          <w:szCs w:val="20"/>
          <w:color w:val="auto"/>
        </w:rPr>
      </w:pPr>
    </w:p>
    <w:p>
      <w:pPr>
        <w:ind w:right="320"/>
        <w:spacing w:after="0" w:line="266" w:lineRule="auto"/>
        <w:rPr>
          <w:sz w:val="20"/>
          <w:szCs w:val="20"/>
          <w:color w:val="auto"/>
        </w:rPr>
      </w:pPr>
      <w:r>
        <w:rPr>
          <w:rFonts w:ascii="Arial" w:cs="Arial" w:eastAsia="Arial" w:hAnsi="Arial"/>
          <w:sz w:val="15"/>
          <w:szCs w:val="15"/>
          <w:color w:val="auto"/>
        </w:rPr>
        <w:t>$278.0 million in net proceeds to the Company after deducting issuance costs. Interest is payable semiannually in arrears on June 15 and December 15 of each year, beginning on December 15, 2020. The effective interest rate of the Notes at March 31, 2021 was 9.95%. The Notes mature on December 15, 2025 unless earlier exchanged, repurchased, or redeemed.</w:t>
      </w:r>
    </w:p>
    <w:p>
      <w:pPr>
        <w:spacing w:after="0" w:line="64" w:lineRule="exact"/>
        <w:rPr>
          <w:sz w:val="20"/>
          <w:szCs w:val="20"/>
          <w:color w:val="auto"/>
        </w:rPr>
      </w:pPr>
    </w:p>
    <w:p>
      <w:pPr>
        <w:jc w:val="both"/>
        <w:ind w:firstLine="139"/>
        <w:spacing w:after="0" w:line="268" w:lineRule="auto"/>
        <w:rPr>
          <w:sz w:val="20"/>
          <w:szCs w:val="20"/>
          <w:color w:val="auto"/>
        </w:rPr>
      </w:pPr>
      <w:r>
        <w:rPr>
          <w:rFonts w:ascii="Arial" w:cs="Arial" w:eastAsia="Arial" w:hAnsi="Arial"/>
          <w:sz w:val="15"/>
          <w:szCs w:val="15"/>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was $3.1 million for the three months ended March 31, 2021 and is included in interest expense on the condensed consolidated statement of income (loss). The unamortized discount related to the Notes as of March 31, 2021 was $72.4 million.</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Holders of the Notes are entitled to exchange the Notes at any time during specified periods, at their option, and are entitled to exchange the Notes during any calendar quarter, if</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the last reported sale price of LivaNova’s ordinary shares, with a nominal value of £1.00 per share for at least 20 trading days (whether or not consecutive) during a period of 30</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consecutive trading days ending on, and including, the last trading day of the immediately preceding calendar quarter is greater than or equal to 130% of the exchange price, or</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$79.27 per share, on each applicable trading day. The Notes are exchangeable solely into cash and are not exchangeable into ordinary shares of LivaNova or any other security under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any circumstances. The initial exchange rate for the Notes is 16.3980 ordinary shares per $1,000 principal amount of Notes (equivalent to an initial exchange price of approximately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$60.98 per share). The exchange rate is subject to adjustment in certain circumstances, as set forth in the indenture governing the Notes.</w:t>
      </w:r>
    </w:p>
    <w:p>
      <w:pPr>
        <w:spacing w:after="0" w:line="89" w:lineRule="exact"/>
        <w:rPr>
          <w:sz w:val="20"/>
          <w:szCs w:val="20"/>
          <w:color w:val="auto"/>
        </w:rPr>
      </w:pPr>
    </w:p>
    <w:p>
      <w:pPr>
        <w:ind w:right="20" w:firstLine="139"/>
        <w:spacing w:after="0" w:line="248" w:lineRule="auto"/>
        <w:rPr>
          <w:sz w:val="20"/>
          <w:szCs w:val="20"/>
          <w:color w:val="auto"/>
        </w:rPr>
      </w:pPr>
      <w:r>
        <w:rPr>
          <w:rFonts w:ascii="Arial" w:cs="Arial" w:eastAsia="Arial" w:hAnsi="Arial"/>
          <w:sz w:val="15"/>
          <w:szCs w:val="15"/>
          <w:color w:val="auto"/>
        </w:rPr>
        <w:t>The Company may redeem the Notes at its option, on or after June 20, 2023 and prior to the 51</w:t>
      </w:r>
      <w:r>
        <w:rPr>
          <w:rFonts w:ascii="Arial" w:cs="Arial" w:eastAsia="Arial" w:hAnsi="Arial"/>
          <w:sz w:val="20"/>
          <w:szCs w:val="20"/>
          <w:color w:val="auto"/>
          <w:vertAlign w:val="superscript"/>
        </w:rPr>
        <w:t>st</w:t>
      </w:r>
      <w:r>
        <w:rPr>
          <w:rFonts w:ascii="Arial" w:cs="Arial" w:eastAsia="Arial" w:hAnsi="Arial"/>
          <w:sz w:val="15"/>
          <w:szCs w:val="15"/>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Embedded Exchange Feature</w:t>
      </w:r>
    </w:p>
    <w:p>
      <w:pPr>
        <w:spacing w:after="0" w:line="98" w:lineRule="exact"/>
        <w:rPr>
          <w:sz w:val="20"/>
          <w:szCs w:val="20"/>
          <w:color w:val="auto"/>
        </w:rPr>
      </w:pPr>
    </w:p>
    <w:p>
      <w:pPr>
        <w:ind w:right="80" w:firstLine="139"/>
        <w:spacing w:after="0" w:line="265" w:lineRule="auto"/>
        <w:rPr>
          <w:sz w:val="20"/>
          <w:szCs w:val="20"/>
          <w:color w:val="auto"/>
        </w:rPr>
      </w:pPr>
      <w:r>
        <w:rPr>
          <w:rFonts w:ascii="Arial" w:cs="Arial" w:eastAsia="Arial" w:hAnsi="Arial"/>
          <w:sz w:val="15"/>
          <w:szCs w:val="15"/>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unrealized gain or loss reflected in the consolidated statements of income (loss). The fair value of the embedded exchange feature derivative liability was $148.1 million as of March 31, 2021.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Capped Call Transactions</w:t>
      </w:r>
    </w:p>
    <w:p>
      <w:pPr>
        <w:spacing w:after="0" w:line="98" w:lineRule="exact"/>
        <w:rPr>
          <w:sz w:val="20"/>
          <w:szCs w:val="20"/>
          <w:color w:val="auto"/>
        </w:rPr>
      </w:pPr>
    </w:p>
    <w:p>
      <w:pPr>
        <w:ind w:right="40" w:firstLine="139"/>
        <w:spacing w:after="0" w:line="284" w:lineRule="auto"/>
        <w:rPr>
          <w:sz w:val="20"/>
          <w:szCs w:val="20"/>
          <w:color w:val="auto"/>
        </w:rPr>
      </w:pPr>
      <w:r>
        <w:rPr>
          <w:rFonts w:ascii="Arial" w:cs="Arial" w:eastAsia="Arial" w:hAnsi="Arial"/>
          <w:sz w:val="14"/>
          <w:szCs w:val="14"/>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The capped calls are carried on the condensed consolidated balance sheets as a derivative asset at their estimated fair value and are adjusted at the end of each reporting period, with unrealized gain or loss reflected in the condensed consolidated statement of income (loss). The fair value of capped call derivative assets was $84.9 million as of March 31, 2021.</w:t>
      </w:r>
    </w:p>
    <w:p>
      <w:pPr>
        <w:spacing w:after="0" w:line="54" w:lineRule="exact"/>
        <w:rPr>
          <w:sz w:val="20"/>
          <w:szCs w:val="20"/>
          <w:color w:val="auto"/>
        </w:rPr>
      </w:pPr>
    </w:p>
    <w:p>
      <w:pPr>
        <w:jc w:val="both"/>
        <w:ind w:right="160" w:firstLine="139"/>
        <w:spacing w:after="0" w:line="273" w:lineRule="auto"/>
        <w:rPr>
          <w:sz w:val="20"/>
          <w:szCs w:val="20"/>
          <w:color w:val="auto"/>
        </w:rPr>
      </w:pPr>
      <w:r>
        <w:rPr>
          <w:rFonts w:ascii="Arial" w:cs="Arial" w:eastAsia="Arial" w:hAnsi="Arial"/>
          <w:sz w:val="15"/>
          <w:szCs w:val="15"/>
          <w:color w:val="auto"/>
        </w:rPr>
        <w:t>The current and non-current classification is evaluated at each balance sheet date and may change depending on whether any exchange conditions are met. As of March 31, 2021, no exchange conditions have been met and the Notes, embedded exchange feature derivative liability, and the capped call derivative assets are classified as non-current. Please refer to “Note 5. Fair Value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auto"/>
        </w:rPr>
        <w:t>Measurements” for details on the valuation of the embedded exchange feature derivative liability and capped call derivative assets.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Derivatives and Risk Management</w:t>
      </w:r>
    </w:p>
    <w:p>
      <w:pPr>
        <w:spacing w:after="0" w:line="102" w:lineRule="exact"/>
        <w:rPr>
          <w:sz w:val="20"/>
          <w:szCs w:val="20"/>
          <w:color w:val="auto"/>
        </w:rPr>
      </w:pPr>
    </w:p>
    <w:p>
      <w:pPr>
        <w:ind w:right="120" w:firstLine="139"/>
        <w:spacing w:after="0" w:line="268" w:lineRule="auto"/>
        <w:rPr>
          <w:sz w:val="20"/>
          <w:szCs w:val="20"/>
          <w:color w:val="auto"/>
        </w:rPr>
      </w:pPr>
      <w:r>
        <w:rPr>
          <w:rFonts w:ascii="Arial" w:cs="Arial" w:eastAsia="Arial" w:hAnsi="Arial"/>
          <w:sz w:val="15"/>
          <w:szCs w:val="15"/>
          <w:color w:val="auto"/>
        </w:rPr>
        <w:t>Due to the global nature of our operations, we are exposed to foreign currency exchange rate fluctuations. We enter into FX derivative contracts to reduce the impact of foreign currency exchange rate fluctuations on earnings and cash flow. We are also exposed to equity price risk in connection with our Notes, including exchange and settlement provisions based on the price of our ordinary shares at exchange or maturity of the Notes. In addition, the capped call transactions associated with the Notes also include settlement provisions that are based on the price of our ordinary shares, subject to a capped price per share.</w:t>
      </w:r>
    </w:p>
    <w:p>
      <w:pPr>
        <w:spacing w:after="0" w:line="62" w:lineRule="exact"/>
        <w:rPr>
          <w:sz w:val="20"/>
          <w:szCs w:val="20"/>
          <w:color w:val="auto"/>
        </w:rPr>
      </w:pPr>
    </w:p>
    <w:p>
      <w:pPr>
        <w:ind w:right="60" w:firstLine="139"/>
        <w:spacing w:after="0" w:line="301" w:lineRule="auto"/>
        <w:rPr>
          <w:sz w:val="20"/>
          <w:szCs w:val="20"/>
          <w:color w:val="auto"/>
        </w:rPr>
      </w:pPr>
      <w:r>
        <w:rPr>
          <w:rFonts w:ascii="Arial" w:cs="Arial" w:eastAsia="Arial" w:hAnsi="Arial"/>
          <w:sz w:val="14"/>
          <w:szCs w:val="14"/>
          <w:color w:val="auto"/>
        </w:rPr>
        <w:t>We measure all outstanding derivatives each period end at fair value and report the fair value as either financial assets or liabilities on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42" w:lineRule="exact"/>
        <w:rPr>
          <w:sz w:val="20"/>
          <w:szCs w:val="20"/>
          <w:color w:val="auto"/>
        </w:rPr>
      </w:pPr>
    </w:p>
    <w:p>
      <w:pPr>
        <w:ind w:right="20" w:firstLine="139"/>
        <w:spacing w:after="0" w:line="268" w:lineRule="auto"/>
        <w:rPr>
          <w:sz w:val="20"/>
          <w:szCs w:val="20"/>
          <w:color w:val="auto"/>
        </w:rPr>
      </w:pPr>
      <w:r>
        <w:rPr>
          <w:rFonts w:ascii="Arial" w:cs="Arial" w:eastAsia="Arial" w:hAnsi="Arial"/>
          <w:sz w:val="15"/>
          <w:szCs w:val="15"/>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We evaluate hedge effectiveness at inception. Cash flows from derivative contracts are reported as operating activities on our condensed consolidated statements of cash flows.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Freestanding FX Derivative Contracts</w:t>
      </w:r>
    </w:p>
    <w:p>
      <w:pPr>
        <w:spacing w:after="0" w:line="98" w:lineRule="exact"/>
        <w:rPr>
          <w:sz w:val="20"/>
          <w:szCs w:val="20"/>
          <w:color w:val="auto"/>
        </w:rPr>
      </w:pPr>
    </w:p>
    <w:p>
      <w:pPr>
        <w:ind w:firstLine="139"/>
        <w:spacing w:after="0" w:line="268" w:lineRule="auto"/>
        <w:rPr>
          <w:sz w:val="20"/>
          <w:szCs w:val="20"/>
          <w:color w:val="auto"/>
        </w:rPr>
      </w:pPr>
      <w:r>
        <w:rPr>
          <w:rFonts w:ascii="Arial" w:cs="Arial" w:eastAsia="Arial" w:hAnsi="Arial"/>
          <w:sz w:val="15"/>
          <w:szCs w:val="15"/>
          <w:color w:val="auto"/>
        </w:rPr>
        <w:t>The gross notional amount of FX derivative contracts not designated as hedging instruments outstanding at March 31, 2021 and December 31, 2020 was $200.4 million and $352.6 million, respectively. These derivative contracts are designed to offset the FX effects in earnings of various intercompany loans and trade receivables. We recorded net gains for these freestanding derivatives of $7.7 million and $8.1 million for the three months ended March 31, 2021 and 2020, respectively. These gains are included in foreign exchange and other losses on our condensed consolidated statement of income (loss).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Counterparty Credit Risk</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We are exposed to credit risk in the event of non-performance by the counterparties to our derivatives.</w:t>
      </w:r>
    </w:p>
    <w:p>
      <w:pPr>
        <w:spacing w:after="0" w:line="105" w:lineRule="exact"/>
        <w:rPr>
          <w:sz w:val="20"/>
          <w:szCs w:val="20"/>
          <w:color w:val="auto"/>
        </w:rPr>
      </w:pPr>
    </w:p>
    <w:p>
      <w:pPr>
        <w:ind w:firstLine="139"/>
        <w:spacing w:after="0" w:line="301" w:lineRule="auto"/>
        <w:rPr>
          <w:sz w:val="20"/>
          <w:szCs w:val="20"/>
          <w:color w:val="auto"/>
        </w:rPr>
      </w:pPr>
      <w:r>
        <w:rPr>
          <w:rFonts w:ascii="Arial" w:cs="Arial" w:eastAsia="Arial" w:hAnsi="Arial"/>
          <w:sz w:val="14"/>
          <w:szCs w:val="14"/>
          <w:color w:val="auto"/>
        </w:rPr>
        <w:t>The two counterparties to the capped call transactions are financial institutions. To limit our credit risk, we selected financial institutions with a minimum long-term investment grade credit rating. Our exposure to the credit risk of the counterparties is not secured by any collateral. If a counterparty becomes subject to insolvency proceedings, we will become an unsecured creditor in those proceedings, with a claim equal to our exposure at that time under the capped call transactions with that counterparty.</w:t>
      </w:r>
    </w:p>
    <w:p>
      <w:pPr>
        <w:spacing w:after="0" w:line="42" w:lineRule="exact"/>
        <w:rPr>
          <w:sz w:val="20"/>
          <w:szCs w:val="20"/>
          <w:color w:val="auto"/>
        </w:rPr>
      </w:pPr>
    </w:p>
    <w:p>
      <w:pPr>
        <w:ind w:right="80" w:firstLine="139"/>
        <w:spacing w:after="0" w:line="301" w:lineRule="auto"/>
        <w:rPr>
          <w:sz w:val="20"/>
          <w:szCs w:val="20"/>
          <w:color w:val="auto"/>
        </w:rPr>
      </w:pPr>
      <w:r>
        <w:rPr>
          <w:rFonts w:ascii="Arial" w:cs="Arial" w:eastAsia="Arial" w:hAnsi="Arial"/>
          <w:sz w:val="14"/>
          <w:szCs w:val="14"/>
          <w:color w:val="auto"/>
        </w:rPr>
        <w:t>To manage credit risk with respect to our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788" w:right="37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Cash Flow Hedges</w:t>
      </w:r>
    </w:p>
    <w:p>
      <w:pPr>
        <w:spacing w:after="0" w:line="98" w:lineRule="exact"/>
        <w:rPr>
          <w:sz w:val="20"/>
          <w:szCs w:val="20"/>
          <w:color w:val="auto"/>
        </w:rPr>
      </w:pPr>
    </w:p>
    <w:p>
      <w:pPr>
        <w:ind w:right="180" w:firstLine="139"/>
        <w:spacing w:after="0" w:line="370" w:lineRule="auto"/>
        <w:rPr>
          <w:sz w:val="20"/>
          <w:szCs w:val="20"/>
          <w:color w:val="auto"/>
        </w:rPr>
      </w:pPr>
      <w:r>
        <w:rPr>
          <w:rFonts w:ascii="Arial" w:cs="Arial" w:eastAsia="Arial" w:hAnsi="Arial"/>
          <w:sz w:val="13"/>
          <w:szCs w:val="13"/>
          <w:color w:val="auto"/>
        </w:rPr>
        <w:t>We utilize FX derivative contracts, designed as cash flow hedges, to hedge the variability of cash flows associated with our 12 months U.S. dollar forecasts of revenues and costs denominated in British Pound, Japanese Yen and the Euro. We transfer to earnings from AOCI the gain or loss realized on the FX derivative contracts at the time of invoicing.</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gross notional amounts of open derivative contracts designated as cash flow hedges at March 31, 2021 and December 31, 2020 were as follows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 of Derivative Contract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December 31, 2020</w:t>
            </w:r>
          </w:p>
        </w:tc>
      </w:tr>
      <w:tr>
        <w:trPr>
          <w:trHeight w:val="188"/>
        </w:trPr>
        <w:tc>
          <w:tcPr>
            <w:tcW w:w="6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 to be exchanged for British Pounds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9,545</w:t>
            </w:r>
          </w:p>
        </w:tc>
      </w:tr>
      <w:tr>
        <w:trPr>
          <w:trHeight w:val="196"/>
        </w:trPr>
        <w:tc>
          <w:tcPr>
            <w:tcW w:w="6760" w:type="dxa"/>
            <w:vAlign w:val="bottom"/>
            <w:gridSpan w:val="2"/>
          </w:tcPr>
          <w:p>
            <w:pPr>
              <w:spacing w:after="0"/>
              <w:rPr>
                <w:sz w:val="20"/>
                <w:szCs w:val="20"/>
                <w:color w:val="auto"/>
              </w:rPr>
            </w:pPr>
            <w:r>
              <w:rPr>
                <w:rFonts w:ascii="Arial" w:cs="Arial" w:eastAsia="Arial" w:hAnsi="Arial"/>
                <w:sz w:val="15"/>
                <w:szCs w:val="15"/>
                <w:color w:val="auto"/>
              </w:rPr>
              <w:t>FX derivative contracts to be exchanged for Japanese Yen</w:t>
            </w:r>
          </w:p>
        </w:tc>
        <w:tc>
          <w:tcPr>
            <w:tcW w:w="34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5"/>
                <w:szCs w:val="15"/>
                <w:color w:val="auto"/>
              </w:rPr>
              <w:t>16,209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18,637</w:t>
            </w:r>
          </w:p>
        </w:tc>
      </w:tr>
      <w:tr>
        <w:trPr>
          <w:trHeight w:val="197"/>
        </w:trPr>
        <w:tc>
          <w:tcPr>
            <w:tcW w:w="6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 to be exchanged for Euros</w:t>
            </w:r>
          </w:p>
        </w:tc>
        <w:tc>
          <w:tcPr>
            <w:tcW w:w="34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41,325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47,444</w:t>
            </w:r>
          </w:p>
        </w:tc>
      </w:tr>
      <w:tr>
        <w:trPr>
          <w:trHeight w:val="188"/>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67,748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75,626</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right="100" w:firstLine="139"/>
        <w:spacing w:after="0" w:line="277" w:lineRule="auto"/>
        <w:rPr>
          <w:sz w:val="20"/>
          <w:szCs w:val="20"/>
          <w:color w:val="auto"/>
        </w:rPr>
      </w:pPr>
      <w:r>
        <w:rPr>
          <w:rFonts w:ascii="Arial" w:cs="Arial" w:eastAsia="Arial" w:hAnsi="Arial"/>
          <w:sz w:val="15"/>
          <w:szCs w:val="15"/>
          <w:color w:val="auto"/>
        </w:rPr>
        <w:t>After-tax net loss associated with derivatives designated as cash flow hedges recorded in the ending balance of AOCI and the amount expected to be reclassified to earnings in the next 12 months are as follows (in thousands):</w:t>
      </w: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tcPr>
          <w:p>
            <w:pPr>
              <w:jc w:val="center"/>
              <w:spacing w:after="0" w:line="156" w:lineRule="exact"/>
              <w:rPr>
                <w:sz w:val="20"/>
                <w:szCs w:val="20"/>
                <w:color w:val="auto"/>
              </w:rPr>
            </w:pPr>
            <w:r>
              <w:rPr>
                <w:rFonts w:ascii="Arial" w:cs="Arial" w:eastAsia="Arial" w:hAnsi="Arial"/>
                <w:sz w:val="15"/>
                <w:szCs w:val="15"/>
                <w:b w:val="1"/>
                <w:bCs w:val="1"/>
                <w:color w:val="auto"/>
                <w:w w:val="96"/>
              </w:rPr>
              <w:t>After-Tax Net Gain in AOCI as</w:t>
            </w:r>
          </w:p>
        </w:tc>
        <w:tc>
          <w:tcPr>
            <w:tcW w:w="0" w:type="dxa"/>
            <w:vAlign w:val="bottom"/>
          </w:tcPr>
          <w:p>
            <w:pPr>
              <w:spacing w:after="0"/>
              <w:rPr>
                <w:sz w:val="1"/>
                <w:szCs w:val="1"/>
                <w:color w:val="auto"/>
              </w:rPr>
            </w:pPr>
          </w:p>
        </w:tc>
      </w:tr>
      <w:tr>
        <w:trPr>
          <w:trHeight w:val="150"/>
        </w:trPr>
        <w:tc>
          <w:tcPr>
            <w:tcW w:w="6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3"/>
            <w:vMerge w:val="restart"/>
          </w:tcPr>
          <w:p>
            <w:pPr>
              <w:jc w:val="right"/>
              <w:ind w:right="160"/>
              <w:spacing w:after="0"/>
              <w:rPr>
                <w:sz w:val="20"/>
                <w:szCs w:val="20"/>
                <w:color w:val="auto"/>
              </w:rPr>
            </w:pPr>
            <w:r>
              <w:rPr>
                <w:rFonts w:ascii="Arial" w:cs="Arial" w:eastAsia="Arial" w:hAnsi="Arial"/>
                <w:sz w:val="15"/>
                <w:szCs w:val="15"/>
                <w:b w:val="1"/>
                <w:bCs w:val="1"/>
                <w:color w:val="auto"/>
                <w:w w:val="99"/>
              </w:rPr>
              <w:t>After-Tax Net Gain in AOCI as</w:t>
            </w:r>
          </w:p>
        </w:tc>
        <w:tc>
          <w:tcPr>
            <w:tcW w:w="180" w:type="dxa"/>
            <w:vAlign w:val="bottom"/>
          </w:tcPr>
          <w:p>
            <w:pPr>
              <w:spacing w:after="0"/>
              <w:rPr>
                <w:sz w:val="13"/>
                <w:szCs w:val="13"/>
                <w:color w:val="auto"/>
              </w:rPr>
            </w:pPr>
          </w:p>
        </w:tc>
        <w:tc>
          <w:tcPr>
            <w:tcW w:w="2020" w:type="dxa"/>
            <w:vAlign w:val="bottom"/>
          </w:tcPr>
          <w:p>
            <w:pPr>
              <w:jc w:val="center"/>
              <w:ind w:right="103"/>
              <w:spacing w:after="0" w:line="151" w:lineRule="exact"/>
              <w:rPr>
                <w:sz w:val="20"/>
                <w:szCs w:val="20"/>
                <w:color w:val="auto"/>
              </w:rPr>
            </w:pPr>
            <w:r>
              <w:rPr>
                <w:rFonts w:ascii="Arial" w:cs="Arial" w:eastAsia="Arial" w:hAnsi="Arial"/>
                <w:sz w:val="15"/>
                <w:szCs w:val="15"/>
                <w:b w:val="1"/>
                <w:bCs w:val="1"/>
                <w:color w:val="auto"/>
                <w:w w:val="92"/>
              </w:rPr>
              <w:t>of Amount Expected to be</w:t>
            </w:r>
          </w:p>
        </w:tc>
        <w:tc>
          <w:tcPr>
            <w:tcW w:w="0" w:type="dxa"/>
            <w:vAlign w:val="bottom"/>
          </w:tcPr>
          <w:p>
            <w:pPr>
              <w:spacing w:after="0"/>
              <w:rPr>
                <w:sz w:val="1"/>
                <w:szCs w:val="1"/>
                <w:color w:val="auto"/>
              </w:rPr>
            </w:pPr>
          </w:p>
        </w:tc>
      </w:tr>
      <w:tr>
        <w:trPr>
          <w:trHeight w:val="150"/>
        </w:trPr>
        <w:tc>
          <w:tcPr>
            <w:tcW w:w="6660" w:type="dxa"/>
            <w:vAlign w:val="bottom"/>
            <w:vMerge w:val="restart"/>
          </w:tcPr>
          <w:p>
            <w:pPr>
              <w:spacing w:after="0"/>
              <w:rPr>
                <w:sz w:val="20"/>
                <w:szCs w:val="20"/>
                <w:color w:val="auto"/>
              </w:rPr>
            </w:pPr>
            <w:r>
              <w:rPr>
                <w:rFonts w:ascii="Arial" w:cs="Arial" w:eastAsia="Arial" w:hAnsi="Arial"/>
                <w:sz w:val="15"/>
                <w:szCs w:val="15"/>
                <w:b w:val="1"/>
                <w:bCs w:val="1"/>
                <w:color w:val="auto"/>
              </w:rPr>
              <w:t>Description of Derivative Contract</w:t>
            </w:r>
          </w:p>
        </w:tc>
        <w:tc>
          <w:tcPr>
            <w:tcW w:w="100" w:type="dxa"/>
            <w:vAlign w:val="bottom"/>
            <w:vMerge w:val="restart"/>
          </w:tcPr>
          <w:p>
            <w:pPr>
              <w:spacing w:after="0"/>
              <w:rPr>
                <w:sz w:val="13"/>
                <w:szCs w:val="13"/>
                <w:color w:val="auto"/>
              </w:rPr>
            </w:pPr>
          </w:p>
        </w:tc>
        <w:tc>
          <w:tcPr>
            <w:tcW w:w="2280" w:type="dxa"/>
            <w:vAlign w:val="bottom"/>
            <w:gridSpan w:val="3"/>
            <w:vMerge w:val="continue"/>
          </w:tcPr>
          <w:p>
            <w:pPr>
              <w:spacing w:after="0"/>
              <w:rPr>
                <w:sz w:val="13"/>
                <w:szCs w:val="13"/>
                <w:color w:val="auto"/>
              </w:rPr>
            </w:pPr>
          </w:p>
        </w:tc>
        <w:tc>
          <w:tcPr>
            <w:tcW w:w="2200" w:type="dxa"/>
            <w:vAlign w:val="bottom"/>
            <w:gridSpan w:val="2"/>
          </w:tcPr>
          <w:p>
            <w:pPr>
              <w:jc w:val="center"/>
              <w:spacing w:after="0" w:line="151" w:lineRule="exact"/>
              <w:rPr>
                <w:sz w:val="20"/>
                <w:szCs w:val="20"/>
                <w:color w:val="auto"/>
              </w:rPr>
            </w:pPr>
            <w:r>
              <w:rPr>
                <w:rFonts w:ascii="Arial" w:cs="Arial" w:eastAsia="Arial" w:hAnsi="Arial"/>
                <w:sz w:val="15"/>
                <w:szCs w:val="15"/>
                <w:b w:val="1"/>
                <w:bCs w:val="1"/>
                <w:color w:val="auto"/>
                <w:w w:val="91"/>
              </w:rPr>
              <w:t>Reclassified to Earnings in Next</w:t>
            </w:r>
          </w:p>
        </w:tc>
        <w:tc>
          <w:tcPr>
            <w:tcW w:w="0" w:type="dxa"/>
            <w:vAlign w:val="bottom"/>
          </w:tcPr>
          <w:p>
            <w:pPr>
              <w:spacing w:after="0"/>
              <w:rPr>
                <w:sz w:val="1"/>
                <w:szCs w:val="1"/>
                <w:color w:val="auto"/>
              </w:rPr>
            </w:pPr>
          </w:p>
        </w:tc>
      </w:tr>
      <w:tr>
        <w:trPr>
          <w:trHeight w:val="197"/>
        </w:trPr>
        <w:tc>
          <w:tcPr>
            <w:tcW w:w="6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of March 31, 2021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1"/>
              </w:rPr>
              <w:t>12 Months</w:t>
            </w:r>
          </w:p>
        </w:tc>
        <w:tc>
          <w:tcPr>
            <w:tcW w:w="0" w:type="dxa"/>
            <w:vAlign w:val="bottom"/>
          </w:tcPr>
          <w:p>
            <w:pPr>
              <w:spacing w:after="0"/>
              <w:rPr>
                <w:sz w:val="1"/>
                <w:szCs w:val="1"/>
                <w:color w:val="auto"/>
              </w:rPr>
            </w:pPr>
          </w:p>
        </w:tc>
      </w:tr>
      <w:tr>
        <w:trPr>
          <w:trHeight w:val="188"/>
        </w:trPr>
        <w:tc>
          <w:tcPr>
            <w:tcW w:w="67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1,249</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300" w:firstLine="139"/>
        <w:spacing w:after="0" w:line="277" w:lineRule="auto"/>
        <w:rPr>
          <w:sz w:val="20"/>
          <w:szCs w:val="20"/>
          <w:color w:val="auto"/>
        </w:rPr>
      </w:pPr>
      <w:r>
        <w:rPr>
          <w:rFonts w:ascii="Arial" w:cs="Arial" w:eastAsia="Arial" w:hAnsi="Arial"/>
          <w:sz w:val="15"/>
          <w:szCs w:val="15"/>
          <w:color w:val="auto"/>
        </w:rPr>
        <w:t>Pre-tax gains (losses) for derivative contracts designated as cash flow hedges recognized in other comprehensive income (loss) (“OCI”) and the amount reclassified to earnings from AOCI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5"/>
          </w:tcPr>
          <w:p>
            <w:pPr>
              <w:ind w:left="440"/>
              <w:spacing w:after="0"/>
              <w:rPr>
                <w:sz w:val="20"/>
                <w:szCs w:val="20"/>
                <w:color w:val="auto"/>
              </w:rPr>
            </w:pPr>
            <w:r>
              <w:rPr>
                <w:rFonts w:ascii="Arial" w:cs="Arial" w:eastAsia="Arial" w:hAnsi="Arial"/>
                <w:sz w:val="15"/>
                <w:szCs w:val="15"/>
                <w:b w:val="1"/>
                <w:bCs w:val="1"/>
                <w:color w:val="auto"/>
              </w:rPr>
              <w:t>Three Months Ended March 31,</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2020</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Description of Derivative</w:t>
            </w:r>
          </w:p>
        </w:tc>
        <w:tc>
          <w:tcPr>
            <w:tcW w:w="2400" w:type="dxa"/>
            <w:vAlign w:val="bottom"/>
            <w:gridSpan w:val="3"/>
            <w:vMerge w:val="restart"/>
          </w:tcPr>
          <w:p>
            <w:pPr>
              <w:jc w:val="center"/>
              <w:ind w:right="200"/>
              <w:spacing w:after="0"/>
              <w:rPr>
                <w:sz w:val="20"/>
                <w:szCs w:val="20"/>
                <w:color w:val="auto"/>
              </w:rPr>
            </w:pPr>
            <w:r>
              <w:rPr>
                <w:rFonts w:ascii="Arial" w:cs="Arial" w:eastAsia="Arial" w:hAnsi="Arial"/>
                <w:sz w:val="15"/>
                <w:szCs w:val="15"/>
                <w:b w:val="1"/>
                <w:bCs w:val="1"/>
                <w:color w:val="auto"/>
                <w:w w:val="93"/>
              </w:rPr>
              <w:t>Location in Earnings of</w:t>
            </w: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88"/>
              </w:rPr>
              <w:t>Losses Recognized in</w:t>
            </w:r>
          </w:p>
        </w:tc>
        <w:tc>
          <w:tcPr>
            <w:tcW w:w="140" w:type="dxa"/>
            <w:vAlign w:val="bottom"/>
          </w:tcPr>
          <w:p>
            <w:pPr>
              <w:spacing w:after="0"/>
              <w:rPr>
                <w:sz w:val="12"/>
                <w:szCs w:val="12"/>
                <w:color w:val="auto"/>
              </w:rPr>
            </w:pPr>
          </w:p>
        </w:tc>
        <w:tc>
          <w:tcPr>
            <w:tcW w:w="1440" w:type="dxa"/>
            <w:vAlign w:val="bottom"/>
          </w:tcPr>
          <w:p>
            <w:pPr>
              <w:jc w:val="center"/>
              <w:ind w:right="63"/>
              <w:spacing w:after="0" w:line="142" w:lineRule="exact"/>
              <w:rPr>
                <w:sz w:val="20"/>
                <w:szCs w:val="20"/>
                <w:color w:val="auto"/>
              </w:rPr>
            </w:pPr>
            <w:r>
              <w:rPr>
                <w:rFonts w:ascii="Arial" w:cs="Arial" w:eastAsia="Arial" w:hAnsi="Arial"/>
                <w:sz w:val="15"/>
                <w:szCs w:val="15"/>
                <w:b w:val="1"/>
                <w:bCs w:val="1"/>
                <w:color w:val="auto"/>
                <w:w w:val="87"/>
              </w:rPr>
              <w:t>(Losses) Gains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88"/>
              </w:rPr>
              <w:t>Losses Recognized in</w:t>
            </w:r>
          </w:p>
        </w:tc>
        <w:tc>
          <w:tcPr>
            <w:tcW w:w="120" w:type="dxa"/>
            <w:vAlign w:val="bottom"/>
          </w:tcPr>
          <w:p>
            <w:pPr>
              <w:spacing w:after="0"/>
              <w:rPr>
                <w:sz w:val="12"/>
                <w:szCs w:val="12"/>
                <w:color w:val="auto"/>
              </w:rPr>
            </w:pPr>
          </w:p>
        </w:tc>
        <w:tc>
          <w:tcPr>
            <w:tcW w:w="1460" w:type="dxa"/>
            <w:vAlign w:val="bottom"/>
          </w:tcPr>
          <w:p>
            <w:pPr>
              <w:jc w:val="center"/>
              <w:ind w:right="63"/>
              <w:spacing w:after="0" w:line="142" w:lineRule="exact"/>
              <w:rPr>
                <w:sz w:val="20"/>
                <w:szCs w:val="20"/>
                <w:color w:val="auto"/>
              </w:rPr>
            </w:pPr>
            <w:r>
              <w:rPr>
                <w:rFonts w:ascii="Arial" w:cs="Arial" w:eastAsia="Arial" w:hAnsi="Arial"/>
                <w:sz w:val="15"/>
                <w:szCs w:val="15"/>
                <w:b w:val="1"/>
                <w:bCs w:val="1"/>
                <w:color w:val="auto"/>
                <w:w w:val="86"/>
              </w:rPr>
              <w:t>Losses Reclassified</w:t>
            </w:r>
          </w:p>
        </w:tc>
        <w:tc>
          <w:tcPr>
            <w:tcW w:w="0" w:type="dxa"/>
            <w:vAlign w:val="bottom"/>
          </w:tcPr>
          <w:p>
            <w:pPr>
              <w:spacing w:after="0"/>
              <w:rPr>
                <w:sz w:val="1"/>
                <w:szCs w:val="1"/>
                <w:color w:val="auto"/>
              </w:rPr>
            </w:pPr>
          </w:p>
        </w:tc>
      </w:tr>
      <w:tr>
        <w:trPr>
          <w:trHeight w:val="150"/>
        </w:trPr>
        <w:tc>
          <w:tcPr>
            <w:tcW w:w="2240" w:type="dxa"/>
            <w:vAlign w:val="bottom"/>
            <w:gridSpan w:val="2"/>
            <w:vMerge w:val="continue"/>
          </w:tcPr>
          <w:p>
            <w:pPr>
              <w:spacing w:after="0"/>
              <w:rPr>
                <w:sz w:val="13"/>
                <w:szCs w:val="13"/>
                <w:color w:val="auto"/>
              </w:rPr>
            </w:pPr>
          </w:p>
        </w:tc>
        <w:tc>
          <w:tcPr>
            <w:tcW w:w="2400" w:type="dxa"/>
            <w:vAlign w:val="bottom"/>
            <w:gridSpan w:val="3"/>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1"/>
              </w:rPr>
              <w:t>Reclassified from</w:t>
            </w:r>
          </w:p>
        </w:tc>
        <w:tc>
          <w:tcPr>
            <w:tcW w:w="10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43"/>
              <w:spacing w:after="0" w:line="151" w:lineRule="exact"/>
              <w:rPr>
                <w:sz w:val="20"/>
                <w:szCs w:val="20"/>
                <w:color w:val="auto"/>
              </w:rPr>
            </w:pPr>
            <w:r>
              <w:rPr>
                <w:rFonts w:ascii="Arial" w:cs="Arial" w:eastAsia="Arial" w:hAnsi="Arial"/>
                <w:sz w:val="15"/>
                <w:szCs w:val="15"/>
                <w:b w:val="1"/>
                <w:bCs w:val="1"/>
                <w:color w:val="auto"/>
              </w:rPr>
              <w:t>from AOCI to</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Contract</w:t>
            </w:r>
          </w:p>
        </w:tc>
        <w:tc>
          <w:tcPr>
            <w:tcW w:w="10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Reclassified Gain or Loss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OCI</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8"/>
              </w:rPr>
              <w:t>AOCI to Earnings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OCI</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3"/>
              </w:rPr>
              <w:t>Earnings</w:t>
            </w:r>
          </w:p>
        </w:tc>
        <w:tc>
          <w:tcPr>
            <w:tcW w:w="0" w:type="dxa"/>
            <w:vAlign w:val="bottom"/>
          </w:tcPr>
          <w:p>
            <w:pPr>
              <w:spacing w:after="0"/>
              <w:rPr>
                <w:sz w:val="1"/>
                <w:szCs w:val="1"/>
                <w:color w:val="auto"/>
              </w:rPr>
            </w:pPr>
          </w:p>
        </w:tc>
      </w:tr>
      <w:tr>
        <w:trPr>
          <w:trHeight w:val="188"/>
        </w:trPr>
        <w:tc>
          <w:tcPr>
            <w:tcW w:w="2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w:t>
            </w:r>
          </w:p>
        </w:tc>
        <w:tc>
          <w:tcPr>
            <w:tcW w:w="24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4"/>
              </w:rPr>
              <w:t>Foreign exchange and other losses  $</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w:t>
            </w:r>
          </w:p>
        </w:tc>
        <w:tc>
          <w:tcPr>
            <w:tcW w:w="0" w:type="dxa"/>
            <w:vAlign w:val="bottom"/>
          </w:tcPr>
          <w:p>
            <w:pPr>
              <w:spacing w:after="0"/>
              <w:rPr>
                <w:sz w:val="1"/>
                <w:szCs w:val="1"/>
                <w:color w:val="auto"/>
              </w:rPr>
            </w:pPr>
          </w:p>
        </w:tc>
      </w:tr>
      <w:tr>
        <w:trPr>
          <w:trHeight w:val="196"/>
        </w:trPr>
        <w:tc>
          <w:tcPr>
            <w:tcW w:w="2240" w:type="dxa"/>
            <w:vAlign w:val="bottom"/>
            <w:gridSpan w:val="2"/>
          </w:tcPr>
          <w:p>
            <w:pPr>
              <w:spacing w:after="0"/>
              <w:rPr>
                <w:sz w:val="20"/>
                <w:szCs w:val="20"/>
                <w:color w:val="auto"/>
              </w:rPr>
            </w:pPr>
            <w:r>
              <w:rPr>
                <w:rFonts w:ascii="Arial" w:cs="Arial" w:eastAsia="Arial" w:hAnsi="Arial"/>
                <w:sz w:val="15"/>
                <w:szCs w:val="15"/>
                <w:color w:val="auto"/>
              </w:rPr>
              <w:t>FX derivative contracts</w:t>
            </w:r>
          </w:p>
        </w:tc>
        <w:tc>
          <w:tcPr>
            <w:tcW w:w="2400" w:type="dxa"/>
            <w:vAlign w:val="bottom"/>
            <w:gridSpan w:val="3"/>
          </w:tcPr>
          <w:p>
            <w:pPr>
              <w:ind w:left="20"/>
              <w:spacing w:after="0"/>
              <w:rPr>
                <w:sz w:val="20"/>
                <w:szCs w:val="20"/>
                <w:color w:val="auto"/>
              </w:rPr>
            </w:pPr>
            <w:r>
              <w:rPr>
                <w:rFonts w:ascii="Arial" w:cs="Arial" w:eastAsia="Arial" w:hAnsi="Arial"/>
                <w:sz w:val="15"/>
                <w:szCs w:val="15"/>
                <w:color w:val="auto"/>
              </w:rPr>
              <w:t>SG&amp;A</w:t>
            </w:r>
          </w:p>
        </w:tc>
        <w:tc>
          <w:tcPr>
            <w:tcW w:w="1600" w:type="dxa"/>
            <w:vAlign w:val="bottom"/>
            <w:gridSpan w:val="2"/>
          </w:tcPr>
          <w:p>
            <w:pPr>
              <w:ind w:left="1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97"/>
        </w:trPr>
        <w:tc>
          <w:tcPr>
            <w:tcW w:w="2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rate swap contracts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(2,223)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(811)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(2,080)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right="200" w:firstLine="139"/>
        <w:spacing w:after="0" w:line="327" w:lineRule="auto"/>
        <w:rPr>
          <w:sz w:val="20"/>
          <w:szCs w:val="20"/>
          <w:color w:val="auto"/>
        </w:rPr>
      </w:pPr>
      <w:r>
        <w:rPr>
          <w:rFonts w:ascii="Arial" w:cs="Arial" w:eastAsia="Arial" w:hAnsi="Arial"/>
          <w:sz w:val="14"/>
          <w:szCs w:val="14"/>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9" w:name="page20"/>
    <w:bookmarkEnd w:id="19"/>
    <w:p>
      <w:pPr>
        <w:ind w:left="140"/>
        <w:spacing w:after="0"/>
        <w:rPr>
          <w:sz w:val="20"/>
          <w:szCs w:val="20"/>
          <w:color w:val="auto"/>
        </w:rPr>
      </w:pPr>
      <w:r>
        <w:rPr>
          <w:rFonts w:ascii="Arial" w:cs="Arial" w:eastAsia="Arial" w:hAnsi="Arial"/>
          <w:sz w:val="15"/>
          <w:szCs w:val="15"/>
          <w:color w:val="auto"/>
        </w:rPr>
        <w:t>The following tables present the fair value and the location of derivative contracts reported on the condensed consolidated balance sheets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Pr>
          <w:p>
            <w:pPr>
              <w:spacing w:after="0"/>
              <w:rPr>
                <w:sz w:val="17"/>
                <w:szCs w:val="17"/>
                <w:color w:val="auto"/>
              </w:rPr>
            </w:pPr>
          </w:p>
        </w:tc>
        <w:tc>
          <w:tcPr>
            <w:tcW w:w="2540" w:type="dxa"/>
            <w:vAlign w:val="bottom"/>
            <w:tcBorders>
              <w:bottom w:val="single" w:sz="8" w:color="auto"/>
            </w:tcBorders>
            <w:gridSpan w:val="3"/>
          </w:tcPr>
          <w:p>
            <w:pPr>
              <w:ind w:left="1400"/>
              <w:spacing w:after="0"/>
              <w:rPr>
                <w:sz w:val="20"/>
                <w:szCs w:val="20"/>
                <w:color w:val="auto"/>
              </w:rPr>
            </w:pPr>
            <w:r>
              <w:rPr>
                <w:rFonts w:ascii="Arial" w:cs="Arial" w:eastAsia="Arial" w:hAnsi="Arial"/>
                <w:sz w:val="15"/>
                <w:szCs w:val="15"/>
                <w:b w:val="1"/>
                <w:bCs w:val="1"/>
                <w:color w:val="auto"/>
                <w:w w:val="89"/>
              </w:rPr>
              <w:t>Asset Derivatives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bottom w:val="single" w:sz="8" w:color="auto"/>
            </w:tcBorders>
            <w:gridSpan w:val="3"/>
          </w:tcPr>
          <w:p>
            <w:pPr>
              <w:ind w:left="1300"/>
              <w:spacing w:after="0"/>
              <w:rPr>
                <w:sz w:val="20"/>
                <w:szCs w:val="20"/>
                <w:color w:val="auto"/>
              </w:rPr>
            </w:pPr>
            <w:r>
              <w:rPr>
                <w:rFonts w:ascii="Arial" w:cs="Arial" w:eastAsia="Arial" w:hAnsi="Arial"/>
                <w:sz w:val="15"/>
                <w:szCs w:val="15"/>
                <w:b w:val="1"/>
                <w:bCs w:val="1"/>
                <w:color w:val="auto"/>
                <w:w w:val="99"/>
              </w:rPr>
              <w:t>Liability Derivatives</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2"/>
              </w:rPr>
              <w:t>Derivatives Designated as Hedging Instruments</w:t>
            </w:r>
          </w:p>
        </w:tc>
        <w:tc>
          <w:tcPr>
            <w:tcW w:w="10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3"/>
              <w:spacing w:after="0" w:line="188" w:lineRule="exact"/>
              <w:rPr>
                <w:sz w:val="20"/>
                <w:szCs w:val="20"/>
                <w:color w:val="auto"/>
              </w:rPr>
            </w:pPr>
            <w:r>
              <w:rPr>
                <w:rFonts w:ascii="Arial" w:cs="Arial" w:eastAsia="Arial" w:hAnsi="Arial"/>
                <w:sz w:val="15"/>
                <w:szCs w:val="15"/>
                <w:b w:val="1"/>
                <w:bCs w:val="1"/>
                <w:color w:val="auto"/>
                <w:w w:val="99"/>
              </w:rPr>
              <w:t xml:space="preserve">Fair Value </w:t>
            </w:r>
            <w:r>
              <w:rPr>
                <w:rFonts w:ascii="Arial" w:cs="Arial" w:eastAsia="Arial" w:hAnsi="Arial"/>
                <w:sz w:val="20"/>
                <w:szCs w:val="20"/>
                <w:b w:val="1"/>
                <w:bCs w:val="1"/>
                <w:color w:val="auto"/>
                <w:w w:val="99"/>
                <w:vertAlign w:val="superscript"/>
              </w:rPr>
              <w:t>(1)</w:t>
            </w:r>
          </w:p>
        </w:tc>
        <w:tc>
          <w:tcPr>
            <w:tcW w:w="10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3"/>
              <w:spacing w:after="0" w:line="188" w:lineRule="exact"/>
              <w:rPr>
                <w:sz w:val="20"/>
                <w:szCs w:val="20"/>
                <w:color w:val="auto"/>
              </w:rPr>
            </w:pPr>
            <w:r>
              <w:rPr>
                <w:rFonts w:ascii="Arial" w:cs="Arial" w:eastAsia="Arial" w:hAnsi="Arial"/>
                <w:sz w:val="15"/>
                <w:szCs w:val="15"/>
                <w:b w:val="1"/>
                <w:bCs w:val="1"/>
                <w:color w:val="auto"/>
                <w:w w:val="99"/>
              </w:rPr>
              <w:t xml:space="preserve">Fair Value </w:t>
            </w:r>
            <w:r>
              <w:rPr>
                <w:rFonts w:ascii="Arial" w:cs="Arial" w:eastAsia="Arial" w:hAnsi="Arial"/>
                <w:sz w:val="20"/>
                <w:szCs w:val="20"/>
                <w:b w:val="1"/>
                <w:bCs w:val="1"/>
                <w:color w:val="auto"/>
                <w:w w:val="99"/>
                <w:vertAlign w:val="superscript"/>
              </w:rPr>
              <w:t>(1)</w:t>
            </w:r>
          </w:p>
        </w:tc>
        <w:tc>
          <w:tcPr>
            <w:tcW w:w="0" w:type="dxa"/>
            <w:vAlign w:val="bottom"/>
          </w:tcPr>
          <w:p>
            <w:pPr>
              <w:spacing w:after="0"/>
              <w:rPr>
                <w:sz w:val="1"/>
                <w:szCs w:val="1"/>
                <w:color w:val="auto"/>
              </w:rPr>
            </w:pPr>
          </w:p>
        </w:tc>
      </w:tr>
      <w:tr>
        <w:trPr>
          <w:trHeight w:val="143"/>
        </w:trPr>
        <w:tc>
          <w:tcPr>
            <w:tcW w:w="316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FX derivative contracts</w:t>
            </w:r>
          </w:p>
        </w:tc>
        <w:tc>
          <w:tcPr>
            <w:tcW w:w="10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5"/>
                <w:szCs w:val="15"/>
                <w:color w:val="auto"/>
              </w:rPr>
              <w:t>Prepaid expenses and other current</w:t>
            </w:r>
          </w:p>
        </w:tc>
        <w:tc>
          <w:tcPr>
            <w:tcW w:w="18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1,048</w:t>
            </w:r>
          </w:p>
        </w:tc>
        <w:tc>
          <w:tcPr>
            <w:tcW w:w="10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5"/>
                <w:szCs w:val="15"/>
                <w:color w:val="auto"/>
              </w:rPr>
              <w:t>FX derivative contracts</w:t>
            </w:r>
          </w:p>
        </w:tc>
        <w:tc>
          <w:tcPr>
            <w:tcW w:w="100" w:type="dxa"/>
            <w:vAlign w:val="bottom"/>
          </w:tcPr>
          <w:p>
            <w:pPr>
              <w:spacing w:after="0"/>
              <w:rPr>
                <w:sz w:val="17"/>
                <w:szCs w:val="17"/>
                <w:color w:val="auto"/>
              </w:rPr>
            </w:pPr>
          </w:p>
        </w:tc>
        <w:tc>
          <w:tcPr>
            <w:tcW w:w="2540" w:type="dxa"/>
            <w:vAlign w:val="bottom"/>
            <w:gridSpan w:val="3"/>
          </w:tcPr>
          <w:p>
            <w:pPr>
              <w:ind w:left="20"/>
              <w:spacing w:after="0"/>
              <w:rPr>
                <w:sz w:val="20"/>
                <w:szCs w:val="20"/>
                <w:color w:val="auto"/>
              </w:rPr>
            </w:pPr>
            <w:r>
              <w:rPr>
                <w:rFonts w:ascii="Arial" w:cs="Arial" w:eastAsia="Arial" w:hAnsi="Arial"/>
                <w:sz w:val="15"/>
                <w:szCs w:val="15"/>
                <w:color w:val="auto"/>
              </w:rPr>
              <w:t>Accrued liabilities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331</w:t>
            </w: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color w:val="auto"/>
              </w:rPr>
              <w:t>Total derivatives designated as hedging</w:t>
            </w:r>
          </w:p>
        </w:tc>
        <w:tc>
          <w:tcPr>
            <w:tcW w:w="100" w:type="dxa"/>
            <w:vAlign w:val="bottom"/>
            <w:tcBorders>
              <w:top w:val="single" w:sz="8" w:color="CCEEFF"/>
            </w:tcBorders>
            <w:shd w:val="clear" w:color="auto" w:fill="CCEEFF"/>
          </w:tcPr>
          <w:p>
            <w:pPr>
              <w:spacing w:after="0"/>
              <w:rPr>
                <w:sz w:val="12"/>
                <w:szCs w:val="12"/>
                <w:color w:val="auto"/>
              </w:rPr>
            </w:pPr>
          </w:p>
        </w:tc>
        <w:tc>
          <w:tcPr>
            <w:tcW w:w="2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1,379</w:t>
            </w:r>
          </w:p>
        </w:tc>
        <w:tc>
          <w:tcPr>
            <w:tcW w:w="100" w:type="dxa"/>
            <w:vAlign w:val="bottom"/>
            <w:tcBorders>
              <w:top w:val="single" w:sz="8" w:color="CCEEFF"/>
            </w:tcBorders>
            <w:shd w:val="clear" w:color="auto" w:fill="CCEEFF"/>
          </w:tcPr>
          <w:p>
            <w:pPr>
              <w:spacing w:after="0"/>
              <w:rPr>
                <w:sz w:val="12"/>
                <w:szCs w:val="12"/>
                <w:color w:val="auto"/>
              </w:rPr>
            </w:pPr>
          </w:p>
        </w:tc>
        <w:tc>
          <w:tcPr>
            <w:tcW w:w="2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185"/>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instruments</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160" w:type="dxa"/>
            <w:vAlign w:val="bottom"/>
          </w:tcPr>
          <w:p>
            <w:pPr>
              <w:spacing w:after="0" w:line="151" w:lineRule="exact"/>
              <w:rPr>
                <w:sz w:val="20"/>
                <w:szCs w:val="20"/>
                <w:color w:val="auto"/>
              </w:rPr>
            </w:pPr>
            <w:r>
              <w:rPr>
                <w:rFonts w:ascii="Arial" w:cs="Arial" w:eastAsia="Arial" w:hAnsi="Arial"/>
                <w:sz w:val="15"/>
                <w:szCs w:val="15"/>
                <w:b w:val="1"/>
                <w:bCs w:val="1"/>
                <w:color w:val="auto"/>
              </w:rPr>
              <w:t>Derivatives Not Designated as Hedging</w:t>
            </w: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Instruments</w:t>
            </w:r>
          </w:p>
        </w:tc>
        <w:tc>
          <w:tcPr>
            <w:tcW w:w="10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Interest rate swap contracts</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51"/>
        </w:trPr>
        <w:tc>
          <w:tcPr>
            <w:tcW w:w="3160" w:type="dxa"/>
            <w:vAlign w:val="bottom"/>
          </w:tcPr>
          <w:p>
            <w:pPr>
              <w:spacing w:after="0" w:line="151" w:lineRule="exact"/>
              <w:rPr>
                <w:sz w:val="20"/>
                <w:szCs w:val="20"/>
                <w:color w:val="auto"/>
              </w:rPr>
            </w:pPr>
            <w:r>
              <w:rPr>
                <w:rFonts w:ascii="Arial" w:cs="Arial" w:eastAsia="Arial" w:hAnsi="Arial"/>
                <w:sz w:val="15"/>
                <w:szCs w:val="15"/>
                <w:color w:val="auto"/>
              </w:rPr>
              <w:t>FX derivative contracts</w:t>
            </w:r>
          </w:p>
        </w:tc>
        <w:tc>
          <w:tcPr>
            <w:tcW w:w="100" w:type="dxa"/>
            <w:vAlign w:val="bottom"/>
          </w:tcPr>
          <w:p>
            <w:pPr>
              <w:spacing w:after="0"/>
              <w:rPr>
                <w:sz w:val="13"/>
                <w:szCs w:val="13"/>
                <w:color w:val="auto"/>
              </w:rPr>
            </w:pPr>
          </w:p>
        </w:tc>
        <w:tc>
          <w:tcPr>
            <w:tcW w:w="2540" w:type="dxa"/>
            <w:vAlign w:val="bottom"/>
            <w:gridSpan w:val="3"/>
          </w:tcPr>
          <w:p>
            <w:pPr>
              <w:ind w:left="20"/>
              <w:spacing w:after="0" w:line="151" w:lineRule="exact"/>
              <w:rPr>
                <w:sz w:val="20"/>
                <w:szCs w:val="20"/>
                <w:color w:val="auto"/>
              </w:rPr>
            </w:pPr>
            <w:r>
              <w:rPr>
                <w:rFonts w:ascii="Arial" w:cs="Arial" w:eastAsia="Arial" w:hAnsi="Arial"/>
                <w:sz w:val="15"/>
                <w:szCs w:val="15"/>
                <w:color w:val="auto"/>
              </w:rPr>
              <w:t>Prepaid expenses and other current</w:t>
            </w:r>
          </w:p>
        </w:tc>
        <w:tc>
          <w:tcPr>
            <w:tcW w:w="180" w:type="dxa"/>
            <w:vAlign w:val="bottom"/>
          </w:tcPr>
          <w:p>
            <w:pPr>
              <w:spacing w:after="0"/>
              <w:rPr>
                <w:sz w:val="13"/>
                <w:szCs w:val="13"/>
                <w:color w:val="auto"/>
              </w:rPr>
            </w:pPr>
          </w:p>
        </w:tc>
        <w:tc>
          <w:tcPr>
            <w:tcW w:w="1220" w:type="dxa"/>
            <w:vAlign w:val="bottom"/>
          </w:tcPr>
          <w:p>
            <w:pPr>
              <w:jc w:val="right"/>
              <w:spacing w:after="0" w:line="151" w:lineRule="exact"/>
              <w:rPr>
                <w:sz w:val="20"/>
                <w:szCs w:val="20"/>
                <w:color w:val="auto"/>
              </w:rPr>
            </w:pPr>
            <w:r>
              <w:rPr>
                <w:rFonts w:ascii="Arial" w:cs="Arial" w:eastAsia="Arial" w:hAnsi="Arial"/>
                <w:sz w:val="15"/>
                <w:szCs w:val="15"/>
                <w:color w:val="auto"/>
              </w:rPr>
              <w:t>863</w:t>
            </w:r>
          </w:p>
        </w:tc>
        <w:tc>
          <w:tcPr>
            <w:tcW w:w="100" w:type="dxa"/>
            <w:vAlign w:val="bottom"/>
          </w:tcPr>
          <w:p>
            <w:pPr>
              <w:spacing w:after="0"/>
              <w:rPr>
                <w:sz w:val="13"/>
                <w:szCs w:val="13"/>
                <w:color w:val="auto"/>
              </w:rPr>
            </w:pPr>
          </w:p>
        </w:tc>
        <w:tc>
          <w:tcPr>
            <w:tcW w:w="25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Accrued liabilities</w:t>
            </w:r>
          </w:p>
        </w:tc>
        <w:tc>
          <w:tcPr>
            <w:tcW w:w="200" w:type="dxa"/>
            <w:vAlign w:val="bottom"/>
          </w:tcPr>
          <w:p>
            <w:pPr>
              <w:spacing w:after="0"/>
              <w:rPr>
                <w:sz w:val="13"/>
                <w:szCs w:val="13"/>
                <w:color w:val="auto"/>
              </w:rPr>
            </w:pPr>
          </w:p>
        </w:tc>
        <w:tc>
          <w:tcPr>
            <w:tcW w:w="1220" w:type="dxa"/>
            <w:vAlign w:val="bottom"/>
          </w:tcPr>
          <w:p>
            <w:pPr>
              <w:jc w:val="right"/>
              <w:spacing w:after="0" w:line="151" w:lineRule="exact"/>
              <w:rPr>
                <w:sz w:val="20"/>
                <w:szCs w:val="20"/>
                <w:color w:val="auto"/>
              </w:rPr>
            </w:pPr>
            <w:r>
              <w:rPr>
                <w:rFonts w:ascii="Arial" w:cs="Arial" w:eastAsia="Arial" w:hAnsi="Arial"/>
                <w:sz w:val="15"/>
                <w:szCs w:val="15"/>
                <w:color w:val="auto"/>
              </w:rPr>
              <w:t>705</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rPr>
                <w:sz w:val="20"/>
                <w:szCs w:val="20"/>
                <w:color w:val="auto"/>
              </w:rPr>
            </w:pPr>
            <w:r>
              <w:rPr>
                <w:rFonts w:ascii="Arial" w:cs="Arial" w:eastAsia="Arial" w:hAnsi="Arial"/>
                <w:sz w:val="15"/>
                <w:szCs w:val="15"/>
                <w:color w:val="auto"/>
              </w:rPr>
              <w:t>assets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Capped call derivatives</w:t>
            </w:r>
          </w:p>
        </w:tc>
        <w:tc>
          <w:tcPr>
            <w:tcW w:w="10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84,852</w:t>
            </w: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5"/>
                <w:szCs w:val="15"/>
                <w:color w:val="auto"/>
              </w:rPr>
              <w:t>Embedded exchange feature</w:t>
            </w: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Long-term derivative liability</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148,091</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Other derivatives</w:t>
            </w: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931</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derivatives</w:t>
            </w:r>
          </w:p>
        </w:tc>
        <w:tc>
          <w:tcPr>
            <w:tcW w:w="10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Long-term derivative liability</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spacing w:after="0" w:line="142" w:lineRule="exact"/>
              <w:rPr>
                <w:sz w:val="20"/>
                <w:szCs w:val="20"/>
                <w:color w:val="auto"/>
              </w:rPr>
            </w:pPr>
            <w:r>
              <w:rPr>
                <w:rFonts w:ascii="Arial" w:cs="Arial" w:eastAsia="Arial" w:hAnsi="Arial"/>
                <w:sz w:val="15"/>
                <w:szCs w:val="15"/>
                <w:color w:val="auto"/>
              </w:rPr>
              <w:t>Total derivatives not designated as hedging</w:t>
            </w: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85,715</w:t>
            </w: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Arial" w:cs="Arial" w:eastAsia="Arial" w:hAnsi="Arial"/>
                <w:sz w:val="15"/>
                <w:szCs w:val="15"/>
                <w:color w:val="auto"/>
              </w:rPr>
              <w:t>149,955</w:t>
            </w:r>
          </w:p>
        </w:tc>
        <w:tc>
          <w:tcPr>
            <w:tcW w:w="0" w:type="dxa"/>
            <w:vAlign w:val="bottom"/>
          </w:tcPr>
          <w:p>
            <w:pPr>
              <w:spacing w:after="0"/>
              <w:rPr>
                <w:sz w:val="1"/>
                <w:szCs w:val="1"/>
                <w:color w:val="auto"/>
              </w:rPr>
            </w:pPr>
          </w:p>
        </w:tc>
      </w:tr>
      <w:tr>
        <w:trPr>
          <w:trHeight w:val="185"/>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instruments</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Arial" w:cs="Arial" w:eastAsia="Arial" w:hAnsi="Arial"/>
                <w:sz w:val="15"/>
                <w:szCs w:val="15"/>
                <w:color w:val="auto"/>
              </w:rPr>
              <w:t>Total derivatives</w:t>
            </w: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87,094</w:t>
            </w: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150,679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December 31, 2020</w:t>
            </w:r>
          </w:p>
        </w:tc>
        <w:tc>
          <w:tcPr>
            <w:tcW w:w="100" w:type="dxa"/>
            <w:vAlign w:val="bottom"/>
          </w:tcPr>
          <w:p>
            <w:pPr>
              <w:spacing w:after="0"/>
              <w:rPr>
                <w:sz w:val="24"/>
                <w:szCs w:val="24"/>
                <w:color w:val="auto"/>
              </w:rPr>
            </w:pPr>
          </w:p>
        </w:tc>
        <w:tc>
          <w:tcPr>
            <w:tcW w:w="2540" w:type="dxa"/>
            <w:vAlign w:val="bottom"/>
            <w:tcBorders>
              <w:bottom w:val="single" w:sz="8" w:color="auto"/>
            </w:tcBorders>
            <w:gridSpan w:val="3"/>
          </w:tcPr>
          <w:p>
            <w:pPr>
              <w:ind w:left="1400"/>
              <w:spacing w:after="0"/>
              <w:rPr>
                <w:sz w:val="20"/>
                <w:szCs w:val="20"/>
                <w:color w:val="auto"/>
              </w:rPr>
            </w:pPr>
            <w:r>
              <w:rPr>
                <w:rFonts w:ascii="Arial" w:cs="Arial" w:eastAsia="Arial" w:hAnsi="Arial"/>
                <w:sz w:val="15"/>
                <w:szCs w:val="15"/>
                <w:b w:val="1"/>
                <w:bCs w:val="1"/>
                <w:color w:val="auto"/>
                <w:w w:val="89"/>
              </w:rPr>
              <w:t>Asset Derivatives</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Borders>
              <w:bottom w:val="single" w:sz="8" w:color="auto"/>
            </w:tcBorders>
            <w:gridSpan w:val="3"/>
          </w:tcPr>
          <w:p>
            <w:pPr>
              <w:ind w:left="1300"/>
              <w:spacing w:after="0"/>
              <w:rPr>
                <w:sz w:val="20"/>
                <w:szCs w:val="20"/>
                <w:color w:val="auto"/>
              </w:rPr>
            </w:pPr>
            <w:r>
              <w:rPr>
                <w:rFonts w:ascii="Arial" w:cs="Arial" w:eastAsia="Arial" w:hAnsi="Arial"/>
                <w:sz w:val="15"/>
                <w:szCs w:val="15"/>
                <w:b w:val="1"/>
                <w:bCs w:val="1"/>
                <w:color w:val="auto"/>
                <w:w w:val="99"/>
              </w:rPr>
              <w:t>Liability Derivatives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2"/>
              </w:rPr>
              <w:t>Derivatives Designated as Hedging Instruments</w:t>
            </w:r>
          </w:p>
        </w:tc>
        <w:tc>
          <w:tcPr>
            <w:tcW w:w="10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3"/>
              <w:spacing w:after="0" w:line="188" w:lineRule="exact"/>
              <w:rPr>
                <w:sz w:val="20"/>
                <w:szCs w:val="20"/>
                <w:color w:val="auto"/>
              </w:rPr>
            </w:pPr>
            <w:r>
              <w:rPr>
                <w:rFonts w:ascii="Arial" w:cs="Arial" w:eastAsia="Arial" w:hAnsi="Arial"/>
                <w:sz w:val="15"/>
                <w:szCs w:val="15"/>
                <w:b w:val="1"/>
                <w:bCs w:val="1"/>
                <w:color w:val="auto"/>
                <w:w w:val="99"/>
              </w:rPr>
              <w:t xml:space="preserve">Fair Value </w:t>
            </w:r>
            <w:r>
              <w:rPr>
                <w:rFonts w:ascii="Arial" w:cs="Arial" w:eastAsia="Arial" w:hAnsi="Arial"/>
                <w:sz w:val="20"/>
                <w:szCs w:val="20"/>
                <w:b w:val="1"/>
                <w:bCs w:val="1"/>
                <w:color w:val="auto"/>
                <w:w w:val="99"/>
                <w:vertAlign w:val="superscript"/>
              </w:rPr>
              <w:t>(1)</w:t>
            </w:r>
          </w:p>
        </w:tc>
        <w:tc>
          <w:tcPr>
            <w:tcW w:w="10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Balance Sheet 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3"/>
              <w:spacing w:after="0" w:line="188" w:lineRule="exact"/>
              <w:rPr>
                <w:sz w:val="20"/>
                <w:szCs w:val="20"/>
                <w:color w:val="auto"/>
              </w:rPr>
            </w:pPr>
            <w:r>
              <w:rPr>
                <w:rFonts w:ascii="Arial" w:cs="Arial" w:eastAsia="Arial" w:hAnsi="Arial"/>
                <w:sz w:val="15"/>
                <w:szCs w:val="15"/>
                <w:b w:val="1"/>
                <w:bCs w:val="1"/>
                <w:color w:val="auto"/>
                <w:w w:val="99"/>
              </w:rPr>
              <w:t xml:space="preserve">Fair Value </w:t>
            </w:r>
            <w:r>
              <w:rPr>
                <w:rFonts w:ascii="Arial" w:cs="Arial" w:eastAsia="Arial" w:hAnsi="Arial"/>
                <w:sz w:val="20"/>
                <w:szCs w:val="20"/>
                <w:b w:val="1"/>
                <w:bCs w:val="1"/>
                <w:color w:val="auto"/>
                <w:w w:val="99"/>
                <w:vertAlign w:val="superscript"/>
              </w:rPr>
              <w:t>(1)</w:t>
            </w:r>
          </w:p>
        </w:tc>
        <w:tc>
          <w:tcPr>
            <w:tcW w:w="0" w:type="dxa"/>
            <w:vAlign w:val="bottom"/>
          </w:tcPr>
          <w:p>
            <w:pPr>
              <w:spacing w:after="0"/>
              <w:rPr>
                <w:sz w:val="1"/>
                <w:szCs w:val="1"/>
                <w:color w:val="auto"/>
              </w:rPr>
            </w:pPr>
          </w:p>
        </w:tc>
      </w:tr>
      <w:tr>
        <w:trPr>
          <w:trHeight w:val="143"/>
        </w:trPr>
        <w:tc>
          <w:tcPr>
            <w:tcW w:w="316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FX derivative contracts</w:t>
            </w:r>
          </w:p>
        </w:tc>
        <w:tc>
          <w:tcPr>
            <w:tcW w:w="10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5"/>
                <w:szCs w:val="15"/>
                <w:color w:val="auto"/>
              </w:rPr>
              <w:t>Prepaid expenses and other current</w:t>
            </w:r>
          </w:p>
        </w:tc>
        <w:tc>
          <w:tcPr>
            <w:tcW w:w="18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1,998</w:t>
            </w:r>
          </w:p>
        </w:tc>
        <w:tc>
          <w:tcPr>
            <w:tcW w:w="10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5"/>
                <w:szCs w:val="15"/>
                <w:color w:val="auto"/>
              </w:rPr>
              <w:t>FX derivative contracts</w:t>
            </w:r>
          </w:p>
        </w:tc>
        <w:tc>
          <w:tcPr>
            <w:tcW w:w="100" w:type="dxa"/>
            <w:vAlign w:val="bottom"/>
          </w:tcPr>
          <w:p>
            <w:pPr>
              <w:spacing w:after="0"/>
              <w:rPr>
                <w:sz w:val="17"/>
                <w:szCs w:val="17"/>
                <w:color w:val="auto"/>
              </w:rPr>
            </w:pPr>
          </w:p>
        </w:tc>
        <w:tc>
          <w:tcPr>
            <w:tcW w:w="2540" w:type="dxa"/>
            <w:vAlign w:val="bottom"/>
            <w:gridSpan w:val="3"/>
          </w:tcPr>
          <w:p>
            <w:pPr>
              <w:ind w:left="20"/>
              <w:spacing w:after="0"/>
              <w:rPr>
                <w:sz w:val="20"/>
                <w:szCs w:val="20"/>
                <w:color w:val="auto"/>
              </w:rPr>
            </w:pPr>
            <w:r>
              <w:rPr>
                <w:rFonts w:ascii="Arial" w:cs="Arial" w:eastAsia="Arial" w:hAnsi="Arial"/>
                <w:sz w:val="15"/>
                <w:szCs w:val="15"/>
                <w:color w:val="auto"/>
              </w:rPr>
              <w:t>Accrued liabilities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895</w:t>
            </w: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6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5"/>
                <w:szCs w:val="15"/>
                <w:color w:val="auto"/>
              </w:rPr>
              <w:t>Total derivatives designated as hedging</w:t>
            </w:r>
          </w:p>
        </w:tc>
        <w:tc>
          <w:tcPr>
            <w:tcW w:w="10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2,893</w:t>
            </w:r>
          </w:p>
        </w:tc>
        <w:tc>
          <w:tcPr>
            <w:tcW w:w="10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6"/>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instruments</w:t>
            </w: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160" w:type="dxa"/>
            <w:vAlign w:val="bottom"/>
          </w:tcPr>
          <w:p>
            <w:pPr>
              <w:spacing w:after="0" w:line="151" w:lineRule="exact"/>
              <w:rPr>
                <w:sz w:val="20"/>
                <w:szCs w:val="20"/>
                <w:color w:val="auto"/>
              </w:rPr>
            </w:pPr>
            <w:r>
              <w:rPr>
                <w:rFonts w:ascii="Arial" w:cs="Arial" w:eastAsia="Arial" w:hAnsi="Arial"/>
                <w:sz w:val="15"/>
                <w:szCs w:val="15"/>
                <w:b w:val="1"/>
                <w:bCs w:val="1"/>
                <w:color w:val="auto"/>
              </w:rPr>
              <w:t>Derivatives Not Designated as Hedging</w:t>
            </w: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Instruments</w:t>
            </w:r>
          </w:p>
        </w:tc>
        <w:tc>
          <w:tcPr>
            <w:tcW w:w="10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Interest rate swap contracts</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51"/>
        </w:trPr>
        <w:tc>
          <w:tcPr>
            <w:tcW w:w="3160" w:type="dxa"/>
            <w:vAlign w:val="bottom"/>
          </w:tcPr>
          <w:p>
            <w:pPr>
              <w:spacing w:after="0" w:line="151" w:lineRule="exact"/>
              <w:rPr>
                <w:sz w:val="20"/>
                <w:szCs w:val="20"/>
                <w:color w:val="auto"/>
              </w:rPr>
            </w:pPr>
            <w:r>
              <w:rPr>
                <w:rFonts w:ascii="Arial" w:cs="Arial" w:eastAsia="Arial" w:hAnsi="Arial"/>
                <w:sz w:val="15"/>
                <w:szCs w:val="15"/>
                <w:color w:val="auto"/>
              </w:rPr>
              <w:t>FX derivative contracts</w:t>
            </w:r>
          </w:p>
        </w:tc>
        <w:tc>
          <w:tcPr>
            <w:tcW w:w="100" w:type="dxa"/>
            <w:vAlign w:val="bottom"/>
          </w:tcPr>
          <w:p>
            <w:pPr>
              <w:spacing w:after="0"/>
              <w:rPr>
                <w:sz w:val="13"/>
                <w:szCs w:val="13"/>
                <w:color w:val="auto"/>
              </w:rPr>
            </w:pPr>
          </w:p>
        </w:tc>
        <w:tc>
          <w:tcPr>
            <w:tcW w:w="2540" w:type="dxa"/>
            <w:vAlign w:val="bottom"/>
            <w:gridSpan w:val="3"/>
          </w:tcPr>
          <w:p>
            <w:pPr>
              <w:ind w:left="20"/>
              <w:spacing w:after="0" w:line="151" w:lineRule="exact"/>
              <w:rPr>
                <w:sz w:val="20"/>
                <w:szCs w:val="20"/>
                <w:color w:val="auto"/>
              </w:rPr>
            </w:pPr>
            <w:r>
              <w:rPr>
                <w:rFonts w:ascii="Arial" w:cs="Arial" w:eastAsia="Arial" w:hAnsi="Arial"/>
                <w:sz w:val="15"/>
                <w:szCs w:val="15"/>
                <w:color w:val="auto"/>
              </w:rPr>
              <w:t>Prepaid expenses and other current</w:t>
            </w:r>
          </w:p>
        </w:tc>
        <w:tc>
          <w:tcPr>
            <w:tcW w:w="180" w:type="dxa"/>
            <w:vAlign w:val="bottom"/>
          </w:tcPr>
          <w:p>
            <w:pPr>
              <w:spacing w:after="0"/>
              <w:rPr>
                <w:sz w:val="13"/>
                <w:szCs w:val="13"/>
                <w:color w:val="auto"/>
              </w:rPr>
            </w:pPr>
          </w:p>
        </w:tc>
        <w:tc>
          <w:tcPr>
            <w:tcW w:w="1220" w:type="dxa"/>
            <w:vAlign w:val="bottom"/>
          </w:tcPr>
          <w:p>
            <w:pPr>
              <w:jc w:val="right"/>
              <w:spacing w:after="0" w:line="151" w:lineRule="exact"/>
              <w:rPr>
                <w:sz w:val="20"/>
                <w:szCs w:val="20"/>
                <w:color w:val="auto"/>
              </w:rPr>
            </w:pPr>
            <w:r>
              <w:rPr>
                <w:rFonts w:ascii="Arial" w:cs="Arial" w:eastAsia="Arial" w:hAnsi="Arial"/>
                <w:sz w:val="15"/>
                <w:szCs w:val="15"/>
                <w:color w:val="auto"/>
              </w:rPr>
              <w:t>55</w:t>
            </w:r>
          </w:p>
        </w:tc>
        <w:tc>
          <w:tcPr>
            <w:tcW w:w="100" w:type="dxa"/>
            <w:vAlign w:val="bottom"/>
          </w:tcPr>
          <w:p>
            <w:pPr>
              <w:spacing w:after="0"/>
              <w:rPr>
                <w:sz w:val="13"/>
                <w:szCs w:val="13"/>
                <w:color w:val="auto"/>
              </w:rPr>
            </w:pPr>
          </w:p>
        </w:tc>
        <w:tc>
          <w:tcPr>
            <w:tcW w:w="2520" w:type="dxa"/>
            <w:vAlign w:val="bottom"/>
            <w:gridSpan w:val="2"/>
          </w:tcPr>
          <w:p>
            <w:pPr>
              <w:ind w:left="20"/>
              <w:spacing w:after="0" w:line="151" w:lineRule="exact"/>
              <w:rPr>
                <w:sz w:val="20"/>
                <w:szCs w:val="20"/>
                <w:color w:val="auto"/>
              </w:rPr>
            </w:pPr>
            <w:r>
              <w:rPr>
                <w:rFonts w:ascii="Arial" w:cs="Arial" w:eastAsia="Arial" w:hAnsi="Arial"/>
                <w:sz w:val="15"/>
                <w:szCs w:val="15"/>
                <w:color w:val="auto"/>
              </w:rPr>
              <w:t>Accrued liabilities</w:t>
            </w:r>
          </w:p>
        </w:tc>
        <w:tc>
          <w:tcPr>
            <w:tcW w:w="200" w:type="dxa"/>
            <w:vAlign w:val="bottom"/>
          </w:tcPr>
          <w:p>
            <w:pPr>
              <w:spacing w:after="0"/>
              <w:rPr>
                <w:sz w:val="13"/>
                <w:szCs w:val="13"/>
                <w:color w:val="auto"/>
              </w:rPr>
            </w:pPr>
          </w:p>
        </w:tc>
        <w:tc>
          <w:tcPr>
            <w:tcW w:w="1220" w:type="dxa"/>
            <w:vAlign w:val="bottom"/>
          </w:tcPr>
          <w:p>
            <w:pPr>
              <w:jc w:val="right"/>
              <w:spacing w:after="0" w:line="151" w:lineRule="exact"/>
              <w:rPr>
                <w:sz w:val="20"/>
                <w:szCs w:val="20"/>
                <w:color w:val="auto"/>
              </w:rPr>
            </w:pPr>
            <w:r>
              <w:rPr>
                <w:rFonts w:ascii="Arial" w:cs="Arial" w:eastAsia="Arial" w:hAnsi="Arial"/>
                <w:sz w:val="15"/>
                <w:szCs w:val="15"/>
                <w:color w:val="auto"/>
              </w:rPr>
              <w:t>4,073</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ind w:left="20"/>
              <w:spacing w:after="0"/>
              <w:rPr>
                <w:sz w:val="20"/>
                <w:szCs w:val="20"/>
                <w:color w:val="auto"/>
              </w:rPr>
            </w:pPr>
            <w:r>
              <w:rPr>
                <w:rFonts w:ascii="Arial" w:cs="Arial" w:eastAsia="Arial" w:hAnsi="Arial"/>
                <w:sz w:val="15"/>
                <w:szCs w:val="15"/>
                <w:color w:val="auto"/>
              </w:rPr>
              <w:t>assets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Capped call derivatives</w:t>
            </w:r>
          </w:p>
        </w:tc>
        <w:tc>
          <w:tcPr>
            <w:tcW w:w="10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Long-term derivative 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72,302</w:t>
            </w: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5"/>
                <w:szCs w:val="15"/>
                <w:color w:val="auto"/>
              </w:rPr>
              <w:t>Embedded exchange feature</w:t>
            </w: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Long-term derivative liability</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121,756</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Other derivatives</w:t>
            </w:r>
          </w:p>
        </w:tc>
        <w:tc>
          <w:tcPr>
            <w:tcW w:w="10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Accrued liabilities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derivatives</w:t>
            </w:r>
          </w:p>
        </w:tc>
        <w:tc>
          <w:tcPr>
            <w:tcW w:w="10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Long-term derivative liability</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31"/>
        </w:trPr>
        <w:tc>
          <w:tcPr>
            <w:tcW w:w="3160" w:type="dxa"/>
            <w:vAlign w:val="bottom"/>
            <w:shd w:val="clear" w:color="auto" w:fill="CCEEFF"/>
          </w:tcPr>
          <w:p>
            <w:pPr>
              <w:spacing w:after="0" w:line="131" w:lineRule="exact"/>
              <w:rPr>
                <w:sz w:val="20"/>
                <w:szCs w:val="20"/>
                <w:color w:val="auto"/>
              </w:rPr>
            </w:pPr>
            <w:r>
              <w:rPr>
                <w:rFonts w:ascii="Arial" w:cs="Arial" w:eastAsia="Arial" w:hAnsi="Arial"/>
                <w:sz w:val="15"/>
                <w:szCs w:val="15"/>
                <w:color w:val="auto"/>
              </w:rPr>
              <w:t>Total derivatives not designated as hedging</w:t>
            </w:r>
          </w:p>
        </w:tc>
        <w:tc>
          <w:tcPr>
            <w:tcW w:w="1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72,357</w:t>
            </w:r>
          </w:p>
        </w:tc>
        <w:tc>
          <w:tcPr>
            <w:tcW w:w="1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130,193</w:t>
            </w:r>
          </w:p>
        </w:tc>
        <w:tc>
          <w:tcPr>
            <w:tcW w:w="0" w:type="dxa"/>
            <w:vAlign w:val="bottom"/>
          </w:tcPr>
          <w:p>
            <w:pPr>
              <w:spacing w:after="0"/>
              <w:rPr>
                <w:sz w:val="1"/>
                <w:szCs w:val="1"/>
                <w:color w:val="auto"/>
              </w:rPr>
            </w:pPr>
          </w:p>
        </w:tc>
      </w:tr>
      <w:tr>
        <w:trPr>
          <w:trHeight w:val="195"/>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instruments</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Arial" w:cs="Arial" w:eastAsia="Arial" w:hAnsi="Arial"/>
                <w:sz w:val="15"/>
                <w:szCs w:val="15"/>
                <w:color w:val="auto"/>
              </w:rPr>
              <w:t>Total derivatives</w:t>
            </w: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75,250</w:t>
            </w: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130,207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540" w:hanging="270"/>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4"/>
          <w:szCs w:val="14"/>
          <w:color w:val="auto"/>
        </w:rPr>
        <w:t>For the classification of inputs used to evaluate the fair value of our derivatives, refer to “Note 5. Fair Value Measurements.”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46" w:lineRule="exact"/>
        <w:rPr>
          <w:rFonts w:ascii="Arial" w:cs="Arial" w:eastAsia="Arial" w:hAnsi="Arial"/>
          <w:sz w:val="12"/>
          <w:szCs w:val="12"/>
          <w:color w:val="auto"/>
        </w:rPr>
      </w:pPr>
    </w:p>
    <w:p>
      <w:pPr>
        <w:ind w:left="5620"/>
        <w:spacing w:after="0"/>
        <w:rPr>
          <w:rFonts w:ascii="Arial" w:cs="Arial" w:eastAsia="Arial" w:hAnsi="Arial"/>
          <w:sz w:val="12"/>
          <w:szCs w:val="12"/>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Note 8. Commitments and Contingencies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FDA Warning Letter</w:t>
      </w:r>
    </w:p>
    <w:p>
      <w:pPr>
        <w:spacing w:after="0" w:line="102" w:lineRule="exact"/>
        <w:rPr>
          <w:sz w:val="20"/>
          <w:szCs w:val="20"/>
          <w:color w:val="auto"/>
        </w:rPr>
      </w:pPr>
    </w:p>
    <w:p>
      <w:pPr>
        <w:ind w:right="160" w:firstLine="139"/>
        <w:spacing w:after="0" w:line="289" w:lineRule="auto"/>
        <w:rPr>
          <w:sz w:val="20"/>
          <w:szCs w:val="20"/>
          <w:color w:val="auto"/>
        </w:rPr>
      </w:pPr>
      <w:r>
        <w:rPr>
          <w:rFonts w:ascii="Arial" w:cs="Arial" w:eastAsia="Arial" w:hAnsi="Arial"/>
          <w:sz w:val="15"/>
          <w:szCs w:val="15"/>
          <w:color w:val="auto"/>
        </w:rPr>
        <w:t>On December 29, 2015, the FDA issued a Warning Letter alleging certain violations of FDA regulations applicable to medical device manufacturers at our Munich, Germany and Arvada, Colorado facilities.</w:t>
      </w:r>
    </w:p>
    <w:p>
      <w:pPr>
        <w:spacing w:after="0" w:line="47" w:lineRule="exact"/>
        <w:rPr>
          <w:sz w:val="20"/>
          <w:szCs w:val="20"/>
          <w:color w:val="auto"/>
        </w:rPr>
      </w:pPr>
    </w:p>
    <w:p>
      <w:pPr>
        <w:ind w:right="20" w:firstLine="139"/>
        <w:spacing w:after="0" w:line="265" w:lineRule="auto"/>
        <w:rPr>
          <w:sz w:val="20"/>
          <w:szCs w:val="20"/>
          <w:color w:val="auto"/>
        </w:rPr>
      </w:pPr>
      <w:r>
        <w:rPr>
          <w:rFonts w:ascii="Arial" w:cs="Arial" w:eastAsia="Arial" w:hAnsi="Arial"/>
          <w:sz w:val="15"/>
          <w:szCs w:val="15"/>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65" w:lineRule="exact"/>
        <w:rPr>
          <w:sz w:val="20"/>
          <w:szCs w:val="20"/>
          <w:color w:val="auto"/>
        </w:rPr>
      </w:pPr>
    </w:p>
    <w:p>
      <w:pPr>
        <w:ind w:firstLine="139"/>
        <w:spacing w:after="0" w:line="263" w:lineRule="auto"/>
        <w:rPr>
          <w:sz w:val="20"/>
          <w:szCs w:val="20"/>
          <w:color w:val="auto"/>
        </w:rPr>
      </w:pPr>
      <w:r>
        <w:rPr>
          <w:rFonts w:ascii="Arial" w:cs="Arial" w:eastAsia="Arial" w:hAnsi="Arial"/>
          <w:sz w:val="15"/>
          <w:szCs w:val="15"/>
          <w:color w:val="auto"/>
        </w:rPr>
        <w:t>The Warning Letter further stated that our 3T devices and other devices we manufactured at our Munich facility were subject to refusal of admission into the U.S. until resolution of the issues set forth by the FDA in the Warning Letter. The FDA had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69" w:lineRule="exact"/>
        <w:rPr>
          <w:sz w:val="20"/>
          <w:szCs w:val="20"/>
          <w:color w:val="auto"/>
        </w:rPr>
      </w:pPr>
    </w:p>
    <w:p>
      <w:pPr>
        <w:ind w:right="140" w:firstLine="139"/>
        <w:spacing w:after="0" w:line="273" w:lineRule="auto"/>
        <w:rPr>
          <w:sz w:val="20"/>
          <w:szCs w:val="20"/>
          <w:color w:val="auto"/>
        </w:rPr>
      </w:pPr>
      <w:r>
        <w:rPr>
          <w:rFonts w:ascii="Arial" w:cs="Arial" w:eastAsia="Arial" w:hAnsi="Arial"/>
          <w:sz w:val="15"/>
          <w:szCs w:val="15"/>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9" w:lineRule="exact"/>
        <w:rPr>
          <w:sz w:val="20"/>
          <w:szCs w:val="20"/>
          <w:color w:val="auto"/>
        </w:rPr>
      </w:pPr>
    </w:p>
    <w:p>
      <w:pPr>
        <w:ind w:right="20" w:firstLine="139"/>
        <w:spacing w:after="0" w:line="292" w:lineRule="auto"/>
        <w:rPr>
          <w:sz w:val="20"/>
          <w:szCs w:val="20"/>
          <w:color w:val="auto"/>
        </w:rPr>
      </w:pPr>
      <w:r>
        <w:rPr>
          <w:rFonts w:ascii="Arial" w:cs="Arial" w:eastAsia="Arial" w:hAnsi="Arial"/>
          <w:sz w:val="14"/>
          <w:szCs w:val="14"/>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are complete, and at this time, LivaNova is awaiting the FDA’s close-out inspection.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CDC and FDA Safety Communications and Company Field Safety Notice</w:t>
      </w:r>
    </w:p>
    <w:p>
      <w:pPr>
        <w:spacing w:after="0" w:line="102" w:lineRule="exact"/>
        <w:rPr>
          <w:sz w:val="20"/>
          <w:szCs w:val="20"/>
          <w:color w:val="auto"/>
        </w:rPr>
      </w:pPr>
    </w:p>
    <w:p>
      <w:pPr>
        <w:ind w:right="20" w:firstLine="139"/>
        <w:spacing w:after="0" w:line="261" w:lineRule="auto"/>
        <w:rPr>
          <w:sz w:val="20"/>
          <w:szCs w:val="20"/>
          <w:color w:val="auto"/>
        </w:rPr>
      </w:pPr>
      <w:r>
        <w:rPr>
          <w:rFonts w:ascii="Arial" w:cs="Arial" w:eastAsia="Arial" w:hAnsi="Arial"/>
          <w:sz w:val="15"/>
          <w:szCs w:val="15"/>
          <w:color w:val="auto"/>
        </w:rPr>
        <w:t>On October 13, 2016, the Center for Disease Control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2" w:lineRule="exact"/>
        <w:rPr>
          <w:sz w:val="20"/>
          <w:szCs w:val="20"/>
          <w:color w:val="auto"/>
        </w:rPr>
      </w:pPr>
    </w:p>
    <w:p>
      <w:pPr>
        <w:ind w:right="80" w:firstLine="139"/>
        <w:spacing w:after="0" w:line="283" w:lineRule="auto"/>
        <w:rPr>
          <w:sz w:val="20"/>
          <w:szCs w:val="20"/>
          <w:color w:val="auto"/>
        </w:rPr>
      </w:pPr>
      <w:r>
        <w:rPr>
          <w:rFonts w:ascii="Arial" w:cs="Arial" w:eastAsia="Arial" w:hAnsi="Arial"/>
          <w:sz w:val="14"/>
          <w:szCs w:val="14"/>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In April 2017, we obtained CE Mark in Europe for the design change of the 3T device, and in October 2018, the FDA concluded that we could commence the vacuum canister and internal sealing upgrade program in the U.S. 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We are in the process of completing and closing out all</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21" w:name="page22"/>
    <w:bookmarkEnd w:id="21"/>
    <w:p>
      <w:pPr>
        <w:ind w:right="160"/>
        <w:spacing w:after="0" w:line="289" w:lineRule="auto"/>
        <w:rPr>
          <w:sz w:val="20"/>
          <w:szCs w:val="20"/>
          <w:color w:val="auto"/>
        </w:rPr>
      </w:pPr>
      <w:r>
        <w:rPr>
          <w:rFonts w:ascii="Arial" w:cs="Arial" w:eastAsia="Arial" w:hAnsi="Arial"/>
          <w:sz w:val="15"/>
          <w:szCs w:val="15"/>
          <w:color w:val="auto"/>
        </w:rPr>
        <w:t>recall activities with the FDA. While our vacuum canister and internal sealing upgrade program and deep cleaning service in the U.S. are substantially complete, these services will continue as a servicing option outside of the U.S.</w:t>
      </w:r>
    </w:p>
    <w:p>
      <w:pPr>
        <w:spacing w:after="0" w:line="47" w:lineRule="exact"/>
        <w:rPr>
          <w:sz w:val="20"/>
          <w:szCs w:val="20"/>
          <w:color w:val="auto"/>
        </w:rPr>
      </w:pPr>
    </w:p>
    <w:p>
      <w:pPr>
        <w:ind w:right="180" w:firstLine="139"/>
        <w:spacing w:after="0" w:line="273" w:lineRule="auto"/>
        <w:rPr>
          <w:sz w:val="20"/>
          <w:szCs w:val="20"/>
          <w:color w:val="auto"/>
        </w:rPr>
      </w:pPr>
      <w:r>
        <w:rPr>
          <w:rFonts w:ascii="Arial" w:cs="Arial" w:eastAsia="Arial" w:hAnsi="Arial"/>
          <w:sz w:val="15"/>
          <w:szCs w:val="15"/>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March 31, 2021, the product remediation liability was $0.4 million.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Saluggia Site Hazardous Substances</w:t>
      </w:r>
    </w:p>
    <w:p>
      <w:pPr>
        <w:spacing w:after="0" w:line="102" w:lineRule="exact"/>
        <w:rPr>
          <w:sz w:val="20"/>
          <w:szCs w:val="20"/>
          <w:color w:val="auto"/>
        </w:rPr>
      </w:pPr>
    </w:p>
    <w:p>
      <w:pPr>
        <w:ind w:right="80" w:firstLine="139"/>
        <w:spacing w:after="0" w:line="265" w:lineRule="auto"/>
        <w:rPr>
          <w:sz w:val="20"/>
          <w:szCs w:val="20"/>
          <w:color w:val="auto"/>
        </w:rPr>
      </w:pPr>
      <w:r>
        <w:rPr>
          <w:rFonts w:ascii="Arial" w:cs="Arial" w:eastAsia="Arial" w:hAnsi="Arial"/>
          <w:sz w:val="15"/>
          <w:szCs w:val="15"/>
          <w:color w:val="auto"/>
        </w:rPr>
        <w:t>LivaNova Site Management S.r.l. (“LSM”), formerly a subsidiary of Sorin, one of the companies that merged into LivaNova PLC in 2015, manages site services for the campus in Saluggia, Italy. In addition to a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65" w:lineRule="exact"/>
        <w:rPr>
          <w:sz w:val="20"/>
          <w:szCs w:val="20"/>
          <w:color w:val="auto"/>
        </w:rPr>
      </w:pPr>
    </w:p>
    <w:p>
      <w:pPr>
        <w:ind w:firstLine="139"/>
        <w:spacing w:after="0" w:line="286" w:lineRule="auto"/>
        <w:rPr>
          <w:sz w:val="20"/>
          <w:szCs w:val="20"/>
          <w:color w:val="auto"/>
        </w:rPr>
      </w:pPr>
      <w:r>
        <w:rPr>
          <w:rFonts w:ascii="Arial" w:cs="Arial" w:eastAsia="Arial" w:hAnsi="Arial"/>
          <w:sz w:val="14"/>
          <w:szCs w:val="14"/>
          <w:color w:val="auto"/>
        </w:rPr>
        <w:t>During 2020, LSM received correspondence from ISIN (a sub-body of the Italian Ministry of Economic Development)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Most recently, in January 2021, a list of 67 potential sites for the national repository was published. There is no legal obligation to begin any work or deliver the hazardous substances, as the performance of these obligations is contingent on the construction of the as-yet unbuilt national repository.</w:t>
      </w:r>
    </w:p>
    <w:p>
      <w:pPr>
        <w:spacing w:after="0" w:line="52" w:lineRule="exact"/>
        <w:rPr>
          <w:sz w:val="20"/>
          <w:szCs w:val="20"/>
          <w:color w:val="auto"/>
        </w:rPr>
      </w:pPr>
    </w:p>
    <w:p>
      <w:pPr>
        <w:ind w:right="120" w:firstLine="139"/>
        <w:spacing w:after="0" w:line="286" w:lineRule="auto"/>
        <w:rPr>
          <w:sz w:val="20"/>
          <w:szCs w:val="20"/>
          <w:color w:val="auto"/>
        </w:rPr>
      </w:pPr>
      <w:r>
        <w:rPr>
          <w:rFonts w:ascii="Arial" w:cs="Arial" w:eastAsia="Arial" w:hAnsi="Arial"/>
          <w:sz w:val="14"/>
          <w:szCs w:val="14"/>
          <w:color w:val="auto"/>
        </w:rPr>
        <w:t>However, as a result of the above correspondence and publication from ISIN and the publication of potential sites for the national repository, some of the substantial uncertainties regarding the obligation became more certain. In connection with developing the plan required by ISIN, we retained a third party specialist to assist in the estimation of the potential costs. Based on the aforementioned factors, the Company concluded its obligation to clean, dismantle, and deliver any hazardous substances to a national repository, was probable and reasonably estimable as of December 31, 2020. Accordingly, in the fourth quarter of 2020, we recognized a $42.2 million provision for this matter. The liability as of December 31, 2020 was $43.0 million which represented the low end of the estimated range of loss of $43.0 million to $55.0 million. At March 31, 2021 the liability was $41.0 million. The decrease in the liability from December 31, 2020 was primarily due to the effects of foreign currency changes during the first quarter of 2021.</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Product Liability</w:t>
      </w:r>
    </w:p>
    <w:p>
      <w:pPr>
        <w:spacing w:after="0" w:line="98" w:lineRule="exact"/>
        <w:rPr>
          <w:sz w:val="20"/>
          <w:szCs w:val="20"/>
          <w:color w:val="auto"/>
        </w:rPr>
      </w:pPr>
    </w:p>
    <w:p>
      <w:pPr>
        <w:ind w:right="120" w:firstLine="139"/>
        <w:spacing w:after="0" w:line="265" w:lineRule="auto"/>
        <w:rPr>
          <w:sz w:val="20"/>
          <w:szCs w:val="20"/>
          <w:color w:val="auto"/>
        </w:rPr>
      </w:pPr>
      <w:r>
        <w:rPr>
          <w:rFonts w:ascii="Arial" w:cs="Arial" w:eastAsia="Arial" w:hAnsi="Arial"/>
          <w:sz w:val="15"/>
          <w:szCs w:val="15"/>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65" w:lineRule="exact"/>
        <w:rPr>
          <w:sz w:val="20"/>
          <w:szCs w:val="20"/>
          <w:color w:val="auto"/>
        </w:rPr>
      </w:pPr>
    </w:p>
    <w:p>
      <w:pPr>
        <w:jc w:val="both"/>
        <w:ind w:right="40" w:firstLine="139"/>
        <w:spacing w:after="0" w:line="288" w:lineRule="auto"/>
        <w:rPr>
          <w:sz w:val="20"/>
          <w:szCs w:val="20"/>
          <w:color w:val="auto"/>
        </w:rPr>
      </w:pPr>
      <w:r>
        <w:rPr>
          <w:rFonts w:ascii="Arial" w:cs="Arial" w:eastAsia="Arial" w:hAnsi="Arial"/>
          <w:sz w:val="14"/>
          <w:szCs w:val="14"/>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2" w:lineRule="exact"/>
        <w:rPr>
          <w:sz w:val="20"/>
          <w:szCs w:val="20"/>
          <w:color w:val="auto"/>
        </w:rPr>
      </w:pPr>
    </w:p>
    <w:p>
      <w:pPr>
        <w:ind w:right="380" w:firstLine="139"/>
        <w:spacing w:after="0" w:line="289" w:lineRule="auto"/>
        <w:rPr>
          <w:sz w:val="20"/>
          <w:szCs w:val="20"/>
          <w:color w:val="auto"/>
        </w:rPr>
      </w:pPr>
      <w:r>
        <w:rPr>
          <w:rFonts w:ascii="Arial" w:cs="Arial" w:eastAsia="Arial" w:hAnsi="Arial"/>
          <w:sz w:val="15"/>
          <w:szCs w:val="15"/>
          <w:color w:val="auto"/>
        </w:rPr>
        <w:t>Cases in state courts in the U.S. and in jurisdictions outside the U.S. continue to progress. As of April 28, 2021, including the cases encompassed in the settlement framework described above that have not yet been dismissed, we are aware of</w:t>
      </w: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22" w:name="page23"/>
    <w:bookmarkEnd w:id="22"/>
    <w:p>
      <w:pPr>
        <w:ind w:right="100"/>
        <w:spacing w:after="0" w:line="268" w:lineRule="auto"/>
        <w:rPr>
          <w:sz w:val="20"/>
          <w:szCs w:val="20"/>
          <w:color w:val="auto"/>
        </w:rPr>
      </w:pPr>
      <w:r>
        <w:rPr>
          <w:rFonts w:ascii="Arial" w:cs="Arial" w:eastAsia="Arial" w:hAnsi="Arial"/>
          <w:sz w:val="15"/>
          <w:szCs w:val="15"/>
          <w:color w:val="auto"/>
        </w:rPr>
        <w:t>approximately 85 filed and unfiled claims worldwide, with the majority of the claims in various federal or state courts throughout the United States. This number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62" w:lineRule="exact"/>
        <w:rPr>
          <w:sz w:val="20"/>
          <w:szCs w:val="20"/>
          <w:color w:val="auto"/>
        </w:rPr>
      </w:pPr>
    </w:p>
    <w:p>
      <w:pPr>
        <w:ind w:right="520" w:firstLine="139"/>
        <w:spacing w:after="0" w:line="289" w:lineRule="auto"/>
        <w:rPr>
          <w:sz w:val="20"/>
          <w:szCs w:val="20"/>
          <w:color w:val="auto"/>
        </w:rPr>
      </w:pPr>
      <w:r>
        <w:rPr>
          <w:rFonts w:ascii="Arial" w:cs="Arial" w:eastAsia="Arial" w:hAnsi="Arial"/>
          <w:sz w:val="15"/>
          <w:szCs w:val="15"/>
          <w:color w:val="auto"/>
        </w:rPr>
        <w:t>At March 31, 2021, the provision for these matters was $34.3 million. While the amount accrued represents our best estimate for those filed and unfiled claims that are both probable and estimable, the actual liability for resolution of these matters may vary from our estimate.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40" w:type="dxa"/>
            <w:vAlign w:val="bottom"/>
          </w:tcPr>
          <w:p>
            <w:pPr>
              <w:ind w:left="140"/>
              <w:spacing w:after="0"/>
              <w:rPr>
                <w:sz w:val="20"/>
                <w:szCs w:val="20"/>
                <w:color w:val="auto"/>
              </w:rPr>
            </w:pPr>
            <w:r>
              <w:rPr>
                <w:rFonts w:ascii="Arial" w:cs="Arial" w:eastAsia="Arial" w:hAnsi="Arial"/>
                <w:sz w:val="15"/>
                <w:szCs w:val="15"/>
                <w:color w:val="auto"/>
              </w:rPr>
              <w:t>Changes in the carrying amount of the litigation provision liability are as follows (in thousands):</w:t>
            </w:r>
          </w:p>
        </w:tc>
        <w:tc>
          <w:tcPr>
            <w:tcW w:w="10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8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7"/>
        </w:trPr>
        <w:tc>
          <w:tcPr>
            <w:tcW w:w="8840" w:type="dxa"/>
            <w:vAlign w:val="bottom"/>
            <w:shd w:val="clear" w:color="auto" w:fill="CCEEFF"/>
          </w:tcPr>
          <w:p>
            <w:pPr>
              <w:spacing w:after="0"/>
              <w:rPr>
                <w:sz w:val="20"/>
                <w:szCs w:val="20"/>
                <w:color w:val="auto"/>
              </w:rPr>
            </w:pPr>
            <w:r>
              <w:rPr>
                <w:rFonts w:ascii="Arial" w:cs="Arial" w:eastAsia="Arial" w:hAnsi="Arial"/>
                <w:sz w:val="15"/>
                <w:szCs w:val="15"/>
                <w:color w:val="auto"/>
              </w:rPr>
              <w:t>Total litigation provision liability at December 31, 2020</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36,490</w:t>
            </w:r>
          </w:p>
        </w:tc>
      </w:tr>
      <w:tr>
        <w:trPr>
          <w:trHeight w:val="196"/>
        </w:trPr>
        <w:tc>
          <w:tcPr>
            <w:tcW w:w="8840" w:type="dxa"/>
            <w:vAlign w:val="bottom"/>
          </w:tcPr>
          <w:p>
            <w:pPr>
              <w:spacing w:after="0"/>
              <w:rPr>
                <w:sz w:val="20"/>
                <w:szCs w:val="20"/>
                <w:color w:val="auto"/>
              </w:rPr>
            </w:pPr>
            <w:r>
              <w:rPr>
                <w:rFonts w:ascii="Arial" w:cs="Arial" w:eastAsia="Arial" w:hAnsi="Arial"/>
                <w:sz w:val="15"/>
                <w:szCs w:val="15"/>
                <w:color w:val="auto"/>
              </w:rPr>
              <w:t>Payments</w:t>
            </w:r>
          </w:p>
        </w:tc>
        <w:tc>
          <w:tcPr>
            <w:tcW w:w="10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(5,122)</w:t>
            </w:r>
          </w:p>
        </w:tc>
      </w:tr>
      <w:tr>
        <w:trPr>
          <w:trHeight w:val="197"/>
        </w:trPr>
        <w:tc>
          <w:tcPr>
            <w:tcW w:w="8840" w:type="dxa"/>
            <w:vAlign w:val="bottom"/>
            <w:shd w:val="clear" w:color="auto" w:fill="CCEEFF"/>
          </w:tcPr>
          <w:p>
            <w:pPr>
              <w:spacing w:after="0"/>
              <w:rPr>
                <w:sz w:val="20"/>
                <w:szCs w:val="20"/>
                <w:color w:val="auto"/>
              </w:rPr>
            </w:pPr>
            <w:r>
              <w:rPr>
                <w:rFonts w:ascii="Arial" w:cs="Arial" w:eastAsia="Arial" w:hAnsi="Arial"/>
                <w:sz w:val="15"/>
                <w:szCs w:val="15"/>
                <w:color w:val="auto"/>
              </w:rPr>
              <w:t>Adjustments</w:t>
            </w:r>
          </w:p>
        </w:tc>
        <w:tc>
          <w:tcPr>
            <w:tcW w:w="10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3,044</w:t>
            </w:r>
          </w:p>
        </w:tc>
      </w:tr>
      <w:tr>
        <w:trPr>
          <w:trHeight w:val="196"/>
        </w:trPr>
        <w:tc>
          <w:tcPr>
            <w:tcW w:w="8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FX and other</w:t>
            </w: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w:t>
            </w:r>
          </w:p>
        </w:tc>
      </w:tr>
      <w:tr>
        <w:trPr>
          <w:trHeight w:val="188"/>
        </w:trPr>
        <w:tc>
          <w:tcPr>
            <w:tcW w:w="8840" w:type="dxa"/>
            <w:vAlign w:val="bottom"/>
            <w:shd w:val="clear" w:color="auto" w:fill="CCEEFF"/>
          </w:tcPr>
          <w:p>
            <w:pPr>
              <w:spacing w:after="0"/>
              <w:rPr>
                <w:sz w:val="20"/>
                <w:szCs w:val="20"/>
                <w:color w:val="auto"/>
              </w:rPr>
            </w:pPr>
            <w:r>
              <w:rPr>
                <w:rFonts w:ascii="Arial" w:cs="Arial" w:eastAsia="Arial" w:hAnsi="Arial"/>
                <w:sz w:val="15"/>
                <w:szCs w:val="15"/>
                <w:color w:val="auto"/>
              </w:rPr>
              <w:t>Total litigation provision liability at March 31, 2021</w:t>
            </w:r>
          </w:p>
        </w:tc>
        <w:tc>
          <w:tcPr>
            <w:tcW w:w="10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34,310</w:t>
            </w:r>
          </w:p>
        </w:tc>
      </w:tr>
      <w:tr>
        <w:trPr>
          <w:trHeight w:val="196"/>
        </w:trPr>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Less current portion of litigation provision liability at March 31, 2021</w:t>
            </w: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26,570</w:t>
            </w:r>
          </w:p>
        </w:tc>
      </w:tr>
      <w:tr>
        <w:trPr>
          <w:trHeight w:val="213"/>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portion of litigation provision liability at March 31, 2021</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7,740</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Environmental Liability</w:t>
      </w:r>
    </w:p>
    <w:p>
      <w:pPr>
        <w:spacing w:after="0" w:line="98" w:lineRule="exact"/>
        <w:rPr>
          <w:sz w:val="20"/>
          <w:szCs w:val="20"/>
          <w:color w:val="auto"/>
        </w:rPr>
      </w:pPr>
    </w:p>
    <w:p>
      <w:pPr>
        <w:ind w:right="200" w:firstLine="139"/>
        <w:spacing w:after="0" w:line="301" w:lineRule="auto"/>
        <w:rPr>
          <w:sz w:val="20"/>
          <w:szCs w:val="20"/>
          <w:color w:val="auto"/>
        </w:rPr>
      </w:pPr>
      <w:r>
        <w:rPr>
          <w:rFonts w:ascii="Arial" w:cs="Arial" w:eastAsia="Arial" w:hAnsi="Arial"/>
          <w:sz w:val="14"/>
          <w:szCs w:val="14"/>
          <w:color w:val="auto"/>
        </w:rPr>
        <w:t>Sorin was created as a result of a spin-off (the “Sorin spin-off”) from SNIA in January 2004, and in October 2015, Sorin was merged into LivaNova.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42" w:lineRule="exact"/>
        <w:rPr>
          <w:sz w:val="20"/>
          <w:szCs w:val="20"/>
          <w:color w:val="auto"/>
        </w:rPr>
      </w:pPr>
    </w:p>
    <w:p>
      <w:pPr>
        <w:ind w:right="40" w:firstLine="139"/>
        <w:spacing w:after="0" w:line="268" w:lineRule="auto"/>
        <w:rPr>
          <w:sz w:val="20"/>
          <w:szCs w:val="20"/>
          <w:color w:val="auto"/>
        </w:rPr>
      </w:pPr>
      <w:r>
        <w:rPr>
          <w:rFonts w:ascii="Arial" w:cs="Arial" w:eastAsia="Arial" w:hAnsi="Arial"/>
          <w:sz w:val="15"/>
          <w:szCs w:val="15"/>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 to the Supreme Court. In addition, the Bankruptcy Court of Milan’s decision has been appealed.</w:t>
      </w:r>
    </w:p>
    <w:p>
      <w:pPr>
        <w:spacing w:after="0" w:line="62" w:lineRule="exact"/>
        <w:rPr>
          <w:sz w:val="20"/>
          <w:szCs w:val="20"/>
          <w:color w:val="auto"/>
        </w:rPr>
      </w:pPr>
    </w:p>
    <w:p>
      <w:pPr>
        <w:ind w:right="20" w:firstLine="139"/>
        <w:spacing w:after="0" w:line="283" w:lineRule="auto"/>
        <w:rPr>
          <w:sz w:val="20"/>
          <w:szCs w:val="20"/>
          <w:color w:val="auto"/>
        </w:rPr>
      </w:pPr>
      <w:r>
        <w:rPr>
          <w:rFonts w:ascii="Arial" w:cs="Arial" w:eastAsia="Arial" w:hAnsi="Arial"/>
          <w:sz w:val="14"/>
          <w:szCs w:val="14"/>
          <w:color w:val="auto"/>
        </w:rPr>
        <w:t>In January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On April 1, 2016, the Court of Milan dismissed all legal actions of SNIA and of the Public Administrations further requiring the Public Administrations to pay Sorin approximately €292,000 (approximately $343,000 as of March 31, 2021)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$671.4 million as of March 31, 2021). Next the Court will evaluate a report delivered by a panel of three experts assessing the environmental damages, including the costs of clean-up and compensatory damages; conduct a hearing; and review briefs from the parties. Thereafter, the Court will issue its ruling on the amount of damages attributable to LivaNova. In the interim, we have appealed the partial decision on liability to the Italian Supreme Court (Corte di Cassazione).</w:t>
      </w:r>
    </w:p>
    <w:p>
      <w:pPr>
        <w:spacing w:after="0" w:line="54" w:lineRule="exact"/>
        <w:rPr>
          <w:sz w:val="20"/>
          <w:szCs w:val="20"/>
          <w:color w:val="auto"/>
        </w:rPr>
      </w:pPr>
    </w:p>
    <w:p>
      <w:pPr>
        <w:ind w:right="160" w:firstLine="139"/>
        <w:spacing w:after="0" w:line="262" w:lineRule="auto"/>
        <w:rPr>
          <w:sz w:val="20"/>
          <w:szCs w:val="20"/>
          <w:color w:val="auto"/>
        </w:rPr>
      </w:pPr>
      <w:r>
        <w:rPr>
          <w:rFonts w:ascii="Arial" w:cs="Arial" w:eastAsia="Arial" w:hAnsi="Arial"/>
          <w:sz w:val="15"/>
          <w:szCs w:val="15"/>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September 2020, Caffaro Brescia declared it was withdrawing from its agreement to maintain the environmental measures. In January 2021, we (in addition to Caffaro Brescia, and other non-LivaNova entities) received an administrative order (“Order”) from the Italian Ministry of the Environment requiring us to ensure the maintenance of the environmental measures and to guarantee that such works remain fully operational, the annual management and maintenance for which is estimated at approximately €1 million per year. LivaNova’s receipt of the Order appears to be based on the aforementioned Court of Appeals decision regarding our alleged joint liability with SNIA for SNIA’s environmental liabilities. Our response, dated February 16, 2021, disputes the grounds upon which the Order is based.</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We have not recognized a liability in connection with these related matters matter because any potential loss is not currently probable or reasonably estimable.</w:t>
      </w: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3" w:name="page24"/>
    <w:bookmarkEnd w:id="23"/>
    <w:p>
      <w:pPr>
        <w:ind w:left="140"/>
        <w:spacing w:after="0"/>
        <w:rPr>
          <w:sz w:val="20"/>
          <w:szCs w:val="20"/>
          <w:color w:val="auto"/>
        </w:rPr>
      </w:pPr>
      <w:r>
        <w:rPr>
          <w:rFonts w:ascii="Arial" w:cs="Arial" w:eastAsia="Arial" w:hAnsi="Arial"/>
          <w:sz w:val="17"/>
          <w:szCs w:val="17"/>
          <w:i w:val="1"/>
          <w:iCs w:val="1"/>
          <w:color w:val="auto"/>
        </w:rPr>
        <w:t>Patent Litigation</w:t>
      </w:r>
    </w:p>
    <w:p>
      <w:pPr>
        <w:spacing w:after="0" w:line="98" w:lineRule="exact"/>
        <w:rPr>
          <w:sz w:val="20"/>
          <w:szCs w:val="20"/>
          <w:color w:val="auto"/>
        </w:rPr>
      </w:pPr>
    </w:p>
    <w:p>
      <w:pPr>
        <w:ind w:right="60" w:firstLine="139"/>
        <w:spacing w:after="0" w:line="284" w:lineRule="auto"/>
        <w:rPr>
          <w:sz w:val="20"/>
          <w:szCs w:val="20"/>
          <w:color w:val="auto"/>
        </w:rPr>
      </w:pPr>
      <w:r>
        <w:rPr>
          <w:rFonts w:ascii="Arial" w:cs="Arial" w:eastAsia="Arial" w:hAnsi="Arial"/>
          <w:sz w:val="14"/>
          <w:szCs w:val="14"/>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 S. Patent and Trademark Office (the “Patent Office”) for an </w:t>
      </w:r>
      <w:r>
        <w:rPr>
          <w:rFonts w:ascii="Arial" w:cs="Arial" w:eastAsia="Arial" w:hAnsi="Arial"/>
          <w:sz w:val="14"/>
          <w:szCs w:val="14"/>
          <w:i w:val="1"/>
          <w:iCs w:val="1"/>
          <w:color w:val="auto"/>
        </w:rPr>
        <w:t>inter partes review</w:t>
      </w:r>
      <w:r>
        <w:rPr>
          <w:rFonts w:ascii="Arial" w:cs="Arial" w:eastAsia="Arial" w:hAnsi="Arial"/>
          <w:sz w:val="14"/>
          <w:szCs w:val="14"/>
          <w:color w:val="auto"/>
        </w:rPr>
        <w:t xml:space="preserve"> (“IPR”) of the validity of the ‘307 patent, and on May 18, 2020, the Patent Office issued a Final Written Decision determining that all challenged claims are unpatentable. NCT is appealing the Final Written Decision. On March 24, 2020 we were granted our request for an </w:t>
      </w:r>
      <w:r>
        <w:rPr>
          <w:rFonts w:ascii="Arial" w:cs="Arial" w:eastAsia="Arial" w:hAnsi="Arial"/>
          <w:sz w:val="14"/>
          <w:szCs w:val="14"/>
          <w:i w:val="1"/>
          <w:iCs w:val="1"/>
          <w:color w:val="auto"/>
        </w:rPr>
        <w:t>ex parte</w:t>
      </w:r>
      <w:r>
        <w:rPr>
          <w:rFonts w:ascii="Arial" w:cs="Arial" w:eastAsia="Arial" w:hAnsi="Arial"/>
          <w:sz w:val="14"/>
          <w:szCs w:val="14"/>
          <w:color w:val="auto"/>
        </w:rPr>
        <w:t xml:space="preserve"> reexamination of the ‘307 patent, and in April 2021, the Patent Office issued a Non-Final Rejection of all the ‘307 claims. The Court has stayed the litigation pending the outcome of the IPR appeal proceeding. We have not recognized a liability in connection with this matter because any potential loss is not currently probable or reasonably estimable.</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Contract Litigation</w:t>
      </w:r>
    </w:p>
    <w:p>
      <w:pPr>
        <w:spacing w:after="0" w:line="98" w:lineRule="exact"/>
        <w:rPr>
          <w:sz w:val="20"/>
          <w:szCs w:val="20"/>
          <w:color w:val="auto"/>
        </w:rPr>
      </w:pPr>
    </w:p>
    <w:p>
      <w:pPr>
        <w:ind w:right="60" w:firstLine="139"/>
        <w:spacing w:after="0" w:line="286" w:lineRule="auto"/>
        <w:rPr>
          <w:sz w:val="20"/>
          <w:szCs w:val="20"/>
          <w:color w:val="auto"/>
        </w:rPr>
      </w:pPr>
      <w:r>
        <w:rPr>
          <w:rFonts w:ascii="Arial" w:cs="Arial" w:eastAsia="Arial" w:hAnsi="Arial"/>
          <w:sz w:val="14"/>
          <w:szCs w:val="14"/>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is currently pending in the United States District Court for the District of Minnesota. The complaint alleges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seeks damages arising out of the 2017 acquisition agreement, including various regulatory milestone payments. We intend to vigorously defend this claim. The Company has not recognized a liability related to this matter because any potential loss is not currently probable or reasonably estimable.</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Other Matters</w:t>
      </w:r>
    </w:p>
    <w:p>
      <w:pPr>
        <w:spacing w:after="0" w:line="102" w:lineRule="exact"/>
        <w:rPr>
          <w:sz w:val="20"/>
          <w:szCs w:val="20"/>
          <w:color w:val="auto"/>
        </w:rPr>
      </w:pPr>
    </w:p>
    <w:p>
      <w:pPr>
        <w:ind w:right="20" w:firstLine="139"/>
        <w:spacing w:after="0" w:line="273" w:lineRule="auto"/>
        <w:rPr>
          <w:sz w:val="20"/>
          <w:szCs w:val="20"/>
          <w:color w:val="auto"/>
        </w:rPr>
      </w:pPr>
      <w:r>
        <w:rPr>
          <w:rFonts w:ascii="Arial" w:cs="Arial" w:eastAsia="Arial" w:hAnsi="Arial"/>
          <w:sz w:val="15"/>
          <w:szCs w:val="15"/>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Stockholders' Equity</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tables below present the condensed consolidated statement of stockholders’ equity as of and for the three months ended March 31, 2021 and 2020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Ordinary</w:t>
            </w: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4"/>
              </w:rPr>
              <w:t>Ordinary Shares</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7"/>
              </w:rPr>
              <w:t>Additional Paid-In</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Accumulated Other</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4"/>
              <w:spacing w:after="0"/>
              <w:rPr>
                <w:sz w:val="20"/>
                <w:szCs w:val="20"/>
                <w:color w:val="auto"/>
              </w:rPr>
            </w:pPr>
            <w:r>
              <w:rPr>
                <w:rFonts w:ascii="Arial" w:cs="Arial" w:eastAsia="Arial" w:hAnsi="Arial"/>
                <w:sz w:val="12"/>
                <w:szCs w:val="12"/>
                <w:b w:val="1"/>
                <w:bCs w:val="1"/>
                <w:color w:val="auto"/>
                <w:w w:val="97"/>
              </w:rPr>
              <w:t>Total Stockholders'</w:t>
            </w:r>
          </w:p>
        </w:tc>
        <w:tc>
          <w:tcPr>
            <w:tcW w:w="0" w:type="dxa"/>
            <w:vAlign w:val="bottom"/>
          </w:tcPr>
          <w:p>
            <w:pPr>
              <w:spacing w:after="0"/>
              <w:rPr>
                <w:sz w:val="1"/>
                <w:szCs w:val="1"/>
                <w:color w:val="auto"/>
              </w:rPr>
            </w:pPr>
          </w:p>
        </w:tc>
      </w:tr>
      <w:tr>
        <w:trPr>
          <w:trHeight w:val="116"/>
        </w:trPr>
        <w:tc>
          <w:tcPr>
            <w:tcW w:w="3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Treasury Stock</w:t>
            </w:r>
          </w:p>
        </w:tc>
        <w:tc>
          <w:tcPr>
            <w:tcW w:w="140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rPr>
              <w:t>Comprehensive Income</w:t>
            </w:r>
          </w:p>
        </w:tc>
        <w:tc>
          <w:tcPr>
            <w:tcW w:w="12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Accumulated Deficit</w:t>
            </w: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 Amount</w:t>
            </w:r>
          </w:p>
        </w:tc>
        <w:tc>
          <w:tcPr>
            <w:tcW w:w="24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Capital</w:t>
            </w:r>
          </w:p>
        </w:tc>
        <w:tc>
          <w:tcPr>
            <w:tcW w:w="10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(Loss)</w:t>
            </w:r>
          </w:p>
        </w:tc>
        <w:tc>
          <w:tcPr>
            <w:tcW w:w="12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89"/>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49,447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76,300</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1,768,156</w:t>
            </w: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27,809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(752,402)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1,118,829</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5"/>
                <w:szCs w:val="15"/>
                <w:color w:val="auto"/>
              </w:rPr>
              <w:t>Stock-based compensation plans</w:t>
            </w:r>
          </w:p>
        </w:tc>
        <w:tc>
          <w:tcPr>
            <w:tcW w:w="8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2,497</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(29,698)</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(25,871)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(25,871)</w:t>
            </w: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March 31,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1,770,407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1,065,757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1,734,870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(406,755)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1,383,717</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5"/>
                <w:szCs w:val="15"/>
                <w:color w:val="auto"/>
              </w:rPr>
              <w:t>Adoption of ASU No. 2016-13</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(639)</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plans</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5,178</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5"/>
                <w:szCs w:val="15"/>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37,583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37,583</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(33,131)</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20"/>
                <w:szCs w:val="20"/>
                <w:color w:val="auto"/>
              </w:rPr>
            </w:pPr>
            <w:r>
              <w:rPr>
                <w:rFonts w:ascii="Arial" w:cs="Arial" w:eastAsia="Arial" w:hAnsi="Arial"/>
                <w:sz w:val="15"/>
                <w:szCs w:val="15"/>
                <w:color w:val="auto"/>
              </w:rPr>
              <w:t>March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49,414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76,259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1,739,873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(1,090)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(52,523)</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(369,811)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1,392,708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540" w:hanging="270"/>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Refer to “Note 15. New Accounting Pronouncements”</w:t>
      </w: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24" w:name="page25"/>
    <w:bookmarkEnd w:id="24"/>
    <w:p>
      <w:pPr>
        <w:ind w:right="100" w:firstLine="139"/>
        <w:spacing w:after="0" w:line="277" w:lineRule="auto"/>
        <w:rPr>
          <w:sz w:val="20"/>
          <w:szCs w:val="20"/>
          <w:color w:val="auto"/>
        </w:rPr>
      </w:pPr>
      <w:r>
        <w:rPr>
          <w:rFonts w:ascii="Arial" w:cs="Arial" w:eastAsia="Arial" w:hAnsi="Arial"/>
          <w:sz w:val="15"/>
          <w:szCs w:val="15"/>
          <w:color w:val="auto"/>
        </w:rPr>
        <w:t>The table below presents the change in each component of AOCI, net of tax, and the reclassifications out of AOCI into net income for the three months ended March 31, 2021 and 2020 (in thousands):</w:t>
      </w:r>
    </w:p>
    <w:tbl>
      <w:tblPr>
        <w:tblLayout w:type="fixed"/>
        <w:tblInd w:w="0" w:type="dxa"/>
        <w:tblCellMar>
          <w:top w:w="0" w:type="dxa"/>
          <w:left w:w="0" w:type="dxa"/>
          <w:bottom w:w="0" w:type="dxa"/>
          <w:right w:w="0" w:type="dxa"/>
        </w:tblCellMar>
      </w:tblPr>
      <w:tr>
        <w:trPr>
          <w:trHeight w:val="156"/>
        </w:trPr>
        <w:tc>
          <w:tcPr>
            <w:tcW w:w="6400" w:type="dxa"/>
            <w:vAlign w:val="bottom"/>
          </w:tcPr>
          <w:p>
            <w:pPr>
              <w:spacing w:after="0"/>
              <w:rPr>
                <w:sz w:val="13"/>
                <w:szCs w:val="13"/>
                <w:color w:val="auto"/>
              </w:rPr>
            </w:pPr>
          </w:p>
        </w:tc>
        <w:tc>
          <w:tcPr>
            <w:tcW w:w="166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3"/>
              </w:rPr>
              <w:t>Change in Unrealized</w:t>
            </w:r>
          </w:p>
        </w:tc>
        <w:tc>
          <w:tcPr>
            <w:tcW w:w="120" w:type="dxa"/>
            <w:vAlign w:val="bottom"/>
          </w:tcPr>
          <w:p>
            <w:pPr>
              <w:spacing w:after="0"/>
              <w:rPr>
                <w:sz w:val="13"/>
                <w:szCs w:val="13"/>
                <w:color w:val="auto"/>
              </w:rPr>
            </w:pPr>
          </w:p>
        </w:tc>
        <w:tc>
          <w:tcPr>
            <w:tcW w:w="1520" w:type="dxa"/>
            <w:vAlign w:val="bottom"/>
            <w:gridSpan w:val="2"/>
          </w:tcPr>
          <w:p>
            <w:pPr>
              <w:jc w:val="center"/>
              <w:ind w:right="220"/>
              <w:spacing w:after="0" w:line="156" w:lineRule="exact"/>
              <w:rPr>
                <w:sz w:val="20"/>
                <w:szCs w:val="20"/>
                <w:color w:val="auto"/>
              </w:rPr>
            </w:pPr>
            <w:r>
              <w:rPr>
                <w:rFonts w:ascii="Arial" w:cs="Arial" w:eastAsia="Arial" w:hAnsi="Arial"/>
                <w:sz w:val="15"/>
                <w:szCs w:val="15"/>
                <w:b w:val="1"/>
                <w:bCs w:val="1"/>
                <w:color w:val="auto"/>
                <w:w w:val="94"/>
              </w:rPr>
              <w:t>Foreign Currency</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0" w:type="dxa"/>
            <w:vAlign w:val="bottom"/>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3"/>
              </w:rPr>
              <w:t>Translation</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20"/>
              <w:spacing w:after="0" w:line="151" w:lineRule="exact"/>
              <w:rPr>
                <w:sz w:val="20"/>
                <w:szCs w:val="20"/>
                <w:color w:val="auto"/>
              </w:rPr>
            </w:pPr>
            <w:r>
              <w:rPr>
                <w:rFonts w:ascii="Arial" w:cs="Arial" w:eastAsia="Arial" w:hAnsi="Arial"/>
                <w:sz w:val="15"/>
                <w:szCs w:val="15"/>
                <w:b w:val="1"/>
                <w:bCs w:val="1"/>
                <w:color w:val="auto"/>
                <w:w w:val="93"/>
              </w:rPr>
              <w:t>Gain (Loss) on</w:t>
            </w:r>
          </w:p>
        </w:tc>
        <w:tc>
          <w:tcPr>
            <w:tcW w:w="120" w:type="dxa"/>
            <w:vAlign w:val="bottom"/>
          </w:tcPr>
          <w:p>
            <w:pPr>
              <w:spacing w:after="0"/>
              <w:rPr>
                <w:sz w:val="13"/>
                <w:szCs w:val="13"/>
                <w:color w:val="auto"/>
              </w:rPr>
            </w:pPr>
          </w:p>
        </w:tc>
        <w:tc>
          <w:tcPr>
            <w:tcW w:w="152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3"/>
              </w:rPr>
              <w:t>Adjustments Gain</w:t>
            </w:r>
          </w:p>
        </w:tc>
        <w:tc>
          <w:tcPr>
            <w:tcW w:w="360" w:type="dxa"/>
            <w:vAlign w:val="bottom"/>
          </w:tcPr>
          <w:p>
            <w:pPr>
              <w:spacing w:after="0"/>
              <w:rPr>
                <w:sz w:val="13"/>
                <w:szCs w:val="13"/>
                <w:color w:val="auto"/>
              </w:rPr>
            </w:pPr>
          </w:p>
        </w:tc>
        <w:tc>
          <w:tcPr>
            <w:tcW w:w="1200" w:type="dxa"/>
            <w:vAlign w:val="bottom"/>
            <w:vMerge w:val="restart"/>
          </w:tcPr>
          <w:p>
            <w:pPr>
              <w:jc w:val="right"/>
              <w:ind w:right="54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Derivatives</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line="197" w:lineRule="exact"/>
              <w:rPr>
                <w:sz w:val="20"/>
                <w:szCs w:val="20"/>
                <w:color w:val="auto"/>
              </w:rPr>
            </w:pPr>
            <w:r>
              <w:rPr>
                <w:rFonts w:ascii="Arial" w:cs="Arial" w:eastAsia="Arial" w:hAnsi="Arial"/>
                <w:sz w:val="15"/>
                <w:szCs w:val="15"/>
                <w:b w:val="1"/>
                <w:bCs w:val="1"/>
                <w:color w:val="auto"/>
                <w:w w:val="85"/>
              </w:rPr>
              <w:t xml:space="preserve">(Loss) </w:t>
            </w:r>
            <w:r>
              <w:rPr>
                <w:rFonts w:ascii="Arial" w:cs="Arial" w:eastAsia="Arial" w:hAnsi="Arial"/>
                <w:sz w:val="20"/>
                <w:szCs w:val="20"/>
                <w:b w:val="1"/>
                <w:bCs w:val="1"/>
                <w:color w:val="auto"/>
                <w:w w:val="85"/>
                <w:vertAlign w:val="superscript"/>
              </w:rPr>
              <w:t>(1)</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25,490</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27,809</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20"/>
                <w:szCs w:val="20"/>
                <w:color w:val="auto"/>
              </w:rPr>
            </w:pPr>
            <w:r>
              <w:rPr>
                <w:rFonts w:ascii="Arial" w:cs="Arial" w:eastAsia="Arial" w:hAnsi="Arial"/>
                <w:sz w:val="15"/>
                <w:szCs w:val="15"/>
                <w:color w:val="auto"/>
              </w:rPr>
              <w:t>Other comprehensive income before reclassifications, before tax</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(25,875)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(27,021)</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Tax expense</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20"/>
                <w:szCs w:val="20"/>
                <w:color w:val="auto"/>
              </w:rPr>
            </w:pPr>
            <w:r>
              <w:rPr>
                <w:rFonts w:ascii="Arial" w:cs="Arial" w:eastAsia="Arial" w:hAnsi="Arial"/>
                <w:sz w:val="15"/>
                <w:szCs w:val="15"/>
                <w:color w:val="auto"/>
              </w:rPr>
              <w:t>Other comprehensive income before reclassifications, net of tax</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(25,875)</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(26,487)</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loss from accumulated other comprehensive income (loss), before tax</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811</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Reclassification of tax benefit</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88"/>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loss from accumulated other comprehensive income (loss), after tax</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w:t>
            </w: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current-period other comprehensive income, net of tax</w:t>
            </w: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(25,875)</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(25,871)</w:t>
            </w:r>
          </w:p>
        </w:tc>
        <w:tc>
          <w:tcPr>
            <w:tcW w:w="0" w:type="dxa"/>
            <w:vAlign w:val="bottom"/>
          </w:tcPr>
          <w:p>
            <w:pPr>
              <w:spacing w:after="0"/>
              <w:rPr>
                <w:sz w:val="1"/>
                <w:szCs w:val="1"/>
                <w:color w:val="auto"/>
              </w:rPr>
            </w:pPr>
          </w:p>
        </w:tc>
      </w:tr>
      <w:tr>
        <w:trPr>
          <w:trHeight w:val="21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March 31, 2021</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(19,905)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(19,392)</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20"/>
                <w:szCs w:val="20"/>
                <w:color w:val="auto"/>
              </w:rPr>
            </w:pPr>
            <w:r>
              <w:rPr>
                <w:rFonts w:ascii="Arial" w:cs="Arial" w:eastAsia="Arial" w:hAnsi="Arial"/>
                <w:sz w:val="15"/>
                <w:szCs w:val="15"/>
                <w:color w:val="auto"/>
              </w:rPr>
              <w:t>Other comprehensive loss before reclassifications, before tax</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(2,080)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(32,100)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(34,180)</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Tax benefit</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20"/>
                <w:szCs w:val="20"/>
                <w:color w:val="auto"/>
              </w:rPr>
            </w:pPr>
            <w:r>
              <w:rPr>
                <w:rFonts w:ascii="Arial" w:cs="Arial" w:eastAsia="Arial" w:hAnsi="Arial"/>
                <w:sz w:val="15"/>
                <w:szCs w:val="15"/>
                <w:color w:val="auto"/>
              </w:rPr>
              <w:t>Other comprehensive loss before reclassifications, net of tax</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(1,582)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(32,100)</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(33,682)</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loss from accumulated other comprehensive income (loss), before tax</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Reclassification of tax expense</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188"/>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loss from accumulated other comprehensive income (loss), after tax</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w:t>
            </w: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current-period other comprehensive loss, net of tax</w:t>
            </w: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(1,031)</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(32,100)</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(33,131)</w:t>
            </w:r>
          </w:p>
        </w:tc>
        <w:tc>
          <w:tcPr>
            <w:tcW w:w="0" w:type="dxa"/>
            <w:vAlign w:val="bottom"/>
          </w:tcPr>
          <w:p>
            <w:pPr>
              <w:spacing w:after="0"/>
              <w:rPr>
                <w:sz w:val="1"/>
                <w:szCs w:val="1"/>
                <w:color w:val="auto"/>
              </w:rPr>
            </w:pPr>
          </w:p>
        </w:tc>
      </w:tr>
      <w:tr>
        <w:trPr>
          <w:trHeight w:val="21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March 31, 2020</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(52,005)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(52,523)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540" w:hanging="270"/>
        <w:spacing w:after="0"/>
        <w:tabs>
          <w:tab w:leader="none" w:pos="540" w:val="left"/>
        </w:tabs>
        <w:numPr>
          <w:ilvl w:val="0"/>
          <w:numId w:val="11"/>
        </w:numPr>
        <w:rPr>
          <w:rFonts w:ascii="Arial" w:cs="Arial" w:eastAsia="Arial" w:hAnsi="Arial"/>
          <w:sz w:val="11"/>
          <w:szCs w:val="11"/>
          <w:color w:val="auto"/>
        </w:rPr>
      </w:pPr>
      <w:r>
        <w:rPr>
          <w:rFonts w:ascii="Arial" w:cs="Arial" w:eastAsia="Arial" w:hAnsi="Arial"/>
          <w:sz w:val="13"/>
          <w:szCs w:val="13"/>
          <w:color w:val="auto"/>
        </w:rPr>
        <w:t>Taxes are not provided for foreign currency translation adjustments as translation adjustments are related to earnings that are intended to be reinvested in the countries where earned.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Stock-Based Incentive Plans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ind w:left="140"/>
              <w:spacing w:after="0"/>
              <w:rPr>
                <w:sz w:val="20"/>
                <w:szCs w:val="20"/>
                <w:color w:val="auto"/>
              </w:rPr>
            </w:pPr>
            <w:r>
              <w:rPr>
                <w:rFonts w:ascii="Arial" w:cs="Arial" w:eastAsia="Arial" w:hAnsi="Arial"/>
                <w:sz w:val="15"/>
                <w:szCs w:val="15"/>
                <w:color w:val="auto"/>
              </w:rPr>
              <w:t>Stock-based incentive plans compensation expense is as follows (in thousands):</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0"/>
        </w:trPr>
        <w:tc>
          <w:tcPr>
            <w:tcW w:w="8020" w:type="dxa"/>
            <w:vAlign w:val="bottom"/>
          </w:tcPr>
          <w:p>
            <w:pPr>
              <w:spacing w:after="0"/>
              <w:rPr>
                <w:sz w:val="19"/>
                <w:szCs w:val="19"/>
                <w:color w:val="auto"/>
              </w:rPr>
            </w:pPr>
          </w:p>
        </w:tc>
        <w:tc>
          <w:tcPr>
            <w:tcW w:w="27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5"/>
                <w:szCs w:val="15"/>
                <w:b w:val="1"/>
                <w:bCs w:val="1"/>
                <w:color w:val="auto"/>
              </w:rPr>
              <w:t>Three Months Ended March 31,</w:t>
            </w:r>
          </w:p>
        </w:tc>
        <w:tc>
          <w:tcPr>
            <w:tcW w:w="480" w:type="dxa"/>
            <w:vAlign w:val="bottom"/>
            <w:tcBorders>
              <w:bottom w:val="single" w:sz="8" w:color="auto"/>
            </w:tcBorders>
          </w:tcPr>
          <w:p>
            <w:pPr>
              <w:spacing w:after="0"/>
              <w:rPr>
                <w:sz w:val="19"/>
                <w:szCs w:val="19"/>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188"/>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Service-based restricted stock units (“RSUs”)</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4,842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4,478</w:t>
            </w:r>
          </w:p>
        </w:tc>
      </w:tr>
      <w:tr>
        <w:trPr>
          <w:trHeight w:val="196"/>
        </w:trPr>
        <w:tc>
          <w:tcPr>
            <w:tcW w:w="8020" w:type="dxa"/>
            <w:vAlign w:val="bottom"/>
          </w:tcPr>
          <w:p>
            <w:pPr>
              <w:spacing w:after="0"/>
              <w:rPr>
                <w:sz w:val="20"/>
                <w:szCs w:val="20"/>
                <w:color w:val="auto"/>
              </w:rPr>
            </w:pPr>
            <w:r>
              <w:rPr>
                <w:rFonts w:ascii="Arial" w:cs="Arial" w:eastAsia="Arial" w:hAnsi="Arial"/>
                <w:sz w:val="15"/>
                <w:szCs w:val="15"/>
                <w:color w:val="auto"/>
              </w:rPr>
              <w:t>Service-based stock appreciation rights (“SARs”)</w:t>
            </w:r>
          </w:p>
        </w:tc>
        <w:tc>
          <w:tcPr>
            <w:tcW w:w="106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3,322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2,684</w:t>
            </w: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Market performance-based restricted stock units</w:t>
            </w: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763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w:t>
            </w:r>
          </w:p>
        </w:tc>
      </w:tr>
      <w:tr>
        <w:trPr>
          <w:trHeight w:val="196"/>
        </w:trPr>
        <w:tc>
          <w:tcPr>
            <w:tcW w:w="8020" w:type="dxa"/>
            <w:vAlign w:val="bottom"/>
          </w:tcPr>
          <w:p>
            <w:pPr>
              <w:spacing w:after="0"/>
              <w:rPr>
                <w:sz w:val="20"/>
                <w:szCs w:val="20"/>
                <w:color w:val="auto"/>
              </w:rPr>
            </w:pPr>
            <w:r>
              <w:rPr>
                <w:rFonts w:ascii="Arial" w:cs="Arial" w:eastAsia="Arial" w:hAnsi="Arial"/>
                <w:sz w:val="15"/>
                <w:szCs w:val="15"/>
                <w:color w:val="auto"/>
              </w:rPr>
              <w:t>Operating performance-based restricted stock units</w:t>
            </w:r>
          </w:p>
        </w:tc>
        <w:tc>
          <w:tcPr>
            <w:tcW w:w="106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267</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695</w:t>
            </w: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Employee share purchase plan</w:t>
            </w:r>
          </w:p>
        </w:tc>
        <w:tc>
          <w:tcPr>
            <w:tcW w:w="10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342</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w:t>
            </w:r>
          </w:p>
        </w:tc>
      </w:tr>
      <w:tr>
        <w:trPr>
          <w:trHeight w:val="188"/>
        </w:trPr>
        <w:tc>
          <w:tcPr>
            <w:tcW w:w="8020" w:type="dxa"/>
            <w:vAlign w:val="bottom"/>
          </w:tcPr>
          <w:p>
            <w:pPr>
              <w:spacing w:after="0"/>
              <w:rPr>
                <w:sz w:val="20"/>
                <w:szCs w:val="20"/>
                <w:color w:val="auto"/>
              </w:rPr>
            </w:pPr>
            <w:r>
              <w:rPr>
                <w:rFonts w:ascii="Arial" w:cs="Arial" w:eastAsia="Arial" w:hAnsi="Arial"/>
                <w:sz w:val="15"/>
                <w:szCs w:val="15"/>
                <w:color w:val="auto"/>
              </w:rPr>
              <w:t>Total stock-based compensation expense</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9,536</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9,043</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right="60" w:firstLine="139"/>
        <w:spacing w:after="0" w:line="311" w:lineRule="auto"/>
        <w:rPr>
          <w:sz w:val="20"/>
          <w:szCs w:val="20"/>
          <w:color w:val="auto"/>
        </w:rPr>
      </w:pPr>
      <w:r>
        <w:rPr>
          <w:rFonts w:ascii="Arial" w:cs="Arial" w:eastAsia="Arial" w:hAnsi="Arial"/>
          <w:sz w:val="13"/>
          <w:szCs w:val="13"/>
          <w:color w:val="auto"/>
        </w:rPr>
        <w:t>During the three months ended March 31, 2021, we issued stock-based compensatory awards with terms approved by the Compensation Committee of our Board of Directors. The awards with service conditions generally vest ratably from two to four years and are subject to forfeiture unless service conditions are met. Market performance-based awards were issued that cliff vest after three years subject to the rank of our total shareholder return for the three-year period ending December 31, 2023 relative to the total shareholder returns for a peer group of companies. Operating performance-based awards were issued that cliff vest after three years subject to the achievement of a target based on the adjusted free cash flow for fiscal year 2021. Additionally, operating performance-based awards were issued that cliff vest after three years subject to the achievement of a target based on the return on invested capital for fiscal year 2021. Compensation expense related to awards granted during 2021 for the three months ended March 31, 2021 was $0.1 million.</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5" w:name="page26"/>
    <w:bookmarkEnd w:id="25"/>
    <w:p>
      <w:pPr>
        <w:ind w:firstLine="139"/>
        <w:spacing w:after="0" w:line="277" w:lineRule="auto"/>
        <w:rPr>
          <w:sz w:val="20"/>
          <w:szCs w:val="20"/>
          <w:color w:val="auto"/>
        </w:rPr>
      </w:pPr>
      <w:r>
        <w:rPr>
          <w:rFonts w:ascii="Arial" w:cs="Arial" w:eastAsia="Arial" w:hAnsi="Arial"/>
          <w:sz w:val="15"/>
          <w:szCs w:val="15"/>
          <w:color w:val="auto"/>
        </w:rPr>
        <w:t>Stock-based compensation agreements issued during the three months ended March 31, 2021, representing potential shares and their weighted average grant date fair values by type follows (shares in thousands, fair value in dollars):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Pr>
          <w:p>
            <w:pPr>
              <w:spacing w:after="0"/>
              <w:rPr>
                <w:sz w:val="17"/>
                <w:szCs w:val="17"/>
                <w:color w:val="auto"/>
              </w:rPr>
            </w:pPr>
          </w:p>
        </w:tc>
        <w:tc>
          <w:tcPr>
            <w:tcW w:w="324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5"/>
                <w:szCs w:val="15"/>
                <w:b w:val="1"/>
                <w:bCs w:val="1"/>
                <w:color w:val="auto"/>
              </w:rPr>
              <w:t>Three Months Ended March 31, 2021</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1680" w:type="dxa"/>
            <w:vAlign w:val="bottom"/>
            <w:gridSpan w:val="2"/>
            <w:vMerge w:val="restart"/>
          </w:tcPr>
          <w:p>
            <w:pPr>
              <w:ind w:left="56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2"/>
                <w:szCs w:val="12"/>
                <w:color w:val="auto"/>
              </w:rPr>
            </w:pPr>
          </w:p>
        </w:tc>
        <w:tc>
          <w:tcPr>
            <w:tcW w:w="1420" w:type="dxa"/>
            <w:vAlign w:val="bottom"/>
          </w:tcPr>
          <w:p>
            <w:pPr>
              <w:jc w:val="right"/>
              <w:ind w:right="103"/>
              <w:spacing w:after="0" w:line="142" w:lineRule="exact"/>
              <w:rPr>
                <w:sz w:val="20"/>
                <w:szCs w:val="20"/>
                <w:color w:val="auto"/>
              </w:rPr>
            </w:pPr>
            <w:r>
              <w:rPr>
                <w:rFonts w:ascii="Arial" w:cs="Arial" w:eastAsia="Arial" w:hAnsi="Arial"/>
                <w:sz w:val="15"/>
                <w:szCs w:val="15"/>
                <w:b w:val="1"/>
                <w:bCs w:val="1"/>
                <w:color w:val="auto"/>
                <w:w w:val="93"/>
              </w:rPr>
              <w:t>Weighted Average</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Grant Date Fair Value</w:t>
            </w:r>
          </w:p>
        </w:tc>
        <w:tc>
          <w:tcPr>
            <w:tcW w:w="0" w:type="dxa"/>
            <w:vAlign w:val="bottom"/>
          </w:tcPr>
          <w:p>
            <w:pPr>
              <w:spacing w:after="0"/>
              <w:rPr>
                <w:sz w:val="1"/>
                <w:szCs w:val="1"/>
                <w:color w:val="auto"/>
              </w:rPr>
            </w:pPr>
          </w:p>
        </w:tc>
      </w:tr>
      <w:tr>
        <w:trPr>
          <w:trHeight w:val="188"/>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Service-based SARs</w:t>
            </w:r>
          </w:p>
        </w:tc>
        <w:tc>
          <w:tcPr>
            <w:tcW w:w="1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594,617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29.22</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20"/>
                <w:szCs w:val="20"/>
                <w:color w:val="auto"/>
              </w:rPr>
            </w:pPr>
            <w:r>
              <w:rPr>
                <w:rFonts w:ascii="Arial" w:cs="Arial" w:eastAsia="Arial" w:hAnsi="Arial"/>
                <w:sz w:val="15"/>
                <w:szCs w:val="15"/>
                <w:color w:val="auto"/>
              </w:rPr>
              <w:t>Service-based RSUs</w:t>
            </w:r>
          </w:p>
        </w:tc>
        <w:tc>
          <w:tcPr>
            <w:tcW w:w="1580" w:type="dxa"/>
            <w:vAlign w:val="bottom"/>
          </w:tcPr>
          <w:p>
            <w:pPr>
              <w:jc w:val="right"/>
              <w:ind w:right="3"/>
              <w:spacing w:after="0"/>
              <w:rPr>
                <w:sz w:val="20"/>
                <w:szCs w:val="20"/>
                <w:color w:val="auto"/>
              </w:rPr>
            </w:pPr>
            <w:r>
              <w:rPr>
                <w:rFonts w:ascii="Arial" w:cs="Arial" w:eastAsia="Arial" w:hAnsi="Arial"/>
                <w:sz w:val="15"/>
                <w:szCs w:val="15"/>
                <w:color w:val="auto"/>
              </w:rPr>
              <w:t>322,310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73.25</w:t>
            </w: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Market performance-based RSUs</w:t>
            </w: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47,916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114.74</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20"/>
                <w:szCs w:val="20"/>
                <w:color w:val="auto"/>
              </w:rPr>
            </w:pPr>
            <w:r>
              <w:rPr>
                <w:rFonts w:ascii="Arial" w:cs="Arial" w:eastAsia="Arial" w:hAnsi="Arial"/>
                <w:sz w:val="15"/>
                <w:szCs w:val="15"/>
                <w:color w:val="auto"/>
              </w:rPr>
              <w:t>Operating performance-based RSUs</w:t>
            </w:r>
          </w:p>
        </w:tc>
        <w:tc>
          <w:tcPr>
            <w:tcW w:w="1580" w:type="dxa"/>
            <w:vAlign w:val="bottom"/>
          </w:tcPr>
          <w:p>
            <w:pPr>
              <w:jc w:val="right"/>
              <w:ind w:right="3"/>
              <w:spacing w:after="0"/>
              <w:rPr>
                <w:sz w:val="20"/>
                <w:szCs w:val="20"/>
                <w:color w:val="auto"/>
              </w:rPr>
            </w:pPr>
            <w:r>
              <w:rPr>
                <w:rFonts w:ascii="Arial" w:cs="Arial" w:eastAsia="Arial" w:hAnsi="Arial"/>
                <w:sz w:val="15"/>
                <w:szCs w:val="15"/>
                <w:color w:val="auto"/>
              </w:rPr>
              <w:t>76,040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73.25</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02" w:lineRule="exact"/>
        <w:rPr>
          <w:sz w:val="20"/>
          <w:szCs w:val="20"/>
          <w:color w:val="auto"/>
        </w:rPr>
      </w:pPr>
    </w:p>
    <w:p>
      <w:pPr>
        <w:ind w:right="80" w:firstLine="139"/>
        <w:spacing w:after="0" w:line="273" w:lineRule="auto"/>
        <w:rPr>
          <w:sz w:val="20"/>
          <w:szCs w:val="20"/>
          <w:color w:val="auto"/>
        </w:rPr>
      </w:pPr>
      <w:r>
        <w:rPr>
          <w:rFonts w:ascii="Arial" w:cs="Arial" w:eastAsia="Arial" w:hAnsi="Arial"/>
          <w:sz w:val="15"/>
          <w:szCs w:val="15"/>
          <w:color w:val="auto"/>
        </w:rPr>
        <w:t>Our effective income tax rate from continuing operations for the three months ended March 31, 2021 was (10.7)% compared with 744.4% for the three months ended March 31, 2020.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59" w:lineRule="exact"/>
        <w:rPr>
          <w:sz w:val="20"/>
          <w:szCs w:val="20"/>
          <w:color w:val="auto"/>
        </w:rPr>
      </w:pPr>
    </w:p>
    <w:p>
      <w:pPr>
        <w:ind w:right="720" w:firstLine="139"/>
        <w:spacing w:after="0" w:line="273" w:lineRule="auto"/>
        <w:rPr>
          <w:sz w:val="20"/>
          <w:szCs w:val="20"/>
          <w:color w:val="auto"/>
        </w:rPr>
      </w:pPr>
      <w:r>
        <w:rPr>
          <w:rFonts w:ascii="Arial" w:cs="Arial" w:eastAsia="Arial" w:hAnsi="Arial"/>
          <w:sz w:val="15"/>
          <w:szCs w:val="15"/>
          <w:color w:val="auto"/>
        </w:rPr>
        <w:t>We continually assess the realizability of our worldwide deferred tax asset and valuation allowance positions, and when the need arises, we establish or release valuation allowances accordingly.</w:t>
      </w:r>
    </w:p>
    <w:p>
      <w:pPr>
        <w:spacing w:after="0" w:line="47" w:lineRule="exact"/>
        <w:rPr>
          <w:sz w:val="20"/>
          <w:szCs w:val="20"/>
          <w:color w:val="auto"/>
        </w:rPr>
      </w:pPr>
    </w:p>
    <w:p>
      <w:pPr>
        <w:jc w:val="both"/>
        <w:ind w:right="220" w:firstLine="139"/>
        <w:spacing w:after="0" w:line="273" w:lineRule="auto"/>
        <w:rPr>
          <w:sz w:val="20"/>
          <w:szCs w:val="20"/>
          <w:color w:val="auto"/>
        </w:rPr>
      </w:pPr>
      <w:r>
        <w:rPr>
          <w:rFonts w:ascii="Arial" w:cs="Arial" w:eastAsia="Arial" w:hAnsi="Arial"/>
          <w:sz w:val="15"/>
          <w:szCs w:val="15"/>
          <w:color w:val="auto"/>
        </w:rPr>
        <w:t>Compared with the three months ended March 31, 2020, the change in the effective tax rate for the three months ended March 31, 2021 was primarily attributable to changes in valuation allowances and other discrete items as compared to the discrete tax benefit of $41.3 million related to the Coronavirus Aid, Relief, and Economic Security Act (“CARES Act”) during the three months ended March 31, 2020.</w:t>
      </w:r>
    </w:p>
    <w:p>
      <w:pPr>
        <w:spacing w:after="0" w:line="59" w:lineRule="exact"/>
        <w:rPr>
          <w:sz w:val="20"/>
          <w:szCs w:val="20"/>
          <w:color w:val="auto"/>
        </w:rPr>
      </w:pPr>
    </w:p>
    <w:p>
      <w:pPr>
        <w:ind w:firstLine="139"/>
        <w:spacing w:after="0" w:line="268" w:lineRule="auto"/>
        <w:rPr>
          <w:sz w:val="20"/>
          <w:szCs w:val="20"/>
          <w:color w:val="auto"/>
        </w:rPr>
      </w:pPr>
      <w:r>
        <w:rPr>
          <w:rFonts w:ascii="Arial" w:cs="Arial" w:eastAsia="Arial" w:hAnsi="Arial"/>
          <w:sz w:val="15"/>
          <w:szCs w:val="15"/>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$3.3 million and $3.4 million were unrecognized as of March 31, 2021 and December 31, 2020, respectively. It is reasonably possible that, within the next twelve months, due to the settlement of uncertain tax positions with various tax authorities and the expiration of statutes of limitations, unrecognized tax benefits could decrease by up to approximately $1.7 million.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Earnings Per Share</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Reconciliation of the shares used in the basic and diluted earnings per share computations for the three months ended March 31, 2021 and 2020 are as follows (in thousands):</w:t>
      </w:r>
    </w:p>
    <w:p>
      <w:pPr>
        <w:spacing w:after="0" w:line="53" w:lineRule="exact"/>
        <w:rPr>
          <w:sz w:val="20"/>
          <w:szCs w:val="20"/>
          <w:color w:val="auto"/>
        </w:rPr>
      </w:pPr>
    </w:p>
    <w:p>
      <w:pPr>
        <w:ind w:left="8580"/>
        <w:spacing w:after="0"/>
        <w:rPr>
          <w:sz w:val="20"/>
          <w:szCs w:val="20"/>
          <w:color w:val="auto"/>
        </w:rPr>
      </w:pPr>
      <w:r>
        <w:rPr>
          <w:rFonts w:ascii="Arial" w:cs="Arial" w:eastAsia="Arial" w:hAnsi="Arial"/>
          <w:sz w:val="15"/>
          <w:szCs w:val="15"/>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2020</w:t>
            </w: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shares outstanding</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48,736</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48,485</w:t>
            </w:r>
          </w:p>
        </w:tc>
      </w:tr>
      <w:tr>
        <w:trPr>
          <w:trHeight w:val="197"/>
        </w:trPr>
        <w:tc>
          <w:tcPr>
            <w:tcW w:w="8020" w:type="dxa"/>
            <w:vAlign w:val="bottom"/>
            <w:tcBorders>
              <w:bottom w:val="single" w:sz="8" w:color="CCEEFF"/>
            </w:tcBorders>
          </w:tcPr>
          <w:p>
            <w:pPr>
              <w:ind w:left="20"/>
              <w:spacing w:after="0" w:line="197" w:lineRule="exact"/>
              <w:rPr>
                <w:sz w:val="20"/>
                <w:szCs w:val="20"/>
                <w:color w:val="auto"/>
              </w:rPr>
            </w:pPr>
            <w:r>
              <w:rPr>
                <w:rFonts w:ascii="Arial" w:cs="Arial" w:eastAsia="Arial" w:hAnsi="Arial"/>
                <w:sz w:val="15"/>
                <w:szCs w:val="15"/>
                <w:color w:val="auto"/>
              </w:rPr>
              <w:t xml:space="preserve">Add effects of share-based compensation instruments </w:t>
            </w:r>
            <w:r>
              <w:rPr>
                <w:rFonts w:ascii="Arial" w:cs="Arial" w:eastAsia="Arial" w:hAnsi="Arial"/>
                <w:sz w:val="20"/>
                <w:szCs w:val="20"/>
                <w:color w:val="auto"/>
                <w:vertAlign w:val="superscript"/>
              </w:rPr>
              <w:t>(1)</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w:t>
            </w:r>
          </w:p>
        </w:tc>
      </w:tr>
      <w:tr>
        <w:trPr>
          <w:trHeight w:val="208"/>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Diluted weighted average shares outstanding</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48,736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540" w:right="560" w:hanging="270"/>
        <w:spacing w:after="0" w:line="280" w:lineRule="auto"/>
        <w:tabs>
          <w:tab w:leader="none" w:pos="533" w:val="left"/>
        </w:tabs>
        <w:numPr>
          <w:ilvl w:val="0"/>
          <w:numId w:val="12"/>
        </w:numPr>
        <w:rPr>
          <w:rFonts w:ascii="Arial" w:cs="Arial" w:eastAsia="Arial" w:hAnsi="Arial"/>
          <w:sz w:val="12"/>
          <w:szCs w:val="12"/>
          <w:color w:val="auto"/>
        </w:rPr>
      </w:pPr>
      <w:r>
        <w:rPr>
          <w:rFonts w:ascii="Arial" w:cs="Arial" w:eastAsia="Arial" w:hAnsi="Arial"/>
          <w:sz w:val="14"/>
          <w:szCs w:val="14"/>
          <w:color w:val="auto"/>
        </w:rPr>
        <w:t>Excluded from the computation of diluted earnings per share were stock options, SARs and restricted share units totaling 4.3 million and 1.5 million for the three months ended March 31, 2021 and 2020, respectively, because to include them would have been anti-dilutive under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Geographic and Segment Information</w:t>
      </w:r>
    </w:p>
    <w:p>
      <w:pPr>
        <w:spacing w:after="0" w:line="102" w:lineRule="exact"/>
        <w:rPr>
          <w:sz w:val="20"/>
          <w:szCs w:val="20"/>
          <w:color w:val="auto"/>
        </w:rPr>
      </w:pPr>
    </w:p>
    <w:p>
      <w:pPr>
        <w:ind w:right="160" w:firstLine="139"/>
        <w:spacing w:after="0" w:line="289" w:lineRule="auto"/>
        <w:rPr>
          <w:sz w:val="20"/>
          <w:szCs w:val="20"/>
          <w:color w:val="auto"/>
        </w:rPr>
      </w:pPr>
      <w:r>
        <w:rPr>
          <w:rFonts w:ascii="Arial" w:cs="Arial" w:eastAsia="Arial" w:hAnsi="Arial"/>
          <w:sz w:val="15"/>
          <w:szCs w:val="15"/>
          <w:color w:val="auto"/>
        </w:rPr>
        <w:t>We identify operating segments based on the way we manage, evaluate and internally report our business activities for purposes of allocating resources, developing and executing our strategy, and assessing performance. We have two reportable segments: Cardiovascular and Neuromodulation.</w:t>
      </w:r>
    </w:p>
    <w:p>
      <w:pPr>
        <w:spacing w:after="0" w:line="47" w:lineRule="exact"/>
        <w:rPr>
          <w:sz w:val="20"/>
          <w:szCs w:val="20"/>
          <w:color w:val="auto"/>
        </w:rPr>
      </w:pPr>
    </w:p>
    <w:p>
      <w:pPr>
        <w:ind w:right="100" w:firstLine="139"/>
        <w:spacing w:after="0" w:line="273" w:lineRule="auto"/>
        <w:rPr>
          <w:sz w:val="20"/>
          <w:szCs w:val="20"/>
          <w:color w:val="auto"/>
        </w:rPr>
      </w:pPr>
      <w:r>
        <w:rPr>
          <w:rFonts w:ascii="Arial" w:cs="Arial" w:eastAsia="Arial" w:hAnsi="Arial"/>
          <w:sz w:val="15"/>
          <w:szCs w:val="15"/>
          <w:color w:val="auto"/>
        </w:rPr>
        <w:t>The Cardiovascular segment generates its revenue from the development, production and sale of cardiopulmonary products, heart valves and related products and advanced circulatory support. Cardiopulmonary products include oxygenators, heart-lung machines, autotransfusion systems, perfusion tubing systems, cannulae and other related accessories. Advanced Circulatory</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6" w:name="page27"/>
    <w:bookmarkEnd w:id="26"/>
    <w:p>
      <w:pPr>
        <w:spacing w:after="0" w:line="273" w:lineRule="auto"/>
        <w:rPr>
          <w:sz w:val="20"/>
          <w:szCs w:val="20"/>
          <w:color w:val="auto"/>
        </w:rPr>
      </w:pPr>
      <w:r>
        <w:rPr>
          <w:rFonts w:ascii="Arial" w:cs="Arial" w:eastAsia="Arial" w:hAnsi="Arial"/>
          <w:sz w:val="15"/>
          <w:szCs w:val="15"/>
          <w:color w:val="auto"/>
        </w:rPr>
        <w:t>Support includes temporary life support product kits that can include a combination of pumps, oxygenators, and cannulae. Heart Valves include mechanical heart valves, tissue heart valves, related repair products and minimally invasive surgical instruments. Advanced circulatory support includes temporary life support controllers and product kits that can include a combination of pumps, oxygenators, and cannulae.</w:t>
      </w:r>
    </w:p>
    <w:p>
      <w:pPr>
        <w:spacing w:after="0" w:line="59" w:lineRule="exact"/>
        <w:rPr>
          <w:sz w:val="20"/>
          <w:szCs w:val="20"/>
          <w:color w:val="auto"/>
        </w:rPr>
      </w:pPr>
    </w:p>
    <w:p>
      <w:pPr>
        <w:ind w:right="80" w:firstLine="139"/>
        <w:spacing w:after="0" w:line="273" w:lineRule="auto"/>
        <w:rPr>
          <w:sz w:val="20"/>
          <w:szCs w:val="20"/>
          <w:color w:val="auto"/>
        </w:rPr>
      </w:pPr>
      <w:r>
        <w:rPr>
          <w:rFonts w:ascii="Arial" w:cs="Arial" w:eastAsia="Arial" w:hAnsi="Arial"/>
          <w:sz w:val="15"/>
          <w:szCs w:val="15"/>
          <w:color w:val="auto"/>
        </w:rPr>
        <w:t>Our Neuromodulation segment generates its revenue from the design, development and marketing of neuromodulation therapy systems for the treatment of drug-resistant epilepsy, difficult-to-treat depression (“DTD”) and obstructive sleep apnea. Neuromodulation products include the VNS Therapy System, which consists of an implantable pulse generator, a lead that connects the generator to the vagus nerve, and other accessories.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 includes corporate shared service expenses for finance, legal, human resources, information technology and corporate business development.</w:t>
      </w:r>
    </w:p>
    <w:p>
      <w:pPr>
        <w:spacing w:after="0" w:line="105" w:lineRule="exact"/>
        <w:rPr>
          <w:sz w:val="20"/>
          <w:szCs w:val="20"/>
          <w:color w:val="auto"/>
        </w:rPr>
      </w:pPr>
    </w:p>
    <w:p>
      <w:pPr>
        <w:ind w:right="80" w:firstLine="139"/>
        <w:spacing w:after="0" w:line="289" w:lineRule="auto"/>
        <w:rPr>
          <w:sz w:val="20"/>
          <w:szCs w:val="20"/>
          <w:color w:val="auto"/>
        </w:rPr>
      </w:pPr>
      <w:r>
        <w:rPr>
          <w:rFonts w:ascii="Arial" w:cs="Arial" w:eastAsia="Arial" w:hAnsi="Arial"/>
          <w:sz w:val="15"/>
          <w:szCs w:val="15"/>
          <w:color w:val="auto"/>
        </w:rPr>
        <w:t>Net sales of our reportable segments include revenues from the sale of products that each reportable segment develops and manufactures or distributes. We define segment income as operating income before merger and integration, restructuring and amortization of intangibles.</w:t>
      </w: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27" w:name="page28"/>
    <w:bookmarkEnd w:id="27"/>
    <w:p>
      <w:pPr>
        <w:ind w:left="140"/>
        <w:spacing w:after="0"/>
        <w:rPr>
          <w:sz w:val="20"/>
          <w:szCs w:val="20"/>
          <w:color w:val="auto"/>
        </w:rPr>
      </w:pPr>
      <w:r>
        <w:rPr>
          <w:rFonts w:ascii="Arial" w:cs="Arial" w:eastAsia="Arial" w:hAnsi="Arial"/>
          <w:sz w:val="14"/>
          <w:szCs w:val="14"/>
          <w:color w:val="auto"/>
        </w:rPr>
        <w:t>We operate under three geographic regions: U.S., Europe, and Rest of World. The table below presents net sales by operating segment and geographic region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188"/>
        </w:trPr>
        <w:tc>
          <w:tcPr>
            <w:tcW w:w="73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Cardiopulmonary</w:t>
            </w: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35,759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36,858</w:t>
            </w:r>
          </w:p>
        </w:tc>
        <w:tc>
          <w:tcPr>
            <w:tcW w:w="0" w:type="dxa"/>
            <w:vAlign w:val="bottom"/>
          </w:tcPr>
          <w:p>
            <w:pPr>
              <w:spacing w:after="0"/>
              <w:rPr>
                <w:sz w:val="1"/>
                <w:szCs w:val="1"/>
                <w:color w:val="auto"/>
              </w:rPr>
            </w:pPr>
          </w:p>
        </w:tc>
      </w:tr>
      <w:tr>
        <w:trPr>
          <w:trHeight w:val="196"/>
        </w:trPr>
        <w:tc>
          <w:tcPr>
            <w:tcW w:w="7320" w:type="dxa"/>
            <w:vAlign w:val="bottom"/>
          </w:tcPr>
          <w:p>
            <w:pPr>
              <w:ind w:left="380"/>
              <w:spacing w:after="0"/>
              <w:rPr>
                <w:sz w:val="20"/>
                <w:szCs w:val="20"/>
                <w:color w:val="auto"/>
              </w:rPr>
            </w:pPr>
            <w:r>
              <w:rPr>
                <w:rFonts w:ascii="Arial" w:cs="Arial" w:eastAsia="Arial" w:hAnsi="Arial"/>
                <w:sz w:val="15"/>
                <w:szCs w:val="15"/>
                <w:color w:val="auto"/>
              </w:rPr>
              <w:t>Europe</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30,626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34,234</w:t>
            </w: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 of World</w:t>
            </w: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42,334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45,275</w:t>
            </w:r>
          </w:p>
        </w:tc>
        <w:tc>
          <w:tcPr>
            <w:tcW w:w="0" w:type="dxa"/>
            <w:vAlign w:val="bottom"/>
          </w:tcPr>
          <w:p>
            <w:pPr>
              <w:spacing w:after="0"/>
              <w:rPr>
                <w:sz w:val="1"/>
                <w:szCs w:val="1"/>
                <w:color w:val="auto"/>
              </w:rPr>
            </w:pPr>
          </w:p>
        </w:tc>
      </w:tr>
      <w:tr>
        <w:trPr>
          <w:trHeight w:val="188"/>
        </w:trPr>
        <w:tc>
          <w:tcPr>
            <w:tcW w:w="73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108,719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116,367</w:t>
            </w:r>
          </w:p>
        </w:tc>
        <w:tc>
          <w:tcPr>
            <w:tcW w:w="0" w:type="dxa"/>
            <w:vAlign w:val="bottom"/>
          </w:tcPr>
          <w:p>
            <w:pPr>
              <w:spacing w:after="0"/>
              <w:rPr>
                <w:sz w:val="1"/>
                <w:szCs w:val="1"/>
                <w:color w:val="auto"/>
              </w:rPr>
            </w:pPr>
          </w:p>
        </w:tc>
      </w:tr>
      <w:tr>
        <w:trPr>
          <w:trHeight w:val="177"/>
        </w:trPr>
        <w:tc>
          <w:tcPr>
            <w:tcW w:w="732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Heart Valves</w:t>
            </w: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380"/>
              <w:spacing w:after="0"/>
              <w:rPr>
                <w:sz w:val="20"/>
                <w:szCs w:val="20"/>
                <w:color w:val="auto"/>
              </w:rPr>
            </w:pPr>
            <w:r>
              <w:rPr>
                <w:rFonts w:ascii="Arial" w:cs="Arial" w:eastAsia="Arial" w:hAnsi="Arial"/>
                <w:sz w:val="15"/>
                <w:szCs w:val="15"/>
                <w:color w:val="auto"/>
              </w:rPr>
              <w:t>United States</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2,717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3,373</w:t>
            </w: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Europe</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9,529</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Rest of World</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12,309</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21,455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25,211</w:t>
            </w:r>
          </w:p>
        </w:tc>
        <w:tc>
          <w:tcPr>
            <w:tcW w:w="0" w:type="dxa"/>
            <w:vAlign w:val="bottom"/>
          </w:tcPr>
          <w:p>
            <w:pPr>
              <w:spacing w:after="0"/>
              <w:rPr>
                <w:sz w:val="1"/>
                <w:szCs w:val="1"/>
                <w:color w:val="auto"/>
              </w:rPr>
            </w:pPr>
          </w:p>
        </w:tc>
      </w:tr>
      <w:tr>
        <w:trPr>
          <w:trHeight w:val="177"/>
        </w:trPr>
        <w:tc>
          <w:tcPr>
            <w:tcW w:w="7320" w:type="dxa"/>
            <w:vAlign w:val="bottom"/>
          </w:tcPr>
          <w:p>
            <w:pPr>
              <w:ind w:left="180"/>
              <w:spacing w:after="0"/>
              <w:rPr>
                <w:sz w:val="20"/>
                <w:szCs w:val="20"/>
                <w:color w:val="auto"/>
              </w:rPr>
            </w:pPr>
            <w:r>
              <w:rPr>
                <w:rFonts w:ascii="Arial" w:cs="Arial" w:eastAsia="Arial" w:hAnsi="Arial"/>
                <w:sz w:val="15"/>
                <w:szCs w:val="15"/>
                <w:b w:val="1"/>
                <w:bCs w:val="1"/>
                <w:color w:val="auto"/>
              </w:rPr>
              <w:t>Advanced Circulatory Support</w:t>
            </w: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10,076</w:t>
            </w:r>
          </w:p>
        </w:tc>
        <w:tc>
          <w:tcPr>
            <w:tcW w:w="0" w:type="dxa"/>
            <w:vAlign w:val="bottom"/>
          </w:tcPr>
          <w:p>
            <w:pPr>
              <w:spacing w:after="0"/>
              <w:rPr>
                <w:sz w:val="1"/>
                <w:szCs w:val="1"/>
                <w:color w:val="auto"/>
              </w:rPr>
            </w:pPr>
          </w:p>
        </w:tc>
      </w:tr>
      <w:tr>
        <w:trPr>
          <w:trHeight w:val="196"/>
        </w:trPr>
        <w:tc>
          <w:tcPr>
            <w:tcW w:w="7320" w:type="dxa"/>
            <w:vAlign w:val="bottom"/>
          </w:tcPr>
          <w:p>
            <w:pPr>
              <w:ind w:left="380"/>
              <w:spacing w:after="0"/>
              <w:rPr>
                <w:sz w:val="20"/>
                <w:szCs w:val="20"/>
                <w:color w:val="auto"/>
              </w:rPr>
            </w:pPr>
            <w:r>
              <w:rPr>
                <w:rFonts w:ascii="Arial" w:cs="Arial" w:eastAsia="Arial" w:hAnsi="Arial"/>
                <w:sz w:val="15"/>
                <w:szCs w:val="15"/>
                <w:color w:val="auto"/>
              </w:rPr>
              <w:t>Europe</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370</w:t>
            </w: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 of World</w:t>
            </w: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88"/>
        </w:trPr>
        <w:tc>
          <w:tcPr>
            <w:tcW w:w="73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12,992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10,491</w:t>
            </w:r>
          </w:p>
        </w:tc>
        <w:tc>
          <w:tcPr>
            <w:tcW w:w="0" w:type="dxa"/>
            <w:vAlign w:val="bottom"/>
          </w:tcPr>
          <w:p>
            <w:pPr>
              <w:spacing w:after="0"/>
              <w:rPr>
                <w:sz w:val="1"/>
                <w:szCs w:val="1"/>
                <w:color w:val="auto"/>
              </w:rPr>
            </w:pPr>
          </w:p>
        </w:tc>
      </w:tr>
      <w:tr>
        <w:trPr>
          <w:trHeight w:val="177"/>
        </w:trPr>
        <w:tc>
          <w:tcPr>
            <w:tcW w:w="7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Cardiovascular</w:t>
            </w: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20" w:type="dxa"/>
            <w:vAlign w:val="bottom"/>
          </w:tcPr>
          <w:p>
            <w:pPr>
              <w:ind w:left="180"/>
              <w:spacing w:after="0"/>
              <w:rPr>
                <w:sz w:val="20"/>
                <w:szCs w:val="20"/>
                <w:color w:val="auto"/>
              </w:rPr>
            </w:pPr>
            <w:r>
              <w:rPr>
                <w:rFonts w:ascii="Arial" w:cs="Arial" w:eastAsia="Arial" w:hAnsi="Arial"/>
                <w:sz w:val="15"/>
                <w:szCs w:val="15"/>
                <w:color w:val="auto"/>
              </w:rPr>
              <w:t>United States</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51,036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50,307</w:t>
            </w: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Europe</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39,138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44,133</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Rest of World</w:t>
            </w: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52,992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57,629</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143,166</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152,069</w:t>
            </w:r>
          </w:p>
        </w:tc>
        <w:tc>
          <w:tcPr>
            <w:tcW w:w="0" w:type="dxa"/>
            <w:vAlign w:val="bottom"/>
          </w:tcPr>
          <w:p>
            <w:pPr>
              <w:spacing w:after="0"/>
              <w:rPr>
                <w:sz w:val="1"/>
                <w:szCs w:val="1"/>
                <w:color w:val="auto"/>
              </w:rPr>
            </w:pPr>
          </w:p>
        </w:tc>
      </w:tr>
      <w:tr>
        <w:trPr>
          <w:trHeight w:val="177"/>
        </w:trPr>
        <w:tc>
          <w:tcPr>
            <w:tcW w:w="7320" w:type="dxa"/>
            <w:vAlign w:val="bottom"/>
          </w:tcPr>
          <w:p>
            <w:pPr>
              <w:spacing w:after="0"/>
              <w:rPr>
                <w:sz w:val="20"/>
                <w:szCs w:val="20"/>
                <w:color w:val="auto"/>
              </w:rPr>
            </w:pPr>
            <w:r>
              <w:rPr>
                <w:rFonts w:ascii="Arial" w:cs="Arial" w:eastAsia="Arial" w:hAnsi="Arial"/>
                <w:sz w:val="15"/>
                <w:szCs w:val="15"/>
                <w:b w:val="1"/>
                <w:bCs w:val="1"/>
                <w:color w:val="auto"/>
              </w:rPr>
              <w:t>Neuromodulation</w:t>
            </w: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73,276</w:t>
            </w:r>
          </w:p>
        </w:tc>
        <w:tc>
          <w:tcPr>
            <w:tcW w:w="0" w:type="dxa"/>
            <w:vAlign w:val="bottom"/>
          </w:tcPr>
          <w:p>
            <w:pPr>
              <w:spacing w:after="0"/>
              <w:rPr>
                <w:sz w:val="1"/>
                <w:szCs w:val="1"/>
                <w:color w:val="auto"/>
              </w:rPr>
            </w:pPr>
          </w:p>
        </w:tc>
      </w:tr>
      <w:tr>
        <w:trPr>
          <w:trHeight w:val="196"/>
        </w:trPr>
        <w:tc>
          <w:tcPr>
            <w:tcW w:w="7320" w:type="dxa"/>
            <w:vAlign w:val="bottom"/>
          </w:tcPr>
          <w:p>
            <w:pPr>
              <w:ind w:left="180"/>
              <w:spacing w:after="0"/>
              <w:rPr>
                <w:sz w:val="20"/>
                <w:szCs w:val="20"/>
                <w:color w:val="auto"/>
              </w:rPr>
            </w:pPr>
            <w:r>
              <w:rPr>
                <w:rFonts w:ascii="Arial" w:cs="Arial" w:eastAsia="Arial" w:hAnsi="Arial"/>
                <w:sz w:val="15"/>
                <w:szCs w:val="15"/>
                <w:color w:val="auto"/>
              </w:rPr>
              <w:t>Europe</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11,679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10,583</w:t>
            </w: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5,798</w:t>
            </w:r>
          </w:p>
        </w:tc>
        <w:tc>
          <w:tcPr>
            <w:tcW w:w="0" w:type="dxa"/>
            <w:vAlign w:val="bottom"/>
          </w:tcPr>
          <w:p>
            <w:pPr>
              <w:spacing w:after="0"/>
              <w:rPr>
                <w:sz w:val="1"/>
                <w:szCs w:val="1"/>
                <w:color w:val="auto"/>
              </w:rPr>
            </w:pPr>
          </w:p>
        </w:tc>
      </w:tr>
      <w:tr>
        <w:trPr>
          <w:trHeight w:val="188"/>
        </w:trPr>
        <w:tc>
          <w:tcPr>
            <w:tcW w:w="73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103,699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89,657</w:t>
            </w:r>
          </w:p>
        </w:tc>
        <w:tc>
          <w:tcPr>
            <w:tcW w:w="0" w:type="dxa"/>
            <w:vAlign w:val="bottom"/>
          </w:tcPr>
          <w:p>
            <w:pPr>
              <w:spacing w:after="0"/>
              <w:rPr>
                <w:sz w:val="1"/>
                <w:szCs w:val="1"/>
                <w:color w:val="auto"/>
              </w:rPr>
            </w:pPr>
          </w:p>
        </w:tc>
      </w:tr>
      <w:tr>
        <w:trPr>
          <w:trHeight w:val="188"/>
        </w:trPr>
        <w:tc>
          <w:tcPr>
            <w:tcW w:w="7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w:t>
            </w:r>
          </w:p>
        </w:tc>
        <w:tc>
          <w:tcPr>
            <w:tcW w:w="4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738</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w:t>
            </w:r>
          </w:p>
        </w:tc>
        <w:tc>
          <w:tcPr>
            <w:tcW w:w="0" w:type="dxa"/>
            <w:vAlign w:val="bottom"/>
          </w:tcPr>
          <w:p>
            <w:pPr>
              <w:spacing w:after="0"/>
              <w:rPr>
                <w:sz w:val="1"/>
                <w:szCs w:val="1"/>
                <w:color w:val="auto"/>
              </w:rPr>
            </w:pPr>
          </w:p>
        </w:tc>
      </w:tr>
      <w:tr>
        <w:trPr>
          <w:trHeight w:val="177"/>
        </w:trPr>
        <w:tc>
          <w:tcPr>
            <w:tcW w:w="7320" w:type="dxa"/>
            <w:vAlign w:val="bottom"/>
          </w:tcPr>
          <w:p>
            <w:pPr>
              <w:spacing w:after="0"/>
              <w:rPr>
                <w:sz w:val="20"/>
                <w:szCs w:val="20"/>
                <w:color w:val="auto"/>
              </w:rPr>
            </w:pPr>
            <w:r>
              <w:rPr>
                <w:rFonts w:ascii="Arial" w:cs="Arial" w:eastAsia="Arial" w:hAnsi="Arial"/>
                <w:sz w:val="15"/>
                <w:szCs w:val="15"/>
                <w:b w:val="1"/>
                <w:bCs w:val="1"/>
                <w:color w:val="auto"/>
              </w:rPr>
              <w:t>Totals</w:t>
            </w: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3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133,336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123,583</w:t>
            </w:r>
          </w:p>
        </w:tc>
        <w:tc>
          <w:tcPr>
            <w:tcW w:w="0" w:type="dxa"/>
            <w:vAlign w:val="bottom"/>
          </w:tcPr>
          <w:p>
            <w:pPr>
              <w:spacing w:after="0"/>
              <w:rPr>
                <w:sz w:val="1"/>
                <w:szCs w:val="1"/>
                <w:color w:val="auto"/>
              </w:rPr>
            </w:pPr>
          </w:p>
        </w:tc>
      </w:tr>
      <w:tr>
        <w:trPr>
          <w:trHeight w:val="197"/>
        </w:trPr>
        <w:tc>
          <w:tcPr>
            <w:tcW w:w="7320" w:type="dxa"/>
            <w:vAlign w:val="bottom"/>
          </w:tcPr>
          <w:p>
            <w:pPr>
              <w:ind w:left="18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50,817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54,716</w:t>
            </w: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63,450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64,098</w:t>
            </w:r>
          </w:p>
        </w:tc>
        <w:tc>
          <w:tcPr>
            <w:tcW w:w="0" w:type="dxa"/>
            <w:vAlign w:val="bottom"/>
          </w:tcPr>
          <w:p>
            <w:pPr>
              <w:spacing w:after="0"/>
              <w:rPr>
                <w:sz w:val="1"/>
                <w:szCs w:val="1"/>
                <w:color w:val="auto"/>
              </w:rPr>
            </w:pPr>
          </w:p>
        </w:tc>
      </w:tr>
      <w:tr>
        <w:trPr>
          <w:trHeight w:val="188"/>
        </w:trPr>
        <w:tc>
          <w:tcPr>
            <w:tcW w:w="7320" w:type="dxa"/>
            <w:vAlign w:val="bottom"/>
          </w:tcPr>
          <w:p>
            <w:pPr>
              <w:ind w:left="380"/>
              <w:spacing w:after="0" w:line="188" w:lineRule="exact"/>
              <w:rPr>
                <w:sz w:val="20"/>
                <w:szCs w:val="20"/>
                <w:color w:val="auto"/>
              </w:rPr>
            </w:pPr>
            <w:r>
              <w:rPr>
                <w:rFonts w:ascii="Arial" w:cs="Arial" w:eastAsia="Arial" w:hAnsi="Arial"/>
                <w:sz w:val="15"/>
                <w:szCs w:val="15"/>
                <w:b w:val="1"/>
                <w:bCs w:val="1"/>
                <w:color w:val="auto"/>
              </w:rPr>
              <w:t xml:space="preserve">Total </w:t>
            </w:r>
            <w:r>
              <w:rPr>
                <w:rFonts w:ascii="Arial" w:cs="Arial" w:eastAsia="Arial" w:hAnsi="Arial"/>
                <w:sz w:val="20"/>
                <w:szCs w:val="20"/>
                <w:color w:val="auto"/>
                <w:vertAlign w:val="superscript"/>
              </w:rPr>
              <w:t>(2)</w:t>
            </w: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247,603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242,397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540" w:hanging="270"/>
        <w:spacing w:after="0"/>
        <w:tabs>
          <w:tab w:leader="none" w:pos="540" w:val="left"/>
        </w:tabs>
        <w:numPr>
          <w:ilvl w:val="0"/>
          <w:numId w:val="13"/>
        </w:numPr>
        <w:rPr>
          <w:rFonts w:ascii="Arial" w:cs="Arial" w:eastAsia="Arial" w:hAnsi="Arial"/>
          <w:sz w:val="11"/>
          <w:szCs w:val="11"/>
          <w:color w:val="auto"/>
        </w:rPr>
      </w:pPr>
      <w:r>
        <w:rPr>
          <w:rFonts w:ascii="Arial" w:cs="Arial" w:eastAsia="Arial" w:hAnsi="Arial"/>
          <w:sz w:val="13"/>
          <w:szCs w:val="13"/>
          <w:color w:val="auto"/>
        </w:rPr>
        <w:t>Europe sales include those countries in which we have a direct sales presence, whereas European countries in which we sell through distributors are included in Rest of World.</w:t>
      </w:r>
    </w:p>
    <w:p>
      <w:pPr>
        <w:spacing w:after="0" w:line="26" w:lineRule="exact"/>
        <w:rPr>
          <w:rFonts w:ascii="Arial" w:cs="Arial" w:eastAsia="Arial" w:hAnsi="Arial"/>
          <w:sz w:val="11"/>
          <w:szCs w:val="11"/>
          <w:color w:val="auto"/>
        </w:rPr>
      </w:pPr>
    </w:p>
    <w:p>
      <w:pPr>
        <w:ind w:left="540" w:hanging="270"/>
        <w:spacing w:after="0"/>
        <w:tabs>
          <w:tab w:leader="none" w:pos="540" w:val="left"/>
        </w:tabs>
        <w:numPr>
          <w:ilvl w:val="0"/>
          <w:numId w:val="13"/>
        </w:numPr>
        <w:rPr>
          <w:rFonts w:ascii="Arial" w:cs="Arial" w:eastAsia="Arial" w:hAnsi="Arial"/>
          <w:sz w:val="12"/>
          <w:szCs w:val="12"/>
          <w:color w:val="auto"/>
        </w:rPr>
      </w:pPr>
      <w:r>
        <w:rPr>
          <w:rFonts w:ascii="Arial" w:cs="Arial" w:eastAsia="Arial" w:hAnsi="Arial"/>
          <w:sz w:val="14"/>
          <w:szCs w:val="14"/>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8" w:name="page29"/>
    <w:bookmarkEnd w:id="28"/>
    <w:p>
      <w:pPr>
        <w:ind w:left="140"/>
        <w:spacing w:after="0"/>
        <w:rPr>
          <w:sz w:val="20"/>
          <w:szCs w:val="20"/>
          <w:color w:val="auto"/>
        </w:rPr>
      </w:pPr>
      <w:r>
        <w:rPr>
          <w:rFonts w:ascii="Arial" w:cs="Arial" w:eastAsia="Arial" w:hAnsi="Arial"/>
          <w:sz w:val="15"/>
          <w:szCs w:val="15"/>
          <w:color w:val="auto"/>
        </w:rPr>
        <w:t>The table below presents a reconciliation of segment income from continuing operations to consolidated income from continuing operations before tax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5"/>
          </w:tcPr>
          <w:p>
            <w:pPr>
              <w:jc w:val="right"/>
              <w:ind w:right="88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w w:val="95"/>
              </w:rPr>
              <w:t>2020</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Cardiovascular</w:t>
            </w: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8,681</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5"/>
                <w:szCs w:val="15"/>
                <w:color w:val="auto"/>
              </w:rPr>
              <w:t>Neuromodulation</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34,039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33,858</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(26,610)</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Arial" w:cs="Arial" w:eastAsia="Arial" w:hAnsi="Arial"/>
                <w:sz w:val="15"/>
                <w:szCs w:val="15"/>
                <w:color w:val="auto"/>
              </w:rPr>
              <w:t>Total reportable segment income from continuing operations</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8,998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15,929</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Merger and integration expenses</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3,474</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5"/>
                <w:szCs w:val="15"/>
                <w:color w:val="auto"/>
              </w:rPr>
              <w:t>Restructuring expenses</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6,092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1,580</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intangibles</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10,267</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Arial" w:cs="Arial" w:eastAsia="Arial" w:hAnsi="Arial"/>
                <w:sz w:val="15"/>
                <w:szCs w:val="15"/>
                <w:color w:val="auto"/>
              </w:rPr>
              <w:t>Operating income from continuing operations</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(4,423)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608</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(15,936)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(4,849)</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and other losses</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(1,914)</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Arial" w:cs="Arial" w:eastAsia="Arial" w:hAnsi="Arial"/>
                <w:sz w:val="15"/>
                <w:szCs w:val="15"/>
                <w:color w:val="auto"/>
              </w:rPr>
              <w:t>Income from continuing operations before tax</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(6,007)</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140"/>
              <w:spacing w:after="0"/>
              <w:rPr>
                <w:sz w:val="20"/>
                <w:szCs w:val="20"/>
                <w:color w:val="auto"/>
              </w:rPr>
            </w:pPr>
            <w:r>
              <w:rPr>
                <w:rFonts w:ascii="Arial" w:cs="Arial" w:eastAsia="Arial" w:hAnsi="Arial"/>
                <w:sz w:val="15"/>
                <w:szCs w:val="15"/>
                <w:color w:val="auto"/>
              </w:rPr>
              <w:t>Assets by segment are as follows (in thousands):</w:t>
            </w: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5"/>
              </w:rPr>
              <w:t>March 31, 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Cardiovascular</w:t>
            </w: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1,319,493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1,361,669</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5"/>
                <w:szCs w:val="15"/>
                <w:color w:val="auto"/>
              </w:rPr>
              <w:t>Neuromodulation</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642,123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673,586</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407,553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376,096</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Arial" w:cs="Arial" w:eastAsia="Arial" w:hAnsi="Arial"/>
                <w:sz w:val="15"/>
                <w:szCs w:val="15"/>
                <w:color w:val="auto"/>
              </w:rPr>
              <w:t>Total assets</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2,369,169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2,411,351</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140"/>
              <w:spacing w:after="0"/>
              <w:rPr>
                <w:sz w:val="20"/>
                <w:szCs w:val="20"/>
                <w:color w:val="auto"/>
              </w:rPr>
            </w:pPr>
            <w:r>
              <w:rPr>
                <w:rFonts w:ascii="Arial" w:cs="Arial" w:eastAsia="Arial" w:hAnsi="Arial"/>
                <w:sz w:val="15"/>
                <w:szCs w:val="15"/>
                <w:color w:val="auto"/>
              </w:rPr>
              <w:t>Capital expenditures by segment are as follows (in thousands):</w:t>
            </w: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5"/>
          </w:tcPr>
          <w:p>
            <w:pPr>
              <w:jc w:val="right"/>
              <w:ind w:right="88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188"/>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w w:val="95"/>
              </w:rPr>
              <w:t>2020</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Cardiovascular</w:t>
            </w: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5,292</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5"/>
                <w:szCs w:val="15"/>
                <w:color w:val="auto"/>
              </w:rPr>
              <w:t>Neuromodulation</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5,239</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Arial" w:cs="Arial" w:eastAsia="Arial" w:hAnsi="Arial"/>
                <w:sz w:val="15"/>
                <w:szCs w:val="15"/>
                <w:color w:val="auto"/>
              </w:rPr>
              <w:t>Total</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12,374</w:t>
            </w:r>
          </w:p>
        </w:tc>
        <w:tc>
          <w:tcPr>
            <w:tcW w:w="0" w:type="dxa"/>
            <w:vAlign w:val="bottom"/>
          </w:tcPr>
          <w:p>
            <w:pPr>
              <w:spacing w:after="0"/>
              <w:rPr>
                <w:sz w:val="1"/>
                <w:szCs w:val="1"/>
                <w:color w:val="auto"/>
              </w:rPr>
            </w:pPr>
          </w:p>
        </w:tc>
      </w:tr>
      <w:tr>
        <w:trPr>
          <w:trHeight w:val="20"/>
        </w:trPr>
        <w:tc>
          <w:tcPr>
            <w:tcW w:w="7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9300" w:type="dxa"/>
            <w:vAlign w:val="bottom"/>
            <w:gridSpan w:val="9"/>
          </w:tcPr>
          <w:p>
            <w:pPr>
              <w:ind w:left="140"/>
              <w:spacing w:after="0"/>
              <w:rPr>
                <w:sz w:val="20"/>
                <w:szCs w:val="20"/>
                <w:color w:val="auto"/>
              </w:rPr>
            </w:pPr>
            <w:r>
              <w:rPr>
                <w:rFonts w:ascii="Arial" w:cs="Arial" w:eastAsia="Arial" w:hAnsi="Arial"/>
                <w:sz w:val="15"/>
                <w:szCs w:val="15"/>
                <w:color w:val="auto"/>
              </w:rPr>
              <w:t>The changes in the carrying amount of goodwill by segment for the three months ended March 31, 2021 were as follows (in thousands):</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Cardiovascular</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3"/>
              </w:rPr>
              <w:t>Neuromodulation</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ind w:left="1160"/>
              <w:spacing w:after="0"/>
              <w:rPr>
                <w:sz w:val="20"/>
                <w:szCs w:val="20"/>
                <w:color w:val="auto"/>
              </w:rPr>
            </w:pPr>
            <w:r>
              <w:rPr>
                <w:rFonts w:ascii="Arial" w:cs="Arial" w:eastAsia="Arial" w:hAnsi="Arial"/>
                <w:sz w:val="15"/>
                <w:szCs w:val="15"/>
                <w:color w:val="auto"/>
                <w:w w:val="99"/>
              </w:rPr>
              <w:t>523,564</w:t>
            </w: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398,754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922,318</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Foreign currency adjustments</w:t>
            </w: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ind w:left="1180"/>
              <w:spacing w:after="0"/>
              <w:rPr>
                <w:sz w:val="20"/>
                <w:szCs w:val="20"/>
                <w:color w:val="auto"/>
              </w:rPr>
            </w:pPr>
            <w:r>
              <w:rPr>
                <w:rFonts w:ascii="Arial" w:cs="Arial" w:eastAsia="Arial" w:hAnsi="Arial"/>
                <w:sz w:val="15"/>
                <w:szCs w:val="15"/>
                <w:color w:val="auto"/>
                <w:w w:val="93"/>
              </w:rPr>
              <w:t>(12,326)</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(12,326)</w:t>
            </w: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March 31, 2021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ind w:left="1160"/>
              <w:spacing w:after="0"/>
              <w:rPr>
                <w:sz w:val="20"/>
                <w:szCs w:val="20"/>
                <w:color w:val="auto"/>
              </w:rPr>
            </w:pPr>
            <w:r>
              <w:rPr>
                <w:rFonts w:ascii="Arial" w:cs="Arial" w:eastAsia="Arial" w:hAnsi="Arial"/>
                <w:sz w:val="15"/>
                <w:szCs w:val="15"/>
                <w:color w:val="auto"/>
                <w:w w:val="99"/>
              </w:rPr>
              <w:t>511,238</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398,754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909,992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5"/>
                <w:szCs w:val="15"/>
                <w:color w:val="auto"/>
                <w:w w:val="96"/>
              </w:rPr>
              <w:t>Property, plant and equipment, net by geography are as follows (in thousands):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5"/>
              </w:rPr>
              <w:t>March 31, 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w w:val="91"/>
              </w:rPr>
              <w:t>December 31, 2020</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64,002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64,553</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5"/>
                <w:szCs w:val="15"/>
                <w:color w:val="auto"/>
              </w:rPr>
              <w:t>Europe</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87,945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93,821</w:t>
            </w: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Rest of World</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5,431</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20"/>
                <w:szCs w:val="20"/>
                <w:color w:val="auto"/>
              </w:rPr>
            </w:pPr>
            <w:r>
              <w:rPr>
                <w:rFonts w:ascii="Arial" w:cs="Arial" w:eastAsia="Arial" w:hAnsi="Arial"/>
                <w:sz w:val="15"/>
                <w:szCs w:val="15"/>
                <w:color w:val="auto"/>
              </w:rPr>
              <w:t>Total</w:t>
            </w: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80" w:type="dxa"/>
            <w:vAlign w:val="bottom"/>
          </w:tcPr>
          <w:p>
            <w:pPr>
              <w:jc w:val="right"/>
              <w:spacing w:after="0"/>
              <w:rPr>
                <w:sz w:val="20"/>
                <w:szCs w:val="20"/>
                <w:color w:val="auto"/>
              </w:rPr>
            </w:pPr>
            <w:r>
              <w:rPr>
                <w:rFonts w:ascii="Arial" w:cs="Arial" w:eastAsia="Arial" w:hAnsi="Arial"/>
                <w:sz w:val="15"/>
                <w:szCs w:val="15"/>
                <w:color w:val="auto"/>
              </w:rPr>
              <w:t>157,892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163,805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vMerge w:val="restart"/>
          </w:tcPr>
          <w:p>
            <w:pPr>
              <w:ind w:left="160"/>
              <w:spacing w:after="0"/>
              <w:rPr>
                <w:sz w:val="20"/>
                <w:szCs w:val="20"/>
                <w:color w:val="auto"/>
              </w:rPr>
            </w:pPr>
            <w:r>
              <w:rPr>
                <w:rFonts w:ascii="Arial" w:cs="Arial" w:eastAsia="Arial" w:hAnsi="Arial"/>
                <w:sz w:val="15"/>
                <w:szCs w:val="15"/>
                <w:color w:val="auto"/>
              </w:rPr>
              <w:t>29</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2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7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Note 14. Supplemental Financial Information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60" w:type="dxa"/>
            <w:vAlign w:val="bottom"/>
          </w:tcPr>
          <w:p>
            <w:pPr>
              <w:ind w:left="140"/>
              <w:spacing w:after="0"/>
              <w:rPr>
                <w:sz w:val="20"/>
                <w:szCs w:val="20"/>
                <w:color w:val="auto"/>
              </w:rPr>
            </w:pPr>
            <w:r>
              <w:rPr>
                <w:rFonts w:ascii="Arial" w:cs="Arial" w:eastAsia="Arial" w:hAnsi="Arial"/>
                <w:sz w:val="15"/>
                <w:szCs w:val="15"/>
                <w:color w:val="auto"/>
              </w:rPr>
              <w:t>Inventories consisted of the following (in thousands):</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0"/>
        </w:trPr>
        <w:tc>
          <w:tcPr>
            <w:tcW w:w="7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 2021</w:t>
            </w:r>
          </w:p>
        </w:tc>
        <w:tc>
          <w:tcPr>
            <w:tcW w:w="220" w:type="dxa"/>
            <w:vAlign w:val="bottom"/>
          </w:tcPr>
          <w:p>
            <w:pPr>
              <w:spacing w:after="0"/>
              <w:rPr>
                <w:sz w:val="19"/>
                <w:szCs w:val="19"/>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2020</w:t>
            </w:r>
          </w:p>
        </w:tc>
      </w:tr>
      <w:tr>
        <w:trPr>
          <w:trHeight w:val="188"/>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Raw materials</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42,907</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43,257</w:t>
            </w:r>
          </w:p>
        </w:tc>
      </w:tr>
      <w:tr>
        <w:trPr>
          <w:trHeight w:val="196"/>
        </w:trPr>
        <w:tc>
          <w:tcPr>
            <w:tcW w:w="7260" w:type="dxa"/>
            <w:vAlign w:val="bottom"/>
          </w:tcPr>
          <w:p>
            <w:pPr>
              <w:spacing w:after="0"/>
              <w:rPr>
                <w:sz w:val="20"/>
                <w:szCs w:val="20"/>
                <w:color w:val="auto"/>
              </w:rPr>
            </w:pPr>
            <w:r>
              <w:rPr>
                <w:rFonts w:ascii="Arial" w:cs="Arial" w:eastAsia="Arial" w:hAnsi="Arial"/>
                <w:sz w:val="15"/>
                <w:szCs w:val="15"/>
                <w:color w:val="auto"/>
              </w:rPr>
              <w:t>Work-in-process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9,755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8,055</w:t>
            </w:r>
          </w:p>
        </w:tc>
      </w:tr>
      <w:tr>
        <w:trPr>
          <w:trHeight w:val="197"/>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71,861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75,363</w:t>
            </w:r>
          </w:p>
        </w:tc>
      </w:tr>
      <w:tr>
        <w:trPr>
          <w:trHeight w:val="188"/>
        </w:trPr>
        <w:tc>
          <w:tcPr>
            <w:tcW w:w="726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124,523</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126,675</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right="480" w:firstLine="139"/>
        <w:spacing w:after="0" w:line="289" w:lineRule="auto"/>
        <w:rPr>
          <w:sz w:val="20"/>
          <w:szCs w:val="20"/>
          <w:color w:val="auto"/>
        </w:rPr>
      </w:pPr>
      <w:r>
        <w:rPr>
          <w:rFonts w:ascii="Arial" w:cs="Arial" w:eastAsia="Arial" w:hAnsi="Arial"/>
          <w:sz w:val="15"/>
          <w:szCs w:val="15"/>
          <w:color w:val="auto"/>
        </w:rPr>
        <w:t>As of March 31, 2021 and December 31, 2020, inventories include adjustments totaling $4.0 million and $6.6 million, respectively, to record balances at lower of cost or net realizable value.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60" w:type="dxa"/>
            <w:vAlign w:val="bottom"/>
          </w:tcPr>
          <w:p>
            <w:pPr>
              <w:ind w:left="140"/>
              <w:spacing w:after="0"/>
              <w:rPr>
                <w:sz w:val="20"/>
                <w:szCs w:val="20"/>
                <w:color w:val="auto"/>
              </w:rPr>
            </w:pPr>
            <w:r>
              <w:rPr>
                <w:rFonts w:ascii="Arial" w:cs="Arial" w:eastAsia="Arial" w:hAnsi="Arial"/>
                <w:sz w:val="15"/>
                <w:szCs w:val="15"/>
                <w:color w:val="auto"/>
              </w:rPr>
              <w:t>Accrued liabilities and other consisted of the following (in thousands):</w:t>
            </w: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0"/>
        </w:trPr>
        <w:tc>
          <w:tcPr>
            <w:tcW w:w="7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 2021</w:t>
            </w:r>
          </w:p>
        </w:tc>
        <w:tc>
          <w:tcPr>
            <w:tcW w:w="220" w:type="dxa"/>
            <w:vAlign w:val="bottom"/>
          </w:tcPr>
          <w:p>
            <w:pPr>
              <w:spacing w:after="0"/>
              <w:rPr>
                <w:sz w:val="19"/>
                <w:szCs w:val="19"/>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2020</w:t>
            </w:r>
          </w:p>
        </w:tc>
      </w:tr>
      <w:tr>
        <w:trPr>
          <w:trHeight w:val="188"/>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Legal and administrative costs</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15,650</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15,820</w:t>
            </w:r>
          </w:p>
        </w:tc>
      </w:tr>
      <w:tr>
        <w:trPr>
          <w:trHeight w:val="196"/>
        </w:trPr>
        <w:tc>
          <w:tcPr>
            <w:tcW w:w="7260" w:type="dxa"/>
            <w:vAlign w:val="bottom"/>
          </w:tcPr>
          <w:p>
            <w:pPr>
              <w:spacing w:after="0"/>
              <w:rPr>
                <w:sz w:val="20"/>
                <w:szCs w:val="20"/>
                <w:color w:val="auto"/>
              </w:rPr>
            </w:pPr>
            <w:r>
              <w:rPr>
                <w:rFonts w:ascii="Arial" w:cs="Arial" w:eastAsia="Arial" w:hAnsi="Arial"/>
                <w:sz w:val="15"/>
                <w:szCs w:val="15"/>
                <w:color w:val="auto"/>
              </w:rPr>
              <w:t>Operating lease liabilities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11,535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11,276</w:t>
            </w:r>
          </w:p>
        </w:tc>
      </w:tr>
      <w:tr>
        <w:trPr>
          <w:trHeight w:val="197"/>
        </w:trPr>
        <w:tc>
          <w:tcPr>
            <w:tcW w:w="726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Contingent consideration </w:t>
            </w:r>
            <w:r>
              <w:rPr>
                <w:rFonts w:ascii="Arial" w:cs="Arial" w:eastAsia="Arial" w:hAnsi="Arial"/>
                <w:sz w:val="20"/>
                <w:szCs w:val="20"/>
                <w:color w:val="auto"/>
                <w:vertAlign w:val="superscript"/>
              </w:rPr>
              <w:t>(1)</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13,968</w:t>
            </w:r>
          </w:p>
        </w:tc>
      </w:tr>
      <w:tr>
        <w:trPr>
          <w:trHeight w:val="196"/>
        </w:trPr>
        <w:tc>
          <w:tcPr>
            <w:tcW w:w="7260" w:type="dxa"/>
            <w:vAlign w:val="bottom"/>
          </w:tcPr>
          <w:p>
            <w:pPr>
              <w:spacing w:after="0"/>
              <w:rPr>
                <w:sz w:val="20"/>
                <w:szCs w:val="20"/>
                <w:color w:val="auto"/>
              </w:rPr>
            </w:pPr>
            <w:r>
              <w:rPr>
                <w:rFonts w:ascii="Arial" w:cs="Arial" w:eastAsia="Arial" w:hAnsi="Arial"/>
                <w:sz w:val="15"/>
                <w:szCs w:val="15"/>
                <w:color w:val="auto"/>
              </w:rPr>
              <w:t>Contract liabilities</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9,234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6,929</w:t>
            </w:r>
          </w:p>
        </w:tc>
      </w:tr>
      <w:tr>
        <w:trPr>
          <w:trHeight w:val="197"/>
        </w:trPr>
        <w:tc>
          <w:tcPr>
            <w:tcW w:w="726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Restructuring related liabilities </w:t>
            </w:r>
            <w:r>
              <w:rPr>
                <w:rFonts w:ascii="Arial" w:cs="Arial" w:eastAsia="Arial" w:hAnsi="Arial"/>
                <w:sz w:val="20"/>
                <w:szCs w:val="20"/>
                <w:color w:val="auto"/>
                <w:vertAlign w:val="superscript"/>
              </w:rPr>
              <w:t>(2)</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6,258</w:t>
            </w:r>
          </w:p>
        </w:tc>
      </w:tr>
      <w:tr>
        <w:trPr>
          <w:trHeight w:val="197"/>
        </w:trPr>
        <w:tc>
          <w:tcPr>
            <w:tcW w:w="7260" w:type="dxa"/>
            <w:vAlign w:val="bottom"/>
          </w:tcPr>
          <w:p>
            <w:pPr>
              <w:spacing w:after="0" w:line="197" w:lineRule="exact"/>
              <w:rPr>
                <w:sz w:val="20"/>
                <w:szCs w:val="20"/>
                <w:color w:val="auto"/>
              </w:rPr>
            </w:pPr>
            <w:r>
              <w:rPr>
                <w:rFonts w:ascii="Arial" w:cs="Arial" w:eastAsia="Arial" w:hAnsi="Arial"/>
                <w:sz w:val="15"/>
                <w:szCs w:val="15"/>
                <w:color w:val="auto"/>
              </w:rPr>
              <w:t xml:space="preserve">Derivative contract liabilities </w:t>
            </w:r>
            <w:r>
              <w:rPr>
                <w:rFonts w:ascii="Arial" w:cs="Arial" w:eastAsia="Arial" w:hAnsi="Arial"/>
                <w:sz w:val="20"/>
                <w:szCs w:val="20"/>
                <w:color w:val="auto"/>
                <w:vertAlign w:val="superscript"/>
              </w:rPr>
              <w:t>(3)</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2,065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7,372</w:t>
            </w:r>
          </w:p>
        </w:tc>
      </w:tr>
      <w:tr>
        <w:trPr>
          <w:trHeight w:val="197"/>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costs</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4,257</w:t>
            </w:r>
          </w:p>
        </w:tc>
      </w:tr>
      <w:tr>
        <w:trPr>
          <w:trHeight w:val="196"/>
        </w:trPr>
        <w:tc>
          <w:tcPr>
            <w:tcW w:w="7260" w:type="dxa"/>
            <w:vAlign w:val="bottom"/>
          </w:tcPr>
          <w:p>
            <w:pPr>
              <w:spacing w:after="0"/>
              <w:rPr>
                <w:sz w:val="20"/>
                <w:szCs w:val="20"/>
                <w:color w:val="auto"/>
              </w:rPr>
            </w:pPr>
            <w:r>
              <w:rPr>
                <w:rFonts w:ascii="Arial" w:cs="Arial" w:eastAsia="Arial" w:hAnsi="Arial"/>
                <w:sz w:val="15"/>
                <w:szCs w:val="15"/>
                <w:color w:val="auto"/>
              </w:rPr>
              <w:t>Provisions for agents, returns and other</w:t>
            </w:r>
          </w:p>
        </w:tc>
        <w:tc>
          <w:tcPr>
            <w:tcW w:w="2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2,377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3,063</w:t>
            </w:r>
          </w:p>
        </w:tc>
      </w:tr>
      <w:tr>
        <w:trPr>
          <w:trHeight w:val="197"/>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Other accrued expenses</w:t>
            </w:r>
          </w:p>
        </w:tc>
        <w:tc>
          <w:tcPr>
            <w:tcW w:w="2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31,428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26,465</w:t>
            </w:r>
          </w:p>
        </w:tc>
      </w:tr>
      <w:tr>
        <w:trPr>
          <w:trHeight w:val="188"/>
        </w:trPr>
        <w:tc>
          <w:tcPr>
            <w:tcW w:w="726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92,034</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95,408</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540" w:hanging="270"/>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4"/>
          <w:szCs w:val="14"/>
          <w:color w:val="auto"/>
        </w:rPr>
        <w:t>Refer to “Note 5. Fair Value Measurements”</w:t>
      </w:r>
    </w:p>
    <w:p>
      <w:pPr>
        <w:spacing w:after="0" w:line="14" w:lineRule="exact"/>
        <w:rPr>
          <w:rFonts w:ascii="Arial" w:cs="Arial" w:eastAsia="Arial" w:hAnsi="Arial"/>
          <w:sz w:val="12"/>
          <w:szCs w:val="12"/>
          <w:color w:val="auto"/>
        </w:rPr>
      </w:pPr>
    </w:p>
    <w:p>
      <w:pPr>
        <w:ind w:left="540" w:hanging="270"/>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4"/>
          <w:szCs w:val="14"/>
          <w:color w:val="auto"/>
        </w:rPr>
        <w:t>Refer to “Note 3. Restructuring”</w:t>
      </w:r>
    </w:p>
    <w:p>
      <w:pPr>
        <w:spacing w:after="0" w:line="12" w:lineRule="exact"/>
        <w:rPr>
          <w:rFonts w:ascii="Arial" w:cs="Arial" w:eastAsia="Arial" w:hAnsi="Arial"/>
          <w:sz w:val="12"/>
          <w:szCs w:val="12"/>
          <w:color w:val="auto"/>
        </w:rPr>
      </w:pPr>
    </w:p>
    <w:p>
      <w:pPr>
        <w:ind w:left="540" w:hanging="270"/>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4"/>
          <w:szCs w:val="14"/>
          <w:color w:val="auto"/>
        </w:rPr>
        <w:t>Refer to “Note 7. Derivatives and Risk Management”</w:t>
      </w:r>
    </w:p>
    <w:p>
      <w:pPr>
        <w:spacing w:after="0" w:line="147" w:lineRule="exact"/>
        <w:rPr>
          <w:sz w:val="20"/>
          <w:szCs w:val="20"/>
          <w:color w:val="auto"/>
        </w:rPr>
      </w:pPr>
    </w:p>
    <w:p>
      <w:pPr>
        <w:ind w:right="600" w:firstLine="139"/>
        <w:spacing w:after="0" w:line="289" w:lineRule="auto"/>
        <w:rPr>
          <w:sz w:val="20"/>
          <w:szCs w:val="20"/>
          <w:color w:val="auto"/>
        </w:rPr>
      </w:pPr>
      <w:r>
        <w:rPr>
          <w:rFonts w:ascii="Arial" w:cs="Arial" w:eastAsia="Arial" w:hAnsi="Arial"/>
          <w:sz w:val="15"/>
          <w:szCs w:val="15"/>
          <w:color w:val="auto"/>
        </w:rPr>
        <w:t>As of March 31, 2021 and December 31, 2020, contract liabilities of $9.5 million and $8.6 million, respectively, are included within accrued liabilities and other long-term liabilities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Note 15. New Accounting Pronouncements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Adoption of New Accounting Pronouncements</w:t>
      </w:r>
    </w:p>
    <w:p>
      <w:pPr>
        <w:spacing w:after="0" w:line="102" w:lineRule="exact"/>
        <w:rPr>
          <w:sz w:val="20"/>
          <w:szCs w:val="20"/>
          <w:color w:val="auto"/>
        </w:rPr>
      </w:pPr>
    </w:p>
    <w:p>
      <w:pPr>
        <w:ind w:right="160" w:firstLine="139"/>
        <w:spacing w:after="0" w:line="277" w:lineRule="auto"/>
        <w:rPr>
          <w:sz w:val="20"/>
          <w:szCs w:val="20"/>
          <w:color w:val="auto"/>
        </w:rPr>
      </w:pPr>
      <w:r>
        <w:rPr>
          <w:rFonts w:ascii="Arial" w:cs="Arial" w:eastAsia="Arial" w:hAnsi="Arial"/>
          <w:sz w:val="15"/>
          <w:szCs w:val="15"/>
          <w:color w:val="auto"/>
        </w:rPr>
        <w:t>The following table provides a description of our adoption of new Accounting Standards Updates (“ASUs”) issued by the FASB and the impact of the adoption on our condensed financial statements:</w:t>
      </w:r>
    </w:p>
    <w:tbl>
      <w:tblPr>
        <w:tblLayout w:type="fixed"/>
        <w:tblInd w:w="0" w:type="dxa"/>
        <w:tblCellMar>
          <w:top w:w="0" w:type="dxa"/>
          <w:left w:w="0" w:type="dxa"/>
          <w:bottom w:w="0" w:type="dxa"/>
          <w:right w:w="0" w:type="dxa"/>
        </w:tblCellMar>
      </w:tblPr>
      <w:tr>
        <w:trPr>
          <w:trHeight w:val="156"/>
        </w:trPr>
        <w:tc>
          <w:tcPr>
            <w:tcW w:w="800" w:type="dxa"/>
            <w:vAlign w:val="bottom"/>
          </w:tcPr>
          <w:p>
            <w:pPr>
              <w:spacing w:after="0"/>
              <w:rPr>
                <w:sz w:val="13"/>
                <w:szCs w:val="13"/>
                <w:color w:val="auto"/>
              </w:rPr>
            </w:pPr>
          </w:p>
        </w:tc>
        <w:tc>
          <w:tcPr>
            <w:tcW w:w="24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Issue Date &amp; Standard</w:t>
            </w:r>
          </w:p>
        </w:tc>
        <w:tc>
          <w:tcPr>
            <w:tcW w:w="100" w:type="dxa"/>
            <w:vAlign w:val="bottom"/>
            <w:vMerge w:val="restart"/>
          </w:tcPr>
          <w:p>
            <w:pPr>
              <w:spacing w:after="0"/>
              <w:rPr>
                <w:sz w:val="13"/>
                <w:szCs w:val="13"/>
                <w:color w:val="auto"/>
              </w:rPr>
            </w:pPr>
          </w:p>
        </w:tc>
        <w:tc>
          <w:tcPr>
            <w:tcW w:w="4180" w:type="dxa"/>
            <w:vAlign w:val="bottom"/>
            <w:vMerge w:val="restart"/>
          </w:tcPr>
          <w:p>
            <w:pPr>
              <w:ind w:left="1700"/>
              <w:spacing w:after="0"/>
              <w:rPr>
                <w:sz w:val="20"/>
                <w:szCs w:val="20"/>
                <w:color w:val="auto"/>
              </w:rPr>
            </w:pPr>
            <w:r>
              <w:rPr>
                <w:rFonts w:ascii="Arial" w:cs="Arial" w:eastAsia="Arial" w:hAnsi="Arial"/>
                <w:sz w:val="15"/>
                <w:szCs w:val="15"/>
                <w:b w:val="1"/>
                <w:bCs w:val="1"/>
                <w:color w:val="auto"/>
              </w:rPr>
              <w:t>Description</w:t>
            </w:r>
          </w:p>
        </w:tc>
        <w:tc>
          <w:tcPr>
            <w:tcW w:w="100" w:type="dxa"/>
            <w:vAlign w:val="bottom"/>
            <w:vMerge w:val="restart"/>
          </w:tcPr>
          <w:p>
            <w:pPr>
              <w:spacing w:after="0"/>
              <w:rPr>
                <w:sz w:val="13"/>
                <w:szCs w:val="13"/>
                <w:color w:val="auto"/>
              </w:rPr>
            </w:pPr>
          </w:p>
        </w:tc>
        <w:tc>
          <w:tcPr>
            <w:tcW w:w="1160" w:type="dxa"/>
            <w:vAlign w:val="bottom"/>
            <w:gridSpan w:val="2"/>
          </w:tcPr>
          <w:p>
            <w:pPr>
              <w:jc w:val="center"/>
              <w:ind w:right="120"/>
              <w:spacing w:after="0" w:line="156" w:lineRule="exact"/>
              <w:rPr>
                <w:sz w:val="20"/>
                <w:szCs w:val="20"/>
                <w:color w:val="auto"/>
              </w:rPr>
            </w:pPr>
            <w:r>
              <w:rPr>
                <w:rFonts w:ascii="Arial" w:cs="Arial" w:eastAsia="Arial" w:hAnsi="Arial"/>
                <w:sz w:val="15"/>
                <w:szCs w:val="15"/>
                <w:b w:val="1"/>
                <w:bCs w:val="1"/>
                <w:color w:val="auto"/>
                <w:w w:val="94"/>
              </w:rPr>
              <w:t>Date of</w:t>
            </w:r>
          </w:p>
        </w:tc>
        <w:tc>
          <w:tcPr>
            <w:tcW w:w="2440" w:type="dxa"/>
            <w:vAlign w:val="bottom"/>
          </w:tcPr>
          <w:p>
            <w:pPr>
              <w:jc w:val="center"/>
              <w:spacing w:after="0" w:line="156" w:lineRule="exact"/>
              <w:rPr>
                <w:sz w:val="20"/>
                <w:szCs w:val="20"/>
                <w:color w:val="auto"/>
              </w:rPr>
            </w:pPr>
            <w:r>
              <w:rPr>
                <w:rFonts w:ascii="Arial" w:cs="Arial" w:eastAsia="Arial" w:hAnsi="Arial"/>
                <w:sz w:val="15"/>
                <w:szCs w:val="15"/>
                <w:b w:val="1"/>
                <w:bCs w:val="1"/>
                <w:color w:val="auto"/>
                <w:w w:val="92"/>
              </w:rPr>
              <w:t>Effect on Financial Statements or</w:t>
            </w:r>
          </w:p>
        </w:tc>
        <w:tc>
          <w:tcPr>
            <w:tcW w:w="0" w:type="dxa"/>
            <w:vAlign w:val="bottom"/>
          </w:tcPr>
          <w:p>
            <w:pPr>
              <w:spacing w:after="0"/>
              <w:rPr>
                <w:sz w:val="1"/>
                <w:szCs w:val="1"/>
                <w:color w:val="auto"/>
              </w:rPr>
            </w:pPr>
          </w:p>
        </w:tc>
      </w:tr>
      <w:tr>
        <w:trPr>
          <w:trHeight w:val="197"/>
        </w:trPr>
        <w:tc>
          <w:tcPr>
            <w:tcW w:w="8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Adoption</w:t>
            </w:r>
          </w:p>
        </w:tc>
        <w:tc>
          <w:tcPr>
            <w:tcW w:w="100" w:type="dxa"/>
            <w:vAlign w:val="bottom"/>
            <w:tcBorders>
              <w:bottom w:val="single" w:sz="8" w:color="CCEEFF"/>
            </w:tcBorders>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Other Significant Matters</w:t>
            </w:r>
          </w:p>
        </w:tc>
        <w:tc>
          <w:tcPr>
            <w:tcW w:w="0" w:type="dxa"/>
            <w:vAlign w:val="bottom"/>
          </w:tcPr>
          <w:p>
            <w:pPr>
              <w:spacing w:after="0"/>
              <w:rPr>
                <w:sz w:val="1"/>
                <w:szCs w:val="1"/>
                <w:color w:val="auto"/>
              </w:rPr>
            </w:pPr>
          </w:p>
        </w:tc>
      </w:tr>
      <w:tr>
        <w:trPr>
          <w:trHeight w:val="153"/>
        </w:trPr>
        <w:tc>
          <w:tcPr>
            <w:tcW w:w="800" w:type="dxa"/>
            <w:vAlign w:val="bottom"/>
            <w:tcBorders>
              <w:bottom w:val="single" w:sz="8" w:color="auto"/>
            </w:tcBorders>
            <w:shd w:val="clear" w:color="auto" w:fill="CCEEFF"/>
          </w:tcPr>
          <w:p>
            <w:pPr>
              <w:spacing w:after="0" w:line="154" w:lineRule="exact"/>
              <w:rPr>
                <w:sz w:val="20"/>
                <w:szCs w:val="20"/>
                <w:color w:val="auto"/>
              </w:rPr>
            </w:pPr>
            <w:r>
              <w:rPr>
                <w:rFonts w:ascii="Arial" w:cs="Arial" w:eastAsia="Arial" w:hAnsi="Arial"/>
                <w:sz w:val="15"/>
                <w:szCs w:val="15"/>
                <w:color w:val="auto"/>
                <w:w w:val="92"/>
              </w:rPr>
              <w:t>August 2018</w:t>
            </w:r>
          </w:p>
        </w:tc>
        <w:tc>
          <w:tcPr>
            <w:tcW w:w="2580" w:type="dxa"/>
            <w:vAlign w:val="bottom"/>
            <w:tcBorders>
              <w:bottom w:val="single" w:sz="8" w:color="CCEEFF"/>
            </w:tcBorders>
            <w:gridSpan w:val="2"/>
            <w:shd w:val="clear" w:color="auto" w:fill="CCEEFF"/>
          </w:tcPr>
          <w:p>
            <w:pPr>
              <w:spacing w:after="0"/>
              <w:rPr>
                <w:sz w:val="13"/>
                <w:szCs w:val="13"/>
                <w:color w:val="auto"/>
              </w:rPr>
            </w:pPr>
          </w:p>
        </w:tc>
        <w:tc>
          <w:tcPr>
            <w:tcW w:w="4280" w:type="dxa"/>
            <w:vAlign w:val="bottom"/>
            <w:tcBorders>
              <w:bottom w:val="single" w:sz="8" w:color="CCEEFF"/>
            </w:tcBorders>
            <w:gridSpan w:val="2"/>
            <w:shd w:val="clear" w:color="auto" w:fill="CCEEFF"/>
          </w:tcPr>
          <w:p>
            <w:pPr>
              <w:ind w:left="20"/>
              <w:spacing w:after="0" w:line="154" w:lineRule="exact"/>
              <w:rPr>
                <w:sz w:val="20"/>
                <w:szCs w:val="20"/>
                <w:color w:val="auto"/>
              </w:rPr>
            </w:pPr>
            <w:r>
              <w:rPr>
                <w:rFonts w:ascii="Arial" w:cs="Arial" w:eastAsia="Arial" w:hAnsi="Arial"/>
                <w:sz w:val="15"/>
                <w:szCs w:val="15"/>
                <w:color w:val="auto"/>
              </w:rPr>
              <w:t>This update adds and removes certain disclosure requirements</w:t>
            </w:r>
          </w:p>
        </w:tc>
        <w:tc>
          <w:tcPr>
            <w:tcW w:w="1160" w:type="dxa"/>
            <w:vAlign w:val="bottom"/>
            <w:tcBorders>
              <w:bottom w:val="single" w:sz="8" w:color="CCEEFF"/>
            </w:tcBorders>
            <w:gridSpan w:val="2"/>
            <w:shd w:val="clear" w:color="auto" w:fill="CCEEFF"/>
          </w:tcPr>
          <w:p>
            <w:pPr>
              <w:ind w:left="20"/>
              <w:spacing w:after="0" w:line="154" w:lineRule="exact"/>
              <w:rPr>
                <w:sz w:val="20"/>
                <w:szCs w:val="20"/>
                <w:color w:val="auto"/>
              </w:rPr>
            </w:pPr>
            <w:r>
              <w:rPr>
                <w:rFonts w:ascii="Arial" w:cs="Arial" w:eastAsia="Arial" w:hAnsi="Arial"/>
                <w:sz w:val="15"/>
                <w:szCs w:val="15"/>
                <w:color w:val="auto"/>
              </w:rPr>
              <w:t>January 1, 2021</w:t>
            </w:r>
          </w:p>
        </w:tc>
        <w:tc>
          <w:tcPr>
            <w:tcW w:w="244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5"/>
                <w:szCs w:val="15"/>
                <w:color w:val="auto"/>
              </w:rPr>
              <w:t>There was no material impact to our</w:t>
            </w:r>
          </w:p>
        </w:tc>
        <w:tc>
          <w:tcPr>
            <w:tcW w:w="0" w:type="dxa"/>
            <w:vAlign w:val="bottom"/>
          </w:tcPr>
          <w:p>
            <w:pPr>
              <w:spacing w:after="0"/>
              <w:rPr>
                <w:sz w:val="1"/>
                <w:szCs w:val="1"/>
                <w:color w:val="auto"/>
              </w:rPr>
            </w:pPr>
          </w:p>
        </w:tc>
      </w:tr>
      <w:tr>
        <w:trPr>
          <w:trHeight w:val="120"/>
        </w:trPr>
        <w:tc>
          <w:tcPr>
            <w:tcW w:w="3380" w:type="dxa"/>
            <w:vAlign w:val="bottom"/>
            <w:gridSpan w:val="3"/>
            <w:shd w:val="clear" w:color="auto" w:fill="CCEEFF"/>
          </w:tcPr>
          <w:p>
            <w:pPr>
              <w:spacing w:after="0" w:line="120" w:lineRule="exact"/>
              <w:rPr>
                <w:sz w:val="20"/>
                <w:szCs w:val="20"/>
                <w:color w:val="auto"/>
              </w:rPr>
            </w:pPr>
            <w:r>
              <w:rPr>
                <w:rFonts w:ascii="Arial" w:cs="Arial" w:eastAsia="Arial" w:hAnsi="Arial"/>
                <w:sz w:val="13"/>
                <w:szCs w:val="13"/>
                <w:color w:val="auto"/>
              </w:rPr>
              <w:t>ASU No. 2018-14, Compensation—Retirement</w:t>
            </w:r>
          </w:p>
        </w:tc>
        <w:tc>
          <w:tcPr>
            <w:tcW w:w="4280" w:type="dxa"/>
            <w:vAlign w:val="bottom"/>
            <w:gridSpan w:val="2"/>
            <w:shd w:val="clear" w:color="auto" w:fill="CCEEFF"/>
          </w:tcPr>
          <w:p>
            <w:pPr>
              <w:ind w:left="20"/>
              <w:spacing w:after="0" w:line="120" w:lineRule="exact"/>
              <w:rPr>
                <w:sz w:val="20"/>
                <w:szCs w:val="20"/>
                <w:color w:val="auto"/>
              </w:rPr>
            </w:pPr>
            <w:r>
              <w:rPr>
                <w:rFonts w:ascii="Arial" w:cs="Arial" w:eastAsia="Arial" w:hAnsi="Arial"/>
                <w:sz w:val="13"/>
                <w:szCs w:val="13"/>
                <w:color w:val="auto"/>
              </w:rPr>
              <w:t>related to defined benefit plans.</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4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color w:val="auto"/>
              </w:rPr>
              <w:t>consolidated financial statements as a</w:t>
            </w:r>
          </w:p>
        </w:tc>
        <w:tc>
          <w:tcPr>
            <w:tcW w:w="0" w:type="dxa"/>
            <w:vAlign w:val="bottom"/>
          </w:tcPr>
          <w:p>
            <w:pPr>
              <w:spacing w:after="0"/>
              <w:rPr>
                <w:sz w:val="1"/>
                <w:szCs w:val="1"/>
                <w:color w:val="auto"/>
              </w:rPr>
            </w:pPr>
          </w:p>
        </w:tc>
      </w:tr>
      <w:tr>
        <w:trPr>
          <w:trHeight w:val="150"/>
        </w:trPr>
        <w:tc>
          <w:tcPr>
            <w:tcW w:w="338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Benefits—Defined Benefit Plans—General</w:t>
            </w:r>
          </w:p>
        </w:tc>
        <w:tc>
          <w:tcPr>
            <w:tcW w:w="4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4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result of adopting this ASU.</w:t>
            </w:r>
          </w:p>
        </w:tc>
        <w:tc>
          <w:tcPr>
            <w:tcW w:w="0" w:type="dxa"/>
            <w:vAlign w:val="bottom"/>
          </w:tcPr>
          <w:p>
            <w:pPr>
              <w:spacing w:after="0"/>
              <w:rPr>
                <w:sz w:val="1"/>
                <w:szCs w:val="1"/>
                <w:color w:val="auto"/>
              </w:rPr>
            </w:pPr>
          </w:p>
        </w:tc>
      </w:tr>
      <w:tr>
        <w:trPr>
          <w:trHeight w:val="150"/>
        </w:trPr>
        <w:tc>
          <w:tcPr>
            <w:tcW w:w="338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 xml:space="preserve">(Subtopic 715-20): </w:t>
            </w:r>
            <w:r>
              <w:rPr>
                <w:rFonts w:ascii="Arial" w:cs="Arial" w:eastAsia="Arial" w:hAnsi="Arial"/>
                <w:sz w:val="15"/>
                <w:szCs w:val="15"/>
                <w:i w:val="1"/>
                <w:iCs w:val="1"/>
                <w:color w:val="auto"/>
              </w:rPr>
              <w:t>Changes to the Disclosure</w:t>
            </w:r>
          </w:p>
        </w:tc>
        <w:tc>
          <w:tcPr>
            <w:tcW w:w="4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80" w:type="dxa"/>
            <w:vAlign w:val="bottom"/>
            <w:gridSpan w:val="3"/>
            <w:shd w:val="clear" w:color="auto" w:fill="CCEEFF"/>
          </w:tcPr>
          <w:p>
            <w:pPr>
              <w:spacing w:after="0"/>
              <w:rPr>
                <w:sz w:val="20"/>
                <w:szCs w:val="20"/>
                <w:color w:val="auto"/>
              </w:rPr>
            </w:pPr>
            <w:r>
              <w:rPr>
                <w:rFonts w:ascii="Arial" w:cs="Arial" w:eastAsia="Arial" w:hAnsi="Arial"/>
                <w:sz w:val="15"/>
                <w:szCs w:val="15"/>
                <w:i w:val="1"/>
                <w:iCs w:val="1"/>
                <w:color w:val="auto"/>
              </w:rPr>
              <w:t>Requirements for Defined Benefit Plans</w:t>
            </w: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791" w:right="319" w:bottom="1440" w:gutter="0" w:footer="0" w:header="0"/>
        </w:sectPr>
      </w:pPr>
    </w:p>
    <w:p>
      <w:pPr>
        <w:spacing w:after="0" w:line="227" w:lineRule="auto"/>
        <w:rPr>
          <w:sz w:val="20"/>
          <w:szCs w:val="20"/>
          <w:color w:val="auto"/>
        </w:rPr>
      </w:pPr>
      <w:r>
        <w:rPr>
          <w:rFonts w:ascii="Arial" w:cs="Arial" w:eastAsia="Arial" w:hAnsi="Arial"/>
          <w:sz w:val="15"/>
          <w:szCs w:val="15"/>
          <w:u w:val="single" w:color="auto"/>
          <w:color w:val="auto"/>
        </w:rPr>
        <w:t>December 2019</w:t>
      </w:r>
    </w:p>
    <w:p>
      <w:pPr>
        <w:spacing w:after="0" w:line="224" w:lineRule="auto"/>
        <w:rPr>
          <w:sz w:val="20"/>
          <w:szCs w:val="20"/>
          <w:color w:val="auto"/>
        </w:rPr>
      </w:pPr>
      <w:r>
        <w:rPr>
          <w:rFonts w:ascii="Arial" w:cs="Arial" w:eastAsia="Arial" w:hAnsi="Arial"/>
          <w:sz w:val="14"/>
          <w:szCs w:val="14"/>
          <w:color w:val="auto"/>
        </w:rPr>
        <w:t>ASU No. 2019-12, Income Taxes (Topic 740):</w:t>
      </w:r>
    </w:p>
    <w:p>
      <w:pPr>
        <w:spacing w:after="0"/>
        <w:rPr>
          <w:sz w:val="20"/>
          <w:szCs w:val="20"/>
          <w:color w:val="auto"/>
        </w:rPr>
      </w:pPr>
      <w:r>
        <w:rPr>
          <w:rFonts w:ascii="Arial" w:cs="Arial" w:eastAsia="Arial" w:hAnsi="Arial"/>
          <w:sz w:val="14"/>
          <w:szCs w:val="14"/>
          <w:i w:val="1"/>
          <w:iCs w:val="1"/>
          <w:color w:val="auto"/>
        </w:rPr>
        <w:t>Simplifying the Accounting for Income Taxes</w:t>
      </w:r>
    </w:p>
    <w:p>
      <w:pPr>
        <w:spacing w:after="0" w:line="20" w:lineRule="exact"/>
        <w:rPr>
          <w:sz w:val="20"/>
          <w:szCs w:val="20"/>
          <w:color w:val="auto"/>
        </w:rPr>
      </w:pPr>
      <w:r>
        <w:rPr>
          <w:sz w:val="20"/>
          <w:szCs w:val="20"/>
          <w:color w:val="auto"/>
        </w:rPr>
        <w:br w:type="column"/>
      </w:r>
    </w:p>
    <w:p>
      <w:pPr>
        <w:spacing w:after="0"/>
        <w:tabs>
          <w:tab w:leader="none" w:pos="4260" w:val="left"/>
          <w:tab w:leader="none" w:pos="5420" w:val="left"/>
        </w:tabs>
        <w:rPr>
          <w:sz w:val="20"/>
          <w:szCs w:val="20"/>
          <w:color w:val="auto"/>
        </w:rPr>
      </w:pPr>
      <w:r>
        <w:rPr>
          <w:rFonts w:ascii="Arial" w:cs="Arial" w:eastAsia="Arial" w:hAnsi="Arial"/>
          <w:sz w:val="15"/>
          <w:szCs w:val="15"/>
          <w:color w:val="auto"/>
        </w:rPr>
        <w:t>This update simplifies various aspects related to the accounting for</w:t>
        <w:tab/>
        <w:t>January 1, 2021</w:t>
      </w:r>
      <w:r>
        <w:rPr>
          <w:sz w:val="20"/>
          <w:szCs w:val="20"/>
          <w:color w:val="auto"/>
        </w:rPr>
        <w:tab/>
      </w:r>
      <w:r>
        <w:rPr>
          <w:rFonts w:ascii="Arial" w:cs="Arial" w:eastAsia="Arial" w:hAnsi="Arial"/>
          <w:sz w:val="13"/>
          <w:szCs w:val="13"/>
          <w:color w:val="auto"/>
        </w:rPr>
        <w:t>There was no material impact to our</w:t>
      </w:r>
    </w:p>
    <w:p>
      <w:pPr>
        <w:spacing w:after="0"/>
        <w:tabs>
          <w:tab w:leader="none" w:pos="5420" w:val="left"/>
        </w:tabs>
        <w:rPr>
          <w:sz w:val="20"/>
          <w:szCs w:val="20"/>
          <w:color w:val="auto"/>
        </w:rPr>
      </w:pPr>
      <w:r>
        <w:rPr>
          <w:rFonts w:ascii="Arial" w:cs="Arial" w:eastAsia="Arial" w:hAnsi="Arial"/>
          <w:sz w:val="15"/>
          <w:szCs w:val="15"/>
          <w:color w:val="auto"/>
        </w:rPr>
        <w:t>income taxes. The standard removes certain exceptions to the</w:t>
      </w:r>
      <w:r>
        <w:rPr>
          <w:sz w:val="20"/>
          <w:szCs w:val="20"/>
          <w:color w:val="auto"/>
        </w:rPr>
        <w:tab/>
      </w:r>
      <w:r>
        <w:rPr>
          <w:rFonts w:ascii="Arial" w:cs="Arial" w:eastAsia="Arial" w:hAnsi="Arial"/>
          <w:sz w:val="13"/>
          <w:szCs w:val="13"/>
          <w:color w:val="auto"/>
        </w:rPr>
        <w:t>consolidated financial statements as a</w:t>
      </w:r>
    </w:p>
    <w:p>
      <w:pPr>
        <w:spacing w:after="0" w:line="224" w:lineRule="auto"/>
        <w:tabs>
          <w:tab w:leader="none" w:pos="5420" w:val="left"/>
        </w:tabs>
        <w:rPr>
          <w:sz w:val="20"/>
          <w:szCs w:val="20"/>
          <w:color w:val="auto"/>
        </w:rPr>
      </w:pPr>
      <w:r>
        <w:rPr>
          <w:rFonts w:ascii="Arial" w:cs="Arial" w:eastAsia="Arial" w:hAnsi="Arial"/>
          <w:sz w:val="15"/>
          <w:szCs w:val="15"/>
          <w:color w:val="auto"/>
        </w:rPr>
        <w:t>general principles in Topic 740 and also clarifies and modifies</w:t>
      </w:r>
      <w:r>
        <w:rPr>
          <w:sz w:val="20"/>
          <w:szCs w:val="20"/>
          <w:color w:val="auto"/>
        </w:rPr>
        <w:tab/>
      </w:r>
      <w:r>
        <w:rPr>
          <w:rFonts w:ascii="Arial" w:cs="Arial" w:eastAsia="Arial" w:hAnsi="Arial"/>
          <w:sz w:val="14"/>
          <w:szCs w:val="14"/>
          <w:color w:val="auto"/>
        </w:rPr>
        <w:t>result of adopting this ASU.</w:t>
      </w:r>
    </w:p>
    <w:p>
      <w:pPr>
        <w:spacing w:after="0"/>
        <w:rPr>
          <w:sz w:val="20"/>
          <w:szCs w:val="20"/>
          <w:color w:val="auto"/>
        </w:rPr>
      </w:pPr>
      <w:r>
        <w:rPr>
          <w:rFonts w:ascii="Arial" w:cs="Arial" w:eastAsia="Arial" w:hAnsi="Arial"/>
          <w:sz w:val="15"/>
          <w:szCs w:val="15"/>
          <w:color w:val="auto"/>
        </w:rPr>
        <w:t>existing guidance to improve consistent application of Topic 740.</w:t>
      </w:r>
    </w:p>
    <w:p>
      <w:pPr>
        <w:spacing w:after="0" w:line="1" w:lineRule="exact"/>
        <w:rPr>
          <w:sz w:val="20"/>
          <w:szCs w:val="20"/>
          <w:color w:val="auto"/>
        </w:rPr>
      </w:pPr>
    </w:p>
    <w:p>
      <w:pPr>
        <w:sectPr>
          <w:pgSz w:w="11900" w:h="16838" w:orient="portrait"/>
          <w:cols w:equalWidth="0" w:num="2">
            <w:col w:w="2880" w:space="520"/>
            <w:col w:w="7860"/>
          </w:cols>
          <w:pgMar w:left="320" w:top="791"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92"/>
              </w:rPr>
              <w:t>August 2020</w:t>
            </w:r>
          </w:p>
        </w:tc>
        <w:tc>
          <w:tcPr>
            <w:tcW w:w="2500" w:type="dxa"/>
            <w:vAlign w:val="bottom"/>
            <w:tcBorders>
              <w:bottom w:val="single" w:sz="8" w:color="CCEEFF"/>
            </w:tcBorders>
            <w:shd w:val="clear" w:color="auto" w:fill="CCEEFF"/>
          </w:tcPr>
          <w:p>
            <w:pPr>
              <w:spacing w:after="0"/>
              <w:rPr>
                <w:sz w:val="14"/>
                <w:szCs w:val="14"/>
                <w:color w:val="auto"/>
              </w:rPr>
            </w:pPr>
          </w:p>
        </w:tc>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This update simplifies the accounting for convertible debt</w:t>
            </w:r>
          </w:p>
        </w:tc>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January 1, 2021  There was no material impact to our</w:t>
            </w:r>
          </w:p>
        </w:tc>
      </w:tr>
      <w:tr>
        <w:trPr>
          <w:trHeight w:val="120"/>
        </w:trPr>
        <w:tc>
          <w:tcPr>
            <w:tcW w:w="3300" w:type="dxa"/>
            <w:vAlign w:val="bottom"/>
            <w:gridSpan w:val="2"/>
            <w:shd w:val="clear" w:color="auto" w:fill="CCEEFF"/>
          </w:tcPr>
          <w:p>
            <w:pPr>
              <w:spacing w:after="0" w:line="120" w:lineRule="exact"/>
              <w:rPr>
                <w:sz w:val="20"/>
                <w:szCs w:val="20"/>
                <w:color w:val="auto"/>
              </w:rPr>
            </w:pPr>
            <w:r>
              <w:rPr>
                <w:rFonts w:ascii="Arial" w:cs="Arial" w:eastAsia="Arial" w:hAnsi="Arial"/>
                <w:sz w:val="13"/>
                <w:szCs w:val="13"/>
                <w:color w:val="auto"/>
              </w:rPr>
              <w:t>ASU No. 2020-06, Debt-Debt with Conversion and</w:t>
            </w:r>
          </w:p>
        </w:tc>
        <w:tc>
          <w:tcPr>
            <w:tcW w:w="4260" w:type="dxa"/>
            <w:vAlign w:val="bottom"/>
            <w:shd w:val="clear" w:color="auto" w:fill="CCEEFF"/>
          </w:tcPr>
          <w:p>
            <w:pPr>
              <w:ind w:left="100"/>
              <w:spacing w:after="0" w:line="120" w:lineRule="exact"/>
              <w:rPr>
                <w:sz w:val="20"/>
                <w:szCs w:val="20"/>
                <w:color w:val="auto"/>
              </w:rPr>
            </w:pPr>
            <w:r>
              <w:rPr>
                <w:rFonts w:ascii="Arial" w:cs="Arial" w:eastAsia="Arial" w:hAnsi="Arial"/>
                <w:sz w:val="13"/>
                <w:szCs w:val="13"/>
                <w:color w:val="auto"/>
              </w:rPr>
              <w:t>instruments by removing certain accounting separation models as</w:t>
            </w:r>
          </w:p>
        </w:tc>
        <w:tc>
          <w:tcPr>
            <w:tcW w:w="3700" w:type="dxa"/>
            <w:vAlign w:val="bottom"/>
            <w:shd w:val="clear" w:color="auto" w:fill="CCEEFF"/>
          </w:tcPr>
          <w:p>
            <w:pPr>
              <w:ind w:left="1280"/>
              <w:spacing w:after="0" w:line="120" w:lineRule="exact"/>
              <w:rPr>
                <w:sz w:val="20"/>
                <w:szCs w:val="20"/>
                <w:color w:val="auto"/>
              </w:rPr>
            </w:pPr>
            <w:r>
              <w:rPr>
                <w:rFonts w:ascii="Arial" w:cs="Arial" w:eastAsia="Arial" w:hAnsi="Arial"/>
                <w:sz w:val="13"/>
                <w:szCs w:val="13"/>
                <w:color w:val="auto"/>
              </w:rPr>
              <w:t>consolidated financial statements as a</w:t>
            </w:r>
          </w:p>
        </w:tc>
      </w:tr>
      <w:tr>
        <w:trPr>
          <w:trHeight w:val="150"/>
        </w:trPr>
        <w:tc>
          <w:tcPr>
            <w:tcW w:w="33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Other Options (Subtopic 470-20) and Derivatives</w:t>
            </w:r>
          </w:p>
        </w:tc>
        <w:tc>
          <w:tcPr>
            <w:tcW w:w="426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well as the accounting for debt instruments with embedded</w:t>
            </w:r>
          </w:p>
        </w:tc>
        <w:tc>
          <w:tcPr>
            <w:tcW w:w="3700" w:type="dxa"/>
            <w:vAlign w:val="bottom"/>
            <w:shd w:val="clear" w:color="auto" w:fill="CCEEFF"/>
          </w:tcPr>
          <w:p>
            <w:pPr>
              <w:ind w:left="1280"/>
              <w:spacing w:after="0" w:line="151" w:lineRule="exact"/>
              <w:rPr>
                <w:sz w:val="20"/>
                <w:szCs w:val="20"/>
                <w:color w:val="auto"/>
              </w:rPr>
            </w:pPr>
            <w:r>
              <w:rPr>
                <w:rFonts w:ascii="Arial" w:cs="Arial" w:eastAsia="Arial" w:hAnsi="Arial"/>
                <w:sz w:val="15"/>
                <w:szCs w:val="15"/>
                <w:color w:val="auto"/>
              </w:rPr>
              <w:t>result of adopting this ASU.</w:t>
            </w:r>
          </w:p>
        </w:tc>
      </w:tr>
      <w:tr>
        <w:trPr>
          <w:trHeight w:val="150"/>
        </w:trPr>
        <w:tc>
          <w:tcPr>
            <w:tcW w:w="33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and Hedging-Contracts in Entity’s Own Equity</w:t>
            </w:r>
          </w:p>
        </w:tc>
        <w:tc>
          <w:tcPr>
            <w:tcW w:w="426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7"/>
              </w:rPr>
              <w:t>conversion features that are not required to be accounted for as</w:t>
            </w:r>
          </w:p>
        </w:tc>
        <w:tc>
          <w:tcPr>
            <w:tcW w:w="3700" w:type="dxa"/>
            <w:vAlign w:val="bottom"/>
            <w:shd w:val="clear" w:color="auto" w:fill="CCEEFF"/>
          </w:tcPr>
          <w:p>
            <w:pPr>
              <w:spacing w:after="0"/>
              <w:rPr>
                <w:sz w:val="13"/>
                <w:szCs w:val="13"/>
                <w:color w:val="auto"/>
              </w:rPr>
            </w:pPr>
          </w:p>
        </w:tc>
      </w:tr>
      <w:tr>
        <w:trPr>
          <w:trHeight w:val="150"/>
        </w:trPr>
        <w:tc>
          <w:tcPr>
            <w:tcW w:w="33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 xml:space="preserve">(Subtopic 815-40): </w:t>
            </w:r>
            <w:r>
              <w:rPr>
                <w:rFonts w:ascii="Arial" w:cs="Arial" w:eastAsia="Arial" w:hAnsi="Arial"/>
                <w:sz w:val="15"/>
                <w:szCs w:val="15"/>
                <w:i w:val="1"/>
                <w:iCs w:val="1"/>
                <w:color w:val="auto"/>
              </w:rPr>
              <w:t>Accounting for Convertible</w:t>
            </w:r>
          </w:p>
        </w:tc>
        <w:tc>
          <w:tcPr>
            <w:tcW w:w="426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5"/>
              </w:rPr>
              <w:t>derivative instruments. The update also improves the consistency</w:t>
            </w:r>
          </w:p>
        </w:tc>
        <w:tc>
          <w:tcPr>
            <w:tcW w:w="3700" w:type="dxa"/>
            <w:vAlign w:val="bottom"/>
            <w:shd w:val="clear" w:color="auto" w:fill="CCEEFF"/>
          </w:tcPr>
          <w:p>
            <w:pPr>
              <w:spacing w:after="0"/>
              <w:rPr>
                <w:sz w:val="13"/>
                <w:szCs w:val="13"/>
                <w:color w:val="auto"/>
              </w:rPr>
            </w:pPr>
          </w:p>
        </w:tc>
      </w:tr>
      <w:tr>
        <w:trPr>
          <w:trHeight w:val="150"/>
        </w:trPr>
        <w:tc>
          <w:tcPr>
            <w:tcW w:w="33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i w:val="1"/>
                <w:iCs w:val="1"/>
                <w:color w:val="auto"/>
              </w:rPr>
              <w:t>Instruments and Contracts in an Entity’s Own</w:t>
            </w:r>
          </w:p>
        </w:tc>
        <w:tc>
          <w:tcPr>
            <w:tcW w:w="426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of earnings per share calculations for convertible instruments.</w:t>
            </w:r>
          </w:p>
        </w:tc>
        <w:tc>
          <w:tcPr>
            <w:tcW w:w="3700" w:type="dxa"/>
            <w:vAlign w:val="bottom"/>
            <w:shd w:val="clear" w:color="auto" w:fill="CCEEFF"/>
          </w:tcPr>
          <w:p>
            <w:pPr>
              <w:spacing w:after="0"/>
              <w:rPr>
                <w:sz w:val="13"/>
                <w:szCs w:val="13"/>
                <w:color w:val="auto"/>
              </w:rPr>
            </w:pPr>
          </w:p>
        </w:tc>
      </w:tr>
      <w:tr>
        <w:trPr>
          <w:trHeight w:val="196"/>
        </w:trPr>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Equity</w:t>
            </w:r>
          </w:p>
        </w:tc>
        <w:tc>
          <w:tcPr>
            <w:tcW w:w="426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r>
      <w:tr>
        <w:trPr>
          <w:trHeight w:val="705"/>
        </w:trPr>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60" w:type="dxa"/>
            <w:vAlign w:val="bottom"/>
          </w:tcPr>
          <w:p>
            <w:pPr>
              <w:ind w:left="2320"/>
              <w:spacing w:after="0"/>
              <w:rPr>
                <w:sz w:val="20"/>
                <w:szCs w:val="20"/>
                <w:color w:val="auto"/>
              </w:rPr>
            </w:pPr>
            <w:r>
              <w:rPr>
                <w:rFonts w:ascii="Arial" w:cs="Arial" w:eastAsia="Arial" w:hAnsi="Arial"/>
                <w:sz w:val="15"/>
                <w:szCs w:val="15"/>
                <w:color w:val="auto"/>
              </w:rPr>
              <w:t>31</w:t>
            </w:r>
          </w:p>
        </w:tc>
        <w:tc>
          <w:tcPr>
            <w:tcW w:w="3700" w:type="dxa"/>
            <w:vAlign w:val="bottom"/>
          </w:tcPr>
          <w:p>
            <w:pPr>
              <w:spacing w:after="0"/>
              <w:rPr>
                <w:sz w:val="24"/>
                <w:szCs w:val="24"/>
                <w:color w:val="auto"/>
              </w:rPr>
            </w:pPr>
          </w:p>
        </w:tc>
      </w:tr>
      <w:tr>
        <w:trPr>
          <w:trHeight w:val="188"/>
        </w:trPr>
        <w:tc>
          <w:tcPr>
            <w:tcW w:w="800" w:type="dxa"/>
            <w:vAlign w:val="bottom"/>
            <w:tcBorders>
              <w:bottom w:val="single" w:sz="8" w:color="9A9A9A"/>
            </w:tcBorders>
          </w:tcPr>
          <w:p>
            <w:pPr>
              <w:spacing w:after="0"/>
              <w:rPr>
                <w:sz w:val="16"/>
                <w:szCs w:val="16"/>
                <w:color w:val="auto"/>
              </w:rPr>
            </w:pPr>
          </w:p>
        </w:tc>
        <w:tc>
          <w:tcPr>
            <w:tcW w:w="250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37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9"/>
          <w:szCs w:val="19"/>
          <w:b w:val="1"/>
          <w:bCs w:val="1"/>
          <w:color w:val="auto"/>
        </w:rPr>
        <w:t xml:space="preserve">Item 2. </w:t>
      </w:r>
      <w:r>
        <w:rPr>
          <w:rFonts w:ascii="Arial" w:cs="Arial" w:eastAsia="Arial" w:hAnsi="Arial"/>
          <w:sz w:val="19"/>
          <w:szCs w:val="19"/>
          <w:b w:val="1"/>
          <w:bCs w:val="1"/>
          <w:i w:val="1"/>
          <w:iCs w:val="1"/>
          <w:color w:val="auto"/>
        </w:rPr>
        <w:t>Management’s Discussion and Analysis of Financial Condition and Results of Operations</w:t>
      </w:r>
    </w:p>
    <w:p>
      <w:pPr>
        <w:spacing w:after="0" w:line="106" w:lineRule="exact"/>
        <w:rPr>
          <w:sz w:val="20"/>
          <w:szCs w:val="20"/>
          <w:color w:val="auto"/>
        </w:rPr>
      </w:pPr>
    </w:p>
    <w:p>
      <w:pPr>
        <w:ind w:right="100" w:firstLine="139"/>
        <w:spacing w:after="0" w:line="292" w:lineRule="auto"/>
        <w:rPr>
          <w:sz w:val="20"/>
          <w:szCs w:val="20"/>
          <w:color w:val="auto"/>
        </w:rPr>
      </w:pPr>
      <w:r>
        <w:rPr>
          <w:rFonts w:ascii="Arial" w:cs="Arial" w:eastAsia="Arial" w:hAnsi="Arial"/>
          <w:sz w:val="14"/>
          <w:szCs w:val="14"/>
          <w:color w:val="auto"/>
        </w:rPr>
        <w:t>The following discussion and analysis should be read in conjunction with our condensed consolidated financial statements and related notes which appear elsewhere in this document and with our 2020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2020 Form 10-K, as updated and supplemented by our Quarterly Reports on Form 10-Q, including in Part 2, Item 1A and elsewhere in this Quarterly Report on Form 10-Q.</w:t>
      </w:r>
    </w:p>
    <w:p>
      <w:pPr>
        <w:spacing w:after="0" w:line="49" w:lineRule="exact"/>
        <w:rPr>
          <w:sz w:val="20"/>
          <w:szCs w:val="20"/>
          <w:color w:val="auto"/>
        </w:rPr>
      </w:pPr>
    </w:p>
    <w:p>
      <w:pPr>
        <w:ind w:right="140" w:firstLine="139"/>
        <w:spacing w:after="0" w:line="289" w:lineRule="auto"/>
        <w:rPr>
          <w:sz w:val="20"/>
          <w:szCs w:val="20"/>
          <w:color w:val="auto"/>
        </w:rPr>
      </w:pPr>
      <w:r>
        <w:rPr>
          <w:rFonts w:ascii="Arial" w:cs="Arial" w:eastAsia="Arial" w:hAnsi="Arial"/>
          <w:sz w:val="15"/>
          <w:szCs w:val="15"/>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102" w:lineRule="exact"/>
        <w:rPr>
          <w:sz w:val="20"/>
          <w:szCs w:val="20"/>
          <w:color w:val="auto"/>
        </w:rPr>
      </w:pPr>
    </w:p>
    <w:p>
      <w:pPr>
        <w:ind w:right="160" w:firstLine="139"/>
        <w:spacing w:after="0" w:line="265" w:lineRule="auto"/>
        <w:rPr>
          <w:sz w:val="20"/>
          <w:szCs w:val="20"/>
          <w:color w:val="auto"/>
        </w:rPr>
      </w:pPr>
      <w:r>
        <w:rPr>
          <w:rFonts w:ascii="Arial" w:cs="Arial" w:eastAsia="Arial" w:hAnsi="Arial"/>
          <w:sz w:val="15"/>
          <w:szCs w:val="15"/>
          <w:color w:val="auto"/>
        </w:rPr>
        <w:t>Our business, operations and financial condition and results have been and may continue to be impacted by the COVID-19 pandemic. We have experienced significant and unpredictable reductions in the demand for our products due to healthcare customers diverting medical resources and priorities towards the treatment of COVID-19. In addition, public health organizations have regularly delayed or suspended elective procedures during the COVID-19 pandemic, which has negatively impacted the usage of our products, including the number of Neuromodulation procedures. Further, there has been a decline in treatment for non-COVID-19 emergency procedures, which has also negatively impacted the demand for our products.</w:t>
      </w:r>
    </w:p>
    <w:p>
      <w:pPr>
        <w:spacing w:after="0" w:line="65" w:lineRule="exact"/>
        <w:rPr>
          <w:sz w:val="20"/>
          <w:szCs w:val="20"/>
          <w:color w:val="auto"/>
        </w:rPr>
      </w:pPr>
    </w:p>
    <w:p>
      <w:pPr>
        <w:ind w:right="20" w:firstLine="139"/>
        <w:spacing w:after="0" w:line="268" w:lineRule="auto"/>
        <w:rPr>
          <w:sz w:val="20"/>
          <w:szCs w:val="20"/>
          <w:color w:val="auto"/>
        </w:rPr>
      </w:pPr>
      <w:r>
        <w:rPr>
          <w:rFonts w:ascii="Arial" w:cs="Arial" w:eastAsia="Arial" w:hAnsi="Arial"/>
          <w:sz w:val="15"/>
          <w:szCs w:val="15"/>
          <w:color w:val="auto"/>
        </w:rPr>
        <w:t>We observed improving market dynamics during the first quarter of 2021, especially in the United States; however, we continue to be impacted in regions with COVID-19 case rate variability. We expect the recovery to continue during the remainder of the year as patients and their caregivers return to in-person physician visits and procedure volumes improve. However, COVID-19 case rate variability or delays in global vaccination roll-out efforts could materially adversely impact our business, results of operations and overall financial performance.</w:t>
      </w:r>
    </w:p>
    <w:p>
      <w:pPr>
        <w:spacing w:after="0" w:line="62" w:lineRule="exact"/>
        <w:rPr>
          <w:sz w:val="20"/>
          <w:szCs w:val="20"/>
          <w:color w:val="auto"/>
        </w:rPr>
      </w:pPr>
    </w:p>
    <w:p>
      <w:pPr>
        <w:ind w:right="120" w:firstLine="139"/>
        <w:spacing w:after="0" w:line="268" w:lineRule="auto"/>
        <w:rPr>
          <w:sz w:val="20"/>
          <w:szCs w:val="20"/>
          <w:color w:val="auto"/>
        </w:rPr>
      </w:pPr>
      <w:r>
        <w:rPr>
          <w:rFonts w:ascii="Arial" w:cs="Arial" w:eastAsia="Arial" w:hAnsi="Arial"/>
          <w:sz w:val="15"/>
          <w:szCs w:val="15"/>
          <w:color w:val="auto"/>
        </w:rPr>
        <w:t>Our business operations have been affected by a range of external factors related to the COVID-19 pandemic that are not within our control. For example, many jurisdictions have imposed, and in some cases reimposed, a wide range of restrictions on the physical movement of our employees and vendors to limit the spread of COVID-19. If the COVID-19 pandemic has a substantial impact on our employee or vendor attendance or productivity, our operations may suffer, and in turn our results of operations and overall financial performance may be harmed.</w:t>
      </w:r>
    </w:p>
    <w:p>
      <w:pPr>
        <w:spacing w:after="0" w:line="62" w:lineRule="exact"/>
        <w:rPr>
          <w:sz w:val="20"/>
          <w:szCs w:val="20"/>
          <w:color w:val="auto"/>
        </w:rPr>
      </w:pPr>
    </w:p>
    <w:p>
      <w:pPr>
        <w:ind w:firstLine="139"/>
        <w:spacing w:after="0" w:line="265" w:lineRule="auto"/>
        <w:rPr>
          <w:sz w:val="20"/>
          <w:szCs w:val="20"/>
          <w:color w:val="auto"/>
        </w:rPr>
      </w:pPr>
      <w:r>
        <w:rPr>
          <w:rFonts w:ascii="Arial" w:cs="Arial" w:eastAsia="Arial" w:hAnsi="Arial"/>
          <w:sz w:val="15"/>
          <w:szCs w:val="15"/>
          <w:color w:val="auto"/>
        </w:rPr>
        <w:t>During the second quarter of 2020, LivaNova paused RECOVER study patients in progressing beyond the first baseline depression scale measurement because the majority of our study sites and their corresponding surgical centers were closed. In order to maintain momentum, we continued activating new sites and identifying, educating and consenting patients at existing sites. During the third quarter of 2020, certain sites and surgical centers began to open and we re-initiated movement within RECOVER. We expect the number of patient implants to accelerate through fiscal year 2021 as study sites are able to progress consented patients and the impact of COVID-19 diminishes. However, there can be no assurance that there will not be closures of sites in the future.</w:t>
      </w:r>
    </w:p>
    <w:p>
      <w:pPr>
        <w:spacing w:after="0" w:line="65" w:lineRule="exact"/>
        <w:rPr>
          <w:sz w:val="20"/>
          <w:szCs w:val="20"/>
          <w:color w:val="auto"/>
        </w:rPr>
      </w:pPr>
    </w:p>
    <w:p>
      <w:pPr>
        <w:ind w:right="120" w:firstLine="139"/>
        <w:spacing w:after="0" w:line="236" w:lineRule="auto"/>
        <w:rPr>
          <w:sz w:val="20"/>
          <w:szCs w:val="20"/>
          <w:color w:val="auto"/>
        </w:rPr>
      </w:pPr>
      <w:r>
        <w:rPr>
          <w:rFonts w:ascii="Arial" w:cs="Arial" w:eastAsia="Arial" w:hAnsi="Arial"/>
          <w:sz w:val="15"/>
          <w:szCs w:val="15"/>
          <w:color w:val="auto"/>
        </w:rPr>
        <w:t>Additionally, our ANTHEM-HFrEF international pivotal trial was temporarily paused in March 2020 due to COVID-19 restrictions after randomizing just over 200 patients. During the second quarter of 2020, we were able to re-initiate enrollment and screening activities in more than half of the sites, and in April 2021 we randomized the 300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patient in the trial. We continue to monitor relevant conditions at medical centers participating in the trial.</w:t>
      </w:r>
    </w:p>
    <w:p>
      <w:pPr>
        <w:spacing w:after="0" w:line="82" w:lineRule="exact"/>
        <w:rPr>
          <w:sz w:val="20"/>
          <w:szCs w:val="20"/>
          <w:color w:val="auto"/>
        </w:rPr>
      </w:pPr>
    </w:p>
    <w:p>
      <w:pPr>
        <w:ind w:right="160" w:firstLine="139"/>
        <w:spacing w:after="0" w:line="284" w:lineRule="auto"/>
        <w:rPr>
          <w:sz w:val="20"/>
          <w:szCs w:val="20"/>
          <w:color w:val="auto"/>
        </w:rPr>
      </w:pPr>
      <w:r>
        <w:rPr>
          <w:rFonts w:ascii="Arial" w:cs="Arial" w:eastAsia="Arial" w:hAnsi="Arial"/>
          <w:sz w:val="14"/>
          <w:szCs w:val="14"/>
          <w:color w:val="auto"/>
        </w:rPr>
        <w:t>We have taken numerous steps, and will continue to take further actions, in our approach to addressing the COVID-19 pandemic. We have successfully implemented our business continuity plans, and our management team is responding to changes in our environment quickly and effectively. We have not closed any of our manufacturing plants. Additionally, the supply of raw materials and the distribution of finished products remain operational with no known or foreseen constraints relating to COVID-19. As a result of the COVID-19 pandemic, we instructed the majority of our employees at many of our facilities across the globe to work from home on a temporary basis and have implemented company-wide travel restrictions. For our manufacturing, operations, and other personnel remaining on site due to the essential nature of their work, we have implemented safety measures such as the use of personal protective equipment and social distancing measures. We have incurred additional expenses in connection with our response to the COVID-19 pandemic, including manufacturing inefficiencies and costs related to enabling our employees to support our customers while working remotely.</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32" w:name="page33"/>
    <w:bookmarkEnd w:id="32"/>
    <w:p>
      <w:pPr>
        <w:ind w:right="20" w:firstLine="139"/>
        <w:spacing w:after="0" w:line="273" w:lineRule="auto"/>
        <w:rPr>
          <w:sz w:val="20"/>
          <w:szCs w:val="20"/>
          <w:color w:val="auto"/>
        </w:rPr>
      </w:pPr>
      <w:r>
        <w:rPr>
          <w:rFonts w:ascii="Arial" w:cs="Arial" w:eastAsia="Arial" w:hAnsi="Arial"/>
          <w:sz w:val="15"/>
          <w:szCs w:val="15"/>
          <w:color w:val="auto"/>
        </w:rPr>
        <w:t>We continue to implement cost reduction efforts to mitigate the impact of reduced revenues on our operating income. We have reduced expenses by evaluating whether projects and initiatives are critical to meet the needs of the Company, protecting strategic priorities for future growth, reducing discretionary spending and tightening management of personnel costs.</w:t>
      </w:r>
    </w:p>
    <w:p>
      <w:pPr>
        <w:spacing w:after="0" w:line="59" w:lineRule="exact"/>
        <w:rPr>
          <w:sz w:val="20"/>
          <w:szCs w:val="20"/>
          <w:color w:val="auto"/>
        </w:rPr>
      </w:pPr>
    </w:p>
    <w:p>
      <w:pPr>
        <w:jc w:val="both"/>
        <w:ind w:right="140" w:firstLine="139"/>
        <w:spacing w:after="0" w:line="268" w:lineRule="auto"/>
        <w:rPr>
          <w:sz w:val="20"/>
          <w:szCs w:val="20"/>
          <w:color w:val="auto"/>
        </w:rPr>
      </w:pPr>
      <w:r>
        <w:rPr>
          <w:rFonts w:ascii="Arial" w:cs="Arial" w:eastAsia="Arial" w:hAnsi="Arial"/>
          <w:sz w:val="15"/>
          <w:szCs w:val="15"/>
          <w:color w:val="auto"/>
        </w:rPr>
        <w:t>The extent to which the COVID-19 pandemic continues to impact the Company’s results of operations and financial condition will depend on future developments that are highly uncertain and cannot be predicted, including new information that may emerge concerning the severity and longevity of COVID-19 and its variants, the resurgence of COVID-19 in regions that have begun to recover from the initial impact of the pandemic, the impact of COVID-19 on economic activity and the actions to contain its impact on public health and the global economy.</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02" w:lineRule="exact"/>
        <w:rPr>
          <w:sz w:val="20"/>
          <w:szCs w:val="20"/>
          <w:color w:val="auto"/>
        </w:rPr>
      </w:pPr>
    </w:p>
    <w:p>
      <w:pPr>
        <w:ind w:right="140" w:firstLine="139"/>
        <w:spacing w:after="0" w:line="292" w:lineRule="auto"/>
        <w:rPr>
          <w:sz w:val="20"/>
          <w:szCs w:val="20"/>
          <w:color w:val="auto"/>
        </w:rPr>
      </w:pPr>
      <w:r>
        <w:rPr>
          <w:rFonts w:ascii="Arial" w:cs="Arial" w:eastAsia="Arial" w:hAnsi="Arial"/>
          <w:sz w:val="14"/>
          <w:szCs w:val="14"/>
          <w:color w:val="auto"/>
        </w:rPr>
        <w:t>We are a public limited company organized under the laws of England and Wales and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49" w:lineRule="exact"/>
        <w:rPr>
          <w:sz w:val="20"/>
          <w:szCs w:val="20"/>
          <w:color w:val="auto"/>
        </w:rPr>
      </w:pPr>
    </w:p>
    <w:p>
      <w:pPr>
        <w:ind w:right="480" w:firstLine="139"/>
        <w:spacing w:after="0" w:line="289" w:lineRule="auto"/>
        <w:rPr>
          <w:sz w:val="20"/>
          <w:szCs w:val="20"/>
          <w:color w:val="auto"/>
        </w:rPr>
      </w:pPr>
      <w:r>
        <w:rPr>
          <w:rFonts w:ascii="Arial" w:cs="Arial" w:eastAsia="Arial" w:hAnsi="Arial"/>
          <w:sz w:val="15"/>
          <w:szCs w:val="15"/>
          <w:color w:val="auto"/>
        </w:rPr>
        <w:t>LivaNova is comprised of two reportable segments: Cardiovascular and Neuromodulation, corresponding to our primary therapeutic areas. Other corporate activities include corporate shared service expenses for finance, legal, human resources, information technology and corporate business development.</w:t>
      </w:r>
    </w:p>
    <w:p>
      <w:pPr>
        <w:spacing w:after="0" w:line="47" w:lineRule="exact"/>
        <w:rPr>
          <w:sz w:val="20"/>
          <w:szCs w:val="20"/>
          <w:color w:val="auto"/>
        </w:rPr>
      </w:pPr>
    </w:p>
    <w:p>
      <w:pPr>
        <w:ind w:firstLine="139"/>
        <w:spacing w:after="0" w:line="289" w:lineRule="auto"/>
        <w:rPr>
          <w:sz w:val="20"/>
          <w:szCs w:val="20"/>
          <w:color w:val="auto"/>
        </w:rPr>
      </w:pPr>
      <w:r>
        <w:rPr>
          <w:rFonts w:ascii="Arial" w:cs="Arial" w:eastAsia="Arial" w:hAnsi="Arial"/>
          <w:sz w:val="15"/>
          <w:szCs w:val="15"/>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Cardiovascular</w:t>
      </w:r>
    </w:p>
    <w:p>
      <w:pPr>
        <w:spacing w:after="0" w:line="98" w:lineRule="exact"/>
        <w:rPr>
          <w:sz w:val="20"/>
          <w:szCs w:val="20"/>
          <w:color w:val="auto"/>
        </w:rPr>
      </w:pPr>
    </w:p>
    <w:p>
      <w:pPr>
        <w:ind w:right="700" w:firstLine="139"/>
        <w:spacing w:after="0" w:line="301" w:lineRule="auto"/>
        <w:rPr>
          <w:sz w:val="20"/>
          <w:szCs w:val="20"/>
          <w:color w:val="auto"/>
        </w:rPr>
      </w:pPr>
      <w:r>
        <w:rPr>
          <w:rFonts w:ascii="Arial" w:cs="Arial" w:eastAsia="Arial" w:hAnsi="Arial"/>
          <w:sz w:val="14"/>
          <w:szCs w:val="14"/>
          <w:color w:val="auto"/>
        </w:rPr>
        <w:t>Our Cardiovascular segment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Advanced circulatory support includes temporary life support controllers and product kits that can include a combination of pumps, oxygenators, and cannulae.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Divestiture of Heart Valve Business</w:t>
      </w:r>
    </w:p>
    <w:p>
      <w:pPr>
        <w:spacing w:after="0" w:line="105" w:lineRule="exact"/>
        <w:rPr>
          <w:sz w:val="20"/>
          <w:szCs w:val="20"/>
          <w:color w:val="auto"/>
        </w:rPr>
      </w:pPr>
    </w:p>
    <w:p>
      <w:pPr>
        <w:ind w:right="20" w:firstLine="139"/>
        <w:spacing w:after="0" w:line="262" w:lineRule="auto"/>
        <w:rPr>
          <w:sz w:val="20"/>
          <w:szCs w:val="20"/>
          <w:color w:val="auto"/>
        </w:rPr>
      </w:pPr>
      <w:r>
        <w:rPr>
          <w:rFonts w:ascii="Arial" w:cs="Arial" w:eastAsia="Arial" w:hAnsi="Arial"/>
          <w:sz w:val="15"/>
          <w:szCs w:val="15"/>
          <w:color w:val="auto"/>
        </w:rPr>
        <w:t>On December 2, 2020, LivaNova entered into a Purchase Agreement with the Purchaser for the divestiture of certain of LivaNova’s subsidiaries as well as certain other assets and liabilities relating to the Company’s Heart Valve business and site management operations for €60.0 million (approximately $70.4 million as of March 31, 2021), payable in two tranches: €50.0 million (approximately $58.7 million as of March 31, 2021) at closing and an additional €10.0 million (approximately $11.7 million as of March 31, 2021) payable on December 30, 2022. On April 9, 2021, LivaNova and the Purchaser entered into an A&amp;R Purchase Agreement which amends and restates the original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 The initial closing of the transaction with respect to the heart valve business is expected to occur in the first half of 2021.</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Cardiopulmonary Product Approval</w:t>
      </w:r>
    </w:p>
    <w:p>
      <w:pPr>
        <w:spacing w:after="0" w:line="105" w:lineRule="exact"/>
        <w:rPr>
          <w:sz w:val="20"/>
          <w:szCs w:val="20"/>
          <w:color w:val="auto"/>
        </w:rPr>
      </w:pPr>
    </w:p>
    <w:p>
      <w:pPr>
        <w:jc w:val="both"/>
        <w:ind w:right="120" w:firstLine="139"/>
        <w:spacing w:after="0" w:line="273" w:lineRule="auto"/>
        <w:rPr>
          <w:sz w:val="20"/>
          <w:szCs w:val="20"/>
          <w:color w:val="auto"/>
        </w:rPr>
      </w:pPr>
      <w:r>
        <w:rPr>
          <w:rFonts w:ascii="Arial" w:cs="Arial" w:eastAsia="Arial" w:hAnsi="Arial"/>
          <w:sz w:val="15"/>
          <w:szCs w:val="15"/>
          <w:color w:val="auto"/>
        </w:rPr>
        <w:t>In April 2021, the FDA provided 510(k) clearance for B-Capta, the new in-line, blood-gas monitoring system integrated into the Company’s S5 heart-lung machine. The system is designed to easily and accurately monitor arterial and venous blood gas parameters even during long and complex pediatric and adult cardiopulmonary bypass procedures. B-Capta, which received CE Mark in May 2020 and completed a successful limited commercial release in Europe, is now available globally.</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Product Remediation</w:t>
      </w:r>
    </w:p>
    <w:p>
      <w:pPr>
        <w:spacing w:after="0" w:line="105" w:lineRule="exact"/>
        <w:rPr>
          <w:sz w:val="20"/>
          <w:szCs w:val="20"/>
          <w:color w:val="auto"/>
        </w:rPr>
      </w:pPr>
    </w:p>
    <w:p>
      <w:pPr>
        <w:ind w:right="160" w:firstLine="139"/>
        <w:spacing w:after="0" w:line="289" w:lineRule="auto"/>
        <w:rPr>
          <w:sz w:val="20"/>
          <w:szCs w:val="20"/>
          <w:color w:val="auto"/>
        </w:rPr>
      </w:pPr>
      <w:r>
        <w:rPr>
          <w:rFonts w:ascii="Arial" w:cs="Arial" w:eastAsia="Arial" w:hAnsi="Arial"/>
          <w:sz w:val="15"/>
          <w:szCs w:val="15"/>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33" w:name="page34"/>
    <w:bookmarkEnd w:id="33"/>
    <w:p>
      <w:pPr>
        <w:ind w:right="40" w:firstLine="139"/>
        <w:spacing w:after="0" w:line="263" w:lineRule="auto"/>
        <w:rPr>
          <w:sz w:val="20"/>
          <w:szCs w:val="20"/>
          <w:color w:val="auto"/>
        </w:rPr>
      </w:pPr>
      <w:r>
        <w:rPr>
          <w:rFonts w:ascii="Arial" w:cs="Arial" w:eastAsia="Arial" w:hAnsi="Arial"/>
          <w:sz w:val="15"/>
          <w:szCs w:val="15"/>
          <w:color w:val="auto"/>
        </w:rPr>
        <w:t>The Warning Letter further stated that our 3T Heater-Cooler devices (the “3T devices”) and other devices we manufactured at our Munich facility were subject to refusal of admission into the U.S. until resolution of the issues set forth by the FDA in the Warning Letter. The FDA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69" w:lineRule="exact"/>
        <w:rPr>
          <w:sz w:val="20"/>
          <w:szCs w:val="20"/>
          <w:color w:val="auto"/>
        </w:rPr>
      </w:pPr>
    </w:p>
    <w:p>
      <w:pPr>
        <w:ind w:right="120" w:firstLine="139"/>
        <w:spacing w:after="0" w:line="273" w:lineRule="auto"/>
        <w:rPr>
          <w:sz w:val="20"/>
          <w:szCs w:val="20"/>
          <w:color w:val="auto"/>
        </w:rPr>
      </w:pPr>
      <w:r>
        <w:rPr>
          <w:rFonts w:ascii="Arial" w:cs="Arial" w:eastAsia="Arial" w:hAnsi="Arial"/>
          <w:sz w:val="15"/>
          <w:szCs w:val="15"/>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9" w:lineRule="exact"/>
        <w:rPr>
          <w:sz w:val="20"/>
          <w:szCs w:val="20"/>
          <w:color w:val="auto"/>
        </w:rPr>
      </w:pPr>
    </w:p>
    <w:p>
      <w:pPr>
        <w:ind w:firstLine="139"/>
        <w:spacing w:after="0" w:line="292" w:lineRule="auto"/>
        <w:rPr>
          <w:sz w:val="20"/>
          <w:szCs w:val="20"/>
          <w:color w:val="auto"/>
        </w:rPr>
      </w:pPr>
      <w:r>
        <w:rPr>
          <w:rFonts w:ascii="Arial" w:cs="Arial" w:eastAsia="Arial" w:hAnsi="Arial"/>
          <w:sz w:val="14"/>
          <w:szCs w:val="14"/>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are complete, and at this time, LivaNova is awaiting the FDA’s close-out inspection.</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Product Liability</w:t>
      </w:r>
    </w:p>
    <w:p>
      <w:pPr>
        <w:spacing w:after="0" w:line="105" w:lineRule="exact"/>
        <w:rPr>
          <w:sz w:val="20"/>
          <w:szCs w:val="20"/>
          <w:color w:val="auto"/>
        </w:rPr>
      </w:pPr>
    </w:p>
    <w:p>
      <w:pPr>
        <w:ind w:right="120" w:firstLine="139"/>
        <w:spacing w:after="0" w:line="265" w:lineRule="auto"/>
        <w:rPr>
          <w:sz w:val="20"/>
          <w:szCs w:val="20"/>
          <w:color w:val="auto"/>
        </w:rPr>
      </w:pPr>
      <w:r>
        <w:rPr>
          <w:rFonts w:ascii="Arial" w:cs="Arial" w:eastAsia="Arial" w:hAnsi="Arial"/>
          <w:sz w:val="15"/>
          <w:szCs w:val="15"/>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65" w:lineRule="exact"/>
        <w:rPr>
          <w:sz w:val="20"/>
          <w:szCs w:val="20"/>
          <w:color w:val="auto"/>
        </w:rPr>
      </w:pPr>
    </w:p>
    <w:p>
      <w:pPr>
        <w:jc w:val="both"/>
        <w:ind w:right="40" w:firstLine="139"/>
        <w:spacing w:after="0" w:line="288" w:lineRule="auto"/>
        <w:rPr>
          <w:sz w:val="20"/>
          <w:szCs w:val="20"/>
          <w:color w:val="auto"/>
        </w:rPr>
      </w:pPr>
      <w:r>
        <w:rPr>
          <w:rFonts w:ascii="Arial" w:cs="Arial" w:eastAsia="Arial" w:hAnsi="Arial"/>
          <w:sz w:val="14"/>
          <w:szCs w:val="14"/>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2" w:lineRule="exact"/>
        <w:rPr>
          <w:sz w:val="20"/>
          <w:szCs w:val="20"/>
          <w:color w:val="auto"/>
        </w:rPr>
      </w:pPr>
    </w:p>
    <w:p>
      <w:pPr>
        <w:ind w:right="100" w:firstLine="139"/>
        <w:spacing w:after="0" w:line="265" w:lineRule="auto"/>
        <w:rPr>
          <w:sz w:val="20"/>
          <w:szCs w:val="20"/>
          <w:color w:val="auto"/>
        </w:rPr>
      </w:pPr>
      <w:r>
        <w:rPr>
          <w:rFonts w:ascii="Arial" w:cs="Arial" w:eastAsia="Arial" w:hAnsi="Arial"/>
          <w:sz w:val="15"/>
          <w:szCs w:val="15"/>
          <w:color w:val="auto"/>
        </w:rPr>
        <w:t>Cases in state courts in the U.S. and in jurisdictions outside the U.S. continue to progress. As of April 28, 2021, including the cases encompassed in the settlement framework described above that have not yet been dismissed, we are aware of approximately 85 filed and unfiled claims worldwide, with the majority of the claims in various federal or state courts throughout the United States. This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65" w:lineRule="exact"/>
        <w:rPr>
          <w:sz w:val="20"/>
          <w:szCs w:val="20"/>
          <w:color w:val="auto"/>
        </w:rPr>
      </w:pPr>
    </w:p>
    <w:p>
      <w:pPr>
        <w:ind w:right="20" w:firstLine="139"/>
        <w:spacing w:after="0" w:line="289" w:lineRule="auto"/>
        <w:rPr>
          <w:sz w:val="20"/>
          <w:szCs w:val="20"/>
          <w:color w:val="auto"/>
        </w:rPr>
      </w:pPr>
      <w:r>
        <w:rPr>
          <w:rFonts w:ascii="Arial" w:cs="Arial" w:eastAsia="Arial" w:hAnsi="Arial"/>
          <w:sz w:val="15"/>
          <w:szCs w:val="15"/>
          <w:color w:val="auto"/>
        </w:rPr>
        <w:t>At March 31, 2021, the provision for these matters was $34.3 million. While the amount accrued represents our best estimate, the actual liability for resolution of these matters may vary from our estimate.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Neuromodulation</w:t>
      </w:r>
    </w:p>
    <w:p>
      <w:pPr>
        <w:spacing w:after="0" w:line="98" w:lineRule="exact"/>
        <w:rPr>
          <w:sz w:val="20"/>
          <w:szCs w:val="20"/>
          <w:color w:val="auto"/>
        </w:rPr>
      </w:pPr>
    </w:p>
    <w:p>
      <w:pPr>
        <w:ind w:right="60" w:firstLine="139"/>
        <w:spacing w:after="0" w:line="289" w:lineRule="auto"/>
        <w:rPr>
          <w:sz w:val="20"/>
          <w:szCs w:val="20"/>
          <w:color w:val="auto"/>
        </w:rPr>
      </w:pPr>
      <w:r>
        <w:rPr>
          <w:rFonts w:ascii="Arial" w:cs="Arial" w:eastAsia="Arial" w:hAnsi="Arial"/>
          <w:sz w:val="15"/>
          <w:szCs w:val="15"/>
          <w:color w:val="auto"/>
        </w:rPr>
        <w:t>Our Neuromodulation segment designs, develops and markets Neuromodulation therapy for the treatment of drug-resistant epilepsy, DTD and obstructive sleep apnea. We are also developing and conducting clinical testing of the VITARIA System for treating heart failure through vagus nerve stimulation.</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DTD UNCOVER Study</w:t>
      </w:r>
    </w:p>
    <w:p>
      <w:pPr>
        <w:spacing w:after="0" w:line="105" w:lineRule="exact"/>
        <w:rPr>
          <w:sz w:val="20"/>
          <w:szCs w:val="20"/>
          <w:color w:val="auto"/>
        </w:rPr>
      </w:pPr>
    </w:p>
    <w:p>
      <w:pPr>
        <w:ind w:right="20" w:firstLine="139"/>
        <w:spacing w:after="0" w:line="289" w:lineRule="auto"/>
        <w:rPr>
          <w:sz w:val="20"/>
          <w:szCs w:val="20"/>
          <w:color w:val="auto"/>
        </w:rPr>
      </w:pPr>
      <w:r>
        <w:rPr>
          <w:rFonts w:ascii="Arial" w:cs="Arial" w:eastAsia="Arial" w:hAnsi="Arial"/>
          <w:sz w:val="15"/>
          <w:szCs w:val="15"/>
          <w:color w:val="auto"/>
        </w:rPr>
        <w:t>In April 2021, LivaNova and Verily, a subsidiary of Alphabet, announced that the first patient had been enrolled in their collaborative UNCOVER study, a subset of the RECOVER study. Data obtained from Verily-developed digital tools will</w:t>
      </w: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color w:val="auto"/>
        </w:rPr>
        <w:t>complement the clinical outcomes collected in RECOVER, providing clinicians a more comprehensive view of depression patient biomarkers.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Significant Accounting Policies and Critical Accounting Estimates</w:t>
      </w:r>
    </w:p>
    <w:p>
      <w:pPr>
        <w:spacing w:after="0" w:line="98" w:lineRule="exact"/>
        <w:rPr>
          <w:sz w:val="20"/>
          <w:szCs w:val="20"/>
          <w:color w:val="auto"/>
        </w:rPr>
      </w:pPr>
    </w:p>
    <w:p>
      <w:pPr>
        <w:ind w:right="40" w:firstLine="139"/>
        <w:spacing w:after="0" w:line="273" w:lineRule="auto"/>
        <w:rPr>
          <w:sz w:val="20"/>
          <w:szCs w:val="20"/>
          <w:color w:val="auto"/>
        </w:rPr>
      </w:pPr>
      <w:r>
        <w:rPr>
          <w:rFonts w:ascii="Arial" w:cs="Arial" w:eastAsia="Arial" w:hAnsi="Arial"/>
          <w:sz w:val="15"/>
          <w:szCs w:val="15"/>
          <w:color w:val="auto"/>
        </w:rPr>
        <w:t>In addition to our critical accounting policies provided in “Part II, Item 7. Management’s Discussion and Analysis of Financial Condition and Results of Operations” included in our 2020 Form 10-K, refer to “Significant Accounting Policies” within “Note 1. Unaudited Condensed Consolidated Financial Statements” included in this Quarterly Report on Form 10-Q.</w:t>
      </w:r>
    </w:p>
    <w:p>
      <w:pPr>
        <w:spacing w:after="0" w:line="59" w:lineRule="exact"/>
        <w:rPr>
          <w:sz w:val="20"/>
          <w:szCs w:val="20"/>
          <w:color w:val="auto"/>
        </w:rPr>
      </w:pPr>
    </w:p>
    <w:p>
      <w:pPr>
        <w:ind w:right="100" w:firstLine="139"/>
        <w:spacing w:after="0" w:line="289" w:lineRule="auto"/>
        <w:rPr>
          <w:sz w:val="20"/>
          <w:szCs w:val="20"/>
          <w:color w:val="auto"/>
        </w:rPr>
      </w:pPr>
      <w:r>
        <w:rPr>
          <w:rFonts w:ascii="Arial" w:cs="Arial" w:eastAsia="Arial" w:hAnsi="Arial"/>
          <w:sz w:val="15"/>
          <w:szCs w:val="15"/>
          <w:color w:val="auto"/>
        </w:rPr>
        <w:t>The accompanying unaudited condensed consolidated financial statements of LivaNova and its consolidated subsidiaries have been prepared in accordance with U.S. GAAP on an interim basis.</w:t>
      </w:r>
    </w:p>
    <w:p>
      <w:pPr>
        <w:spacing w:after="0" w:line="47" w:lineRule="exact"/>
        <w:rPr>
          <w:sz w:val="20"/>
          <w:szCs w:val="20"/>
          <w:color w:val="auto"/>
        </w:rPr>
      </w:pPr>
    </w:p>
    <w:p>
      <w:pPr>
        <w:ind w:right="360" w:firstLine="139"/>
        <w:spacing w:after="0" w:line="289" w:lineRule="auto"/>
        <w:rPr>
          <w:sz w:val="20"/>
          <w:szCs w:val="20"/>
          <w:color w:val="auto"/>
        </w:rPr>
      </w:pPr>
      <w:r>
        <w:rPr>
          <w:rFonts w:ascii="Arial" w:cs="Arial" w:eastAsia="Arial" w:hAnsi="Arial"/>
          <w:sz w:val="15"/>
          <w:szCs w:val="15"/>
          <w:color w:val="auto"/>
        </w:rPr>
        <w:t>New accounting pronouncements are disclosed in “Note 15. New Accounting Pronouncements” contained in the condensed consolidated financial statements in this Quarterly Report on Form 10-Q.</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 summarizes our condensed consolidated results of operations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32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5"/>
                <w:szCs w:val="15"/>
                <w:b w:val="1"/>
                <w:bCs w:val="1"/>
                <w:color w:val="auto"/>
              </w:rPr>
              <w:t>Three Months Ended March 31,</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50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2020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4000" w:type="dxa"/>
            <w:vAlign w:val="bottom"/>
            <w:gridSpan w:val="2"/>
            <w:shd w:val="clear" w:color="auto" w:fill="CCEEFF"/>
          </w:tcPr>
          <w:p>
            <w:pPr>
              <w:jc w:val="right"/>
              <w:ind w:right="108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247,603</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242,397</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5"/>
                <w:szCs w:val="15"/>
                <w:color w:val="auto"/>
              </w:rPr>
              <w:t>Costs and expenses:</w:t>
            </w:r>
          </w:p>
        </w:tc>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sales - exclusive of amortization</w:t>
            </w:r>
          </w:p>
        </w:tc>
        <w:tc>
          <w:tcPr>
            <w:tcW w:w="2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79,216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68,923</w:t>
            </w:r>
          </w:p>
        </w:tc>
        <w:tc>
          <w:tcPr>
            <w:tcW w:w="0" w:type="dxa"/>
            <w:vAlign w:val="bottom"/>
          </w:tcPr>
          <w:p>
            <w:pPr>
              <w:spacing w:after="0"/>
              <w:rPr>
                <w:sz w:val="1"/>
                <w:szCs w:val="1"/>
                <w:color w:val="auto"/>
              </w:rPr>
            </w:pPr>
          </w:p>
        </w:tc>
      </w:tr>
      <w:tr>
        <w:trPr>
          <w:trHeight w:val="196"/>
        </w:trPr>
        <w:tc>
          <w:tcPr>
            <w:tcW w:w="4500" w:type="dxa"/>
            <w:vAlign w:val="bottom"/>
          </w:tcPr>
          <w:p>
            <w:pPr>
              <w:ind w:left="120"/>
              <w:spacing w:after="0"/>
              <w:rPr>
                <w:sz w:val="20"/>
                <w:szCs w:val="20"/>
                <w:color w:val="auto"/>
              </w:rPr>
            </w:pPr>
            <w:r>
              <w:rPr>
                <w:rFonts w:ascii="Arial" w:cs="Arial" w:eastAsia="Arial" w:hAnsi="Arial"/>
                <w:sz w:val="15"/>
                <w:szCs w:val="15"/>
                <w:color w:val="auto"/>
              </w:rPr>
              <w:t>Product remediation</w:t>
            </w:r>
          </w:p>
        </w:tc>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general and administrative</w:t>
            </w:r>
          </w:p>
        </w:tc>
        <w:tc>
          <w:tcPr>
            <w:tcW w:w="2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112,618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120,177</w:t>
            </w:r>
          </w:p>
        </w:tc>
        <w:tc>
          <w:tcPr>
            <w:tcW w:w="0" w:type="dxa"/>
            <w:vAlign w:val="bottom"/>
          </w:tcPr>
          <w:p>
            <w:pPr>
              <w:spacing w:after="0"/>
              <w:rPr>
                <w:sz w:val="1"/>
                <w:szCs w:val="1"/>
                <w:color w:val="auto"/>
              </w:rPr>
            </w:pPr>
          </w:p>
        </w:tc>
      </w:tr>
      <w:tr>
        <w:trPr>
          <w:trHeight w:val="196"/>
        </w:trPr>
        <w:tc>
          <w:tcPr>
            <w:tcW w:w="450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44,625</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35,902</w:t>
            </w: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Merger and integration expenses</w:t>
            </w:r>
          </w:p>
        </w:tc>
        <w:tc>
          <w:tcPr>
            <w:tcW w:w="2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3,474</w:t>
            </w:r>
          </w:p>
        </w:tc>
        <w:tc>
          <w:tcPr>
            <w:tcW w:w="0" w:type="dxa"/>
            <w:vAlign w:val="bottom"/>
          </w:tcPr>
          <w:p>
            <w:pPr>
              <w:spacing w:after="0"/>
              <w:rPr>
                <w:sz w:val="1"/>
                <w:szCs w:val="1"/>
                <w:color w:val="auto"/>
              </w:rPr>
            </w:pPr>
          </w:p>
        </w:tc>
      </w:tr>
      <w:tr>
        <w:trPr>
          <w:trHeight w:val="196"/>
        </w:trPr>
        <w:tc>
          <w:tcPr>
            <w:tcW w:w="4500" w:type="dxa"/>
            <w:vAlign w:val="bottom"/>
          </w:tcPr>
          <w:p>
            <w:pPr>
              <w:ind w:left="120"/>
              <w:spacing w:after="0"/>
              <w:rPr>
                <w:sz w:val="20"/>
                <w:szCs w:val="20"/>
                <w:color w:val="auto"/>
              </w:rPr>
            </w:pPr>
            <w:r>
              <w:rPr>
                <w:rFonts w:ascii="Arial" w:cs="Arial" w:eastAsia="Arial" w:hAnsi="Arial"/>
                <w:sz w:val="15"/>
                <w:szCs w:val="15"/>
                <w:color w:val="auto"/>
              </w:rPr>
              <w:t>Restructuring expenses</w:t>
            </w:r>
          </w:p>
        </w:tc>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6,092</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1,580</w:t>
            </w: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Revaluation of disposal group</w:t>
            </w:r>
          </w:p>
        </w:tc>
        <w:tc>
          <w:tcPr>
            <w:tcW w:w="2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500" w:type="dxa"/>
            <w:vAlign w:val="bottom"/>
          </w:tcPr>
          <w:p>
            <w:pPr>
              <w:ind w:left="120"/>
              <w:spacing w:after="0"/>
              <w:rPr>
                <w:sz w:val="20"/>
                <w:szCs w:val="20"/>
                <w:color w:val="auto"/>
              </w:rPr>
            </w:pPr>
            <w:r>
              <w:rPr>
                <w:rFonts w:ascii="Arial" w:cs="Arial" w:eastAsia="Arial" w:hAnsi="Arial"/>
                <w:sz w:val="15"/>
                <w:szCs w:val="15"/>
                <w:color w:val="auto"/>
              </w:rPr>
              <w:t>Amortization of intangibles</w:t>
            </w:r>
          </w:p>
        </w:tc>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6,699</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10,267</w:t>
            </w: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Litigation provision, net</w:t>
            </w:r>
          </w:p>
        </w:tc>
        <w:tc>
          <w:tcPr>
            <w:tcW w:w="27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3,044</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500" w:type="dxa"/>
            <w:vAlign w:val="bottom"/>
          </w:tcPr>
          <w:p>
            <w:pPr>
              <w:ind w:left="180"/>
              <w:spacing w:after="0"/>
              <w:rPr>
                <w:sz w:val="20"/>
                <w:szCs w:val="20"/>
                <w:color w:val="auto"/>
              </w:rPr>
            </w:pPr>
            <w:r>
              <w:rPr>
                <w:rFonts w:ascii="Arial" w:cs="Arial" w:eastAsia="Arial" w:hAnsi="Arial"/>
                <w:sz w:val="15"/>
                <w:szCs w:val="15"/>
                <w:color w:val="auto"/>
              </w:rPr>
              <w:t>Operating (loss) income from continuing operations</w:t>
            </w:r>
          </w:p>
        </w:tc>
        <w:tc>
          <w:tcPr>
            <w:tcW w:w="2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(4,423)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608</w:t>
            </w: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2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20"/>
                <w:szCs w:val="20"/>
                <w:color w:val="auto"/>
              </w:rPr>
            </w:pPr>
            <w:r>
              <w:rPr>
                <w:rFonts w:ascii="Arial" w:cs="Arial" w:eastAsia="Arial" w:hAnsi="Arial"/>
                <w:sz w:val="15"/>
                <w:szCs w:val="15"/>
                <w:color w:val="auto"/>
              </w:rPr>
              <w:t>Interest expense</w:t>
            </w:r>
          </w:p>
        </w:tc>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(15,936)</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(4,849)</w:t>
            </w: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and other losses</w:t>
            </w:r>
          </w:p>
        </w:tc>
        <w:tc>
          <w:tcPr>
            <w:tcW w:w="27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(6,369)</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(1,914)</w:t>
            </w:r>
          </w:p>
        </w:tc>
        <w:tc>
          <w:tcPr>
            <w:tcW w:w="0" w:type="dxa"/>
            <w:vAlign w:val="bottom"/>
          </w:tcPr>
          <w:p>
            <w:pPr>
              <w:spacing w:after="0"/>
              <w:rPr>
                <w:sz w:val="1"/>
                <w:szCs w:val="1"/>
                <w:color w:val="auto"/>
              </w:rPr>
            </w:pPr>
          </w:p>
        </w:tc>
      </w:tr>
      <w:tr>
        <w:trPr>
          <w:trHeight w:val="188"/>
        </w:trPr>
        <w:tc>
          <w:tcPr>
            <w:tcW w:w="4500" w:type="dxa"/>
            <w:vAlign w:val="bottom"/>
          </w:tcPr>
          <w:p>
            <w:pPr>
              <w:ind w:left="120"/>
              <w:spacing w:after="0"/>
              <w:rPr>
                <w:sz w:val="20"/>
                <w:szCs w:val="20"/>
                <w:color w:val="auto"/>
              </w:rPr>
            </w:pPr>
            <w:r>
              <w:rPr>
                <w:rFonts w:ascii="Arial" w:cs="Arial" w:eastAsia="Arial" w:hAnsi="Arial"/>
                <w:sz w:val="15"/>
                <w:szCs w:val="15"/>
                <w:color w:val="auto"/>
              </w:rPr>
              <w:t>Loss from continuing operations before tax</w:t>
            </w:r>
          </w:p>
        </w:tc>
        <w:tc>
          <w:tcPr>
            <w:tcW w:w="2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(26,802)</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(6,007)</w:t>
            </w: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2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(44,714)</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Losses from equity method investments</w:t>
            </w:r>
          </w:p>
        </w:tc>
        <w:tc>
          <w:tcPr>
            <w:tcW w:w="27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88"/>
        </w:trPr>
        <w:tc>
          <w:tcPr>
            <w:tcW w:w="45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 income from continuing operations</w:t>
            </w:r>
          </w:p>
        </w:tc>
        <w:tc>
          <w:tcPr>
            <w:tcW w:w="27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(29,698)</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38,578</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 from discontinued operations, net of tax</w:t>
            </w:r>
          </w:p>
        </w:tc>
        <w:tc>
          <w:tcPr>
            <w:tcW w:w="27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(995)</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4000" w:type="dxa"/>
            <w:vAlign w:val="bottom"/>
            <w:gridSpan w:val="2"/>
            <w:shd w:val="clear" w:color="auto" w:fill="CCEEFF"/>
          </w:tcPr>
          <w:p>
            <w:pPr>
              <w:jc w:val="right"/>
              <w:ind w:right="1083"/>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(29,698)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8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37,583</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1383"/>
              <w:spacing w:after="0"/>
              <w:rPr>
                <w:sz w:val="20"/>
                <w:szCs w:val="20"/>
                <w:color w:val="auto"/>
              </w:rPr>
            </w:pPr>
            <w:r>
              <w:rPr>
                <w:rFonts w:ascii="Arial" w:cs="Arial" w:eastAsia="Arial" w:hAnsi="Arial"/>
                <w:sz w:val="15"/>
                <w:szCs w:val="15"/>
                <w:color w:val="auto"/>
              </w:rPr>
              <w:t>35</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3"/>
        </w:trPr>
        <w:tc>
          <w:tcPr>
            <w:tcW w:w="45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500" w:type="dxa"/>
            <w:vAlign w:val="bottom"/>
            <w:tcBorders>
              <w:bottom w:val="single" w:sz="8" w:color="9A9A9A"/>
            </w:tcBorders>
          </w:tcPr>
          <w:p>
            <w:pPr>
              <w:spacing w:after="0"/>
              <w:rPr>
                <w:sz w:val="16"/>
                <w:szCs w:val="16"/>
                <w:color w:val="auto"/>
              </w:rPr>
            </w:pPr>
          </w:p>
        </w:tc>
        <w:tc>
          <w:tcPr>
            <w:tcW w:w="274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Net Sales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gridSpan w:val="4"/>
          </w:tcPr>
          <w:p>
            <w:pPr>
              <w:ind w:left="140"/>
              <w:spacing w:after="0"/>
              <w:rPr>
                <w:sz w:val="20"/>
                <w:szCs w:val="20"/>
                <w:color w:val="auto"/>
              </w:rPr>
            </w:pPr>
            <w:r>
              <w:rPr>
                <w:rFonts w:ascii="Arial" w:cs="Arial" w:eastAsia="Arial" w:hAnsi="Arial"/>
                <w:sz w:val="15"/>
                <w:szCs w:val="15"/>
                <w:color w:val="auto"/>
                <w:w w:val="95"/>
              </w:rPr>
              <w:t>The table below presents net sales by operating segment and geographic region (in thousands, except for percentages):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ind w:left="1140"/>
              <w:spacing w:after="0"/>
              <w:rPr>
                <w:sz w:val="20"/>
                <w:szCs w:val="20"/>
                <w:color w:val="auto"/>
              </w:rPr>
            </w:pPr>
            <w:r>
              <w:rPr>
                <w:rFonts w:ascii="Arial" w:cs="Arial" w:eastAsia="Arial" w:hAnsi="Arial"/>
                <w:sz w:val="15"/>
                <w:szCs w:val="15"/>
                <w:b w:val="1"/>
                <w:bCs w:val="1"/>
                <w:color w:val="auto"/>
              </w:rPr>
              <w:t>Three Months Ended March 31,</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8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Cardiopulmonary</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60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35,759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36,858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96"/>
        </w:trPr>
        <w:tc>
          <w:tcPr>
            <w:tcW w:w="6080" w:type="dxa"/>
            <w:vAlign w:val="bottom"/>
          </w:tcPr>
          <w:p>
            <w:pPr>
              <w:ind w:left="380"/>
              <w:spacing w:after="0"/>
              <w:rPr>
                <w:sz w:val="20"/>
                <w:szCs w:val="20"/>
                <w:color w:val="auto"/>
              </w:rPr>
            </w:pPr>
            <w:r>
              <w:rPr>
                <w:rFonts w:ascii="Arial" w:cs="Arial" w:eastAsia="Arial" w:hAnsi="Arial"/>
                <w:sz w:val="15"/>
                <w:szCs w:val="15"/>
                <w:color w:val="auto"/>
              </w:rPr>
              <w:t>Europe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30,626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34,234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42,334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45,275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8"/>
        </w:trPr>
        <w:tc>
          <w:tcPr>
            <w:tcW w:w="60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108,719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116,367</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77"/>
        </w:trPr>
        <w:tc>
          <w:tcPr>
            <w:tcW w:w="608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Heart Valves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380"/>
              <w:spacing w:after="0"/>
              <w:rPr>
                <w:sz w:val="20"/>
                <w:szCs w:val="20"/>
                <w:color w:val="auto"/>
              </w:rPr>
            </w:pPr>
            <w:r>
              <w:rPr>
                <w:rFonts w:ascii="Arial" w:cs="Arial" w:eastAsia="Arial" w:hAnsi="Arial"/>
                <w:sz w:val="15"/>
                <w:szCs w:val="15"/>
                <w:color w:val="auto"/>
              </w:rPr>
              <w:t>United States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2,717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3,373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Europe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10,454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12,309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21,455</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25,211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77"/>
        </w:trPr>
        <w:tc>
          <w:tcPr>
            <w:tcW w:w="6080" w:type="dxa"/>
            <w:vAlign w:val="bottom"/>
          </w:tcPr>
          <w:p>
            <w:pPr>
              <w:ind w:left="180"/>
              <w:spacing w:after="0"/>
              <w:rPr>
                <w:sz w:val="20"/>
                <w:szCs w:val="20"/>
                <w:color w:val="auto"/>
              </w:rPr>
            </w:pPr>
            <w:r>
              <w:rPr>
                <w:rFonts w:ascii="Arial" w:cs="Arial" w:eastAsia="Arial" w:hAnsi="Arial"/>
                <w:sz w:val="15"/>
                <w:szCs w:val="15"/>
                <w:b w:val="1"/>
                <w:bCs w:val="1"/>
                <w:color w:val="auto"/>
              </w:rPr>
              <w:t>Advanced Circulatory Support</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24.7 %</w:t>
            </w:r>
          </w:p>
        </w:tc>
        <w:tc>
          <w:tcPr>
            <w:tcW w:w="0" w:type="dxa"/>
            <w:vAlign w:val="bottom"/>
          </w:tcPr>
          <w:p>
            <w:pPr>
              <w:spacing w:after="0"/>
              <w:rPr>
                <w:sz w:val="1"/>
                <w:szCs w:val="1"/>
                <w:color w:val="auto"/>
              </w:rPr>
            </w:pPr>
          </w:p>
        </w:tc>
      </w:tr>
      <w:tr>
        <w:trPr>
          <w:trHeight w:val="196"/>
        </w:trPr>
        <w:tc>
          <w:tcPr>
            <w:tcW w:w="6080" w:type="dxa"/>
            <w:vAlign w:val="bottom"/>
          </w:tcPr>
          <w:p>
            <w:pPr>
              <w:ind w:left="380"/>
              <w:spacing w:after="0"/>
              <w:rPr>
                <w:sz w:val="20"/>
                <w:szCs w:val="20"/>
                <w:color w:val="auto"/>
              </w:rPr>
            </w:pPr>
            <w:r>
              <w:rPr>
                <w:rFonts w:ascii="Arial" w:cs="Arial" w:eastAsia="Arial" w:hAnsi="Arial"/>
                <w:sz w:val="15"/>
                <w:szCs w:val="15"/>
                <w:color w:val="auto"/>
              </w:rPr>
              <w:t>Europe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370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353.3 %</w:t>
            </w:r>
          </w:p>
        </w:tc>
        <w:tc>
          <w:tcPr>
            <w:tcW w:w="0" w:type="dxa"/>
            <w:vAlign w:val="bottom"/>
          </w:tcPr>
          <w:p>
            <w:pPr>
              <w:spacing w:after="0"/>
              <w:rPr>
                <w:sz w:val="1"/>
                <w:szCs w:val="1"/>
                <w:color w:val="auto"/>
              </w:rPr>
            </w:pPr>
          </w:p>
        </w:tc>
      </w:tr>
      <w:tr>
        <w:trPr>
          <w:trHeight w:val="188"/>
        </w:trPr>
        <w:tc>
          <w:tcPr>
            <w:tcW w:w="60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12,992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10,491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23.8 %</w:t>
            </w:r>
          </w:p>
        </w:tc>
        <w:tc>
          <w:tcPr>
            <w:tcW w:w="0" w:type="dxa"/>
            <w:vAlign w:val="bottom"/>
          </w:tcPr>
          <w:p>
            <w:pPr>
              <w:spacing w:after="0"/>
              <w:rPr>
                <w:sz w:val="1"/>
                <w:szCs w:val="1"/>
                <w:color w:val="auto"/>
              </w:rPr>
            </w:pPr>
          </w:p>
        </w:tc>
      </w:tr>
      <w:tr>
        <w:trPr>
          <w:trHeight w:val="177"/>
        </w:trPr>
        <w:tc>
          <w:tcPr>
            <w:tcW w:w="6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Cardiovascular</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180"/>
              <w:spacing w:after="0"/>
              <w:rPr>
                <w:sz w:val="20"/>
                <w:szCs w:val="20"/>
                <w:color w:val="auto"/>
              </w:rPr>
            </w:pPr>
            <w:r>
              <w:rPr>
                <w:rFonts w:ascii="Arial" w:cs="Arial" w:eastAsia="Arial" w:hAnsi="Arial"/>
                <w:sz w:val="15"/>
                <w:szCs w:val="15"/>
                <w:color w:val="auto"/>
              </w:rPr>
              <w:t>United States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51,036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50,307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1.4 %</w:t>
            </w: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Europe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39,138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44,133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52,992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57,629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143,166</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152,069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77"/>
        </w:trPr>
        <w:tc>
          <w:tcPr>
            <w:tcW w:w="6080" w:type="dxa"/>
            <w:vAlign w:val="bottom"/>
          </w:tcPr>
          <w:p>
            <w:pPr>
              <w:spacing w:after="0"/>
              <w:rPr>
                <w:sz w:val="20"/>
                <w:szCs w:val="20"/>
                <w:color w:val="auto"/>
              </w:rPr>
            </w:pPr>
            <w:r>
              <w:rPr>
                <w:rFonts w:ascii="Arial" w:cs="Arial" w:eastAsia="Arial" w:hAnsi="Arial"/>
                <w:sz w:val="15"/>
                <w:szCs w:val="15"/>
                <w:b w:val="1"/>
                <w:bCs w:val="1"/>
                <w:color w:val="auto"/>
              </w:rPr>
              <w:t>Neuromodulation</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82,300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73,276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12.3 %</w:t>
            </w:r>
          </w:p>
        </w:tc>
        <w:tc>
          <w:tcPr>
            <w:tcW w:w="0" w:type="dxa"/>
            <w:vAlign w:val="bottom"/>
          </w:tcPr>
          <w:p>
            <w:pPr>
              <w:spacing w:after="0"/>
              <w:rPr>
                <w:sz w:val="1"/>
                <w:szCs w:val="1"/>
                <w:color w:val="auto"/>
              </w:rPr>
            </w:pPr>
          </w:p>
        </w:tc>
      </w:tr>
      <w:tr>
        <w:trPr>
          <w:trHeight w:val="196"/>
        </w:trPr>
        <w:tc>
          <w:tcPr>
            <w:tcW w:w="6080" w:type="dxa"/>
            <w:vAlign w:val="bottom"/>
          </w:tcPr>
          <w:p>
            <w:pPr>
              <w:ind w:left="180"/>
              <w:spacing w:after="0"/>
              <w:rPr>
                <w:sz w:val="20"/>
                <w:szCs w:val="20"/>
                <w:color w:val="auto"/>
              </w:rPr>
            </w:pPr>
            <w:r>
              <w:rPr>
                <w:rFonts w:ascii="Arial" w:cs="Arial" w:eastAsia="Arial" w:hAnsi="Arial"/>
                <w:sz w:val="15"/>
                <w:szCs w:val="15"/>
                <w:color w:val="auto"/>
              </w:rPr>
              <w:t>Europe</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11,679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10,583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10.4 %</w:t>
            </w: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67.6 %</w:t>
            </w:r>
          </w:p>
        </w:tc>
        <w:tc>
          <w:tcPr>
            <w:tcW w:w="0" w:type="dxa"/>
            <w:vAlign w:val="bottom"/>
          </w:tcPr>
          <w:p>
            <w:pPr>
              <w:spacing w:after="0"/>
              <w:rPr>
                <w:sz w:val="1"/>
                <w:szCs w:val="1"/>
                <w:color w:val="auto"/>
              </w:rPr>
            </w:pPr>
          </w:p>
        </w:tc>
      </w:tr>
      <w:tr>
        <w:trPr>
          <w:trHeight w:val="188"/>
        </w:trPr>
        <w:tc>
          <w:tcPr>
            <w:tcW w:w="60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103,699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89,657</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15.7 %</w:t>
            </w:r>
          </w:p>
        </w:tc>
        <w:tc>
          <w:tcPr>
            <w:tcW w:w="0" w:type="dxa"/>
            <w:vAlign w:val="bottom"/>
          </w:tcPr>
          <w:p>
            <w:pPr>
              <w:spacing w:after="0"/>
              <w:rPr>
                <w:sz w:val="1"/>
                <w:szCs w:val="1"/>
                <w:color w:val="auto"/>
              </w:rPr>
            </w:pPr>
          </w:p>
        </w:tc>
      </w:tr>
      <w:tr>
        <w:trPr>
          <w:trHeight w:val="188"/>
        </w:trPr>
        <w:tc>
          <w:tcPr>
            <w:tcW w:w="6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738</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77"/>
        </w:trPr>
        <w:tc>
          <w:tcPr>
            <w:tcW w:w="6080" w:type="dxa"/>
            <w:vAlign w:val="bottom"/>
          </w:tcPr>
          <w:p>
            <w:pPr>
              <w:spacing w:after="0"/>
              <w:rPr>
                <w:sz w:val="20"/>
                <w:szCs w:val="20"/>
                <w:color w:val="auto"/>
              </w:rPr>
            </w:pPr>
            <w:r>
              <w:rPr>
                <w:rFonts w:ascii="Arial" w:cs="Arial" w:eastAsia="Arial" w:hAnsi="Arial"/>
                <w:sz w:val="15"/>
                <w:szCs w:val="15"/>
                <w:b w:val="1"/>
                <w:bCs w:val="1"/>
                <w:color w:val="auto"/>
              </w:rPr>
              <w:t>Totals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133,336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123,583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7.9 %</w:t>
            </w:r>
          </w:p>
        </w:tc>
        <w:tc>
          <w:tcPr>
            <w:tcW w:w="0" w:type="dxa"/>
            <w:vAlign w:val="bottom"/>
          </w:tcPr>
          <w:p>
            <w:pPr>
              <w:spacing w:after="0"/>
              <w:rPr>
                <w:sz w:val="1"/>
                <w:szCs w:val="1"/>
                <w:color w:val="auto"/>
              </w:rPr>
            </w:pPr>
          </w:p>
        </w:tc>
      </w:tr>
      <w:tr>
        <w:trPr>
          <w:trHeight w:val="197"/>
        </w:trPr>
        <w:tc>
          <w:tcPr>
            <w:tcW w:w="6080" w:type="dxa"/>
            <w:vAlign w:val="bottom"/>
          </w:tcPr>
          <w:p>
            <w:pPr>
              <w:ind w:left="18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50,817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54,716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63,450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64,098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8"/>
        </w:trPr>
        <w:tc>
          <w:tcPr>
            <w:tcW w:w="6080" w:type="dxa"/>
            <w:vAlign w:val="bottom"/>
          </w:tcPr>
          <w:p>
            <w:pPr>
              <w:ind w:left="38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247,603</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242,397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2.1 %</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40" w:hanging="270"/>
        <w:spacing w:after="0"/>
        <w:tabs>
          <w:tab w:leader="none" w:pos="540" w:val="left"/>
        </w:tabs>
        <w:numPr>
          <w:ilvl w:val="0"/>
          <w:numId w:val="15"/>
        </w:numPr>
        <w:rPr>
          <w:rFonts w:ascii="Arial" w:cs="Arial" w:eastAsia="Arial" w:hAnsi="Arial"/>
          <w:sz w:val="11"/>
          <w:szCs w:val="11"/>
          <w:color w:val="auto"/>
        </w:rPr>
      </w:pPr>
      <w:r>
        <w:rPr>
          <w:rFonts w:ascii="Arial" w:cs="Arial" w:eastAsia="Arial" w:hAnsi="Arial"/>
          <w:sz w:val="13"/>
          <w:szCs w:val="13"/>
          <w:color w:val="auto"/>
        </w:rPr>
        <w:t>Europe sales include those countries in which we have a direct sales presence, whereas European countries in which we sell through distributors are included in “Rest of World.”</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50" w:lineRule="exact"/>
        <w:rPr>
          <w:rFonts w:ascii="Arial" w:cs="Arial" w:eastAsia="Arial" w:hAnsi="Arial"/>
          <w:sz w:val="11"/>
          <w:szCs w:val="11"/>
          <w:color w:val="auto"/>
        </w:rPr>
      </w:pPr>
    </w:p>
    <w:p>
      <w:pPr>
        <w:ind w:left="5620"/>
        <w:spacing w:after="0"/>
        <w:rPr>
          <w:rFonts w:ascii="Arial" w:cs="Arial" w:eastAsia="Arial" w:hAnsi="Arial"/>
          <w:sz w:val="11"/>
          <w:szCs w:val="11"/>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36" w:name="page37"/>
    <w:bookmarkEnd w:id="36"/>
    <w:p>
      <w:pPr>
        <w:ind w:left="140"/>
        <w:spacing w:after="0"/>
        <w:rPr>
          <w:sz w:val="20"/>
          <w:szCs w:val="20"/>
          <w:color w:val="auto"/>
        </w:rPr>
      </w:pPr>
      <w:r>
        <w:rPr>
          <w:rFonts w:ascii="Arial" w:cs="Arial" w:eastAsia="Arial" w:hAnsi="Arial"/>
          <w:sz w:val="15"/>
          <w:szCs w:val="15"/>
          <w:color w:val="auto"/>
        </w:rPr>
        <w:t>The table below presents segment income from continuing operations (in thousands, except for percentages):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0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ind w:left="500"/>
              <w:spacing w:after="0"/>
              <w:rPr>
                <w:sz w:val="20"/>
                <w:szCs w:val="20"/>
                <w:color w:val="auto"/>
              </w:rPr>
            </w:pPr>
            <w:r>
              <w:rPr>
                <w:rFonts w:ascii="Arial" w:cs="Arial" w:eastAsia="Arial" w:hAnsi="Arial"/>
                <w:sz w:val="15"/>
                <w:szCs w:val="15"/>
                <w:b w:val="1"/>
                <w:bCs w:val="1"/>
                <w:color w:val="auto"/>
              </w:rPr>
              <w:t>Three Months Ended March 31,</w:t>
            </w:r>
          </w:p>
        </w:tc>
        <w:tc>
          <w:tcPr>
            <w:tcW w:w="1360" w:type="dxa"/>
            <w:vAlign w:val="bottom"/>
            <w:tcBorders>
              <w:bottom w:val="single" w:sz="8" w:color="auto"/>
            </w:tcBorders>
          </w:tcPr>
          <w:p>
            <w:pPr>
              <w:spacing w:after="0"/>
              <w:rPr>
                <w:sz w:val="17"/>
                <w:szCs w:val="17"/>
                <w:color w:val="auto"/>
              </w:rPr>
            </w:pPr>
          </w:p>
        </w:tc>
      </w:tr>
      <w:tr>
        <w:trPr>
          <w:trHeight w:val="188"/>
        </w:trPr>
        <w:tc>
          <w:tcPr>
            <w:tcW w:w="60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Cardiovascular</w:t>
            </w:r>
          </w:p>
        </w:tc>
        <w:tc>
          <w:tcPr>
            <w:tcW w:w="102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w:t>
            </w:r>
          </w:p>
        </w:tc>
      </w:tr>
      <w:tr>
        <w:trPr>
          <w:trHeight w:val="196"/>
        </w:trPr>
        <w:tc>
          <w:tcPr>
            <w:tcW w:w="6080" w:type="dxa"/>
            <w:vAlign w:val="bottom"/>
          </w:tcPr>
          <w:p>
            <w:pPr>
              <w:spacing w:after="0"/>
              <w:rPr>
                <w:sz w:val="20"/>
                <w:szCs w:val="20"/>
                <w:color w:val="auto"/>
              </w:rPr>
            </w:pPr>
            <w:r>
              <w:rPr>
                <w:rFonts w:ascii="Arial" w:cs="Arial" w:eastAsia="Arial" w:hAnsi="Arial"/>
                <w:sz w:val="15"/>
                <w:szCs w:val="15"/>
                <w:color w:val="auto"/>
              </w:rPr>
              <w:t>Neuromodulation</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34,039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33,858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0.5 %</w:t>
            </w:r>
          </w:p>
        </w:tc>
      </w:tr>
      <w:tr>
        <w:trPr>
          <w:trHeight w:val="197"/>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0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(30,669)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(26,610)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15.3 %</w:t>
            </w:r>
          </w:p>
        </w:tc>
      </w:tr>
      <w:tr>
        <w:trPr>
          <w:trHeight w:val="188"/>
        </w:trPr>
        <w:tc>
          <w:tcPr>
            <w:tcW w:w="6080" w:type="dxa"/>
            <w:vAlign w:val="bottom"/>
          </w:tcPr>
          <w:p>
            <w:pPr>
              <w:spacing w:after="0" w:line="188" w:lineRule="exact"/>
              <w:rPr>
                <w:sz w:val="20"/>
                <w:szCs w:val="20"/>
                <w:color w:val="auto"/>
              </w:rPr>
            </w:pPr>
            <w:r>
              <w:rPr>
                <w:rFonts w:ascii="Arial" w:cs="Arial" w:eastAsia="Arial" w:hAnsi="Arial"/>
                <w:sz w:val="15"/>
                <w:szCs w:val="15"/>
                <w:color w:val="auto"/>
              </w:rPr>
              <w:t xml:space="preserve">Total reportable segment income from continuing operations </w:t>
            </w:r>
            <w:r>
              <w:rPr>
                <w:rFonts w:ascii="Arial" w:cs="Arial" w:eastAsia="Arial" w:hAnsi="Arial"/>
                <w:sz w:val="20"/>
                <w:szCs w:val="20"/>
                <w:color w:val="auto"/>
                <w:vertAlign w:val="superscript"/>
              </w:rPr>
              <w:t>(1)</w:t>
            </w:r>
          </w:p>
        </w:tc>
        <w:tc>
          <w:tcPr>
            <w:tcW w:w="102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8,998</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15,929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(43.5)%</w:t>
            </w:r>
          </w:p>
        </w:tc>
      </w:tr>
      <w:tr>
        <w:trPr>
          <w:trHeight w:val="20"/>
        </w:trPr>
        <w:tc>
          <w:tcPr>
            <w:tcW w:w="6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30" w:lineRule="exact"/>
        <w:rPr>
          <w:sz w:val="20"/>
          <w:szCs w:val="20"/>
          <w:color w:val="auto"/>
        </w:rPr>
      </w:pPr>
    </w:p>
    <w:p>
      <w:pPr>
        <w:ind w:left="540" w:right="580" w:hanging="270"/>
        <w:spacing w:after="0" w:line="280" w:lineRule="auto"/>
        <w:tabs>
          <w:tab w:leader="none" w:pos="533" w:val="left"/>
        </w:tabs>
        <w:numPr>
          <w:ilvl w:val="0"/>
          <w:numId w:val="16"/>
        </w:numPr>
        <w:rPr>
          <w:rFonts w:ascii="Arial" w:cs="Arial" w:eastAsia="Arial" w:hAnsi="Arial"/>
          <w:sz w:val="12"/>
          <w:szCs w:val="12"/>
          <w:color w:val="auto"/>
        </w:rPr>
      </w:pPr>
      <w:r>
        <w:rPr>
          <w:rFonts w:ascii="Arial" w:cs="Arial" w:eastAsia="Arial" w:hAnsi="Arial"/>
          <w:sz w:val="14"/>
          <w:szCs w:val="14"/>
          <w:color w:val="auto"/>
        </w:rPr>
        <w:t>For a reconciliation of segment income from continuing operations to (loss) income from continuing operations before tax refer to “Note 13. Geographic and Segment Information” in the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Cardiovascular</w:t>
      </w:r>
    </w:p>
    <w:p>
      <w:pPr>
        <w:spacing w:after="0" w:line="98" w:lineRule="exact"/>
        <w:rPr>
          <w:sz w:val="20"/>
          <w:szCs w:val="20"/>
          <w:color w:val="auto"/>
        </w:rPr>
      </w:pPr>
    </w:p>
    <w:p>
      <w:pPr>
        <w:ind w:right="20" w:firstLine="139"/>
        <w:spacing w:after="0" w:line="261" w:lineRule="auto"/>
        <w:rPr>
          <w:sz w:val="20"/>
          <w:szCs w:val="20"/>
          <w:color w:val="auto"/>
        </w:rPr>
      </w:pPr>
      <w:r>
        <w:rPr>
          <w:rFonts w:ascii="Arial" w:cs="Arial" w:eastAsia="Arial" w:hAnsi="Arial"/>
          <w:sz w:val="15"/>
          <w:szCs w:val="15"/>
          <w:color w:val="auto"/>
        </w:rPr>
        <w:t>Cardiovascular net sales for the three months ended March 31, 2021 compared to the three months ended March 31, 2020 decreased 5.9% largely due to the impact of COVID-19 in Europe and Rest of World, partially offset by the favorable impact of foreign currency fluctuations. COVID-19 only began to impact Cardiovascular net sales late in the first quarter of 2020, whereas uncertainty associated with COVID-19 impacted sales throughout the first quarter of 2021. Cardiopulmonary sales declined 6.6% to $108.7 million for the three months ended March 31, 2021 primarily due to declines in sales of oxygenators and autotransfusion systems related to the impact of COVID-19 on cardiac surgery procedure volumes in Europe and Rest of World, partially offset by an increase in sales of heart lung machines. Heart Valves sales declined 14.9% to $21.5 million for the three months ended March 31, 2021 primarily due to declines in sales of Perceval largely caused by the decline in cardiac surgery procedures globally resulting from COVID-19. These declines in sales were partially offset by a 23.8% increase in Advanced Circulatory Support sales to $13.0 million for the three months ended March 31, 2021, resulting from the continued adoption of LifeSPARC in the U.S. and an increase in procedure volumes.</w:t>
      </w:r>
    </w:p>
    <w:p>
      <w:pPr>
        <w:spacing w:after="0" w:line="72" w:lineRule="exact"/>
        <w:rPr>
          <w:sz w:val="20"/>
          <w:szCs w:val="20"/>
          <w:color w:val="auto"/>
        </w:rPr>
      </w:pPr>
    </w:p>
    <w:p>
      <w:pPr>
        <w:ind w:right="100" w:firstLine="139"/>
        <w:spacing w:after="0" w:line="333" w:lineRule="auto"/>
        <w:rPr>
          <w:sz w:val="20"/>
          <w:szCs w:val="20"/>
          <w:color w:val="auto"/>
        </w:rPr>
      </w:pPr>
      <w:r>
        <w:rPr>
          <w:rFonts w:ascii="Arial" w:cs="Arial" w:eastAsia="Arial" w:hAnsi="Arial"/>
          <w:sz w:val="13"/>
          <w:szCs w:val="13"/>
          <w:color w:val="auto"/>
        </w:rPr>
        <w:t>Cardiovascular operating income for the three months ended March 31, 2021 compared to the three months ended March 31, 2020 decreased primarily due to the decrease in net sales, as discussed above, as well as the net impact of changes in the fair value of the milestone-based contingent consideration arrangements associated with the acquisitions of TandemLife and Miami Instruments totaling $3.1 million. These decreases were partially offset by a decline in selling, general and administrative expenses and product remediation.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Neuromodulation</w:t>
      </w:r>
    </w:p>
    <w:p>
      <w:pPr>
        <w:spacing w:after="0" w:line="98" w:lineRule="exact"/>
        <w:rPr>
          <w:sz w:val="20"/>
          <w:szCs w:val="20"/>
          <w:color w:val="auto"/>
        </w:rPr>
      </w:pPr>
    </w:p>
    <w:p>
      <w:pPr>
        <w:ind w:right="380" w:firstLine="139"/>
        <w:spacing w:after="0" w:line="289" w:lineRule="auto"/>
        <w:rPr>
          <w:sz w:val="20"/>
          <w:szCs w:val="20"/>
          <w:color w:val="auto"/>
        </w:rPr>
      </w:pPr>
      <w:r>
        <w:rPr>
          <w:rFonts w:ascii="Arial" w:cs="Arial" w:eastAsia="Arial" w:hAnsi="Arial"/>
          <w:sz w:val="15"/>
          <w:szCs w:val="15"/>
          <w:color w:val="auto"/>
        </w:rPr>
        <w:t>Neuromodulation net sales for the three months ended March 31, 2021 compared to the three months ended March 31, 2020 increased 15.7% to $103.7 million, largely due to improving market dynamics, particularly in the U.S. and Asia Pacific.</w:t>
      </w:r>
    </w:p>
    <w:p>
      <w:pPr>
        <w:spacing w:after="0" w:line="47" w:lineRule="exact"/>
        <w:rPr>
          <w:sz w:val="20"/>
          <w:szCs w:val="20"/>
          <w:color w:val="auto"/>
        </w:rPr>
      </w:pPr>
    </w:p>
    <w:p>
      <w:pPr>
        <w:jc w:val="both"/>
        <w:ind w:right="140" w:firstLine="139"/>
        <w:spacing w:after="0" w:line="273" w:lineRule="auto"/>
        <w:rPr>
          <w:sz w:val="20"/>
          <w:szCs w:val="20"/>
          <w:color w:val="auto"/>
        </w:rPr>
      </w:pPr>
      <w:r>
        <w:rPr>
          <w:rFonts w:ascii="Arial" w:cs="Arial" w:eastAsia="Arial" w:hAnsi="Arial"/>
          <w:sz w:val="15"/>
          <w:szCs w:val="15"/>
          <w:color w:val="auto"/>
        </w:rPr>
        <w:t>Neuromodulation operating income for the three months ended March 31, 2021 compared to the three months ended March 31, 2020 increased primarily due to an increase in net sales, as discussed above, partially offset by the net impact of changes in fair value of the sales-based and milestone-based contingent consideration arrangement associated with the acquisition of ImThera of $14.6 million.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Cost of Sales and Expenses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table below presents our comparative cost of sales and significant expenses as a percentage of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80" w:type="dxa"/>
            <w:vAlign w:val="bottom"/>
            <w:tcBorders>
              <w:bottom w:val="single" w:sz="8" w:color="auto"/>
            </w:tcBorders>
            <w:gridSpan w:val="5"/>
          </w:tcPr>
          <w:p>
            <w:pPr>
              <w:ind w:left="860"/>
              <w:spacing w:after="0"/>
              <w:rPr>
                <w:sz w:val="20"/>
                <w:szCs w:val="20"/>
                <w:color w:val="auto"/>
              </w:rPr>
            </w:pPr>
            <w:r>
              <w:rPr>
                <w:rFonts w:ascii="Arial" w:cs="Arial" w:eastAsia="Arial" w:hAnsi="Arial"/>
                <w:sz w:val="15"/>
                <w:szCs w:val="15"/>
                <w:b w:val="1"/>
                <w:bCs w:val="1"/>
                <w:color w:val="auto"/>
                <w:w w:val="94"/>
              </w:rPr>
              <w:t>Three Months Ended March 31,</w:t>
            </w:r>
          </w:p>
        </w:tc>
        <w:tc>
          <w:tcPr>
            <w:tcW w:w="880" w:type="dxa"/>
            <w:vAlign w:val="bottom"/>
            <w:tcBorders>
              <w:bottom w:val="single" w:sz="8" w:color="auto"/>
            </w:tcBorders>
          </w:tcPr>
          <w:p>
            <w:pPr>
              <w:spacing w:after="0"/>
              <w:rPr>
                <w:sz w:val="17"/>
                <w:szCs w:val="17"/>
                <w:color w:val="auto"/>
              </w:rPr>
            </w:pPr>
          </w:p>
        </w:tc>
      </w:tr>
      <w:tr>
        <w:trPr>
          <w:trHeight w:val="188"/>
        </w:trPr>
        <w:tc>
          <w:tcPr>
            <w:tcW w:w="4060" w:type="dxa"/>
            <w:vAlign w:val="bottom"/>
            <w:tcBorders>
              <w:bottom w:val="single" w:sz="8" w:color="CCEEFF"/>
            </w:tcBorders>
          </w:tcPr>
          <w:p>
            <w:pPr>
              <w:spacing w:after="0"/>
              <w:rPr>
                <w:sz w:val="16"/>
                <w:szCs w:val="16"/>
                <w:color w:val="auto"/>
              </w:rPr>
            </w:pPr>
          </w:p>
        </w:tc>
        <w:tc>
          <w:tcPr>
            <w:tcW w:w="3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w w:val="90"/>
              </w:rPr>
              <w:t>Change</w:t>
            </w:r>
          </w:p>
        </w:tc>
      </w:tr>
      <w:tr>
        <w:trPr>
          <w:trHeight w:val="188"/>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Cost of sales - exclusive of amortization</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32.0 %</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28.4 %</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r>
      <w:tr>
        <w:trPr>
          <w:trHeight w:val="196"/>
        </w:trPr>
        <w:tc>
          <w:tcPr>
            <w:tcW w:w="4060" w:type="dxa"/>
            <w:vAlign w:val="bottom"/>
          </w:tcPr>
          <w:p>
            <w:pPr>
              <w:spacing w:after="0"/>
              <w:rPr>
                <w:sz w:val="20"/>
                <w:szCs w:val="20"/>
                <w:color w:val="auto"/>
              </w:rPr>
            </w:pPr>
            <w:r>
              <w:rPr>
                <w:rFonts w:ascii="Arial" w:cs="Arial" w:eastAsia="Arial" w:hAnsi="Arial"/>
                <w:sz w:val="15"/>
                <w:szCs w:val="15"/>
                <w:color w:val="auto"/>
              </w:rPr>
              <w:t>Product remediation</w:t>
            </w:r>
          </w:p>
        </w:tc>
        <w:tc>
          <w:tcPr>
            <w:tcW w:w="4540" w:type="dxa"/>
            <w:vAlign w:val="bottom"/>
            <w:gridSpan w:val="2"/>
          </w:tcPr>
          <w:p>
            <w:pPr>
              <w:jc w:val="right"/>
              <w:spacing w:after="0"/>
              <w:rPr>
                <w:sz w:val="20"/>
                <w:szCs w:val="20"/>
                <w:color w:val="auto"/>
              </w:rPr>
            </w:pPr>
            <w:r>
              <w:rPr>
                <w:rFonts w:ascii="Arial" w:cs="Arial" w:eastAsia="Arial" w:hAnsi="Arial"/>
                <w:sz w:val="15"/>
                <w:szCs w:val="15"/>
                <w:color w:val="auto"/>
              </w:rPr>
              <w:t>0.0 %</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(0.6)%</w:t>
            </w:r>
          </w:p>
        </w:tc>
      </w:tr>
      <w:tr>
        <w:trPr>
          <w:trHeight w:val="197"/>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45.5 %</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196"/>
        </w:trPr>
        <w:tc>
          <w:tcPr>
            <w:tcW w:w="406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4540" w:type="dxa"/>
            <w:vAlign w:val="bottom"/>
            <w:gridSpan w:val="2"/>
          </w:tcPr>
          <w:p>
            <w:pPr>
              <w:jc w:val="right"/>
              <w:spacing w:after="0"/>
              <w:rPr>
                <w:sz w:val="20"/>
                <w:szCs w:val="20"/>
                <w:color w:val="auto"/>
              </w:rPr>
            </w:pPr>
            <w:r>
              <w:rPr>
                <w:rFonts w:ascii="Arial" w:cs="Arial" w:eastAsia="Arial" w:hAnsi="Arial"/>
                <w:sz w:val="15"/>
                <w:szCs w:val="15"/>
                <w:color w:val="auto"/>
              </w:rPr>
              <w:t>18.0 %</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3.2 %</w:t>
            </w:r>
          </w:p>
        </w:tc>
      </w:tr>
      <w:tr>
        <w:trPr>
          <w:trHeight w:val="197"/>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Merger and integration expenses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0.3 %</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196"/>
        </w:trPr>
        <w:tc>
          <w:tcPr>
            <w:tcW w:w="4060" w:type="dxa"/>
            <w:vAlign w:val="bottom"/>
          </w:tcPr>
          <w:p>
            <w:pPr>
              <w:spacing w:after="0"/>
              <w:rPr>
                <w:sz w:val="20"/>
                <w:szCs w:val="20"/>
                <w:color w:val="auto"/>
              </w:rPr>
            </w:pPr>
            <w:r>
              <w:rPr>
                <w:rFonts w:ascii="Arial" w:cs="Arial" w:eastAsia="Arial" w:hAnsi="Arial"/>
                <w:sz w:val="15"/>
                <w:szCs w:val="15"/>
                <w:color w:val="auto"/>
              </w:rPr>
              <w:t>Restructuring expenses</w:t>
            </w:r>
          </w:p>
        </w:tc>
        <w:tc>
          <w:tcPr>
            <w:tcW w:w="4540" w:type="dxa"/>
            <w:vAlign w:val="bottom"/>
            <w:gridSpan w:val="2"/>
          </w:tcPr>
          <w:p>
            <w:pPr>
              <w:jc w:val="right"/>
              <w:spacing w:after="0"/>
              <w:rPr>
                <w:sz w:val="20"/>
                <w:szCs w:val="20"/>
                <w:color w:val="auto"/>
              </w:rPr>
            </w:pPr>
            <w:r>
              <w:rPr>
                <w:rFonts w:ascii="Arial" w:cs="Arial" w:eastAsia="Arial" w:hAnsi="Arial"/>
                <w:sz w:val="15"/>
                <w:szCs w:val="15"/>
                <w:color w:val="auto"/>
              </w:rPr>
              <w:t>2.5 %</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0.7 %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1.8 %</w:t>
            </w:r>
          </w:p>
        </w:tc>
      </w:tr>
      <w:tr>
        <w:trPr>
          <w:trHeight w:val="197"/>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Revaluation of disposal group</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196"/>
        </w:trPr>
        <w:tc>
          <w:tcPr>
            <w:tcW w:w="4060" w:type="dxa"/>
            <w:vAlign w:val="bottom"/>
          </w:tcPr>
          <w:p>
            <w:pPr>
              <w:spacing w:after="0"/>
              <w:rPr>
                <w:sz w:val="20"/>
                <w:szCs w:val="20"/>
                <w:color w:val="auto"/>
              </w:rPr>
            </w:pPr>
            <w:r>
              <w:rPr>
                <w:rFonts w:ascii="Arial" w:cs="Arial" w:eastAsia="Arial" w:hAnsi="Arial"/>
                <w:sz w:val="15"/>
                <w:szCs w:val="15"/>
                <w:color w:val="auto"/>
              </w:rPr>
              <w:t>Amortization of intangibles</w:t>
            </w:r>
          </w:p>
        </w:tc>
        <w:tc>
          <w:tcPr>
            <w:tcW w:w="4540" w:type="dxa"/>
            <w:vAlign w:val="bottom"/>
            <w:gridSpan w:val="2"/>
          </w:tcPr>
          <w:p>
            <w:pPr>
              <w:jc w:val="right"/>
              <w:spacing w:after="0"/>
              <w:rPr>
                <w:sz w:val="20"/>
                <w:szCs w:val="20"/>
                <w:color w:val="auto"/>
              </w:rPr>
            </w:pPr>
            <w:r>
              <w:rPr>
                <w:rFonts w:ascii="Arial" w:cs="Arial" w:eastAsia="Arial" w:hAnsi="Arial"/>
                <w:sz w:val="15"/>
                <w:szCs w:val="15"/>
                <w:color w:val="auto"/>
              </w:rPr>
              <w:t>2.7 %</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97"/>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Litigation provision, net</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1.2 %</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1.2 %</w:t>
            </w:r>
          </w:p>
        </w:tc>
      </w:tr>
      <w:tr>
        <w:trPr>
          <w:trHeight w:val="751"/>
        </w:trPr>
        <w:tc>
          <w:tcPr>
            <w:tcW w:w="4060" w:type="dxa"/>
            <w:vAlign w:val="bottom"/>
          </w:tcPr>
          <w:p>
            <w:pPr>
              <w:spacing w:after="0"/>
              <w:rPr>
                <w:sz w:val="24"/>
                <w:szCs w:val="24"/>
                <w:color w:val="auto"/>
              </w:rPr>
            </w:pPr>
          </w:p>
        </w:tc>
        <w:tc>
          <w:tcPr>
            <w:tcW w:w="3340" w:type="dxa"/>
            <w:vAlign w:val="bottom"/>
          </w:tcPr>
          <w:p>
            <w:pPr>
              <w:jc w:val="right"/>
              <w:ind w:right="1543"/>
              <w:spacing w:after="0"/>
              <w:rPr>
                <w:sz w:val="20"/>
                <w:szCs w:val="20"/>
                <w:color w:val="auto"/>
              </w:rPr>
            </w:pPr>
            <w:r>
              <w:rPr>
                <w:rFonts w:ascii="Arial" w:cs="Arial" w:eastAsia="Arial" w:hAnsi="Arial"/>
                <w:sz w:val="15"/>
                <w:szCs w:val="15"/>
                <w:color w:val="auto"/>
              </w:rPr>
              <w:t>37</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4060" w:type="dxa"/>
            <w:vAlign w:val="bottom"/>
            <w:tcBorders>
              <w:bottom w:val="single" w:sz="8" w:color="9A9A9A"/>
            </w:tcBorders>
          </w:tcPr>
          <w:p>
            <w:pPr>
              <w:spacing w:after="0"/>
              <w:rPr>
                <w:sz w:val="16"/>
                <w:szCs w:val="16"/>
                <w:color w:val="auto"/>
              </w:rPr>
            </w:pPr>
          </w:p>
        </w:tc>
        <w:tc>
          <w:tcPr>
            <w:tcW w:w="334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Cost of Sales - Exclusive of Amortization</w:t>
      </w:r>
    </w:p>
    <w:p>
      <w:pPr>
        <w:spacing w:after="0" w:line="98" w:lineRule="exact"/>
        <w:rPr>
          <w:sz w:val="20"/>
          <w:szCs w:val="20"/>
          <w:color w:val="auto"/>
        </w:rPr>
      </w:pPr>
    </w:p>
    <w:p>
      <w:pPr>
        <w:ind w:firstLine="139"/>
        <w:spacing w:after="0" w:line="268" w:lineRule="auto"/>
        <w:rPr>
          <w:sz w:val="20"/>
          <w:szCs w:val="20"/>
          <w:color w:val="auto"/>
        </w:rPr>
      </w:pPr>
      <w:r>
        <w:rPr>
          <w:rFonts w:ascii="Arial" w:cs="Arial" w:eastAsia="Arial" w:hAnsi="Arial"/>
          <w:sz w:val="15"/>
          <w:szCs w:val="15"/>
          <w:color w:val="auto"/>
        </w:rPr>
        <w:t>Cost of sales consisted primarily of direct labor, allocated manufacturing overhead and the acquisition cost of raw materials and components. Cost of sales as a percentage of net sales for the three months ended March 31, 2021 compared to the three months ended March 31, 2020 increased primarily due to the net impact of changes in fair value of sales-based contingent consideration arrangements of $8.7 million, as well as due to unfavorable manufacturing variances of $4.6 million for the three months ended March 31, 2021, partially offset by favorable product mix.</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(“SG&amp;A”) Expenses</w:t>
      </w:r>
    </w:p>
    <w:p>
      <w:pPr>
        <w:spacing w:after="0" w:line="98" w:lineRule="exact"/>
        <w:rPr>
          <w:sz w:val="20"/>
          <w:szCs w:val="20"/>
          <w:color w:val="auto"/>
        </w:rPr>
      </w:pPr>
    </w:p>
    <w:p>
      <w:pPr>
        <w:jc w:val="both"/>
        <w:ind w:right="460" w:firstLine="139"/>
        <w:spacing w:after="0" w:line="273" w:lineRule="auto"/>
        <w:rPr>
          <w:sz w:val="20"/>
          <w:szCs w:val="20"/>
          <w:color w:val="auto"/>
        </w:rPr>
      </w:pPr>
      <w:r>
        <w:rPr>
          <w:rFonts w:ascii="Arial" w:cs="Arial" w:eastAsia="Arial" w:hAnsi="Arial"/>
          <w:sz w:val="15"/>
          <w:szCs w:val="15"/>
          <w:color w:val="auto"/>
        </w:rPr>
        <w:t>SG&amp;A expenses consisted of sales, marketing, general and administrative activities. SG&amp;A expenses as a percentage of net sales for the three months ended March 31, 2021 compared to the three months ended March 31, 2020 decreased primarily due to sales and marketing reductions from cost containment actions resulting from COVID-19 and a decrease in legal expenses related to litigation involving our 3T device.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(“R&amp;D”) Expenses</w:t>
      </w:r>
    </w:p>
    <w:p>
      <w:pPr>
        <w:spacing w:after="0" w:line="98" w:lineRule="exact"/>
        <w:rPr>
          <w:sz w:val="20"/>
          <w:szCs w:val="20"/>
          <w:color w:val="auto"/>
        </w:rPr>
      </w:pPr>
    </w:p>
    <w:p>
      <w:pPr>
        <w:ind w:right="60" w:firstLine="139"/>
        <w:spacing w:after="0" w:line="268" w:lineRule="auto"/>
        <w:rPr>
          <w:sz w:val="20"/>
          <w:szCs w:val="20"/>
          <w:color w:val="auto"/>
        </w:rPr>
      </w:pPr>
      <w:r>
        <w:rPr>
          <w:rFonts w:ascii="Arial" w:cs="Arial" w:eastAsia="Arial" w:hAnsi="Arial"/>
          <w:sz w:val="15"/>
          <w:szCs w:val="15"/>
          <w:color w:val="auto"/>
        </w:rPr>
        <w:t>R&amp;D expenses consist of product design and development efforts, clinical study programs and regulatory activities, which are essential to our strategic portfolio initiatives, including DTD, obstructive sleep apnea and heart failure. R&amp;D expenses as a percentage of net sales for the three months ended March 31, 2021 compared to the three months ended March 31, 2020 increased primarily due to an increase in R&amp;D expense resulting from the net impact of changes in fair value of milestone-based contingent consideration arrangements of $9.1 million.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Merger and Integration (“M&amp;I”) Expenses</w:t>
      </w:r>
    </w:p>
    <w:p>
      <w:pPr>
        <w:spacing w:after="0" w:line="98" w:lineRule="exact"/>
        <w:rPr>
          <w:sz w:val="20"/>
          <w:szCs w:val="20"/>
          <w:color w:val="auto"/>
        </w:rPr>
      </w:pPr>
    </w:p>
    <w:p>
      <w:pPr>
        <w:ind w:right="60" w:firstLine="139"/>
        <w:spacing w:after="0" w:line="273" w:lineRule="auto"/>
        <w:rPr>
          <w:sz w:val="20"/>
          <w:szCs w:val="20"/>
          <w:color w:val="auto"/>
        </w:rPr>
      </w:pPr>
      <w:r>
        <w:rPr>
          <w:rFonts w:ascii="Arial" w:cs="Arial" w:eastAsia="Arial" w:hAnsi="Arial"/>
          <w:sz w:val="15"/>
          <w:szCs w:val="15"/>
          <w:color w:val="auto"/>
        </w:rPr>
        <w:t>M&amp;I expenses consist primarily of costs associated with computer systems integration efforts, organizational structure integration, synergy and tax planning. M&amp;I expenses for the three months ended March 31, 2021 compared to the three months ended March 31, 2020 decreased primarily due to completion of certain integration activities associated with our merger and acquisitions.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Restructuring Expenses</w:t>
      </w:r>
    </w:p>
    <w:p>
      <w:pPr>
        <w:spacing w:after="0" w:line="98" w:lineRule="exact"/>
        <w:rPr>
          <w:sz w:val="20"/>
          <w:szCs w:val="20"/>
          <w:color w:val="auto"/>
        </w:rPr>
      </w:pPr>
    </w:p>
    <w:p>
      <w:pPr>
        <w:ind w:right="260" w:firstLine="139"/>
        <w:spacing w:after="0" w:line="268" w:lineRule="auto"/>
        <w:rPr>
          <w:sz w:val="20"/>
          <w:szCs w:val="20"/>
          <w:color w:val="auto"/>
        </w:rPr>
      </w:pPr>
      <w:r>
        <w:rPr>
          <w:rFonts w:ascii="Arial" w:cs="Arial" w:eastAsia="Arial" w:hAnsi="Arial"/>
          <w:sz w:val="15"/>
          <w:szCs w:val="15"/>
          <w:color w:val="auto"/>
        </w:rPr>
        <w:t>Our restructuring plans leverage economies of scale, eliminate duplicate corporate expenses and streamline distributions, logistics and office functions in order to reduce overall costs. Restructuring expenses for the three months ended March 31, 2021 compared to the three months ended March 31, 2020 increased primarily due to severance and lease abandonment costs associated with our 2020 Plan. Refer to “Note 3. Restructuring” in the condensed consolidated financial statements in this Quarterly Report on Form 10-Q for additional information regarding our restructuring activities.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Intangibles</w:t>
      </w:r>
    </w:p>
    <w:p>
      <w:pPr>
        <w:spacing w:after="0" w:line="98" w:lineRule="exact"/>
        <w:rPr>
          <w:sz w:val="20"/>
          <w:szCs w:val="20"/>
          <w:color w:val="auto"/>
        </w:rPr>
      </w:pPr>
    </w:p>
    <w:p>
      <w:pPr>
        <w:ind w:right="140" w:firstLine="139"/>
        <w:spacing w:after="0" w:line="268" w:lineRule="auto"/>
        <w:rPr>
          <w:sz w:val="20"/>
          <w:szCs w:val="20"/>
          <w:color w:val="auto"/>
        </w:rPr>
      </w:pPr>
      <w:r>
        <w:rPr>
          <w:rFonts w:ascii="Arial" w:cs="Arial" w:eastAsia="Arial" w:hAnsi="Arial"/>
          <w:sz w:val="15"/>
          <w:szCs w:val="15"/>
          <w:color w:val="auto"/>
        </w:rPr>
        <w:t>Amortization of intangible assets consist primarily of the amortization of finite-lived intangible assets, primarily intellectual property and customer relationships. Amortization of intangibles for the three months ended March 31, 2021 compared to the three months ended March 31, 2020 decreased primarily due to the ceasing of amortization of Heart Valves’ intangible assets during the fourth quarter of 2020 upon being classified as held for sale. For further information, refer to “Note 2. Assets and Liabilities Held For Sale” in our condensed consolidated financial statements and accompanying notes of this Quarterly Report on Form 10-Q.</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Litigation Provision, Net</w:t>
      </w:r>
    </w:p>
    <w:p>
      <w:pPr>
        <w:spacing w:after="0" w:line="98" w:lineRule="exact"/>
        <w:rPr>
          <w:sz w:val="20"/>
          <w:szCs w:val="20"/>
          <w:color w:val="auto"/>
        </w:rPr>
      </w:pPr>
    </w:p>
    <w:p>
      <w:pPr>
        <w:ind w:right="960" w:firstLine="139"/>
        <w:spacing w:after="0" w:line="327" w:lineRule="auto"/>
        <w:rPr>
          <w:sz w:val="20"/>
          <w:szCs w:val="20"/>
          <w:color w:val="auto"/>
        </w:rPr>
      </w:pPr>
      <w:r>
        <w:rPr>
          <w:rFonts w:ascii="Arial" w:cs="Arial" w:eastAsia="Arial" w:hAnsi="Arial"/>
          <w:sz w:val="14"/>
          <w:szCs w:val="14"/>
          <w:color w:val="auto"/>
        </w:rPr>
        <w:t>During the first quarter of 2021, we recognized a $3.0 million adjustment to the provision for litigation involving our 3T device. Refer to “Note 8. Commitments and Contingencies” in the condensed consolidated financial statements in this Quarterly Report on Form 10-Q for additional information regarding this provision.</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w:t>
      </w:r>
    </w:p>
    <w:p>
      <w:pPr>
        <w:spacing w:after="0" w:line="98" w:lineRule="exact"/>
        <w:rPr>
          <w:sz w:val="20"/>
          <w:szCs w:val="20"/>
          <w:color w:val="auto"/>
        </w:rPr>
      </w:pPr>
    </w:p>
    <w:p>
      <w:pPr>
        <w:ind w:right="20" w:firstLine="139"/>
        <w:spacing w:after="0" w:line="273" w:lineRule="auto"/>
        <w:rPr>
          <w:sz w:val="20"/>
          <w:szCs w:val="20"/>
          <w:color w:val="auto"/>
        </w:rPr>
      </w:pPr>
      <w:r>
        <w:rPr>
          <w:rFonts w:ascii="Arial" w:cs="Arial" w:eastAsia="Arial" w:hAnsi="Arial"/>
          <w:sz w:val="15"/>
          <w:szCs w:val="15"/>
          <w:color w:val="auto"/>
        </w:rPr>
        <w:t>We incurred interest expense of $15.9 million for the three months ended March 31, 2021, as compared to $4.8 million for the three months ended March 31, 2020. The increase for the three months ended March 31, 2021 as compared to the three months ended March 31, 2020 was primarily due to an increase in debt borrowings in June 2020 at increased borrowing rates.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Foreign Exchange and Other Losses</w:t>
      </w:r>
    </w:p>
    <w:p>
      <w:pPr>
        <w:spacing w:after="0" w:line="98" w:lineRule="exact"/>
        <w:rPr>
          <w:sz w:val="20"/>
          <w:szCs w:val="20"/>
          <w:color w:val="auto"/>
        </w:rPr>
      </w:pPr>
    </w:p>
    <w:p>
      <w:pPr>
        <w:ind w:right="140" w:firstLine="139"/>
        <w:spacing w:after="0" w:line="289" w:lineRule="auto"/>
        <w:rPr>
          <w:sz w:val="20"/>
          <w:szCs w:val="20"/>
          <w:color w:val="auto"/>
        </w:rPr>
      </w:pPr>
      <w:r>
        <w:rPr>
          <w:rFonts w:ascii="Arial" w:cs="Arial" w:eastAsia="Arial" w:hAnsi="Arial"/>
          <w:sz w:val="15"/>
          <w:szCs w:val="15"/>
          <w:color w:val="auto"/>
        </w:rPr>
        <w:t>Foreign exchange and other losses consist primarily of gains and losses arising from transactions denominated in a currency different from an entity’s functional currency, foreign currency exchange rate derivative gains and losses and changes in the fair value of the embedded exchange feature and capped call derivatives.</w:t>
      </w:r>
    </w:p>
    <w:p>
      <w:pPr>
        <w:spacing w:after="0" w:line="47" w:lineRule="exact"/>
        <w:rPr>
          <w:sz w:val="20"/>
          <w:szCs w:val="20"/>
          <w:color w:val="auto"/>
        </w:rPr>
      </w:pPr>
    </w:p>
    <w:p>
      <w:pPr>
        <w:ind w:right="40" w:firstLine="139"/>
        <w:spacing w:after="0" w:line="265" w:lineRule="auto"/>
        <w:rPr>
          <w:sz w:val="20"/>
          <w:szCs w:val="20"/>
          <w:color w:val="auto"/>
        </w:rPr>
      </w:pPr>
      <w:r>
        <w:rPr>
          <w:rFonts w:ascii="Arial" w:cs="Arial" w:eastAsia="Arial" w:hAnsi="Arial"/>
          <w:sz w:val="15"/>
          <w:szCs w:val="15"/>
          <w:color w:val="auto"/>
        </w:rPr>
        <w:t>We incurred foreign exchange and other losses of $6.4 million for the three months ended March 31, 2021, as compared to $1.9 million for the three months ended March 31, 2020. The increase for the three months ended March 31, 2021 as compared to the three months ended March 31, 2020 was primarily due to an increase in the fair value of the exchangeable notes embedded exchange feature derivative liability. This loss was partially offset by an increase in the fair value of the capped call derivative asset, a $4.6 million gain on the revaluation of our investment in Respicardia (Refer to “Note 4. Investments” in the condensed consolidated financial statements in this Quarterly Report on Form 10-Q) and a net gain on foreign exchange revaluation.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Income Taxes</w:t>
      </w:r>
    </w:p>
    <w:p>
      <w:pPr>
        <w:spacing w:after="0" w:line="98" w:lineRule="exact"/>
        <w:rPr>
          <w:sz w:val="20"/>
          <w:szCs w:val="20"/>
          <w:color w:val="auto"/>
        </w:rPr>
      </w:pPr>
    </w:p>
    <w:p>
      <w:pPr>
        <w:ind w:right="40" w:firstLine="139"/>
        <w:spacing w:after="0" w:line="301" w:lineRule="auto"/>
        <w:rPr>
          <w:sz w:val="20"/>
          <w:szCs w:val="20"/>
          <w:color w:val="auto"/>
        </w:rPr>
      </w:pPr>
      <w:r>
        <w:rPr>
          <w:rFonts w:ascii="Arial" w:cs="Arial" w:eastAsia="Arial" w:hAnsi="Arial"/>
          <w:sz w:val="14"/>
          <w:szCs w:val="14"/>
          <w:color w:val="auto"/>
        </w:rPr>
        <w:t>LivaNova PLC is resident in the UK for tax purposes.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from one reporting period to another.</w:t>
      </w:r>
    </w:p>
    <w:p>
      <w:pPr>
        <w:spacing w:after="0" w:line="42" w:lineRule="exact"/>
        <w:rPr>
          <w:sz w:val="20"/>
          <w:szCs w:val="20"/>
          <w:color w:val="auto"/>
        </w:rPr>
      </w:pPr>
    </w:p>
    <w:p>
      <w:pPr>
        <w:ind w:right="80" w:firstLine="139"/>
        <w:spacing w:after="0" w:line="273" w:lineRule="auto"/>
        <w:rPr>
          <w:sz w:val="20"/>
          <w:szCs w:val="20"/>
          <w:color w:val="auto"/>
        </w:rPr>
      </w:pPr>
      <w:r>
        <w:rPr>
          <w:rFonts w:ascii="Arial" w:cs="Arial" w:eastAsia="Arial" w:hAnsi="Arial"/>
          <w:sz w:val="15"/>
          <w:szCs w:val="15"/>
          <w:color w:val="auto"/>
        </w:rPr>
        <w:t>Our effective income tax rate from continuing operations for the three months ended March 31, 2021 was (10.7)% compared with 744.4% for the three months ended March 31, 2020.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59" w:lineRule="exact"/>
        <w:rPr>
          <w:sz w:val="20"/>
          <w:szCs w:val="20"/>
          <w:color w:val="auto"/>
        </w:rPr>
      </w:pPr>
    </w:p>
    <w:p>
      <w:pPr>
        <w:jc w:val="both"/>
        <w:ind w:right="220" w:firstLine="139"/>
        <w:spacing w:after="0" w:line="273" w:lineRule="auto"/>
        <w:rPr>
          <w:sz w:val="20"/>
          <w:szCs w:val="20"/>
          <w:color w:val="auto"/>
        </w:rPr>
      </w:pPr>
      <w:r>
        <w:rPr>
          <w:rFonts w:ascii="Arial" w:cs="Arial" w:eastAsia="Arial" w:hAnsi="Arial"/>
          <w:sz w:val="15"/>
          <w:szCs w:val="15"/>
          <w:color w:val="auto"/>
        </w:rPr>
        <w:t>Compared with the three months ended March 31, 2020, the change in the effective tax rate for the three months ended March 31, 2021 was primarily attributable to changes in valuation allowances and other discrete items as compared to the discrete tax benefit of $41.3 million related to the Coronavirus Aid, Relief, and Economic Security Act (“CARES Act”) during the three months ended March 31, 2020.</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European Union State Aid Challenge</w:t>
      </w:r>
    </w:p>
    <w:p>
      <w:pPr>
        <w:spacing w:after="0" w:line="105" w:lineRule="exact"/>
        <w:rPr>
          <w:sz w:val="20"/>
          <w:szCs w:val="20"/>
          <w:color w:val="auto"/>
        </w:rPr>
      </w:pPr>
    </w:p>
    <w:p>
      <w:pPr>
        <w:ind w:firstLine="139"/>
        <w:spacing w:after="0" w:line="265" w:lineRule="auto"/>
        <w:rPr>
          <w:sz w:val="20"/>
          <w:szCs w:val="20"/>
          <w:color w:val="auto"/>
        </w:rPr>
      </w:pPr>
      <w:r>
        <w:rPr>
          <w:rFonts w:ascii="Arial" w:cs="Arial" w:eastAsia="Arial" w:hAnsi="Arial"/>
          <w:sz w:val="15"/>
          <w:szCs w:val="15"/>
          <w:color w:val="auto"/>
        </w:rPr>
        <w:t>On April 2, 2019, the EC concluded that “when financing income from a foreign group company, channeled through an offshore subsidiary, derives from UK activities, the group finance exemption is not justified and constitutes State aid under EU rules.” Based upon our assessment of the technical arguments as to whether the UK group exemption is State aid, together with no material UK activities involved in our financing, no reserve relating to our tax position has been recognized related to this matter. Furthermore, in December 2019, we amended our 2017 tax return filing to avail ourselves of different rules to determine UK taxation, which are not subject to the EU decision. We filed our 2018 tax return similarly, and therefore, we do not believe that the EU state aid decision will result in a material liability.</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2" w:lineRule="exact"/>
        <w:rPr>
          <w:sz w:val="20"/>
          <w:szCs w:val="20"/>
          <w:color w:val="auto"/>
        </w:rPr>
      </w:pPr>
    </w:p>
    <w:p>
      <w:pPr>
        <w:ind w:right="100" w:firstLine="139"/>
        <w:spacing w:after="0" w:line="288" w:lineRule="auto"/>
        <w:rPr>
          <w:sz w:val="20"/>
          <w:szCs w:val="20"/>
          <w:color w:val="auto"/>
        </w:rPr>
      </w:pPr>
      <w:r>
        <w:rPr>
          <w:rFonts w:ascii="Arial" w:cs="Arial" w:eastAsia="Arial" w:hAnsi="Arial"/>
          <w:sz w:val="14"/>
          <w:szCs w:val="14"/>
          <w:color w:val="auto"/>
        </w:rPr>
        <w:t>Based on our current business plan, we believe that our existing cash and cash equivalents, future cash generated from operations and borrowing under our current debt facilities will be sufficient to fund our expected operating needs, working capital requirements, R&amp;D opportunities, capital expenditures, and debt service requirements over the twelve-month period beginning from the issuance date of these condensed consolidated financial statements. Our liquidity could be adversely impacted by the factors affecting future operating results, including those referred to in “Part II, Item 1A. Risk Factors” in the 2020 Form 10-K as supplemented by the factors referred to in “Part II, Item 1A, Risk Factors” in this Quarterly Reports on Form 10-Q as well as “Note 8. Commitments and Contingencies” in the condensed consolidated financial statements in this Quarterly Report on Form 10-Q.</w:t>
      </w:r>
    </w:p>
    <w:p>
      <w:pPr>
        <w:spacing w:after="0" w:line="52" w:lineRule="exact"/>
        <w:rPr>
          <w:sz w:val="20"/>
          <w:szCs w:val="20"/>
          <w:color w:val="auto"/>
        </w:rPr>
      </w:pPr>
    </w:p>
    <w:p>
      <w:pPr>
        <w:ind w:firstLine="139"/>
        <w:spacing w:after="0" w:line="286" w:lineRule="auto"/>
        <w:rPr>
          <w:sz w:val="20"/>
          <w:szCs w:val="20"/>
          <w:color w:val="auto"/>
        </w:rPr>
      </w:pPr>
      <w:r>
        <w:rPr>
          <w:rFonts w:ascii="Arial" w:cs="Arial" w:eastAsia="Arial" w:hAnsi="Arial"/>
          <w:sz w:val="14"/>
          <w:szCs w:val="14"/>
          <w:color w:val="auto"/>
        </w:rPr>
        <w:t>On June 17, 2020, our wholly-owned subsidiary, LivaNova USA, Inc., issued the $287.5 million Notes. Holders of the Notes are entitled to exchange the Notes at any time during specified periods, at their option, and are entitled to exchange the Notes during any calendar quarter, if the last reported sale price of LivaNova’s ordinary shares, with a nominal value of £1.00 per share for at least 20 trading days (whether or not consecutive) during a period of 30 consecutive trading days ending on, and including, the last trading day of the immediately preceding calendar quarter is greater than or equal to 130% of the exchange price, or $79.27 per share, on each applicable trading day.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w:t>
      </w: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9" w:name="page40"/>
    <w:bookmarkEnd w:id="39"/>
    <w:p>
      <w:pPr>
        <w:ind w:right="40"/>
        <w:spacing w:after="0" w:line="292" w:lineRule="auto"/>
        <w:rPr>
          <w:sz w:val="20"/>
          <w:szCs w:val="20"/>
          <w:color w:val="auto"/>
        </w:rPr>
      </w:pPr>
      <w:r>
        <w:rPr>
          <w:rFonts w:ascii="Arial" w:cs="Arial" w:eastAsia="Arial" w:hAnsi="Arial"/>
          <w:sz w:val="14"/>
          <w:szCs w:val="14"/>
          <w:color w:val="auto"/>
        </w:rPr>
        <w:t>$60.98 per share). The exchange rate is subject to adjustment in certain circumstances, as set forth in the indenture governing the Notes. If holders elect to exchange their Notes during future periods following the satisfaction of an exchange condition, we would be required to settle our exchange obligation through the payment of cash, which could adversely affect our liquidity. In addition, if the Notes become redeemable due to the satisfaction of an exchange condition, then we could be required to reclassify all or a portion of the Notes and the associated embedded exchange feature derivative as a current liability, which would result in a material reduction of our net working capital.</w:t>
      </w:r>
    </w:p>
    <w:p>
      <w:pPr>
        <w:spacing w:after="0" w:line="49" w:lineRule="exact"/>
        <w:rPr>
          <w:sz w:val="20"/>
          <w:szCs w:val="20"/>
          <w:color w:val="auto"/>
        </w:rPr>
      </w:pPr>
    </w:p>
    <w:p>
      <w:pPr>
        <w:ind w:right="40" w:firstLine="139"/>
        <w:spacing w:after="0" w:line="289" w:lineRule="auto"/>
        <w:rPr>
          <w:sz w:val="20"/>
          <w:szCs w:val="20"/>
          <w:color w:val="auto"/>
        </w:rPr>
      </w:pPr>
      <w:r>
        <w:rPr>
          <w:rFonts w:ascii="Arial" w:cs="Arial" w:eastAsia="Arial" w:hAnsi="Arial"/>
          <w:sz w:val="15"/>
          <w:szCs w:val="15"/>
          <w:color w:val="auto"/>
        </w:rPr>
        <w:t>Refer to “Note 6. Financing Arrangements” in the condensed consolidated financial statements in this Quarterly Report on Form 10-Q for additional information regarding our debt and debt transactions.</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Flows</w:t>
      </w:r>
    </w:p>
    <w:p>
      <w:pPr>
        <w:spacing w:after="0" w:line="98" w:lineRule="exact"/>
        <w:rPr>
          <w:sz w:val="20"/>
          <w:szCs w:val="20"/>
          <w:color w:val="auto"/>
        </w:rPr>
      </w:pPr>
    </w:p>
    <w:p>
      <w:pPr>
        <w:ind w:right="20" w:firstLine="139"/>
        <w:spacing w:after="0" w:line="277" w:lineRule="auto"/>
        <w:rPr>
          <w:sz w:val="20"/>
          <w:szCs w:val="20"/>
          <w:color w:val="auto"/>
        </w:rPr>
      </w:pPr>
      <w:r>
        <w:rPr>
          <w:rFonts w:ascii="Arial" w:cs="Arial" w:eastAsia="Arial" w:hAnsi="Arial"/>
          <w:sz w:val="15"/>
          <w:szCs w:val="15"/>
          <w:color w:val="auto"/>
        </w:rPr>
        <w:t>Net cash and cash equivalents provided by (used in) operating, investing and financing activities and the net increase in the balance of cash and cash equivalents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2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11"/>
        </w:trPr>
        <w:tc>
          <w:tcPr>
            <w:tcW w:w="77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660" w:type="dxa"/>
            <w:vAlign w:val="bottom"/>
            <w:tcBorders>
              <w:bottom w:val="single" w:sz="8" w:color="auto"/>
            </w:tcBorders>
          </w:tcPr>
          <w:p>
            <w:pPr>
              <w:spacing w:after="0"/>
              <w:rPr>
                <w:sz w:val="18"/>
                <w:szCs w:val="18"/>
                <w:color w:val="auto"/>
              </w:rPr>
            </w:pPr>
          </w:p>
        </w:tc>
      </w:tr>
      <w:tr>
        <w:trPr>
          <w:trHeight w:val="188"/>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19,480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(106,045)</w:t>
            </w:r>
          </w:p>
        </w:tc>
      </w:tr>
      <w:tr>
        <w:trPr>
          <w:trHeight w:val="196"/>
        </w:trPr>
        <w:tc>
          <w:tcPr>
            <w:tcW w:w="7720" w:type="dxa"/>
            <w:vAlign w:val="bottom"/>
          </w:tcPr>
          <w:p>
            <w:pPr>
              <w:spacing w:after="0"/>
              <w:rPr>
                <w:sz w:val="20"/>
                <w:szCs w:val="20"/>
                <w:color w:val="auto"/>
              </w:rPr>
            </w:pPr>
            <w:r>
              <w:rPr>
                <w:rFonts w:ascii="Arial" w:cs="Arial" w:eastAsia="Arial" w:hAnsi="Arial"/>
                <w:sz w:val="15"/>
                <w:szCs w:val="15"/>
                <w:color w:val="auto"/>
              </w:rPr>
              <w:t>Investing activities</w:t>
            </w:r>
          </w:p>
        </w:tc>
        <w:tc>
          <w:tcPr>
            <w:tcW w:w="1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(9,858)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(11,085)</w:t>
            </w:r>
          </w:p>
        </w:tc>
      </w:tr>
      <w:tr>
        <w:trPr>
          <w:trHeight w:val="197"/>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183,093</w:t>
            </w:r>
          </w:p>
        </w:tc>
      </w:tr>
      <w:tr>
        <w:trPr>
          <w:trHeight w:val="196"/>
        </w:trPr>
        <w:tc>
          <w:tcPr>
            <w:tcW w:w="7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(1,277)</w:t>
            </w:r>
          </w:p>
        </w:tc>
      </w:tr>
      <w:tr>
        <w:trPr>
          <w:trHeight w:val="21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increase in cash and cash equivalents</w:t>
            </w:r>
          </w:p>
        </w:tc>
        <w:tc>
          <w:tcPr>
            <w:tcW w:w="1120" w:type="dxa"/>
            <w:vAlign w:val="bottom"/>
            <w:tcBorders>
              <w:bottom w:val="single" w:sz="8" w:color="auto"/>
            </w:tcBorders>
            <w:shd w:val="clear" w:color="auto" w:fill="CCEEFF"/>
          </w:tcPr>
          <w:p>
            <w:pPr>
              <w:jc w:val="right"/>
              <w:ind w:right="94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64,686</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Operating Activities</w:t>
      </w:r>
    </w:p>
    <w:p>
      <w:pPr>
        <w:spacing w:after="0" w:line="98" w:lineRule="exact"/>
        <w:rPr>
          <w:sz w:val="20"/>
          <w:szCs w:val="20"/>
          <w:color w:val="auto"/>
        </w:rPr>
      </w:pPr>
    </w:p>
    <w:p>
      <w:pPr>
        <w:ind w:right="40" w:firstLine="139"/>
        <w:spacing w:after="0" w:line="273" w:lineRule="auto"/>
        <w:rPr>
          <w:sz w:val="20"/>
          <w:szCs w:val="20"/>
          <w:color w:val="auto"/>
        </w:rPr>
      </w:pPr>
      <w:r>
        <w:rPr>
          <w:rFonts w:ascii="Arial" w:cs="Arial" w:eastAsia="Arial" w:hAnsi="Arial"/>
          <w:sz w:val="15"/>
          <w:szCs w:val="15"/>
          <w:color w:val="auto"/>
        </w:rPr>
        <w:t>Cash provided by operating activities during the three months ended March 31, 2021 increased by $125.5 million as compared to the same prior-year period. The increase is primarily due to $115.6 million in 3T litigation settlement payments made during the three months ended March 31, 2020 and the receipt of a CARES Act tax refund of $24.6 million during the three months ended March 31, 2021, partially offset by a decrease in net income adjusted for non-cash items of $9.3 million.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w:t>
      </w:r>
    </w:p>
    <w:p>
      <w:pPr>
        <w:spacing w:after="0" w:line="98" w:lineRule="exact"/>
        <w:rPr>
          <w:sz w:val="20"/>
          <w:szCs w:val="20"/>
          <w:color w:val="auto"/>
        </w:rPr>
      </w:pPr>
    </w:p>
    <w:p>
      <w:pPr>
        <w:ind w:right="80" w:firstLine="139"/>
        <w:spacing w:after="0" w:line="289" w:lineRule="auto"/>
        <w:rPr>
          <w:sz w:val="20"/>
          <w:szCs w:val="20"/>
          <w:color w:val="auto"/>
        </w:rPr>
      </w:pPr>
      <w:r>
        <w:rPr>
          <w:rFonts w:ascii="Arial" w:cs="Arial" w:eastAsia="Arial" w:hAnsi="Arial"/>
          <w:sz w:val="15"/>
          <w:szCs w:val="15"/>
          <w:color w:val="auto"/>
        </w:rPr>
        <w:t>Cash used in investing activities during the three months ended March 31, 2021 decreased $1.2 million as compared to the same prior-year period. The decrease is primarily due to a $1.2 million decrease in purchases of investments.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Financing Activities</w:t>
      </w:r>
    </w:p>
    <w:p>
      <w:pPr>
        <w:spacing w:after="0" w:line="98" w:lineRule="exact"/>
        <w:rPr>
          <w:sz w:val="20"/>
          <w:szCs w:val="20"/>
          <w:color w:val="auto"/>
        </w:rPr>
      </w:pPr>
    </w:p>
    <w:p>
      <w:pPr>
        <w:ind w:right="20" w:firstLine="139"/>
        <w:spacing w:after="0" w:line="273" w:lineRule="auto"/>
        <w:rPr>
          <w:sz w:val="20"/>
          <w:szCs w:val="20"/>
          <w:color w:val="auto"/>
        </w:rPr>
      </w:pPr>
      <w:r>
        <w:rPr>
          <w:rFonts w:ascii="Arial" w:cs="Arial" w:eastAsia="Arial" w:hAnsi="Arial"/>
          <w:sz w:val="15"/>
          <w:szCs w:val="15"/>
          <w:color w:val="auto"/>
        </w:rPr>
        <w:t>Cash provided by financing activities during the three months ended March 31, 2021 decreased $191.4 million as compared to the same prior-year period. The decrease is primarily due to an decrease in net borrowings of $207.2 million, partially offset by a closing adjustment payment for the sale of our former CRM business of $14.9 million made during the three months ended March 31, 2020.</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Off-Balance Sheet Arrangements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As of March 31, 2021, we did not have any off-balance sheet arrangements.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Contractual Obligations</w:t>
      </w:r>
    </w:p>
    <w:p>
      <w:pPr>
        <w:spacing w:after="0" w:line="98" w:lineRule="exact"/>
        <w:rPr>
          <w:sz w:val="20"/>
          <w:szCs w:val="20"/>
          <w:color w:val="auto"/>
        </w:rPr>
      </w:pPr>
    </w:p>
    <w:p>
      <w:pPr>
        <w:ind w:right="460" w:firstLine="139"/>
        <w:spacing w:after="0" w:line="289" w:lineRule="auto"/>
        <w:rPr>
          <w:sz w:val="20"/>
          <w:szCs w:val="20"/>
          <w:color w:val="auto"/>
        </w:rPr>
      </w:pPr>
      <w:r>
        <w:rPr>
          <w:rFonts w:ascii="Arial" w:cs="Arial" w:eastAsia="Arial" w:hAnsi="Arial"/>
          <w:sz w:val="15"/>
          <w:szCs w:val="15"/>
          <w:color w:val="auto"/>
        </w:rPr>
        <w:t>We had no material changes in our contractual commitments and obligations from amounts listed under “Part II, Item 7. Management’s Discussion and Analysis of Financial Condition and Results of Operations - Liquidity and Capital Resources” in our 2020 Form 10-K.</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Quantitative and Qualitative Disclosures About Market Risk</w:t>
      </w:r>
    </w:p>
    <w:p>
      <w:pPr>
        <w:spacing w:after="0" w:line="106" w:lineRule="exact"/>
        <w:rPr>
          <w:sz w:val="20"/>
          <w:szCs w:val="20"/>
          <w:color w:val="auto"/>
        </w:rPr>
      </w:pPr>
    </w:p>
    <w:p>
      <w:pPr>
        <w:ind w:right="20" w:firstLine="139"/>
        <w:spacing w:after="0" w:line="263" w:lineRule="auto"/>
        <w:rPr>
          <w:sz w:val="20"/>
          <w:szCs w:val="20"/>
          <w:color w:val="auto"/>
        </w:rPr>
      </w:pPr>
      <w:r>
        <w:rPr>
          <w:rFonts w:ascii="Arial" w:cs="Arial" w:eastAsia="Arial" w:hAnsi="Arial"/>
          <w:sz w:val="15"/>
          <w:szCs w:val="15"/>
          <w:color w:val="auto"/>
        </w:rPr>
        <w:t>We are exposed to certain market risks as part of our ongoing business operations, including risks from foreign currency exchange rates, equity price risk,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Quarterly Report on Form 10-Q in “Part I, Note 7. Derivatives and Risk Management,” “Part I, Item 2. Management’s Discussion and Analysis of Financial Conditions and Results of Operations” and “Part II, Item 1A. Risk Factors” and in our 2020 Form 10-K in “Part II, Item 7. Management’s Discussion and Analysis of Financial Condition and Results of Operations” and “Part I, Item 1A. Risk Factors.”</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8" w:right="319"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auto"/>
        </w:rPr>
        <w:t xml:space="preserve">Item 4. </w:t>
      </w:r>
      <w:r>
        <w:rPr>
          <w:rFonts w:ascii="Arial" w:cs="Arial" w:eastAsia="Arial" w:hAnsi="Arial"/>
          <w:sz w:val="19"/>
          <w:szCs w:val="19"/>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Disclosure Controls and Procedures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 Evaluation of Disclosure Controls and Procedures</w:t>
      </w:r>
    </w:p>
    <w:p>
      <w:pPr>
        <w:spacing w:after="0" w:line="105" w:lineRule="exact"/>
        <w:rPr>
          <w:sz w:val="20"/>
          <w:szCs w:val="20"/>
          <w:color w:val="auto"/>
        </w:rPr>
      </w:pPr>
    </w:p>
    <w:p>
      <w:pPr>
        <w:ind w:firstLine="139"/>
        <w:spacing w:after="0" w:line="263" w:lineRule="auto"/>
        <w:rPr>
          <w:sz w:val="20"/>
          <w:szCs w:val="20"/>
          <w:color w:val="auto"/>
        </w:rPr>
      </w:pPr>
      <w:r>
        <w:rPr>
          <w:rFonts w:ascii="Arial" w:cs="Arial" w:eastAsia="Arial" w:hAnsi="Arial"/>
          <w:sz w:val="15"/>
          <w:szCs w:val="15"/>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March 31, 2021.</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 Changes in Internal Control Over Financial Reporting</w:t>
      </w:r>
    </w:p>
    <w:p>
      <w:pPr>
        <w:spacing w:after="0" w:line="105" w:lineRule="exact"/>
        <w:rPr>
          <w:sz w:val="20"/>
          <w:szCs w:val="20"/>
          <w:color w:val="auto"/>
        </w:rPr>
      </w:pPr>
    </w:p>
    <w:p>
      <w:pPr>
        <w:ind w:right="500" w:firstLine="139"/>
        <w:spacing w:after="0" w:line="289" w:lineRule="auto"/>
        <w:rPr>
          <w:sz w:val="20"/>
          <w:szCs w:val="20"/>
          <w:color w:val="auto"/>
        </w:rPr>
      </w:pPr>
      <w:r>
        <w:rPr>
          <w:rFonts w:ascii="Arial" w:cs="Arial" w:eastAsia="Arial" w:hAnsi="Arial"/>
          <w:sz w:val="15"/>
          <w:szCs w:val="15"/>
          <w:color w:val="auto"/>
        </w:rPr>
        <w:t>No change in our internal control over financial reporting (as defined in Rules 13a-15(f) and 15d-5(f) under the Exchange Act) occurred during the quarter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1" w:name="page42"/>
    <w:bookmarkEnd w:id="41"/>
    <w:p>
      <w:pPr>
        <w:spacing w:after="0"/>
        <w:rPr>
          <w:sz w:val="20"/>
          <w:szCs w:val="20"/>
          <w:color w:val="auto"/>
        </w:rPr>
      </w:pPr>
      <w:r>
        <w:rPr>
          <w:rFonts w:ascii="Arial" w:cs="Arial" w:eastAsia="Arial" w:hAnsi="Arial"/>
          <w:sz w:val="19"/>
          <w:szCs w:val="19"/>
          <w:b w:val="1"/>
          <w:bCs w:val="1"/>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 </w:t>
      </w:r>
      <w:r>
        <w:rPr>
          <w:rFonts w:ascii="Arial" w:cs="Arial" w:eastAsia="Arial" w:hAnsi="Arial"/>
          <w:sz w:val="19"/>
          <w:szCs w:val="19"/>
          <w:b w:val="1"/>
          <w:bCs w:val="1"/>
          <w:i w:val="1"/>
          <w:iCs w:val="1"/>
          <w:color w:val="auto"/>
        </w:rPr>
        <w:t>Legal Proceedings</w:t>
      </w:r>
    </w:p>
    <w:p>
      <w:pPr>
        <w:spacing w:after="0" w:line="106" w:lineRule="exact"/>
        <w:rPr>
          <w:sz w:val="20"/>
          <w:szCs w:val="20"/>
          <w:color w:val="auto"/>
        </w:rPr>
      </w:pPr>
    </w:p>
    <w:p>
      <w:pPr>
        <w:ind w:right="400" w:firstLine="139"/>
        <w:spacing w:after="0" w:line="289" w:lineRule="auto"/>
        <w:rPr>
          <w:sz w:val="20"/>
          <w:szCs w:val="20"/>
          <w:color w:val="auto"/>
        </w:rPr>
      </w:pPr>
      <w:r>
        <w:rPr>
          <w:rFonts w:ascii="Arial" w:cs="Arial" w:eastAsia="Arial" w:hAnsi="Arial"/>
          <w:sz w:val="15"/>
          <w:szCs w:val="15"/>
          <w:color w:val="auto"/>
        </w:rPr>
        <w:t>For a description of our material pending legal and regulatory proceedings and settlements, refer to “Note 8. Commitments and Contingencies” in our condensed consolidated financial statements included in this Quarterly Report on Form 10-Q.</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1A. </w:t>
      </w:r>
      <w:r>
        <w:rPr>
          <w:rFonts w:ascii="Arial" w:cs="Arial" w:eastAsia="Arial" w:hAnsi="Arial"/>
          <w:sz w:val="19"/>
          <w:szCs w:val="19"/>
          <w:b w:val="1"/>
          <w:bCs w:val="1"/>
          <w:i w:val="1"/>
          <w:iCs w:val="1"/>
          <w:color w:val="auto"/>
        </w:rPr>
        <w:t>Risk Factors</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There have been no material changes in our risk factors from those disclosed in Part I, Item 1A to our 2020 Annual Report on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2. </w:t>
      </w:r>
      <w:r>
        <w:rPr>
          <w:rFonts w:ascii="Arial" w:cs="Arial" w:eastAsia="Arial" w:hAnsi="Arial"/>
          <w:sz w:val="19"/>
          <w:szCs w:val="19"/>
          <w:b w:val="1"/>
          <w:bCs w:val="1"/>
          <w:i w:val="1"/>
          <w:iCs w:val="1"/>
          <w:color w:val="auto"/>
        </w:rPr>
        <w:t>Unregistered Sales of Equity Securities and Use of Proceeds</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None.</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Defaults Upon Senior Securities</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None.</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4. </w:t>
      </w:r>
      <w:r>
        <w:rPr>
          <w:rFonts w:ascii="Arial" w:cs="Arial" w:eastAsia="Arial" w:hAnsi="Arial"/>
          <w:sz w:val="19"/>
          <w:szCs w:val="19"/>
          <w:b w:val="1"/>
          <w:bCs w:val="1"/>
          <w:i w:val="1"/>
          <w:iCs w:val="1"/>
          <w:color w:val="auto"/>
        </w:rPr>
        <w:t>Mine Safety Disclosures</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Not applicable.</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Other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Pursuant to Section 13(r) of the Exchange Act of 1934</w:t>
      </w:r>
    </w:p>
    <w:p>
      <w:pPr>
        <w:spacing w:after="0" w:line="102" w:lineRule="exact"/>
        <w:rPr>
          <w:sz w:val="20"/>
          <w:szCs w:val="20"/>
          <w:color w:val="auto"/>
        </w:rPr>
      </w:pPr>
    </w:p>
    <w:p>
      <w:pPr>
        <w:ind w:firstLine="139"/>
        <w:spacing w:after="0" w:line="273" w:lineRule="auto"/>
        <w:rPr>
          <w:sz w:val="20"/>
          <w:szCs w:val="20"/>
          <w:color w:val="auto"/>
        </w:rPr>
      </w:pPr>
      <w:r>
        <w:rPr>
          <w:rFonts w:ascii="Arial" w:cs="Arial" w:eastAsia="Arial" w:hAnsi="Arial"/>
          <w:sz w:val="15"/>
          <w:szCs w:val="15"/>
          <w:color w:val="auto"/>
        </w:rPr>
        <w:t>Section 13(r) of the Exchange Act requires issuers to disclose in their quarterly reports certain types of dealings with Iran, including transactions or dealing with government-owned entities, even when those activities are lawful and do not involve U.S. persons. One of our non-U.S. subsidiaries currently sells medical devices, including cardiac surgery and cardiopulmonary products, to privately held distributors in Iran.</w:t>
      </w:r>
    </w:p>
    <w:p>
      <w:pPr>
        <w:spacing w:after="0" w:line="59" w:lineRule="exact"/>
        <w:rPr>
          <w:sz w:val="20"/>
          <w:szCs w:val="20"/>
          <w:color w:val="auto"/>
        </w:rPr>
      </w:pPr>
    </w:p>
    <w:p>
      <w:pPr>
        <w:ind w:right="200" w:firstLine="139"/>
        <w:spacing w:after="0" w:line="273" w:lineRule="auto"/>
        <w:rPr>
          <w:sz w:val="20"/>
          <w:szCs w:val="20"/>
          <w:color w:val="auto"/>
        </w:rPr>
      </w:pPr>
      <w:r>
        <w:rPr>
          <w:rFonts w:ascii="Arial" w:cs="Arial" w:eastAsia="Arial" w:hAnsi="Arial"/>
          <w:sz w:val="15"/>
          <w:szCs w:val="15"/>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59" w:lineRule="exact"/>
        <w:rPr>
          <w:sz w:val="20"/>
          <w:szCs w:val="20"/>
          <w:color w:val="auto"/>
        </w:rPr>
      </w:pPr>
    </w:p>
    <w:p>
      <w:pPr>
        <w:ind w:right="780" w:firstLine="139"/>
        <w:spacing w:after="0" w:line="289" w:lineRule="auto"/>
        <w:rPr>
          <w:sz w:val="20"/>
          <w:szCs w:val="20"/>
          <w:color w:val="auto"/>
        </w:rPr>
      </w:pPr>
      <w:r>
        <w:rPr>
          <w:rFonts w:ascii="Arial" w:cs="Arial" w:eastAsia="Arial" w:hAnsi="Arial"/>
          <w:sz w:val="15"/>
          <w:szCs w:val="15"/>
          <w:color w:val="auto"/>
        </w:rPr>
        <w:t>Our gross revenues and net profits attributable to the above-mentioned Iranian activities were $1.3 million and $0.6 million for the three months ended March 31, 2021, respectively.</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believe our activities are consistent with applicable law, including U.S., EU, and other applicable sanctions laws, though such laws are complex and continue to evolve rapidly.</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We intend to continue our business in Iran.</w:t>
      </w: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119380</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2" w:name="page43"/>
    <w:bookmarkEnd w:id="42"/>
    <w:p>
      <w:pPr>
        <w:spacing w:after="0"/>
        <w:rPr>
          <w:sz w:val="20"/>
          <w:szCs w:val="20"/>
          <w:color w:val="auto"/>
        </w:rPr>
      </w:pPr>
      <w:r>
        <w:rPr>
          <w:rFonts w:ascii="Arial" w:cs="Arial" w:eastAsia="Arial" w:hAnsi="Arial"/>
          <w:sz w:val="19"/>
          <w:szCs w:val="19"/>
          <w:b w:val="1"/>
          <w:bCs w:val="1"/>
          <w:color w:val="auto"/>
        </w:rPr>
        <w:t xml:space="preserve">Item 6. </w:t>
      </w:r>
      <w:r>
        <w:rPr>
          <w:rFonts w:ascii="Arial" w:cs="Arial" w:eastAsia="Arial" w:hAnsi="Arial"/>
          <w:sz w:val="19"/>
          <w:szCs w:val="19"/>
          <w:b w:val="1"/>
          <w:bCs w:val="1"/>
          <w:i w:val="1"/>
          <w:iCs w:val="1"/>
          <w:color w:val="auto"/>
        </w:rPr>
        <w:t>Exhibits</w:t>
      </w:r>
    </w:p>
    <w:p>
      <w:pPr>
        <w:spacing w:after="0" w:line="106" w:lineRule="exact"/>
        <w:rPr>
          <w:sz w:val="20"/>
          <w:szCs w:val="20"/>
          <w:color w:val="auto"/>
        </w:rPr>
      </w:pPr>
    </w:p>
    <w:p>
      <w:pPr>
        <w:ind w:right="180" w:firstLine="139"/>
        <w:spacing w:after="0" w:line="289" w:lineRule="auto"/>
        <w:rPr>
          <w:sz w:val="20"/>
          <w:szCs w:val="20"/>
          <w:color w:val="auto"/>
        </w:rPr>
      </w:pPr>
      <w:r>
        <w:rPr>
          <w:rFonts w:ascii="Arial" w:cs="Arial" w:eastAsia="Arial" w:hAnsi="Arial"/>
          <w:sz w:val="15"/>
          <w:szCs w:val="15"/>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gridSpan w:val="3"/>
          </w:tcPr>
          <w:p>
            <w:pPr>
              <w:ind w:left="220"/>
              <w:spacing w:after="0"/>
              <w:rPr>
                <w:sz w:val="20"/>
                <w:szCs w:val="20"/>
                <w:color w:val="auto"/>
              </w:rPr>
            </w:pPr>
            <w:r>
              <w:rPr>
                <w:rFonts w:ascii="Arial" w:cs="Arial" w:eastAsia="Arial" w:hAnsi="Arial"/>
                <w:sz w:val="12"/>
                <w:szCs w:val="12"/>
                <w:b w:val="1"/>
                <w:bCs w:val="1"/>
                <w:color w:val="auto"/>
              </w:rPr>
              <w:t>Exhibit</w:t>
            </w:r>
          </w:p>
        </w:tc>
        <w:tc>
          <w:tcPr>
            <w:tcW w:w="10500" w:type="dxa"/>
            <w:vAlign w:val="bottom"/>
            <w:gridSpan w:val="2"/>
            <w:vMerge w:val="restart"/>
          </w:tcPr>
          <w:p>
            <w:pPr>
              <w:ind w:left="4700"/>
              <w:spacing w:after="0"/>
              <w:rPr>
                <w:sz w:val="20"/>
                <w:szCs w:val="20"/>
                <w:color w:val="auto"/>
              </w:rPr>
            </w:pPr>
            <w:r>
              <w:rPr>
                <w:rFonts w:ascii="Arial" w:cs="Arial" w:eastAsia="Arial" w:hAnsi="Arial"/>
                <w:sz w:val="12"/>
                <w:szCs w:val="12"/>
                <w:b w:val="1"/>
                <w:bCs w:val="1"/>
                <w:color w:val="auto"/>
              </w:rPr>
              <w:t>Document Description</w:t>
            </w:r>
          </w:p>
        </w:tc>
        <w:tc>
          <w:tcPr>
            <w:tcW w:w="0" w:type="dxa"/>
            <w:vAlign w:val="bottom"/>
          </w:tcPr>
          <w:p>
            <w:pPr>
              <w:spacing w:after="0"/>
              <w:rPr>
                <w:sz w:val="1"/>
                <w:szCs w:val="1"/>
                <w:color w:val="auto"/>
              </w:rPr>
            </w:pPr>
          </w:p>
        </w:tc>
      </w:tr>
      <w:tr>
        <w:trPr>
          <w:trHeight w:val="161"/>
        </w:trPr>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Number</w:t>
            </w:r>
          </w:p>
        </w:tc>
        <w:tc>
          <w:tcPr>
            <w:tcW w:w="10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Borders>
              <w:top w:val="single" w:sz="8" w:color="auto"/>
              <w:bottom w:val="single" w:sz="8" w:color="0000FF"/>
            </w:tcBorders>
            <w:gridSpan w:val="2"/>
            <w:shd w:val="clear" w:color="auto" w:fill="CCEEFF"/>
          </w:tcPr>
          <w:p>
            <w:pPr>
              <w:spacing w:after="0" w:line="154" w:lineRule="exact"/>
              <w:rPr>
                <w:rFonts w:ascii="Arial" w:cs="Arial" w:eastAsia="Arial" w:hAnsi="Arial"/>
                <w:sz w:val="15"/>
                <w:szCs w:val="15"/>
                <w:color w:val="0000FF"/>
                <w:w w:val="96"/>
              </w:rPr>
            </w:pPr>
            <w:hyperlink w:anchor="page45">
              <w:r>
                <w:rPr>
                  <w:rFonts w:ascii="Arial" w:cs="Arial" w:eastAsia="Arial" w:hAnsi="Arial"/>
                  <w:sz w:val="15"/>
                  <w:szCs w:val="15"/>
                  <w:color w:val="0000FF"/>
                  <w:w w:val="96"/>
                </w:rPr>
                <w:t>10.</w:t>
              </w:r>
              <w:r>
                <w:rPr>
                  <w:rFonts w:ascii="Arial" w:cs="Arial" w:eastAsia="Arial" w:hAnsi="Arial"/>
                  <w:sz w:val="15"/>
                  <w:szCs w:val="15"/>
                  <w:u w:val="single" w:color="auto"/>
                  <w:color w:val="0000FF"/>
                  <w:w w:val="96"/>
                </w:rPr>
                <w:t>1*†</w:t>
              </w:r>
            </w:hyperlink>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0480" w:type="dxa"/>
            <w:vAlign w:val="bottom"/>
            <w:tcBorders>
              <w:top w:val="single" w:sz="8" w:color="auto"/>
              <w:bottom w:val="single" w:sz="8" w:color="CCEEFF"/>
            </w:tcBorders>
            <w:shd w:val="clear" w:color="auto" w:fill="CCEEFF"/>
          </w:tcPr>
          <w:p>
            <w:pPr>
              <w:ind w:left="100"/>
              <w:spacing w:after="0" w:line="154" w:lineRule="exact"/>
              <w:rPr>
                <w:sz w:val="20"/>
                <w:szCs w:val="20"/>
                <w:color w:val="auto"/>
              </w:rPr>
            </w:pPr>
            <w:r>
              <w:rPr>
                <w:rFonts w:ascii="Arial" w:cs="Arial" w:eastAsia="Arial" w:hAnsi="Arial"/>
                <w:sz w:val="15"/>
                <w:szCs w:val="15"/>
                <w:color w:val="auto"/>
              </w:rPr>
              <w:t>Executive Employment Contract between Sorin Group Italia S.r.l. and Marco Dolci, effective April 20, 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tcBorders>
              <w:bottom w:val="single" w:sz="8" w:color="0000FF"/>
            </w:tcBorders>
          </w:tcPr>
          <w:p>
            <w:pPr>
              <w:spacing w:after="0" w:line="162" w:lineRule="exact"/>
              <w:rPr>
                <w:rFonts w:ascii="Arial" w:cs="Arial" w:eastAsia="Arial" w:hAnsi="Arial"/>
                <w:sz w:val="15"/>
                <w:szCs w:val="15"/>
                <w:color w:val="0000FF"/>
                <w:w w:val="96"/>
              </w:rPr>
            </w:pPr>
            <w:hyperlink w:anchor="page57">
              <w:r>
                <w:rPr>
                  <w:rFonts w:ascii="Arial" w:cs="Arial" w:eastAsia="Arial" w:hAnsi="Arial"/>
                  <w:sz w:val="15"/>
                  <w:szCs w:val="15"/>
                  <w:color w:val="0000FF"/>
                  <w:w w:val="96"/>
                </w:rPr>
                <w:t>31.</w:t>
              </w:r>
              <w:r>
                <w:rPr>
                  <w:rFonts w:ascii="Arial" w:cs="Arial" w:eastAsia="Arial" w:hAnsi="Arial"/>
                  <w:sz w:val="15"/>
                  <w:szCs w:val="15"/>
                  <w:u w:val="single" w:color="auto"/>
                  <w:color w:val="0000FF"/>
                  <w:w w:val="96"/>
                </w:rPr>
                <w:t>1*</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50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184"/>
        </w:trPr>
        <w:tc>
          <w:tcPr>
            <w:tcW w:w="360" w:type="dxa"/>
            <w:vAlign w:val="bottom"/>
            <w:tcBorders>
              <w:bottom w:val="single" w:sz="8" w:color="0000FF"/>
            </w:tcBorders>
            <w:shd w:val="clear" w:color="auto" w:fill="CCEEFF"/>
          </w:tcPr>
          <w:p>
            <w:pPr>
              <w:spacing w:after="0" w:line="169" w:lineRule="exact"/>
              <w:rPr>
                <w:rFonts w:ascii="Arial" w:cs="Arial" w:eastAsia="Arial" w:hAnsi="Arial"/>
                <w:sz w:val="15"/>
                <w:szCs w:val="15"/>
                <w:color w:val="0000FF"/>
                <w:w w:val="96"/>
              </w:rPr>
            </w:pPr>
            <w:hyperlink w:anchor="page58">
              <w:r>
                <w:rPr>
                  <w:rFonts w:ascii="Arial" w:cs="Arial" w:eastAsia="Arial" w:hAnsi="Arial"/>
                  <w:sz w:val="15"/>
                  <w:szCs w:val="15"/>
                  <w:color w:val="0000FF"/>
                  <w:w w:val="96"/>
                </w:rPr>
                <w:t>31.</w:t>
              </w:r>
              <w:r>
                <w:rPr>
                  <w:rFonts w:ascii="Arial" w:cs="Arial" w:eastAsia="Arial" w:hAnsi="Arial"/>
                  <w:sz w:val="15"/>
                  <w:szCs w:val="15"/>
                  <w:u w:val="single" w:color="auto"/>
                  <w:color w:val="0000FF"/>
                  <w:w w:val="96"/>
                </w:rPr>
                <w:t>2*</w:t>
              </w:r>
            </w:hyperlink>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80" w:type="dxa"/>
            <w:vAlign w:val="bottom"/>
            <w:tcBorders>
              <w:bottom w:val="single" w:sz="8" w:color="CCEEFF"/>
            </w:tcBorders>
            <w:shd w:val="clear" w:color="auto" w:fill="CCEEFF"/>
          </w:tcPr>
          <w:p>
            <w:pPr>
              <w:ind w:left="100"/>
              <w:spacing w:after="0" w:line="169" w:lineRule="exact"/>
              <w:rPr>
                <w:sz w:val="20"/>
                <w:szCs w:val="20"/>
                <w:color w:val="auto"/>
              </w:rPr>
            </w:pPr>
            <w:r>
              <w:rPr>
                <w:rFonts w:ascii="Arial" w:cs="Arial" w:eastAsia="Arial" w:hAnsi="Arial"/>
                <w:sz w:val="15"/>
                <w:szCs w:val="15"/>
                <w:color w:val="auto"/>
              </w:rPr>
              <w:t>Certification of the Chief Financial Officer of LivaNova PLC pursuant to Section 302 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0" w:type="dxa"/>
            <w:vAlign w:val="bottom"/>
            <w:gridSpan w:val="2"/>
          </w:tcPr>
          <w:p>
            <w:pPr>
              <w:spacing w:after="0" w:line="162" w:lineRule="exact"/>
              <w:rPr>
                <w:rFonts w:ascii="Arial" w:cs="Arial" w:eastAsia="Arial" w:hAnsi="Arial"/>
                <w:sz w:val="15"/>
                <w:szCs w:val="15"/>
                <w:color w:val="0000FF"/>
              </w:rPr>
            </w:pPr>
            <w:hyperlink w:anchor="page59">
              <w:r>
                <w:rPr>
                  <w:rFonts w:ascii="Arial" w:cs="Arial" w:eastAsia="Arial" w:hAnsi="Arial"/>
                  <w:sz w:val="15"/>
                  <w:szCs w:val="15"/>
                  <w:color w:val="0000FF"/>
                </w:rPr>
                <w:t>32.</w:t>
              </w:r>
              <w:r>
                <w:rPr>
                  <w:rFonts w:ascii="Arial" w:cs="Arial" w:eastAsia="Arial" w:hAnsi="Arial"/>
                  <w:sz w:val="15"/>
                  <w:szCs w:val="15"/>
                  <w:u w:val="single" w:color="auto"/>
                  <w:color w:val="0000FF"/>
                </w:rPr>
                <w:t>1*</w:t>
              </w:r>
            </w:hyperlink>
          </w:p>
        </w:tc>
        <w:tc>
          <w:tcPr>
            <w:tcW w:w="320" w:type="dxa"/>
            <w:vAlign w:val="bottom"/>
          </w:tcPr>
          <w:p>
            <w:pPr>
              <w:spacing w:after="0"/>
              <w:rPr>
                <w:sz w:val="14"/>
                <w:szCs w:val="14"/>
                <w:color w:val="auto"/>
              </w:rPr>
            </w:pPr>
          </w:p>
        </w:tc>
        <w:tc>
          <w:tcPr>
            <w:tcW w:w="1050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Certification of the Chief Executive Officer and Chief Financial Officer of LivaNova PLC pursuant to Section 906 of the Sarbanes-Oxley Act of 2002</w:t>
            </w:r>
          </w:p>
        </w:tc>
        <w:tc>
          <w:tcPr>
            <w:tcW w:w="0" w:type="dxa"/>
            <w:vAlign w:val="bottom"/>
          </w:tcPr>
          <w:p>
            <w:pPr>
              <w:spacing w:after="0"/>
              <w:rPr>
                <w:sz w:val="1"/>
                <w:szCs w:val="1"/>
                <w:color w:val="auto"/>
              </w:rPr>
            </w:pPr>
          </w:p>
        </w:tc>
      </w:tr>
      <w:tr>
        <w:trPr>
          <w:trHeight w:val="159"/>
        </w:trPr>
        <w:tc>
          <w:tcPr>
            <w:tcW w:w="360" w:type="dxa"/>
            <w:vAlign w:val="bottom"/>
            <w:tcBorders>
              <w:top w:val="single" w:sz="8" w:color="0000FF"/>
            </w:tcBorders>
            <w:shd w:val="clear" w:color="auto" w:fill="CCEEFF"/>
          </w:tcPr>
          <w:p>
            <w:pPr>
              <w:spacing w:after="0" w:line="159" w:lineRule="exact"/>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8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w w:val="96"/>
              </w:rPr>
              <w:t>Interactive Data Files Pursuant to Rule 405 of Regulation S-T formatted in Inline XBRL: (i) the Condensed Consolidated Statements of Income (Loss) for the three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4"/>
              </w:rPr>
              <w:t>months ended March 31, 2021 and 2020, (ii) the Condensed Consolidated Statements of Comprehensive Income (Loss) for the three months ended March 31, 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4"/>
              </w:rPr>
              <w:t>2020, (iii) the Condensed Consolidated Balance Sheet as of March 31, 2021 and December 31, 2020, (iv) the Condensed Consolidated Statements of Cash Flows for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the three months ended March 31 2021 and 2020, and (vi) the Notes to the Condensed Consolidated Financial Statements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gridSpan w:val="2"/>
          </w:tcPr>
          <w:p>
            <w:pPr>
              <w:ind w:left="100"/>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636"/>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80" w:type="dxa"/>
            <w:vAlign w:val="bottom"/>
          </w:tcPr>
          <w:p>
            <w:pPr>
              <w:ind w:left="4860"/>
              <w:spacing w:after="0"/>
              <w:rPr>
                <w:sz w:val="20"/>
                <w:szCs w:val="20"/>
                <w:color w:val="auto"/>
              </w:rPr>
            </w:pPr>
            <w:r>
              <w:rPr>
                <w:rFonts w:ascii="Arial" w:cs="Arial" w:eastAsia="Arial" w:hAnsi="Arial"/>
                <w:sz w:val="15"/>
                <w:szCs w:val="15"/>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04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43" w:name="page44"/>
    <w:bookmarkEnd w:id="43"/>
    <w:p>
      <w:pPr>
        <w:ind w:left="5240"/>
        <w:spacing w:after="0"/>
        <w:rPr>
          <w:sz w:val="20"/>
          <w:szCs w:val="20"/>
          <w:color w:val="auto"/>
        </w:rPr>
      </w:pPr>
      <w:r>
        <w:rPr>
          <w:rFonts w:ascii="Arial" w:cs="Arial" w:eastAsia="Arial" w:hAnsi="Arial"/>
          <w:sz w:val="15"/>
          <w:szCs w:val="15"/>
          <w:b w:val="1"/>
          <w:bCs w:val="1"/>
          <w:color w:val="auto"/>
        </w:rPr>
        <w:t>SIGNATURE</w:t>
      </w:r>
    </w:p>
    <w:p>
      <w:pPr>
        <w:spacing w:after="0" w:line="111" w:lineRule="exact"/>
        <w:rPr>
          <w:sz w:val="20"/>
          <w:szCs w:val="20"/>
          <w:color w:val="auto"/>
        </w:rPr>
      </w:pPr>
    </w:p>
    <w:p>
      <w:pPr>
        <w:ind w:firstLine="139"/>
        <w:spacing w:after="0" w:line="28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93"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LIVANOVA PLC</w:t>
      </w:r>
    </w:p>
    <w:p>
      <w:pPr>
        <w:spacing w:after="0" w:line="278" w:lineRule="exact"/>
        <w:rPr>
          <w:sz w:val="20"/>
          <w:szCs w:val="20"/>
          <w:color w:val="auto"/>
        </w:rPr>
      </w:pPr>
    </w:p>
    <w:p>
      <w:pPr>
        <w:spacing w:after="0"/>
        <w:tabs>
          <w:tab w:leader="none" w:pos="1700" w:val="left"/>
          <w:tab w:leader="none" w:pos="2320" w:val="left"/>
        </w:tabs>
        <w:rPr>
          <w:sz w:val="20"/>
          <w:szCs w:val="20"/>
          <w:color w:val="auto"/>
        </w:rPr>
      </w:pPr>
      <w:r>
        <w:rPr>
          <w:rFonts w:ascii="Arial" w:cs="Arial" w:eastAsia="Arial" w:hAnsi="Arial"/>
          <w:sz w:val="15"/>
          <w:szCs w:val="15"/>
          <w:color w:val="auto"/>
        </w:rPr>
        <w:t>Date: April 28,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29210</wp:posOffset>
            </wp:positionV>
            <wp:extent cx="36201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0135" cy="7620"/>
                    </a:xfrm>
                    <a:prstGeom prst="rect">
                      <a:avLst/>
                    </a:prstGeom>
                    <a:noFill/>
                  </pic:spPr>
                </pic:pic>
              </a:graphicData>
            </a:graphic>
          </wp:anchor>
        </w:drawing>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Damien McDonald</w:t>
      </w:r>
    </w:p>
    <w:p>
      <w:pPr>
        <w:spacing w:after="0" w:line="36"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Chief Executive Officer</w:t>
      </w:r>
    </w:p>
    <w:p>
      <w:pPr>
        <w:spacing w:after="0" w:line="47" w:lineRule="exact"/>
        <w:rPr>
          <w:sz w:val="20"/>
          <w:szCs w:val="20"/>
          <w:color w:val="auto"/>
        </w:rPr>
      </w:pPr>
    </w:p>
    <w:p>
      <w:pPr>
        <w:ind w:left="2340"/>
        <w:spacing w:after="0"/>
        <w:rPr>
          <w:sz w:val="20"/>
          <w:szCs w:val="20"/>
          <w:color w:val="auto"/>
        </w:rPr>
      </w:pPr>
      <w:r>
        <w:rPr>
          <w:rFonts w:ascii="Arial" w:cs="Arial" w:eastAsia="Arial" w:hAnsi="Arial"/>
          <w:sz w:val="15"/>
          <w:szCs w:val="15"/>
          <w:i w:val="1"/>
          <w:iCs w:val="1"/>
          <w:color w:val="auto"/>
        </w:rPr>
        <w:t>(Principal Executive Officer)</w:t>
      </w:r>
    </w:p>
    <w:p>
      <w:pPr>
        <w:spacing w:after="0" w:line="17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LIVANOVA PLC</w:t>
      </w:r>
    </w:p>
    <w:p>
      <w:pPr>
        <w:spacing w:after="0" w:line="278" w:lineRule="exact"/>
        <w:rPr>
          <w:sz w:val="20"/>
          <w:szCs w:val="20"/>
          <w:color w:val="auto"/>
        </w:rPr>
      </w:pPr>
    </w:p>
    <w:p>
      <w:pPr>
        <w:spacing w:after="0"/>
        <w:tabs>
          <w:tab w:leader="none" w:pos="1700" w:val="left"/>
          <w:tab w:leader="none" w:pos="2320" w:val="left"/>
        </w:tabs>
        <w:rPr>
          <w:sz w:val="20"/>
          <w:szCs w:val="20"/>
          <w:color w:val="auto"/>
        </w:rPr>
      </w:pPr>
      <w:r>
        <w:rPr>
          <w:rFonts w:ascii="Arial" w:cs="Arial" w:eastAsia="Arial" w:hAnsi="Arial"/>
          <w:sz w:val="15"/>
          <w:szCs w:val="15"/>
          <w:color w:val="auto"/>
        </w:rPr>
        <w:t>Date: April 28,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29210</wp:posOffset>
            </wp:positionV>
            <wp:extent cx="362712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27120" cy="7620"/>
                    </a:xfrm>
                    <a:prstGeom prst="rect">
                      <a:avLst/>
                    </a:prstGeom>
                    <a:noFill/>
                  </pic:spPr>
                </pic:pic>
              </a:graphicData>
            </a:graphic>
          </wp:anchor>
        </w:drawing>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Alex Shvartsburg</w:t>
      </w:r>
    </w:p>
    <w:p>
      <w:pPr>
        <w:spacing w:after="0" w:line="36"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Chief Financial Officer</w:t>
      </w:r>
    </w:p>
    <w:p>
      <w:pPr>
        <w:spacing w:after="0" w:line="47" w:lineRule="exact"/>
        <w:rPr>
          <w:sz w:val="20"/>
          <w:szCs w:val="20"/>
          <w:color w:val="auto"/>
        </w:rPr>
      </w:pPr>
    </w:p>
    <w:p>
      <w:pPr>
        <w:ind w:left="2340"/>
        <w:spacing w:after="0"/>
        <w:rPr>
          <w:sz w:val="20"/>
          <w:szCs w:val="20"/>
          <w:color w:val="auto"/>
        </w:rPr>
      </w:pPr>
      <w:r>
        <w:rPr>
          <w:rFonts w:ascii="Arial" w:cs="Arial" w:eastAsia="Arial" w:hAnsi="Arial"/>
          <w:sz w:val="15"/>
          <w:szCs w:val="15"/>
          <w:i w:val="1"/>
          <w:iCs w:val="1"/>
          <w:color w:val="auto"/>
        </w:rPr>
        <w:t>(Principal Accounting and Financial Officer)</w:t>
      </w:r>
    </w:p>
    <w:p>
      <w:pPr>
        <w:spacing w:after="0" w:line="200" w:lineRule="exact"/>
        <w:rPr>
          <w:sz w:val="20"/>
          <w:szCs w:val="20"/>
          <w:color w:val="auto"/>
        </w:rPr>
      </w:pP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660"/>
          </w:cols>
          <w:pgMar w:left="320" w:top="782" w:right="919" w:bottom="1440"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323850</wp:posOffset>
            </wp:positionV>
            <wp:extent cx="7091045" cy="10158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1045" cy="10158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455930</wp:posOffset>
            </wp:positionV>
            <wp:extent cx="7091045" cy="101485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1045"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rFonts w:ascii="Arial" w:cs="Arial" w:eastAsia="Arial" w:hAnsi="Arial"/>
          <w:sz w:val="15"/>
          <w:szCs w:val="15"/>
          <w:b w:val="1"/>
          <w:bCs w:val="1"/>
          <w:color w:val="auto"/>
        </w:rPr>
        <w:t>EXHIBIT 31.1</w:t>
      </w:r>
    </w:p>
    <w:p>
      <w:pPr>
        <w:spacing w:after="0" w:line="278" w:lineRule="exact"/>
        <w:rPr>
          <w:sz w:val="20"/>
          <w:szCs w:val="20"/>
          <w:color w:val="auto"/>
        </w:rPr>
      </w:pPr>
    </w:p>
    <w:p>
      <w:pPr>
        <w:jc w:val="center"/>
        <w:ind w:right="-259"/>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 Damien McDonald, certify that:</w:t>
      </w:r>
    </w:p>
    <w:p>
      <w:pPr>
        <w:spacing w:after="0" w:line="105" w:lineRule="exact"/>
        <w:rPr>
          <w:sz w:val="20"/>
          <w:szCs w:val="20"/>
          <w:color w:val="auto"/>
        </w:rPr>
      </w:pPr>
    </w:p>
    <w:p>
      <w:pPr>
        <w:ind w:left="460" w:hanging="190"/>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quarterly period ended March 31, 2021 of LivaNova PLC and its consolidated subsidiaries;</w:t>
      </w:r>
    </w:p>
    <w:p>
      <w:pPr>
        <w:spacing w:after="0" w:line="105" w:lineRule="exact"/>
        <w:rPr>
          <w:rFonts w:ascii="Arial" w:cs="Arial" w:eastAsia="Arial" w:hAnsi="Arial"/>
          <w:sz w:val="15"/>
          <w:szCs w:val="15"/>
          <w:color w:val="auto"/>
        </w:rPr>
      </w:pPr>
    </w:p>
    <w:p>
      <w:pPr>
        <w:ind w:right="20" w:firstLine="270"/>
        <w:spacing w:after="0" w:line="289" w:lineRule="auto"/>
        <w:tabs>
          <w:tab w:leader="none" w:pos="474"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5"/>
          <w:szCs w:val="15"/>
          <w:color w:val="auto"/>
        </w:rPr>
      </w:pPr>
    </w:p>
    <w:p>
      <w:pPr>
        <w:ind w:firstLine="270"/>
        <w:spacing w:after="0" w:line="289" w:lineRule="auto"/>
        <w:tabs>
          <w:tab w:leader="none" w:pos="479"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5"/>
          <w:szCs w:val="15"/>
          <w:color w:val="auto"/>
        </w:rPr>
      </w:pPr>
    </w:p>
    <w:p>
      <w:pPr>
        <w:jc w:val="both"/>
        <w:ind w:firstLine="270"/>
        <w:spacing w:after="0" w:line="273" w:lineRule="auto"/>
        <w:tabs>
          <w:tab w:leader="none" w:pos="472"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59" w:lineRule="exact"/>
        <w:rPr>
          <w:sz w:val="20"/>
          <w:szCs w:val="20"/>
          <w:color w:val="auto"/>
        </w:rPr>
      </w:pPr>
    </w:p>
    <w:p>
      <w:pPr>
        <w:jc w:val="both"/>
        <w:ind w:right="20" w:firstLine="270"/>
        <w:spacing w:after="0" w:line="273" w:lineRule="auto"/>
        <w:tabs>
          <w:tab w:leader="none" w:pos="586"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5"/>
          <w:szCs w:val="15"/>
          <w:color w:val="auto"/>
        </w:rPr>
      </w:pPr>
    </w:p>
    <w:p>
      <w:pPr>
        <w:jc w:val="both"/>
        <w:ind w:right="20" w:firstLine="270"/>
        <w:spacing w:after="0" w:line="327" w:lineRule="auto"/>
        <w:tabs>
          <w:tab w:leader="none" w:pos="5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Arial" w:cs="Arial" w:eastAsia="Arial" w:hAnsi="Arial"/>
          <w:sz w:val="14"/>
          <w:szCs w:val="14"/>
          <w:color w:val="auto"/>
        </w:rPr>
      </w:pPr>
    </w:p>
    <w:p>
      <w:pPr>
        <w:ind w:right="20" w:firstLine="270"/>
        <w:spacing w:after="0" w:line="289" w:lineRule="auto"/>
        <w:tabs>
          <w:tab w:leader="none" w:pos="569" w:val="left"/>
        </w:tabs>
        <w:numPr>
          <w:ilvl w:val="0"/>
          <w:numId w:val="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5"/>
          <w:szCs w:val="15"/>
          <w:color w:val="auto"/>
        </w:rPr>
      </w:pPr>
    </w:p>
    <w:p>
      <w:pPr>
        <w:jc w:val="both"/>
        <w:ind w:firstLine="270"/>
        <w:spacing w:after="0" w:line="273" w:lineRule="auto"/>
        <w:tabs>
          <w:tab w:leader="none" w:pos="544"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20" w:firstLine="270"/>
        <w:spacing w:after="0" w:line="289" w:lineRule="auto"/>
        <w:tabs>
          <w:tab w:leader="none" w:pos="4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sz w:val="20"/>
          <w:szCs w:val="20"/>
          <w:color w:val="auto"/>
        </w:rPr>
      </w:pPr>
    </w:p>
    <w:p>
      <w:pPr>
        <w:ind w:right="20" w:firstLine="270"/>
        <w:spacing w:after="0" w:line="289" w:lineRule="auto"/>
        <w:tabs>
          <w:tab w:leader="none" w:pos="526" w:val="left"/>
        </w:tabs>
        <w:numPr>
          <w:ilvl w:val="0"/>
          <w:numId w:val="2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5"/>
          <w:szCs w:val="15"/>
          <w:color w:val="auto"/>
        </w:rPr>
      </w:pPr>
    </w:p>
    <w:p>
      <w:pPr>
        <w:ind w:left="520" w:hanging="25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Date: April 28, 2021</w:t>
      </w:r>
    </w:p>
    <w:p>
      <w:pPr>
        <w:spacing w:after="0" w:line="17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14605</wp:posOffset>
            </wp:positionV>
            <wp:extent cx="337756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77565" cy="762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Damien McDonald</w:t>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Chief Executive Officer</w:t>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60"/>
          </w:cols>
          <w:pgMar w:left="320" w:top="828" w:right="319" w:bottom="1440" w:gutter="0" w:footer="0" w:header="0"/>
        </w:sectPr>
      </w:pPr>
    </w:p>
    <w:bookmarkStart w:id="57" w:name="page58"/>
    <w:bookmarkEnd w:id="57"/>
    <w:p>
      <w:pPr>
        <w:jc w:val="right"/>
        <w:spacing w:after="0"/>
        <w:rPr>
          <w:sz w:val="20"/>
          <w:szCs w:val="20"/>
          <w:color w:val="auto"/>
        </w:rPr>
      </w:pPr>
      <w:r>
        <w:rPr>
          <w:rFonts w:ascii="Arial" w:cs="Arial" w:eastAsia="Arial" w:hAnsi="Arial"/>
          <w:sz w:val="15"/>
          <w:szCs w:val="15"/>
          <w:b w:val="1"/>
          <w:bCs w:val="1"/>
          <w:color w:val="auto"/>
        </w:rPr>
        <w:t>EXHIBIT 31.2</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 Alex Shvartsburg, certify that:</w:t>
      </w:r>
    </w:p>
    <w:p>
      <w:pPr>
        <w:spacing w:after="0" w:line="105" w:lineRule="exact"/>
        <w:rPr>
          <w:sz w:val="20"/>
          <w:szCs w:val="20"/>
          <w:color w:val="auto"/>
        </w:rPr>
      </w:pPr>
    </w:p>
    <w:p>
      <w:pPr>
        <w:ind w:left="460" w:hanging="190"/>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quarterly period ended March 31, 2021 of LivaNova PLC and its consolidated subsidiaries;</w:t>
      </w:r>
    </w:p>
    <w:p>
      <w:pPr>
        <w:spacing w:after="0" w:line="105" w:lineRule="exact"/>
        <w:rPr>
          <w:rFonts w:ascii="Arial" w:cs="Arial" w:eastAsia="Arial" w:hAnsi="Arial"/>
          <w:sz w:val="15"/>
          <w:szCs w:val="15"/>
          <w:color w:val="auto"/>
        </w:rPr>
      </w:pPr>
    </w:p>
    <w:p>
      <w:pPr>
        <w:ind w:right="20" w:firstLine="270"/>
        <w:spacing w:after="0" w:line="289" w:lineRule="auto"/>
        <w:tabs>
          <w:tab w:leader="none" w:pos="474"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5"/>
          <w:szCs w:val="15"/>
          <w:color w:val="auto"/>
        </w:rPr>
      </w:pPr>
    </w:p>
    <w:p>
      <w:pPr>
        <w:ind w:firstLine="270"/>
        <w:spacing w:after="0" w:line="289" w:lineRule="auto"/>
        <w:tabs>
          <w:tab w:leader="none" w:pos="479"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5"/>
          <w:szCs w:val="15"/>
          <w:color w:val="auto"/>
        </w:rPr>
      </w:pPr>
    </w:p>
    <w:p>
      <w:pPr>
        <w:jc w:val="both"/>
        <w:ind w:firstLine="270"/>
        <w:spacing w:after="0" w:line="273" w:lineRule="auto"/>
        <w:tabs>
          <w:tab w:leader="none" w:pos="472"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59" w:lineRule="exact"/>
        <w:rPr>
          <w:sz w:val="20"/>
          <w:szCs w:val="20"/>
          <w:color w:val="auto"/>
        </w:rPr>
      </w:pPr>
    </w:p>
    <w:p>
      <w:pPr>
        <w:jc w:val="both"/>
        <w:ind w:right="20" w:firstLine="270"/>
        <w:spacing w:after="0" w:line="273" w:lineRule="auto"/>
        <w:tabs>
          <w:tab w:leader="none" w:pos="586"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5"/>
          <w:szCs w:val="15"/>
          <w:color w:val="auto"/>
        </w:rPr>
      </w:pPr>
    </w:p>
    <w:p>
      <w:pPr>
        <w:jc w:val="both"/>
        <w:ind w:right="20" w:firstLine="270"/>
        <w:spacing w:after="0" w:line="327" w:lineRule="auto"/>
        <w:tabs>
          <w:tab w:leader="none" w:pos="5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Arial" w:cs="Arial" w:eastAsia="Arial" w:hAnsi="Arial"/>
          <w:sz w:val="14"/>
          <w:szCs w:val="14"/>
          <w:color w:val="auto"/>
        </w:rPr>
      </w:pPr>
    </w:p>
    <w:p>
      <w:pPr>
        <w:ind w:right="20" w:firstLine="270"/>
        <w:spacing w:after="0" w:line="289" w:lineRule="auto"/>
        <w:tabs>
          <w:tab w:leader="none" w:pos="569" w:val="left"/>
        </w:tabs>
        <w:numPr>
          <w:ilvl w:val="0"/>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5"/>
          <w:szCs w:val="15"/>
          <w:color w:val="auto"/>
        </w:rPr>
      </w:pPr>
    </w:p>
    <w:p>
      <w:pPr>
        <w:jc w:val="both"/>
        <w:ind w:firstLine="270"/>
        <w:spacing w:after="0" w:line="273" w:lineRule="auto"/>
        <w:tabs>
          <w:tab w:leader="none" w:pos="544"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20" w:firstLine="270"/>
        <w:spacing w:after="0" w:line="289" w:lineRule="auto"/>
        <w:tabs>
          <w:tab w:leader="none" w:pos="483"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sz w:val="20"/>
          <w:szCs w:val="20"/>
          <w:color w:val="auto"/>
        </w:rPr>
      </w:pPr>
    </w:p>
    <w:p>
      <w:pPr>
        <w:ind w:right="20" w:firstLine="270"/>
        <w:spacing w:after="0" w:line="289" w:lineRule="auto"/>
        <w:tabs>
          <w:tab w:leader="none" w:pos="526" w:val="left"/>
        </w:tabs>
        <w:numPr>
          <w:ilvl w:val="0"/>
          <w:numId w:val="2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5"/>
          <w:szCs w:val="15"/>
          <w:color w:val="auto"/>
        </w:rPr>
      </w:pPr>
    </w:p>
    <w:p>
      <w:pPr>
        <w:ind w:left="520" w:hanging="25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Date: April 28, 2021</w:t>
      </w:r>
    </w:p>
    <w:p>
      <w:pPr>
        <w:spacing w:after="0" w:line="17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14605</wp:posOffset>
            </wp:positionV>
            <wp:extent cx="337756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77565" cy="762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Alex Shvartsburg</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Chief Financial Officer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5"/>
          <w:szCs w:val="15"/>
          <w:i w:val="1"/>
          <w:iCs w:val="1"/>
          <w:color w:val="auto"/>
        </w:rPr>
        <w:t>(Principal Accounting and Financial Officer)</w:t>
      </w:r>
    </w:p>
    <w:p>
      <w:pPr>
        <w:sectPr>
          <w:pgSz w:w="11900" w:h="16838" w:orient="portrait"/>
          <w:cols w:equalWidth="0" w:num="1">
            <w:col w:w="11260"/>
          </w:cols>
          <w:pgMar w:left="320" w:top="921" w:right="319" w:bottom="1440" w:gutter="0" w:footer="0" w:header="0"/>
        </w:sectPr>
      </w:pPr>
    </w:p>
    <w:bookmarkStart w:id="58" w:name="page59"/>
    <w:bookmarkEnd w:id="58"/>
    <w:p>
      <w:pPr>
        <w:jc w:val="right"/>
        <w:spacing w:after="0"/>
        <w:rPr>
          <w:sz w:val="20"/>
          <w:szCs w:val="20"/>
          <w:color w:val="auto"/>
        </w:rPr>
      </w:pPr>
      <w:r>
        <w:rPr>
          <w:rFonts w:ascii="Arial" w:cs="Arial" w:eastAsia="Arial" w:hAnsi="Arial"/>
          <w:sz w:val="15"/>
          <w:szCs w:val="15"/>
          <w:b w:val="1"/>
          <w:bCs w:val="1"/>
          <w:color w:val="auto"/>
        </w:rPr>
        <w:t>EXHIBIT 32.1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EXECUTIVE OFFICER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FINANCIAL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LIVANOVA PLC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18 U.S.C. SECTION 1350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200" w:lineRule="exact"/>
        <w:rPr>
          <w:sz w:val="20"/>
          <w:szCs w:val="20"/>
          <w:color w:val="auto"/>
        </w:rPr>
      </w:pPr>
    </w:p>
    <w:p>
      <w:pPr>
        <w:spacing w:after="0" w:line="339" w:lineRule="exact"/>
        <w:rPr>
          <w:sz w:val="20"/>
          <w:szCs w:val="20"/>
          <w:color w:val="auto"/>
        </w:rPr>
      </w:pPr>
    </w:p>
    <w:p>
      <w:pPr>
        <w:ind w:right="20" w:firstLine="277"/>
        <w:spacing w:after="0" w:line="401" w:lineRule="auto"/>
        <w:rPr>
          <w:sz w:val="20"/>
          <w:szCs w:val="20"/>
          <w:color w:val="auto"/>
        </w:rPr>
      </w:pPr>
      <w:r>
        <w:rPr>
          <w:rFonts w:ascii="Arial" w:cs="Arial" w:eastAsia="Arial" w:hAnsi="Arial"/>
          <w:sz w:val="15"/>
          <w:szCs w:val="15"/>
          <w:color w:val="auto"/>
        </w:rPr>
        <w:t>Each of Damien McDonald,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349" w:lineRule="exact"/>
        <w:rPr>
          <w:sz w:val="20"/>
          <w:szCs w:val="20"/>
          <w:color w:val="auto"/>
        </w:rPr>
      </w:pPr>
    </w:p>
    <w:p>
      <w:pPr>
        <w:ind w:right="20" w:firstLine="443"/>
        <w:spacing w:after="0" w:line="447" w:lineRule="auto"/>
        <w:tabs>
          <w:tab w:leader="none" w:pos="73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Quarterly Report on Form 10-Q of the Company and its consolidated subsidiaries for the quarterly period ended March 31, 2021, as filed with the Securities and Exchange Commission on the date hereof (the “Report”) fully complies with the requirements of Section 13(a) or 15(d) of the Securities Exchange Act of 1934, as amended; and</w:t>
      </w:r>
    </w:p>
    <w:p>
      <w:pPr>
        <w:spacing w:after="0" w:line="325" w:lineRule="exact"/>
        <w:rPr>
          <w:rFonts w:ascii="Arial" w:cs="Arial" w:eastAsia="Arial" w:hAnsi="Arial"/>
          <w:sz w:val="14"/>
          <w:szCs w:val="14"/>
          <w:color w:val="auto"/>
        </w:rPr>
      </w:pPr>
    </w:p>
    <w:p>
      <w:pPr>
        <w:ind w:left="700" w:hanging="257"/>
        <w:spacing w:after="0"/>
        <w:tabs>
          <w:tab w:leader="none" w:pos="7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Date: April 28, 2021</w:t>
      </w:r>
    </w:p>
    <w:p>
      <w:pPr>
        <w:spacing w:after="0" w:line="24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14605</wp:posOffset>
            </wp:positionV>
            <wp:extent cx="337756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77565" cy="762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Damien McDonald</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Chief Executive Officer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5"/>
          <w:szCs w:val="15"/>
          <w:i w:val="1"/>
          <w:iCs w:val="1"/>
          <w:color w:val="auto"/>
        </w:rPr>
        <w:t>(Principal Executive Officer)</w:t>
      </w:r>
    </w:p>
    <w:p>
      <w:pPr>
        <w:spacing w:after="0" w:line="26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14605</wp:posOffset>
            </wp:positionV>
            <wp:extent cx="337756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77565" cy="762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Alex Shvartsburg</w:t>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Chief Financial Officer</w:t>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5"/>
          <w:szCs w:val="15"/>
          <w:i w:val="1"/>
          <w:iCs w:val="1"/>
          <w:color w:val="auto"/>
        </w:rPr>
        <w:t>(Principal Accounting and Financial Officer)</w:t>
      </w:r>
    </w:p>
    <w:p>
      <w:pPr>
        <w:spacing w:after="0" w:line="200" w:lineRule="exact"/>
        <w:rPr>
          <w:sz w:val="20"/>
          <w:szCs w:val="20"/>
          <w:color w:val="auto"/>
        </w:rPr>
      </w:pPr>
    </w:p>
    <w:p>
      <w:pPr>
        <w:spacing w:after="0" w:line="333" w:lineRule="exact"/>
        <w:rPr>
          <w:sz w:val="20"/>
          <w:szCs w:val="20"/>
          <w:color w:val="auto"/>
        </w:rPr>
      </w:pPr>
    </w:p>
    <w:p>
      <w:pPr>
        <w:ind w:right="20" w:firstLine="277"/>
        <w:spacing w:after="0" w:line="289" w:lineRule="auto"/>
        <w:rPr>
          <w:sz w:val="20"/>
          <w:szCs w:val="20"/>
          <w:color w:val="auto"/>
        </w:rPr>
      </w:pPr>
      <w:r>
        <w:rPr>
          <w:rFonts w:ascii="Arial" w:cs="Arial" w:eastAsia="Arial" w:hAnsi="Arial"/>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60"/>
      </w:cols>
      <w:pgMar w:left="320" w:top="8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5"/>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5"/>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2021-04-28T14:14:39Z</dcterms:created>
  <dcterms:modified xsi:type="dcterms:W3CDTF">2021-04-28T14:14:39Z</dcterms:modified>
</cp:coreProperties>
</file>