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color w:val="auto"/>
        </w:rPr>
        <w:t>As filed with the Securities and Exchange Commission on July 26, 2023.</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5"/>
          <w:szCs w:val="15"/>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73025</wp:posOffset>
            </wp:positionV>
            <wp:extent cx="71075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7555" cy="762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5"/>
          <w:szCs w:val="15"/>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LivaNova PLC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840" w:type="dxa"/>
        <w:tblCellMar>
          <w:top w:w="0" w:type="dxa"/>
          <w:left w:w="0" w:type="dxa"/>
          <w:bottom w:w="0" w:type="dxa"/>
          <w:right w:w="0" w:type="dxa"/>
        </w:tblCellMar>
      </w:tblPr>
      <w:tr>
        <w:trPr>
          <w:trHeight w:val="201"/>
        </w:trPr>
        <w:tc>
          <w:tcPr>
            <w:tcW w:w="5120" w:type="dxa"/>
            <w:vAlign w:val="bottom"/>
          </w:tcPr>
          <w:p>
            <w:pPr>
              <w:jc w:val="center"/>
              <w:ind w:right="1083"/>
              <w:spacing w:after="0"/>
              <w:rPr>
                <w:sz w:val="20"/>
                <w:szCs w:val="20"/>
                <w:color w:val="auto"/>
              </w:rPr>
            </w:pPr>
            <w:r>
              <w:rPr>
                <w:rFonts w:ascii="Arial" w:cs="Arial" w:eastAsia="Arial" w:hAnsi="Arial"/>
                <w:sz w:val="15"/>
                <w:szCs w:val="15"/>
                <w:b w:val="1"/>
                <w:bCs w:val="1"/>
                <w:color w:val="auto"/>
                <w:w w:val="93"/>
              </w:rPr>
              <w:t>England and Wales</w:t>
            </w:r>
          </w:p>
        </w:tc>
        <w:tc>
          <w:tcPr>
            <w:tcW w:w="3820" w:type="dxa"/>
            <w:vAlign w:val="bottom"/>
          </w:tcPr>
          <w:p>
            <w:pPr>
              <w:jc w:val="right"/>
              <w:ind w:right="883"/>
              <w:spacing w:after="0"/>
              <w:rPr>
                <w:sz w:val="20"/>
                <w:szCs w:val="20"/>
                <w:color w:val="auto"/>
              </w:rPr>
            </w:pPr>
            <w:r>
              <w:rPr>
                <w:rFonts w:ascii="Arial" w:cs="Arial" w:eastAsia="Arial" w:hAnsi="Arial"/>
                <w:sz w:val="15"/>
                <w:szCs w:val="15"/>
                <w:b w:val="1"/>
                <w:bCs w:val="1"/>
                <w:color w:val="auto"/>
              </w:rPr>
              <w:t>98-1268150</w:t>
            </w:r>
          </w:p>
        </w:tc>
      </w:tr>
      <w:tr>
        <w:trPr>
          <w:trHeight w:val="220"/>
        </w:trPr>
        <w:tc>
          <w:tcPr>
            <w:tcW w:w="5120" w:type="dxa"/>
            <w:vAlign w:val="bottom"/>
          </w:tcPr>
          <w:p>
            <w:pPr>
              <w:jc w:val="center"/>
              <w:ind w:right="1083"/>
              <w:spacing w:after="0"/>
              <w:rPr>
                <w:sz w:val="20"/>
                <w:szCs w:val="20"/>
                <w:color w:val="auto"/>
              </w:rPr>
            </w:pPr>
            <w:r>
              <w:rPr>
                <w:rFonts w:ascii="Arial" w:cs="Arial" w:eastAsia="Arial" w:hAnsi="Arial"/>
                <w:sz w:val="15"/>
                <w:szCs w:val="15"/>
                <w:b w:val="1"/>
                <w:bCs w:val="1"/>
                <w:color w:val="auto"/>
                <w:w w:val="93"/>
              </w:rPr>
              <w:t>(State or other jurisdiction of incorporation or organization)</w:t>
            </w:r>
          </w:p>
        </w:tc>
        <w:tc>
          <w:tcPr>
            <w:tcW w:w="3820" w:type="dxa"/>
            <w:vAlign w:val="bottom"/>
          </w:tcPr>
          <w:p>
            <w:pPr>
              <w:jc w:val="center"/>
              <w:ind w:left="1063"/>
              <w:spacing w:after="0"/>
              <w:rPr>
                <w:sz w:val="20"/>
                <w:szCs w:val="20"/>
                <w:color w:val="auto"/>
              </w:rPr>
            </w:pPr>
            <w:r>
              <w:rPr>
                <w:rFonts w:ascii="Arial" w:cs="Arial" w:eastAsia="Arial" w:hAnsi="Arial"/>
                <w:sz w:val="15"/>
                <w:szCs w:val="15"/>
                <w:b w:val="1"/>
                <w:bCs w:val="1"/>
                <w:color w:val="auto"/>
                <w:w w:val="96"/>
              </w:rPr>
              <w:t>(I.R.S. Employer Identification Number)</w:t>
            </w:r>
          </w:p>
        </w:tc>
      </w:tr>
      <w:tr>
        <w:trPr>
          <w:trHeight w:val="451"/>
        </w:trPr>
        <w:tc>
          <w:tcPr>
            <w:tcW w:w="5120" w:type="dxa"/>
            <w:vAlign w:val="bottom"/>
          </w:tcPr>
          <w:p>
            <w:pPr>
              <w:jc w:val="center"/>
              <w:ind w:right="1103"/>
              <w:spacing w:after="0"/>
              <w:rPr>
                <w:sz w:val="20"/>
                <w:szCs w:val="20"/>
                <w:color w:val="auto"/>
              </w:rPr>
            </w:pPr>
            <w:r>
              <w:rPr>
                <w:rFonts w:ascii="Arial" w:cs="Arial" w:eastAsia="Arial" w:hAnsi="Arial"/>
                <w:sz w:val="15"/>
                <w:szCs w:val="15"/>
                <w:b w:val="1"/>
                <w:bCs w:val="1"/>
                <w:color w:val="auto"/>
                <w:w w:val="92"/>
              </w:rPr>
              <w:t>20 Eastbourne Terrace</w:t>
            </w:r>
          </w:p>
        </w:tc>
        <w:tc>
          <w:tcPr>
            <w:tcW w:w="3820" w:type="dxa"/>
            <w:vAlign w:val="bottom"/>
          </w:tcPr>
          <w:p>
            <w:pPr>
              <w:spacing w:after="0"/>
              <w:rPr>
                <w:sz w:val="24"/>
                <w:szCs w:val="24"/>
                <w:color w:val="auto"/>
              </w:rPr>
            </w:pPr>
          </w:p>
        </w:tc>
      </w:tr>
      <w:tr>
        <w:trPr>
          <w:trHeight w:val="220"/>
        </w:trPr>
        <w:tc>
          <w:tcPr>
            <w:tcW w:w="5120" w:type="dxa"/>
            <w:vAlign w:val="bottom"/>
          </w:tcPr>
          <w:p>
            <w:pPr>
              <w:jc w:val="center"/>
              <w:ind w:right="1103"/>
              <w:spacing w:after="0"/>
              <w:rPr>
                <w:sz w:val="20"/>
                <w:szCs w:val="20"/>
                <w:color w:val="auto"/>
              </w:rPr>
            </w:pPr>
            <w:r>
              <w:rPr>
                <w:rFonts w:ascii="Arial" w:cs="Arial" w:eastAsia="Arial" w:hAnsi="Arial"/>
                <w:sz w:val="15"/>
                <w:szCs w:val="15"/>
                <w:b w:val="1"/>
                <w:bCs w:val="1"/>
                <w:color w:val="auto"/>
                <w:w w:val="94"/>
              </w:rPr>
              <w:t>London, United Kingdom</w:t>
            </w:r>
          </w:p>
        </w:tc>
        <w:tc>
          <w:tcPr>
            <w:tcW w:w="3820" w:type="dxa"/>
            <w:vAlign w:val="bottom"/>
          </w:tcPr>
          <w:p>
            <w:pPr>
              <w:jc w:val="center"/>
              <w:ind w:left="1083"/>
              <w:spacing w:after="0"/>
              <w:rPr>
                <w:sz w:val="20"/>
                <w:szCs w:val="20"/>
                <w:color w:val="auto"/>
              </w:rPr>
            </w:pPr>
            <w:r>
              <w:rPr>
                <w:rFonts w:ascii="Arial" w:cs="Arial" w:eastAsia="Arial" w:hAnsi="Arial"/>
                <w:sz w:val="15"/>
                <w:szCs w:val="15"/>
                <w:b w:val="1"/>
                <w:bCs w:val="1"/>
                <w:color w:val="auto"/>
              </w:rPr>
              <w:t>W2 6LG</w:t>
            </w:r>
          </w:p>
        </w:tc>
      </w:tr>
      <w:tr>
        <w:trPr>
          <w:trHeight w:val="220"/>
        </w:trPr>
        <w:tc>
          <w:tcPr>
            <w:tcW w:w="5120" w:type="dxa"/>
            <w:vAlign w:val="bottom"/>
          </w:tcPr>
          <w:p>
            <w:pPr>
              <w:jc w:val="center"/>
              <w:ind w:right="1083"/>
              <w:spacing w:after="0"/>
              <w:rPr>
                <w:sz w:val="20"/>
                <w:szCs w:val="20"/>
                <w:color w:val="auto"/>
              </w:rPr>
            </w:pPr>
            <w:r>
              <w:rPr>
                <w:rFonts w:ascii="Arial" w:cs="Arial" w:eastAsia="Arial" w:hAnsi="Arial"/>
                <w:sz w:val="15"/>
                <w:szCs w:val="15"/>
                <w:b w:val="1"/>
                <w:bCs w:val="1"/>
                <w:color w:val="auto"/>
                <w:w w:val="92"/>
              </w:rPr>
              <w:t>(Address of Principal Executive Offices)</w:t>
            </w:r>
          </w:p>
        </w:tc>
        <w:tc>
          <w:tcPr>
            <w:tcW w:w="3820" w:type="dxa"/>
            <w:vAlign w:val="bottom"/>
          </w:tcPr>
          <w:p>
            <w:pPr>
              <w:jc w:val="center"/>
              <w:ind w:left="1063"/>
              <w:spacing w:after="0"/>
              <w:rPr>
                <w:sz w:val="20"/>
                <w:szCs w:val="20"/>
                <w:color w:val="auto"/>
              </w:rPr>
            </w:pPr>
            <w:r>
              <w:rPr>
                <w:rFonts w:ascii="Arial" w:cs="Arial" w:eastAsia="Arial" w:hAnsi="Arial"/>
                <w:sz w:val="15"/>
                <w:szCs w:val="15"/>
                <w:b w:val="1"/>
                <w:bCs w:val="1"/>
                <w:color w:val="auto"/>
                <w:w w:val="97"/>
              </w:rPr>
              <w:t>(Zip Code)</w:t>
            </w:r>
          </w:p>
        </w:tc>
      </w:tr>
    </w:tbl>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Amended and Restated LivaNova PLC 2022 Incentive Award Plan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(Full title of the plan)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Company Secretariat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LivaNova Plc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LivaNova USA,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100 Cyberonics Blvd.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Houston, Texas 77058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and Address of agent of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(281) 228-7200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(Telephone number, including area code, of agent of service)</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60"/>
          </w:cols>
          <w:pgMar w:left="320" w:top="766" w:right="319" w:bottom="1440" w:gutter="0" w:footer="0" w:header="0"/>
        </w:sectPr>
      </w:pP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1" w:lineRule="exact"/>
        <w:rPr>
          <w:sz w:val="24"/>
          <w:szCs w:val="24"/>
          <w:color w:val="auto"/>
        </w:rPr>
      </w:pPr>
    </w:p>
    <w:p>
      <w:pPr>
        <w:sectPr>
          <w:pgSz w:w="11900" w:h="16838" w:orient="portrait"/>
          <w:cols w:equalWidth="0" w:num="2">
            <w:col w:w="6080" w:space="720"/>
            <w:col w:w="4460"/>
          </w:cols>
          <w:pgMar w:left="320" w:top="766" w:right="31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3">
            <w:col w:w="1500" w:space="40"/>
            <w:col w:w="4540" w:space="720"/>
            <w:col w:w="4460"/>
          </w:cols>
          <w:pgMar w:left="320" w:top="766" w:right="319" w:bottom="1440" w:gutter="0" w:footer="0" w:header="0"/>
          <w:type w:val="continuous"/>
        </w:sectPr>
      </w:pPr>
    </w:p>
    <w:p>
      <w:pPr>
        <w:spacing w:after="0" w:line="126" w:lineRule="exact"/>
        <w:rPr>
          <w:sz w:val="24"/>
          <w:szCs w:val="24"/>
          <w:color w:val="auto"/>
        </w:rPr>
      </w:pPr>
    </w:p>
    <w:p>
      <w:pPr>
        <w:ind w:right="540"/>
        <w:spacing w:after="0" w:line="21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(the “Securities Act”). </w:t>
      </w:r>
      <w:r>
        <w:rPr>
          <w:rFonts w:ascii="MS PGothic" w:cs="MS PGothic" w:eastAsia="MS PGothic" w:hAnsi="MS PGothic"/>
          <w:sz w:val="15"/>
          <w:szCs w:val="15"/>
          <w:color w:val="auto"/>
        </w:rPr>
        <w:t>☐</w:t>
      </w:r>
    </w:p>
    <w:p>
      <w:pPr>
        <w:sectPr>
          <w:pgSz w:w="11900" w:h="16838" w:orient="portrait"/>
          <w:cols w:equalWidth="0" w:num="1">
            <w:col w:w="11260"/>
          </w:cols>
          <w:pgMar w:left="320" w:top="766" w:right="31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5"/>
          <w:szCs w:val="15"/>
          <w:b w:val="1"/>
          <w:bCs w:val="1"/>
          <w:color w:val="auto"/>
        </w:rPr>
        <w:t>EXPLANATORY NOTE</w:t>
      </w:r>
    </w:p>
    <w:p>
      <w:pPr>
        <w:spacing w:after="0" w:line="227" w:lineRule="exact"/>
        <w:rPr>
          <w:sz w:val="20"/>
          <w:szCs w:val="20"/>
          <w:color w:val="auto"/>
        </w:rPr>
      </w:pPr>
    </w:p>
    <w:p>
      <w:pPr>
        <w:ind w:firstLine="139"/>
        <w:spacing w:after="0" w:line="277" w:lineRule="auto"/>
        <w:rPr>
          <w:sz w:val="20"/>
          <w:szCs w:val="20"/>
          <w:color w:val="auto"/>
        </w:rPr>
      </w:pPr>
      <w:r>
        <w:rPr>
          <w:rFonts w:ascii="Arial" w:cs="Arial" w:eastAsia="Arial" w:hAnsi="Arial"/>
          <w:sz w:val="15"/>
          <w:szCs w:val="15"/>
          <w:color w:val="auto"/>
        </w:rPr>
        <w:t>This registration statement on Form S-8 (the “Registration Statement”) is being filed in order to register an additional (i) 650,000 ordinary shares, par value £1.00 per share (the “Ordinary Shares”), of LivaNova PLC (the “Registrant”) that may be issued under the Registrant’s Amended and Restated LivaNova PLC 2022 Incentive Award Plan (the “Plan”) and (ii) 650,000 Ordinary Shares that may become available for issuance under the Plan as a result of outstanding awards under the Plan being (a) forfeited, lapsed, or expired, (b) converted to shares of another company in connection with a takeover, sale, recapitalization, reorganization, merger, consolidation, split-up, spin-off, combination, exchange of shares or other similar event, (c) settled for cash (in whole or in part) or (d) repurchased by the Registrant.</w:t>
      </w:r>
    </w:p>
    <w:p>
      <w:pPr>
        <w:spacing w:after="0" w:line="174" w:lineRule="exact"/>
        <w:rPr>
          <w:sz w:val="20"/>
          <w:szCs w:val="20"/>
          <w:color w:val="auto"/>
        </w:rPr>
      </w:pPr>
    </w:p>
    <w:p>
      <w:pPr>
        <w:ind w:firstLine="139"/>
        <w:spacing w:after="0" w:line="289" w:lineRule="auto"/>
        <w:rPr>
          <w:rFonts w:ascii="Arial" w:cs="Arial" w:eastAsia="Arial" w:hAnsi="Arial"/>
          <w:sz w:val="15"/>
          <w:szCs w:val="15"/>
          <w:color w:val="auto"/>
        </w:rPr>
      </w:pPr>
      <w:r>
        <w:rPr>
          <w:rFonts w:ascii="Arial" w:cs="Arial" w:eastAsia="Arial" w:hAnsi="Arial"/>
          <w:sz w:val="15"/>
          <w:szCs w:val="15"/>
          <w:color w:val="auto"/>
        </w:rPr>
        <w:t xml:space="preserve">The Ordinary Shares are securities of the same class as those securities registered on the Registrant’s registration statement on Form S-8 previously filed with the Securities and Exchange Commission (the “Commission”) on </w:t>
      </w:r>
      <w:hyperlink r:id="rId9">
        <w:r>
          <w:rPr>
            <w:rFonts w:ascii="Arial" w:cs="Arial" w:eastAsia="Arial" w:hAnsi="Arial"/>
            <w:sz w:val="15"/>
            <w:szCs w:val="15"/>
            <w:color w:val="0000FF"/>
          </w:rPr>
          <w:t>June 13, 2022</w:t>
        </w:r>
        <w:r>
          <w:rPr>
            <w:rFonts w:ascii="Arial" w:cs="Arial" w:eastAsia="Arial" w:hAnsi="Arial"/>
            <w:sz w:val="15"/>
            <w:szCs w:val="15"/>
            <w:color w:val="auto"/>
          </w:rPr>
          <w:t xml:space="preserve"> </w:t>
        </w:r>
      </w:hyperlink>
      <w:r>
        <w:rPr>
          <w:rFonts w:ascii="Arial" w:cs="Arial" w:eastAsia="Arial" w:hAnsi="Arial"/>
          <w:sz w:val="15"/>
          <w:szCs w:val="15"/>
          <w:color w:val="auto"/>
        </w:rPr>
        <w:t>(Registration No. 333-265563), which is hereby incorporated by reference, except to the extent supplemented, amended or superseded by information set forth in this Registration Statement, consistent with General Instruction E to Form S-8.</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REQUIRED IN THE REGISTRATION STATEMENT</w:t>
      </w:r>
    </w:p>
    <w:p>
      <w:pPr>
        <w:spacing w:after="0" w:line="256"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Incorporation of Documents By Reference.</w:t>
      </w:r>
    </w:p>
    <w:p>
      <w:pPr>
        <w:spacing w:after="0" w:line="32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documents filed by the Registrant with the Commission are incorporated into this Registration Statement by reference:</w:t>
      </w:r>
    </w:p>
    <w:p>
      <w:pPr>
        <w:sectPr>
          <w:pgSz w:w="11900" w:h="16838" w:orient="portrait"/>
          <w:cols w:equalWidth="0" w:num="1">
            <w:col w:w="11240"/>
          </w:cols>
          <w:pgMar w:left="320" w:top="1084" w:right="339" w:bottom="1440" w:gutter="0" w:footer="0" w:header="0"/>
        </w:sectPr>
      </w:pPr>
    </w:p>
    <w:p>
      <w:pPr>
        <w:spacing w:after="0" w:line="47"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ind w:right="40"/>
        <w:spacing w:after="0" w:line="230" w:lineRule="auto"/>
        <w:rPr>
          <w:rFonts w:ascii="Arial" w:cs="Arial" w:eastAsia="Arial" w:hAnsi="Arial"/>
          <w:sz w:val="15"/>
          <w:szCs w:val="15"/>
          <w:color w:val="000000"/>
        </w:rPr>
      </w:pPr>
      <w:hyperlink r:id="rId10">
        <w:r>
          <w:rPr>
            <w:rFonts w:ascii="Arial" w:cs="Arial" w:eastAsia="Arial" w:hAnsi="Arial"/>
            <w:sz w:val="15"/>
            <w:szCs w:val="15"/>
            <w:color w:val="auto"/>
          </w:rPr>
          <w:t xml:space="preserve">the Registrant’s Annual Report on Form 10-K for the fiscal year ended December 31, 2022, filed with the Commission on </w:t>
        </w:r>
        <w:r>
          <w:rPr>
            <w:rFonts w:ascii="Arial" w:cs="Arial" w:eastAsia="Arial" w:hAnsi="Arial"/>
            <w:sz w:val="15"/>
            <w:szCs w:val="15"/>
            <w:color w:val="0000FF"/>
          </w:rPr>
          <w:t>February</w:t>
        </w:r>
      </w:hyperlink>
      <w:r>
        <w:rPr>
          <w:rFonts w:ascii="Arial" w:cs="Arial" w:eastAsia="Arial" w:hAnsi="Arial"/>
          <w:sz w:val="15"/>
          <w:szCs w:val="15"/>
          <w:color w:val="auto"/>
        </w:rPr>
        <w:t xml:space="preserve"> </w:t>
      </w:r>
      <w:hyperlink r:id="rId10">
        <w:r>
          <w:rPr>
            <w:rFonts w:ascii="Arial" w:cs="Arial" w:eastAsia="Arial" w:hAnsi="Arial"/>
            <w:sz w:val="15"/>
            <w:szCs w:val="15"/>
            <w:color w:val="0000FF"/>
          </w:rPr>
          <w:t xml:space="preserve">27, 2023 </w:t>
        </w:r>
        <w:r>
          <w:rPr>
            <w:rFonts w:ascii="Arial" w:cs="Arial" w:eastAsia="Arial" w:hAnsi="Arial"/>
            <w:sz w:val="15"/>
            <w:szCs w:val="15"/>
            <w:color w:val="000000"/>
          </w:rPr>
          <w:t>(including the information specifically incorporated by reference therein from the Registrant’s definitive proxy statement</w:t>
        </w:r>
      </w:hyperlink>
      <w:r>
        <w:rPr>
          <w:rFonts w:ascii="Arial" w:cs="Arial" w:eastAsia="Arial" w:hAnsi="Arial"/>
          <w:sz w:val="15"/>
          <w:szCs w:val="15"/>
          <w:color w:val="0000FF"/>
        </w:rPr>
        <w:t xml:space="preserve"> </w:t>
      </w:r>
      <w:r>
        <w:rPr>
          <w:rFonts w:ascii="Arial" w:cs="Arial" w:eastAsia="Arial" w:hAnsi="Arial"/>
          <w:sz w:val="15"/>
          <w:szCs w:val="15"/>
          <w:color w:val="000000"/>
        </w:rPr>
        <w:t xml:space="preserve">on Schedule 14A, filed with the Commission on </w:t>
      </w:r>
      <w:hyperlink r:id="rId11">
        <w:r>
          <w:rPr>
            <w:rFonts w:ascii="Arial" w:cs="Arial" w:eastAsia="Arial" w:hAnsi="Arial"/>
            <w:sz w:val="15"/>
            <w:szCs w:val="15"/>
            <w:color w:val="0000FF"/>
          </w:rPr>
          <w:t>April 28, 2023</w:t>
        </w:r>
      </w:hyperlink>
      <w:r>
        <w:rPr>
          <w:rFonts w:ascii="Arial" w:cs="Arial" w:eastAsia="Arial" w:hAnsi="Arial"/>
          <w:sz w:val="15"/>
          <w:szCs w:val="15"/>
          <w:color w:val="000000"/>
        </w:rPr>
        <w:t>);</w:t>
      </w:r>
    </w:p>
    <w:p>
      <w:pPr>
        <w:spacing w:after="0" w:line="106" w:lineRule="exact"/>
        <w:rPr>
          <w:rFonts w:ascii="Arial" w:cs="Arial" w:eastAsia="Arial" w:hAnsi="Arial"/>
          <w:sz w:val="15"/>
          <w:szCs w:val="15"/>
          <w:color w:val="auto"/>
        </w:rPr>
      </w:pPr>
    </w:p>
    <w:p>
      <w:pPr>
        <w:sectPr>
          <w:pgSz w:w="11900" w:h="16838" w:orient="portrait"/>
          <w:cols w:equalWidth="0" w:num="2">
            <w:col w:w="2360" w:space="720"/>
            <w:col w:w="8160"/>
          </w:cols>
          <w:pgMar w:left="320" w:top="1084" w:right="33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(b)</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ind w:right="40"/>
        <w:spacing w:after="0" w:line="241" w:lineRule="auto"/>
        <w:rPr>
          <w:rFonts w:ascii="Arial" w:cs="Arial" w:eastAsia="Arial" w:hAnsi="Arial"/>
          <w:sz w:val="15"/>
          <w:szCs w:val="15"/>
          <w:color w:val="0000FF"/>
        </w:rPr>
      </w:pPr>
      <w:hyperlink r:id="rId12">
        <w:r>
          <w:rPr>
            <w:rFonts w:ascii="Arial" w:cs="Arial" w:eastAsia="Arial" w:hAnsi="Arial"/>
            <w:sz w:val="15"/>
            <w:szCs w:val="15"/>
            <w:color w:val="auto"/>
          </w:rPr>
          <w:t xml:space="preserve">the Registrant’s Quarterly Report on Form 10-Q for the quarterly period ended March 31, 2023, filed with the Commission on </w:t>
        </w:r>
        <w:r>
          <w:rPr>
            <w:rFonts w:ascii="Arial" w:cs="Arial" w:eastAsia="Arial" w:hAnsi="Arial"/>
            <w:sz w:val="15"/>
            <w:szCs w:val="15"/>
            <w:color w:val="0000FF"/>
          </w:rPr>
          <w:t>May</w:t>
        </w:r>
      </w:hyperlink>
      <w:r>
        <w:rPr>
          <w:rFonts w:ascii="Arial" w:cs="Arial" w:eastAsia="Arial" w:hAnsi="Arial"/>
          <w:sz w:val="15"/>
          <w:szCs w:val="15"/>
          <w:color w:val="auto"/>
        </w:rPr>
        <w:t xml:space="preserve"> </w:t>
      </w:r>
      <w:hyperlink r:id="rId12">
        <w:r>
          <w:rPr>
            <w:rFonts w:ascii="Arial" w:cs="Arial" w:eastAsia="Arial" w:hAnsi="Arial"/>
            <w:sz w:val="15"/>
            <w:szCs w:val="15"/>
            <w:color w:val="0000FF"/>
          </w:rPr>
          <w:t>3, 2023</w:t>
        </w:r>
        <w:r>
          <w:rPr>
            <w:rFonts w:ascii="Arial" w:cs="Arial" w:eastAsia="Arial" w:hAnsi="Arial"/>
            <w:sz w:val="15"/>
            <w:szCs w:val="15"/>
            <w:color w:val="000000"/>
          </w:rPr>
          <w:t>;</w:t>
        </w:r>
      </w:hyperlink>
    </w:p>
    <w:p>
      <w:pPr>
        <w:spacing w:after="0" w:line="200" w:lineRule="exact"/>
        <w:rPr>
          <w:sz w:val="20"/>
          <w:szCs w:val="20"/>
          <w:color w:val="auto"/>
        </w:rPr>
      </w:pPr>
    </w:p>
    <w:p>
      <w:pPr>
        <w:sectPr>
          <w:pgSz w:w="11900" w:h="16838" w:orient="portrait"/>
          <w:cols w:equalWidth="0" w:num="2">
            <w:col w:w="2360" w:space="720"/>
            <w:col w:w="8160"/>
          </w:cols>
          <w:pgMar w:left="320" w:top="1084" w:right="339" w:bottom="1440" w:gutter="0" w:footer="0" w:header="0"/>
          <w:type w:val="continuous"/>
        </w:sectPr>
      </w:pPr>
    </w:p>
    <w:p>
      <w:pPr>
        <w:spacing w:after="0" w:line="44"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(c)</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00"/>
        <w:spacing w:after="0" w:line="241" w:lineRule="auto"/>
        <w:rPr>
          <w:rFonts w:ascii="Arial" w:cs="Arial" w:eastAsia="Arial" w:hAnsi="Arial"/>
          <w:sz w:val="15"/>
          <w:szCs w:val="15"/>
          <w:color w:val="0000FF"/>
        </w:rPr>
      </w:pPr>
      <w:hyperlink r:id="rId13">
        <w:r>
          <w:rPr>
            <w:rFonts w:ascii="Arial" w:cs="Arial" w:eastAsia="Arial" w:hAnsi="Arial"/>
            <w:sz w:val="15"/>
            <w:szCs w:val="15"/>
            <w:color w:val="auto"/>
          </w:rPr>
          <w:t xml:space="preserve">the Registrant’s Quarterly Report on Form 10-Q for the quarterly period ended June 30, 2023, filed with the Commission on </w:t>
        </w:r>
        <w:r>
          <w:rPr>
            <w:rFonts w:ascii="Arial" w:cs="Arial" w:eastAsia="Arial" w:hAnsi="Arial"/>
            <w:sz w:val="15"/>
            <w:szCs w:val="15"/>
            <w:color w:val="0000FF"/>
          </w:rPr>
          <w:t>July</w:t>
        </w:r>
      </w:hyperlink>
      <w:r>
        <w:rPr>
          <w:rFonts w:ascii="Arial" w:cs="Arial" w:eastAsia="Arial" w:hAnsi="Arial"/>
          <w:sz w:val="15"/>
          <w:szCs w:val="15"/>
          <w:color w:val="auto"/>
        </w:rPr>
        <w:t xml:space="preserve"> </w:t>
      </w:r>
      <w:hyperlink r:id="rId13">
        <w:r>
          <w:rPr>
            <w:rFonts w:ascii="Arial" w:cs="Arial" w:eastAsia="Arial" w:hAnsi="Arial"/>
            <w:sz w:val="15"/>
            <w:szCs w:val="15"/>
            <w:color w:val="0000FF"/>
          </w:rPr>
          <w:t>26, 2023</w:t>
        </w:r>
        <w:r>
          <w:rPr>
            <w:rFonts w:ascii="Arial" w:cs="Arial" w:eastAsia="Arial" w:hAnsi="Arial"/>
            <w:sz w:val="15"/>
            <w:szCs w:val="15"/>
            <w:color w:val="000000"/>
          </w:rPr>
          <w:t>;</w:t>
        </w:r>
      </w:hyperlink>
    </w:p>
    <w:p>
      <w:pPr>
        <w:spacing w:after="0" w:line="200" w:lineRule="exact"/>
        <w:rPr>
          <w:sz w:val="20"/>
          <w:szCs w:val="20"/>
          <w:color w:val="auto"/>
        </w:rPr>
      </w:pPr>
    </w:p>
    <w:p>
      <w:pPr>
        <w:sectPr>
          <w:pgSz w:w="11900" w:h="16838" w:orient="portrait"/>
          <w:cols w:equalWidth="0" w:num="2">
            <w:col w:w="2360" w:space="720"/>
            <w:col w:w="8160"/>
          </w:cols>
          <w:pgMar w:left="320" w:top="1084" w:right="339" w:bottom="1440" w:gutter="0" w:footer="0" w:header="0"/>
          <w:type w:val="continuous"/>
        </w:sectPr>
      </w:pPr>
    </w:p>
    <w:p>
      <w:pPr>
        <w:spacing w:after="0" w:line="32"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260"/>
        <w:spacing w:after="0" w:line="257" w:lineRule="auto"/>
        <w:rPr>
          <w:rFonts w:ascii="Arial" w:cs="Arial" w:eastAsia="Arial" w:hAnsi="Arial"/>
          <w:sz w:val="15"/>
          <w:szCs w:val="15"/>
          <w:color w:val="auto"/>
        </w:rPr>
      </w:pPr>
      <w:r>
        <w:rPr>
          <w:rFonts w:ascii="Arial" w:cs="Arial" w:eastAsia="Arial" w:hAnsi="Arial"/>
          <w:sz w:val="15"/>
          <w:szCs w:val="15"/>
          <w:color w:val="auto"/>
        </w:rPr>
        <w:t xml:space="preserve">the Registrant’s Current Reports on Form 8-K filed with the Commission on </w:t>
      </w:r>
      <w:hyperlink r:id="rId14">
        <w:r>
          <w:rPr>
            <w:rFonts w:ascii="Arial" w:cs="Arial" w:eastAsia="Arial" w:hAnsi="Arial"/>
            <w:sz w:val="15"/>
            <w:szCs w:val="15"/>
            <w:color w:val="0000FF"/>
          </w:rPr>
          <w:t xml:space="preserve">February 22, </w:t>
        </w:r>
      </w:hyperlink>
      <w:r>
        <w:rPr>
          <w:rFonts w:ascii="Arial" w:cs="Arial" w:eastAsia="Arial" w:hAnsi="Arial"/>
          <w:sz w:val="15"/>
          <w:szCs w:val="15"/>
          <w:color w:val="auto"/>
        </w:rPr>
        <w:t xml:space="preserve">2023 (Item 5.02 only), </w:t>
      </w:r>
      <w:hyperlink r:id="rId15">
        <w:r>
          <w:rPr>
            <w:rFonts w:ascii="Arial" w:cs="Arial" w:eastAsia="Arial" w:hAnsi="Arial"/>
            <w:sz w:val="15"/>
            <w:szCs w:val="15"/>
            <w:color w:val="0000FF"/>
          </w:rPr>
          <w:t>April 14, 2023</w:t>
        </w:r>
      </w:hyperlink>
      <w:r>
        <w:rPr>
          <w:rFonts w:ascii="Arial" w:cs="Arial" w:eastAsia="Arial" w:hAnsi="Arial"/>
          <w:sz w:val="15"/>
          <w:szCs w:val="15"/>
          <w:color w:val="auto"/>
        </w:rPr>
        <w:t xml:space="preserve"> (Item 5.02 only), </w:t>
      </w:r>
      <w:hyperlink r:id="rId16">
        <w:r>
          <w:rPr>
            <w:rFonts w:ascii="Arial" w:cs="Arial" w:eastAsia="Arial" w:hAnsi="Arial"/>
            <w:sz w:val="15"/>
            <w:szCs w:val="15"/>
            <w:color w:val="0000FF"/>
          </w:rPr>
          <w:t>April 21, 2023</w:t>
        </w:r>
        <w:r>
          <w:rPr>
            <w:rFonts w:ascii="Arial" w:cs="Arial" w:eastAsia="Arial" w:hAnsi="Arial"/>
            <w:sz w:val="15"/>
            <w:szCs w:val="15"/>
            <w:color w:val="auto"/>
          </w:rPr>
          <w:t xml:space="preserve"> </w:t>
        </w:r>
      </w:hyperlink>
      <w:r>
        <w:rPr>
          <w:rFonts w:ascii="Arial" w:cs="Arial" w:eastAsia="Arial" w:hAnsi="Arial"/>
          <w:sz w:val="15"/>
          <w:szCs w:val="15"/>
          <w:color w:val="auto"/>
        </w:rPr>
        <w:t xml:space="preserve">and </w:t>
      </w:r>
      <w:hyperlink r:id="rId17">
        <w:r>
          <w:rPr>
            <w:rFonts w:ascii="Arial" w:cs="Arial" w:eastAsia="Arial" w:hAnsi="Arial"/>
            <w:sz w:val="15"/>
            <w:szCs w:val="15"/>
            <w:color w:val="0000FF"/>
          </w:rPr>
          <w:t>June 16, 2023</w:t>
        </w:r>
      </w:hyperlink>
      <w:r>
        <w:rPr>
          <w:rFonts w:ascii="Arial" w:cs="Arial" w:eastAsia="Arial" w:hAnsi="Arial"/>
          <w:sz w:val="15"/>
          <w:szCs w:val="15"/>
          <w:color w:val="auto"/>
        </w:rPr>
        <w:t>; and</w:t>
      </w:r>
    </w:p>
    <w:p>
      <w:pPr>
        <w:spacing w:after="0" w:line="200" w:lineRule="exact"/>
        <w:rPr>
          <w:rFonts w:ascii="Arial" w:cs="Arial" w:eastAsia="Arial" w:hAnsi="Arial"/>
          <w:sz w:val="15"/>
          <w:szCs w:val="15"/>
          <w:color w:val="auto"/>
        </w:rPr>
      </w:pPr>
    </w:p>
    <w:p>
      <w:pPr>
        <w:sectPr>
          <w:pgSz w:w="11900" w:h="16838" w:orient="portrait"/>
          <w:cols w:equalWidth="0" w:num="2">
            <w:col w:w="2360" w:space="720"/>
            <w:col w:w="8160"/>
          </w:cols>
          <w:pgMar w:left="320" w:top="1084" w:right="339" w:bottom="1440" w:gutter="0" w:footer="0" w:header="0"/>
          <w:type w:val="continuous"/>
        </w:sectPr>
      </w:pPr>
    </w:p>
    <w:p>
      <w:pPr>
        <w:spacing w:after="0" w:line="21" w:lineRule="exact"/>
        <w:rPr>
          <w:rFonts w:ascii="Arial" w:cs="Arial" w:eastAsia="Arial" w:hAnsi="Arial"/>
          <w:sz w:val="15"/>
          <w:szCs w:val="15"/>
          <w:color w:val="auto"/>
        </w:rPr>
      </w:pPr>
    </w:p>
    <w:p>
      <w:pPr>
        <w:ind w:left="1540"/>
        <w:spacing w:after="0"/>
        <w:rPr>
          <w:sz w:val="20"/>
          <w:szCs w:val="20"/>
          <w:color w:val="auto"/>
        </w:rPr>
      </w:pPr>
      <w:r>
        <w:rPr>
          <w:rFonts w:ascii="Arial" w:cs="Arial" w:eastAsia="Arial" w:hAnsi="Arial"/>
          <w:sz w:val="14"/>
          <w:szCs w:val="14"/>
          <w:color w:val="auto"/>
        </w:rPr>
        <w:t>(d)</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1" w:lineRule="exact"/>
        <w:rPr>
          <w:rFonts w:ascii="Arial" w:cs="Arial" w:eastAsia="Arial" w:hAnsi="Arial"/>
          <w:sz w:val="15"/>
          <w:szCs w:val="15"/>
          <w:color w:val="auto"/>
        </w:rPr>
      </w:pPr>
    </w:p>
    <w:p>
      <w:pPr>
        <w:ind w:right="80"/>
        <w:spacing w:after="0" w:line="241" w:lineRule="auto"/>
        <w:rPr>
          <w:rFonts w:ascii="Arial" w:cs="Arial" w:eastAsia="Arial" w:hAnsi="Arial"/>
          <w:sz w:val="15"/>
          <w:szCs w:val="15"/>
          <w:color w:val="auto"/>
        </w:rPr>
      </w:pPr>
      <w:r>
        <w:rPr>
          <w:rFonts w:ascii="Arial" w:cs="Arial" w:eastAsia="Arial" w:hAnsi="Arial"/>
          <w:sz w:val="15"/>
          <w:szCs w:val="15"/>
          <w:color w:val="auto"/>
        </w:rPr>
        <w:t xml:space="preserve">the description of the Registrant’s securities contained in </w:t>
      </w:r>
      <w:hyperlink r:id="rId18">
        <w:r>
          <w:rPr>
            <w:rFonts w:ascii="Arial" w:cs="Arial" w:eastAsia="Arial" w:hAnsi="Arial"/>
            <w:sz w:val="15"/>
            <w:szCs w:val="15"/>
            <w:color w:val="0000FF"/>
          </w:rPr>
          <w:t>Exhibit 4.1</w:t>
        </w:r>
        <w:r>
          <w:rPr>
            <w:rFonts w:ascii="Arial" w:cs="Arial" w:eastAsia="Arial" w:hAnsi="Arial"/>
            <w:sz w:val="15"/>
            <w:szCs w:val="15"/>
            <w:color w:val="auto"/>
          </w:rPr>
          <w:t xml:space="preserve"> </w:t>
        </w:r>
      </w:hyperlink>
      <w:r>
        <w:rPr>
          <w:rFonts w:ascii="Arial" w:cs="Arial" w:eastAsia="Arial" w:hAnsi="Arial"/>
          <w:sz w:val="15"/>
          <w:szCs w:val="15"/>
          <w:color w:val="auto"/>
        </w:rPr>
        <w:t>of the Registrant’s Annual Report on Form 10-K for the fiscal year ended December 31, 2022.</w:t>
      </w:r>
    </w:p>
    <w:p>
      <w:pPr>
        <w:spacing w:after="0" w:line="200" w:lineRule="exact"/>
        <w:rPr>
          <w:rFonts w:ascii="Arial" w:cs="Arial" w:eastAsia="Arial" w:hAnsi="Arial"/>
          <w:sz w:val="15"/>
          <w:szCs w:val="15"/>
          <w:color w:val="auto"/>
        </w:rPr>
      </w:pPr>
    </w:p>
    <w:p>
      <w:pPr>
        <w:sectPr>
          <w:pgSz w:w="11900" w:h="16838" w:orient="portrait"/>
          <w:cols w:equalWidth="0" w:num="2">
            <w:col w:w="2360" w:space="720"/>
            <w:col w:w="8160"/>
          </w:cols>
          <w:pgMar w:left="320" w:top="1084" w:right="339" w:bottom="1440" w:gutter="0" w:footer="0" w:header="0"/>
          <w:type w:val="continuous"/>
        </w:sectPr>
      </w:pPr>
    </w:p>
    <w:p>
      <w:pPr>
        <w:spacing w:after="0" w:line="79" w:lineRule="exact"/>
        <w:rPr>
          <w:rFonts w:ascii="Arial" w:cs="Arial" w:eastAsia="Arial" w:hAnsi="Arial"/>
          <w:sz w:val="15"/>
          <w:szCs w:val="15"/>
          <w:color w:val="auto"/>
        </w:rPr>
      </w:pPr>
    </w:p>
    <w:p>
      <w:pPr>
        <w:ind w:right="20" w:firstLine="139"/>
        <w:spacing w:after="0" w:line="279" w:lineRule="auto"/>
        <w:rPr>
          <w:sz w:val="20"/>
          <w:szCs w:val="20"/>
          <w:color w:val="auto"/>
        </w:rPr>
      </w:pPr>
      <w:r>
        <w:rPr>
          <w:rFonts w:ascii="Arial" w:cs="Arial" w:eastAsia="Arial" w:hAnsi="Arial"/>
          <w:sz w:val="15"/>
          <w:szCs w:val="15"/>
          <w:color w:val="auto"/>
        </w:rPr>
        <w:t>All documents subsequently filed by the Registrant pursuant to Sections 13(a), 13(c), 14 and 15(d) of the Securities Exchange Act of 1934, as amended, after the date of this Registration Statement and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82" w:lineRule="exact"/>
        <w:rPr>
          <w:rFonts w:ascii="Arial" w:cs="Arial" w:eastAsia="Arial" w:hAnsi="Arial"/>
          <w:sz w:val="15"/>
          <w:szCs w:val="15"/>
          <w:color w:val="auto"/>
        </w:rPr>
      </w:pPr>
    </w:p>
    <w:p>
      <w:pPr>
        <w:ind w:right="300" w:firstLine="139"/>
        <w:spacing w:after="0" w:line="279" w:lineRule="auto"/>
        <w:rPr>
          <w:sz w:val="20"/>
          <w:szCs w:val="20"/>
          <w:color w:val="auto"/>
        </w:rPr>
      </w:pPr>
      <w:r>
        <w:rPr>
          <w:rFonts w:ascii="Arial" w:cs="Arial" w:eastAsia="Arial" w:hAnsi="Arial"/>
          <w:sz w:val="15"/>
          <w:szCs w:val="15"/>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084" w:right="339" w:bottom="1440" w:gutter="0" w:footer="0" w:header="0"/>
          <w:type w:val="continuous"/>
        </w:sectPr>
      </w:pPr>
    </w:p>
    <w:bookmarkStart w:id="2" w:name="page3"/>
    <w:bookmarkEnd w:id="2"/>
    <w:p>
      <w:pPr>
        <w:ind w:right="580" w:firstLine="139"/>
        <w:spacing w:after="0" w:line="305" w:lineRule="auto"/>
        <w:rPr>
          <w:sz w:val="20"/>
          <w:szCs w:val="20"/>
          <w:color w:val="auto"/>
        </w:rPr>
      </w:pPr>
      <w:r>
        <w:rPr>
          <w:rFonts w:ascii="Arial" w:cs="Arial" w:eastAsia="Arial" w:hAnsi="Arial"/>
          <w:sz w:val="15"/>
          <w:szCs w:val="15"/>
          <w:color w:val="auto"/>
        </w:rPr>
        <w:t>Subject to the foregoing, all information appearing in this Registration Statement is qualified in its entirety by the information appearing in the documents incorporated by reference in this Registration Statement.</w:t>
      </w:r>
    </w:p>
    <w:p>
      <w:pPr>
        <w:spacing w:after="0" w:line="181"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Exhibits.</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exhibits to this Registration Statement are described below.</w:t>
      </w:r>
    </w:p>
    <w:p>
      <w:pPr>
        <w:spacing w:after="0" w:line="250" w:lineRule="exact"/>
        <w:rPr>
          <w:sz w:val="20"/>
          <w:szCs w:val="20"/>
          <w:color w:val="auto"/>
        </w:rPr>
      </w:pPr>
    </w:p>
    <w:p>
      <w:pPr>
        <w:ind w:left="220"/>
        <w:spacing w:after="0"/>
        <w:tabs>
          <w:tab w:leader="none" w:pos="6180" w:val="left"/>
        </w:tabs>
        <w:rPr>
          <w:sz w:val="20"/>
          <w:szCs w:val="20"/>
          <w:color w:val="auto"/>
        </w:rPr>
      </w:pPr>
      <w:r>
        <w:rPr>
          <w:rFonts w:ascii="Arial" w:cs="Arial" w:eastAsia="Arial" w:hAnsi="Arial"/>
          <w:sz w:val="15"/>
          <w:szCs w:val="15"/>
          <w:b w:val="1"/>
          <w:bCs w:val="1"/>
          <w:color w:val="auto"/>
        </w:rPr>
        <w:t>Exhibit 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45" w:lineRule="exact"/>
        <w:rPr>
          <w:sz w:val="20"/>
          <w:szCs w:val="20"/>
          <w:color w:val="auto"/>
        </w:rPr>
      </w:pPr>
    </w:p>
    <w:p>
      <w:pPr>
        <w:ind w:left="1660" w:hanging="328"/>
        <w:spacing w:after="0" w:line="273" w:lineRule="auto"/>
        <w:tabs>
          <w:tab w:leader="none" w:pos="1640" w:val="left"/>
        </w:tabs>
        <w:rPr>
          <w:rFonts w:ascii="Arial" w:cs="Arial" w:eastAsia="Arial" w:hAnsi="Arial"/>
          <w:sz w:val="15"/>
          <w:szCs w:val="15"/>
          <w:color w:val="0000FF"/>
        </w:rPr>
      </w:pPr>
      <w:r>
        <w:rPr>
          <w:rFonts w:ascii="Arial" w:cs="Arial" w:eastAsia="Arial" w:hAnsi="Arial"/>
          <w:sz w:val="15"/>
          <w:szCs w:val="15"/>
          <w:color w:val="auto"/>
        </w:rPr>
        <w:t>4.1</w:t>
      </w:r>
      <w:r>
        <w:rPr>
          <w:rFonts w:ascii="Arial" w:cs="Arial" w:eastAsia="Arial" w:hAnsi="Arial"/>
          <w:sz w:val="15"/>
          <w:szCs w:val="15"/>
          <w:color w:val="0000FF"/>
        </w:rPr>
        <w:tab/>
      </w:r>
      <w:hyperlink r:id="rId20">
        <w:r>
          <w:rPr>
            <w:rFonts w:ascii="Arial" w:cs="Arial" w:eastAsia="Arial" w:hAnsi="Arial"/>
            <w:sz w:val="15"/>
            <w:szCs w:val="15"/>
            <w:color w:val="0000FF"/>
          </w:rPr>
          <w:t>Amended Articles of Association of LivaNova PLC, effective as from June 29, 2020 (incorporated by reference to Exhibit 3.1 to the Registrant’s Quarterly</w:t>
        </w:r>
      </w:hyperlink>
      <w:r>
        <w:rPr>
          <w:rFonts w:ascii="Arial" w:cs="Arial" w:eastAsia="Arial" w:hAnsi="Arial"/>
          <w:sz w:val="15"/>
          <w:szCs w:val="15"/>
          <w:color w:val="0000FF"/>
        </w:rPr>
        <w:t xml:space="preserve"> </w:t>
      </w:r>
      <w:hyperlink r:id="rId20">
        <w:r>
          <w:rPr>
            <w:rFonts w:ascii="Arial" w:cs="Arial" w:eastAsia="Arial" w:hAnsi="Arial"/>
            <w:sz w:val="15"/>
            <w:szCs w:val="15"/>
            <w:color w:val="0000FF"/>
          </w:rPr>
          <w:t>Report on Form 10-Q, filed on July 29, 2020 (File No. 001-37599))</w:t>
        </w:r>
      </w:hyperlink>
    </w:p>
    <w:p>
      <w:pPr>
        <w:spacing w:after="0" w:line="233"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4"/>
          <w:szCs w:val="14"/>
          <w:color w:val="0000FF"/>
        </w:rPr>
        <w:t>Opinion of Cleary Gottlieb Steen &amp; Hamilton LLP</w:t>
      </w:r>
    </w:p>
    <w:p>
      <w:pPr>
        <w:spacing w:after="0" w:line="279" w:lineRule="exact"/>
        <w:rPr>
          <w:sz w:val="20"/>
          <w:szCs w:val="20"/>
          <w:color w:val="auto"/>
        </w:rPr>
      </w:pPr>
    </w:p>
    <w:p>
      <w:pPr>
        <w:ind w:left="1240"/>
        <w:spacing w:after="0"/>
        <w:tabs>
          <w:tab w:leader="none" w:pos="1640" w:val="left"/>
        </w:tabs>
        <w:rPr>
          <w:rFonts w:ascii="Arial" w:cs="Arial" w:eastAsia="Arial" w:hAnsi="Arial"/>
          <w:sz w:val="14"/>
          <w:szCs w:val="14"/>
          <w:color w:val="0000FF"/>
        </w:rPr>
      </w:pPr>
      <w:r>
        <w:rPr>
          <w:rFonts w:ascii="Arial" w:cs="Arial" w:eastAsia="Arial" w:hAnsi="Arial"/>
          <w:sz w:val="15"/>
          <w:szCs w:val="15"/>
          <w:color w:val="auto"/>
        </w:rPr>
        <w:t>10.1</w:t>
      </w:r>
      <w:r>
        <w:rPr>
          <w:sz w:val="20"/>
          <w:szCs w:val="20"/>
          <w:color w:val="auto"/>
        </w:rPr>
        <w:tab/>
      </w:r>
      <w:hyperlink r:id="rId21">
        <w:r>
          <w:rPr>
            <w:rFonts w:ascii="Arial" w:cs="Arial" w:eastAsia="Arial" w:hAnsi="Arial"/>
            <w:sz w:val="14"/>
            <w:szCs w:val="14"/>
            <w:color w:val="0000FF"/>
          </w:rPr>
          <w:t>Amended and Restated LivaNova PLC 2022 Incentive Award Plan (incorporated by reference to Exhibit 10.1 to the Registrant’s Current Report on Form</w:t>
        </w:r>
      </w:hyperlink>
    </w:p>
    <w:p>
      <w:pPr>
        <w:spacing w:after="0" w:line="2" w:lineRule="exact"/>
        <w:rPr>
          <w:sz w:val="20"/>
          <w:szCs w:val="20"/>
          <w:color w:val="auto"/>
        </w:rPr>
      </w:pPr>
    </w:p>
    <w:p>
      <w:pPr>
        <w:ind w:left="1660"/>
        <w:spacing w:after="0"/>
        <w:rPr>
          <w:rFonts w:ascii="Arial" w:cs="Arial" w:eastAsia="Arial" w:hAnsi="Arial"/>
          <w:sz w:val="15"/>
          <w:szCs w:val="15"/>
          <w:color w:val="0000FF"/>
        </w:rPr>
      </w:pPr>
      <w:hyperlink r:id="rId21">
        <w:r>
          <w:rPr>
            <w:rFonts w:ascii="Arial" w:cs="Arial" w:eastAsia="Arial" w:hAnsi="Arial"/>
            <w:sz w:val="15"/>
            <w:szCs w:val="15"/>
            <w:color w:val="0000FF"/>
          </w:rPr>
          <w:t>8-K, filed on June 16, 2023 (File No. 001-37599))</w:t>
        </w:r>
      </w:hyperlink>
    </w:p>
    <w:p>
      <w:pPr>
        <w:spacing w:after="0" w:line="267"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4"/>
          <w:szCs w:val="14"/>
          <w:color w:val="0000FF"/>
        </w:rPr>
        <w:t>Consent of Cleary Gottlieb Steen &amp; Hamilton LLP (included in Exhibit 5.1)</w:t>
      </w:r>
    </w:p>
    <w:p>
      <w:pPr>
        <w:spacing w:after="0" w:line="279"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5"/>
          <w:szCs w:val="15"/>
          <w:color w:val="auto"/>
        </w:rPr>
        <w:t>23.2</w:t>
      </w:r>
      <w:r>
        <w:rPr>
          <w:sz w:val="20"/>
          <w:szCs w:val="20"/>
          <w:color w:val="auto"/>
        </w:rPr>
        <w:tab/>
      </w:r>
      <w:r>
        <w:rPr>
          <w:rFonts w:ascii="Arial" w:cs="Arial" w:eastAsia="Arial" w:hAnsi="Arial"/>
          <w:sz w:val="13"/>
          <w:szCs w:val="13"/>
          <w:color w:val="0000FF"/>
        </w:rPr>
        <w:t>Consent of PricewaterhouseCoopers LLP</w:t>
      </w:r>
    </w:p>
    <w:p>
      <w:pPr>
        <w:spacing w:after="0" w:line="279"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0000FF"/>
        </w:rPr>
        <w:t>Power of Attorney (included on the signature page hereto)</w:t>
      </w:r>
    </w:p>
    <w:p>
      <w:pPr>
        <w:spacing w:after="0" w:line="279" w:lineRule="exact"/>
        <w:rPr>
          <w:sz w:val="20"/>
          <w:szCs w:val="20"/>
          <w:color w:val="auto"/>
        </w:rPr>
      </w:pPr>
    </w:p>
    <w:p>
      <w:pPr>
        <w:ind w:left="1660" w:hanging="373"/>
        <w:spacing w:after="0"/>
        <w:tabs>
          <w:tab w:leader="none" w:pos="1660" w:val="left"/>
        </w:tabs>
        <w:numPr>
          <w:ilvl w:val="0"/>
          <w:numId w:val="1"/>
        </w:numPr>
        <w:rPr>
          <w:rFonts w:ascii="Arial" w:cs="Arial" w:eastAsia="Arial" w:hAnsi="Arial"/>
          <w:sz w:val="15"/>
          <w:szCs w:val="15"/>
          <w:color w:val="auto"/>
        </w:rPr>
      </w:pPr>
      <w:r>
        <w:rPr>
          <w:rFonts w:ascii="Arial" w:cs="Arial" w:eastAsia="Arial" w:hAnsi="Arial"/>
          <w:sz w:val="15"/>
          <w:szCs w:val="15"/>
          <w:color w:val="0000FF"/>
        </w:rPr>
        <w:t>Filing Fee Table</w:t>
      </w:r>
    </w:p>
    <w:p>
      <w:pPr>
        <w:sectPr>
          <w:pgSz w:w="11900" w:h="16838" w:orient="portrait"/>
          <w:cols w:equalWidth="0" w:num="1">
            <w:col w:w="11220"/>
          </w:cols>
          <w:pgMar w:left="320" w:top="1310"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SIGNATURES</w:t>
      </w:r>
    </w:p>
    <w:p>
      <w:pPr>
        <w:spacing w:after="0" w:line="227" w:lineRule="exact"/>
        <w:rPr>
          <w:sz w:val="20"/>
          <w:szCs w:val="20"/>
          <w:color w:val="auto"/>
        </w:rPr>
      </w:pPr>
    </w:p>
    <w:p>
      <w:pPr>
        <w:ind w:firstLine="139"/>
        <w:spacing w:after="0" w:line="344"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London, United Kingdom, on July 26, 2023.</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LivaNova PLC</w:t>
      </w:r>
    </w:p>
    <w:p>
      <w:pPr>
        <w:spacing w:after="0" w:line="279" w:lineRule="exact"/>
        <w:rPr>
          <w:sz w:val="20"/>
          <w:szCs w:val="20"/>
          <w:color w:val="auto"/>
        </w:rPr>
      </w:pPr>
    </w:p>
    <w:p>
      <w:pPr>
        <w:ind w:left="680"/>
        <w:spacing w:after="0"/>
        <w:tabs>
          <w:tab w:leader="none" w:pos="14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29210</wp:posOffset>
            </wp:positionV>
            <wp:extent cx="62401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extLst>
                    </a:blip>
                    <a:srcRect/>
                    <a:stretch>
                      <a:fillRect/>
                    </a:stretch>
                  </pic:blipFill>
                  <pic:spPr bwMode="auto">
                    <a:xfrm>
                      <a:off x="0" y="0"/>
                      <a:ext cx="6240145" cy="7620"/>
                    </a:xfrm>
                    <a:prstGeom prst="rect">
                      <a:avLst/>
                    </a:prstGeom>
                    <a:noFill/>
                  </pic:spPr>
                </pic:pic>
              </a:graphicData>
            </a:graphic>
          </wp:anchor>
        </w:drawing>
      </w:r>
    </w:p>
    <w:p>
      <w:pPr>
        <w:spacing w:after="0" w:line="3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William A. Kozy</w:t>
      </w:r>
    </w:p>
    <w:p>
      <w:pPr>
        <w:spacing w:after="0" w:line="4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Interim Chief Executive Officer and Chair of the Board</w:t>
      </w:r>
    </w:p>
    <w:p>
      <w:pPr>
        <w:sectPr>
          <w:pgSz w:w="11900" w:h="16838" w:orient="portrait"/>
          <w:cols w:equalWidth="0" w:num="1">
            <w:col w:w="11260"/>
          </w:cols>
          <w:pgMar w:left="320" w:top="1292"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5"/>
          <w:szCs w:val="15"/>
          <w:b w:val="1"/>
          <w:bCs w:val="1"/>
          <w:color w:val="auto"/>
        </w:rPr>
        <w:t>POWER OF ATTORNEY</w:t>
      </w:r>
    </w:p>
    <w:p>
      <w:pPr>
        <w:spacing w:after="0" w:line="227" w:lineRule="exact"/>
        <w:rPr>
          <w:sz w:val="20"/>
          <w:szCs w:val="20"/>
          <w:color w:val="auto"/>
        </w:rPr>
      </w:pPr>
    </w:p>
    <w:p>
      <w:pPr>
        <w:ind w:firstLine="139"/>
        <w:spacing w:after="0" w:line="273"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Michael Hutchinson as his or her true and lawful attorney-in-fact and agent with full power of 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pacing w:after="0" w:line="53" w:lineRule="exact"/>
        <w:rPr>
          <w:sz w:val="20"/>
          <w:szCs w:val="20"/>
          <w:color w:val="auto"/>
        </w:rPr>
      </w:pPr>
    </w:p>
    <w:tbl>
      <w:tblPr>
        <w:tblLayout w:type="fixed"/>
        <w:tblInd w:w="140" w:type="dxa"/>
        <w:tblCellMar>
          <w:top w:w="0" w:type="dxa"/>
          <w:left w:w="0" w:type="dxa"/>
          <w:bottom w:w="0" w:type="dxa"/>
          <w:right w:w="0" w:type="dxa"/>
        </w:tblCellMar>
      </w:tblPr>
      <w:tr>
        <w:trPr>
          <w:trHeight w:val="201"/>
        </w:trPr>
        <w:tc>
          <w:tcPr>
            <w:tcW w:w="2760" w:type="dxa"/>
            <w:vAlign w:val="bottom"/>
          </w:tcPr>
          <w:p>
            <w:pPr>
              <w:spacing w:after="0"/>
              <w:rPr>
                <w:sz w:val="20"/>
                <w:szCs w:val="20"/>
                <w:color w:val="auto"/>
              </w:rPr>
            </w:pPr>
            <w:r>
              <w:rPr>
                <w:rFonts w:ascii="Arial" w:cs="Arial" w:eastAsia="Arial" w:hAnsi="Arial"/>
                <w:sz w:val="15"/>
                <w:szCs w:val="15"/>
                <w:b w:val="1"/>
                <w:bCs w:val="1"/>
                <w:color w:val="auto"/>
              </w:rPr>
              <w:t>Signature</w:t>
            </w:r>
          </w:p>
        </w:tc>
        <w:tc>
          <w:tcPr>
            <w:tcW w:w="100" w:type="dxa"/>
            <w:vAlign w:val="bottom"/>
          </w:tcPr>
          <w:p>
            <w:pPr>
              <w:spacing w:after="0"/>
              <w:rPr>
                <w:sz w:val="17"/>
                <w:szCs w:val="17"/>
                <w:color w:val="auto"/>
              </w:rPr>
            </w:pPr>
          </w:p>
        </w:tc>
        <w:tc>
          <w:tcPr>
            <w:tcW w:w="656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100" w:type="dxa"/>
            <w:vAlign w:val="bottom"/>
          </w:tcPr>
          <w:p>
            <w:pPr>
              <w:spacing w:after="0"/>
              <w:rPr>
                <w:sz w:val="17"/>
                <w:szCs w:val="17"/>
                <w:color w:val="auto"/>
              </w:rPr>
            </w:pPr>
          </w:p>
        </w:tc>
        <w:tc>
          <w:tcPr>
            <w:tcW w:w="1540" w:type="dxa"/>
            <w:vAlign w:val="bottom"/>
          </w:tcPr>
          <w:p>
            <w:pPr>
              <w:ind w:left="2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1"/>
        </w:trPr>
        <w:tc>
          <w:tcPr>
            <w:tcW w:w="2760" w:type="dxa"/>
            <w:vAlign w:val="bottom"/>
            <w:vMerge w:val="restart"/>
          </w:tcPr>
          <w:p>
            <w:pPr>
              <w:spacing w:after="0"/>
              <w:rPr>
                <w:sz w:val="20"/>
                <w:szCs w:val="20"/>
                <w:color w:val="auto"/>
              </w:rPr>
            </w:pPr>
            <w:r>
              <w:rPr>
                <w:rFonts w:ascii="Arial" w:cs="Arial" w:eastAsia="Arial" w:hAnsi="Arial"/>
                <w:sz w:val="15"/>
                <w:szCs w:val="15"/>
                <w:color w:val="auto"/>
              </w:rPr>
              <w:t>/s/ William A. Kozy</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Interim Chief Executive Officer and Chair of the Board</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06"/>
        </w:trPr>
        <w:tc>
          <w:tcPr>
            <w:tcW w:w="2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(Principal Executive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5"/>
                <w:szCs w:val="15"/>
                <w:color w:val="auto"/>
              </w:rPr>
              <w:t>William A. Kozy</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2760" w:type="dxa"/>
            <w:vAlign w:val="bottom"/>
            <w:vMerge w:val="restart"/>
          </w:tcPr>
          <w:p>
            <w:pPr>
              <w:spacing w:after="0"/>
              <w:rPr>
                <w:sz w:val="20"/>
                <w:szCs w:val="20"/>
                <w:color w:val="auto"/>
              </w:rPr>
            </w:pPr>
            <w:r>
              <w:rPr>
                <w:rFonts w:ascii="Arial" w:cs="Arial" w:eastAsia="Arial" w:hAnsi="Arial"/>
                <w:sz w:val="15"/>
                <w:szCs w:val="15"/>
                <w:color w:val="auto"/>
              </w:rPr>
              <w:t>/s/ Alex Shvartsburg</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06"/>
        </w:trPr>
        <w:tc>
          <w:tcPr>
            <w:tcW w:w="2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(Principal Accounting and Financial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5"/>
                <w:szCs w:val="15"/>
                <w:color w:val="auto"/>
              </w:rPr>
              <w:t>Alex Shvartsburg</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Francesco Bianchi</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Francesco Bianchi</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Stacy Enxing Seng</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Stacy Enxing Seng</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Daniel J. Moore</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Daniel J. Moore</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Sharon O’Kane</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Sharon O’Kane</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Andrea L. Saia</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5"/>
                <w:szCs w:val="15"/>
                <w:color w:val="auto"/>
              </w:rPr>
              <w:t>Andrea L. Saia</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Todd C. Schermerhorn</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Todd C. Schermerhorn</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Brooke Story</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Brooke Story</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Peter Wilver</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Director</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Peter Wilver</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5"/>
                <w:szCs w:val="15"/>
                <w:color w:val="auto"/>
              </w:rPr>
              <w:t>/s/ Kevin Smith</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5"/>
                <w:szCs w:val="15"/>
                <w:color w:val="auto"/>
              </w:rPr>
              <w:t>Authorized Representative in the United States</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July 26, 2023</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Kevin Smith</w:t>
            </w:r>
          </w:p>
        </w:tc>
        <w:tc>
          <w:tcPr>
            <w:tcW w:w="1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4" w:right="339" w:bottom="1440" w:gutter="0" w:footer="0" w:header="0"/>
        </w:sectPr>
      </w:pPr>
    </w:p>
    <w:bookmarkStart w:id="5" w:name="page6"/>
    <w:bookmarkEnd w:id="5"/>
    <w:p>
      <w:pPr>
        <w:ind w:left="10500"/>
        <w:spacing w:after="0"/>
        <w:rPr>
          <w:sz w:val="20"/>
          <w:szCs w:val="20"/>
          <w:color w:val="auto"/>
        </w:rPr>
      </w:pPr>
      <w:r>
        <w:rPr>
          <w:rFonts w:ascii="Arial" w:cs="Arial" w:eastAsia="Arial" w:hAnsi="Arial"/>
          <w:sz w:val="14"/>
          <w:szCs w:val="14"/>
          <w:b w:val="1"/>
          <w:bCs w:val="1"/>
          <w:color w:val="auto"/>
        </w:rPr>
        <w:t>Exhibit 107</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CALCULATION OF FILING FEE TABLES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Form S-8</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Type)</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LivaNova PLC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Table 1: Newly Registered Securities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140" w:type="dxa"/>
            <w:vAlign w:val="bottom"/>
            <w:tcBorders>
              <w:top w:val="single" w:sz="8" w:color="auto"/>
              <w:left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spacing w:after="0"/>
              <w:rPr>
                <w:sz w:val="15"/>
                <w:szCs w:val="15"/>
                <w:color w:val="auto"/>
              </w:rPr>
            </w:pPr>
          </w:p>
        </w:tc>
        <w:tc>
          <w:tcPr>
            <w:tcW w:w="132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Proposed</w:t>
            </w:r>
          </w:p>
        </w:tc>
        <w:tc>
          <w:tcPr>
            <w:tcW w:w="2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740" w:type="dxa"/>
            <w:vAlign w:val="bottom"/>
            <w:tcBorders>
              <w:top w:val="single" w:sz="8" w:color="auto"/>
              <w:right w:val="single" w:sz="8" w:color="auto"/>
            </w:tcBorders>
          </w:tcPr>
          <w:p>
            <w:pPr>
              <w:spacing w:after="0"/>
              <w:rPr>
                <w:sz w:val="15"/>
                <w:szCs w:val="15"/>
                <w:color w:val="auto"/>
              </w:rPr>
            </w:pPr>
          </w:p>
        </w:tc>
      </w:tr>
      <w:tr>
        <w:trPr>
          <w:trHeight w:val="174"/>
        </w:trPr>
        <w:tc>
          <w:tcPr>
            <w:tcW w:w="114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Maximum</w:t>
            </w:r>
          </w:p>
        </w:tc>
        <w:tc>
          <w:tcPr>
            <w:tcW w:w="20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r>
      <w:tr>
        <w:trPr>
          <w:trHeight w:val="174"/>
        </w:trPr>
        <w:tc>
          <w:tcPr>
            <w:tcW w:w="114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Security Class</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Fee Calculation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Amount to be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Offering Price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Maximum Aggregate Offering</w:t>
            </w:r>
          </w:p>
        </w:tc>
        <w:tc>
          <w:tcPr>
            <w:tcW w:w="11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Amount of Registration</w:t>
            </w:r>
          </w:p>
        </w:tc>
      </w:tr>
      <w:tr>
        <w:trPr>
          <w:trHeight w:val="22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auto"/>
                <w:w w:val="99"/>
              </w:rPr>
              <w:t>Security Type</w:t>
            </w:r>
          </w:p>
        </w:tc>
        <w:tc>
          <w:tcPr>
            <w:tcW w:w="11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5"/>
                <w:szCs w:val="15"/>
                <w:b w:val="1"/>
                <w:bCs w:val="1"/>
                <w:color w:val="auto"/>
              </w:rPr>
              <w:t>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Rule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Registered</w:t>
            </w:r>
            <w:r>
              <w:rPr>
                <w:rFonts w:ascii="Arial" w:cs="Arial" w:eastAsia="Arial" w:hAnsi="Arial"/>
                <w:sz w:val="19"/>
                <w:szCs w:val="19"/>
                <w:b w:val="1"/>
                <w:bCs w:val="1"/>
                <w:color w:val="auto"/>
                <w:w w:val="88"/>
                <w:vertAlign w:val="superscript"/>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Per Unit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Fee Rate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Fee</w:t>
            </w:r>
          </w:p>
        </w:tc>
      </w:tr>
      <w:tr>
        <w:trPr>
          <w:trHeight w:val="166"/>
        </w:trPr>
        <w:tc>
          <w:tcPr>
            <w:tcW w:w="1140" w:type="dxa"/>
            <w:vAlign w:val="bottom"/>
            <w:tcBorders>
              <w:left w:val="single" w:sz="8" w:color="auto"/>
              <w:right w:val="single" w:sz="8" w:color="auto"/>
            </w:tcBorders>
          </w:tcPr>
          <w:p>
            <w:pPr>
              <w:ind w:left="360"/>
              <w:spacing w:after="0" w:line="167" w:lineRule="exact"/>
              <w:rPr>
                <w:sz w:val="20"/>
                <w:szCs w:val="20"/>
                <w:color w:val="auto"/>
              </w:rPr>
            </w:pPr>
            <w:r>
              <w:rPr>
                <w:rFonts w:ascii="Arial" w:cs="Arial" w:eastAsia="Arial" w:hAnsi="Arial"/>
                <w:sz w:val="15"/>
                <w:szCs w:val="15"/>
                <w:color w:val="auto"/>
              </w:rPr>
              <w:t>Equity</w:t>
            </w:r>
          </w:p>
        </w:tc>
        <w:tc>
          <w:tcPr>
            <w:tcW w:w="116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1"/>
              </w:rPr>
              <w:t>Ordinary Shares,</w:t>
            </w:r>
          </w:p>
        </w:tc>
        <w:tc>
          <w:tcPr>
            <w:tcW w:w="13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86"/>
              </w:rPr>
              <w:t>Other</w:t>
            </w:r>
            <w:r>
              <w:rPr>
                <w:rFonts w:ascii="Arial" w:cs="Arial" w:eastAsia="Arial" w:hAnsi="Arial"/>
                <w:sz w:val="19"/>
                <w:szCs w:val="19"/>
                <w:color w:val="auto"/>
                <w:w w:val="86"/>
                <w:vertAlign w:val="superscript"/>
              </w:rPr>
              <w:t>(2)</w:t>
            </w:r>
          </w:p>
        </w:tc>
        <w:tc>
          <w:tcPr>
            <w:tcW w:w="14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4"/>
              </w:rPr>
              <w:t>1,300,000 Ordinary</w:t>
            </w:r>
          </w:p>
        </w:tc>
        <w:tc>
          <w:tcPr>
            <w:tcW w:w="12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87"/>
              </w:rPr>
              <w:t>$52.60</w:t>
            </w:r>
            <w:r>
              <w:rPr>
                <w:rFonts w:ascii="Arial" w:cs="Arial" w:eastAsia="Arial" w:hAnsi="Arial"/>
                <w:sz w:val="19"/>
                <w:szCs w:val="19"/>
                <w:color w:val="auto"/>
                <w:w w:val="87"/>
                <w:vertAlign w:val="superscript"/>
              </w:rPr>
              <w:t>(2)</w:t>
            </w:r>
          </w:p>
        </w:tc>
        <w:tc>
          <w:tcPr>
            <w:tcW w:w="2080" w:type="dxa"/>
            <w:vAlign w:val="bottom"/>
            <w:tcBorders>
              <w:right w:val="single" w:sz="8" w:color="auto"/>
            </w:tcBorders>
          </w:tcPr>
          <w:p>
            <w:pPr>
              <w:jc w:val="center"/>
              <w:ind w:right="503"/>
              <w:spacing w:after="0" w:line="166" w:lineRule="exact"/>
              <w:rPr>
                <w:sz w:val="20"/>
                <w:szCs w:val="20"/>
                <w:color w:val="auto"/>
              </w:rPr>
            </w:pPr>
            <w:r>
              <w:rPr>
                <w:rFonts w:ascii="Arial" w:cs="Arial" w:eastAsia="Arial" w:hAnsi="Arial"/>
                <w:sz w:val="15"/>
                <w:szCs w:val="15"/>
                <w:color w:val="auto"/>
              </w:rPr>
              <w:t xml:space="preserve">$68,380,000 </w:t>
            </w:r>
            <w:r>
              <w:rPr>
                <w:rFonts w:ascii="Arial" w:cs="Arial" w:eastAsia="Arial" w:hAnsi="Arial"/>
                <w:sz w:val="19"/>
                <w:szCs w:val="19"/>
                <w:color w:val="auto"/>
                <w:vertAlign w:val="superscript"/>
              </w:rPr>
              <w:t>(2)</w:t>
            </w:r>
          </w:p>
        </w:tc>
        <w:tc>
          <w:tcPr>
            <w:tcW w:w="118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9"/>
              </w:rPr>
              <w:t>$110.20 per</w:t>
            </w:r>
          </w:p>
        </w:tc>
        <w:tc>
          <w:tcPr>
            <w:tcW w:w="174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9"/>
              </w:rPr>
              <w:t>$7,535.48</w:t>
            </w:r>
          </w:p>
        </w:tc>
      </w:tr>
      <w:tr>
        <w:trPr>
          <w:trHeight w:val="195"/>
        </w:trPr>
        <w:tc>
          <w:tcPr>
            <w:tcW w:w="11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£1.00 par value</w:t>
            </w:r>
          </w:p>
        </w:tc>
        <w:tc>
          <w:tcPr>
            <w:tcW w:w="13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Shares</w:t>
            </w:r>
          </w:p>
        </w:tc>
        <w:tc>
          <w:tcPr>
            <w:tcW w:w="124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$1,000,000</w:t>
            </w:r>
          </w:p>
        </w:tc>
        <w:tc>
          <w:tcPr>
            <w:tcW w:w="1740" w:type="dxa"/>
            <w:vAlign w:val="bottom"/>
            <w:tcBorders>
              <w:right w:val="single" w:sz="8" w:color="auto"/>
            </w:tcBorders>
          </w:tcPr>
          <w:p>
            <w:pPr>
              <w:spacing w:after="0"/>
              <w:rPr>
                <w:sz w:val="16"/>
                <w:szCs w:val="16"/>
                <w:color w:val="auto"/>
              </w:rPr>
            </w:pPr>
          </w:p>
        </w:tc>
      </w:tr>
      <w:tr>
        <w:trPr>
          <w:trHeight w:val="23"/>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03"/>
        </w:trPr>
        <w:tc>
          <w:tcPr>
            <w:tcW w:w="1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Offering</w:t>
            </w:r>
          </w:p>
        </w:tc>
        <w:tc>
          <w:tcPr>
            <w:tcW w:w="1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Amounts</w:t>
            </w:r>
          </w:p>
        </w:tc>
        <w:tc>
          <w:tcPr>
            <w:tcW w:w="13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jc w:val="right"/>
              <w:ind w:right="603"/>
              <w:spacing w:after="0"/>
              <w:rPr>
                <w:sz w:val="20"/>
                <w:szCs w:val="20"/>
                <w:color w:val="auto"/>
              </w:rPr>
            </w:pPr>
            <w:r>
              <w:rPr>
                <w:rFonts w:ascii="Arial" w:cs="Arial" w:eastAsia="Arial" w:hAnsi="Arial"/>
                <w:sz w:val="15"/>
                <w:szCs w:val="15"/>
                <w:color w:val="auto"/>
              </w:rPr>
              <w:t>$68,380,000</w:t>
            </w:r>
          </w:p>
        </w:tc>
        <w:tc>
          <w:tcPr>
            <w:tcW w:w="11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$7,535.48</w:t>
            </w:r>
          </w:p>
        </w:tc>
      </w:tr>
      <w:tr>
        <w:trPr>
          <w:trHeight w:val="220"/>
        </w:trPr>
        <w:tc>
          <w:tcPr>
            <w:tcW w:w="1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88"/>
              </w:rPr>
              <w:t>Total Fee Offsets</w:t>
            </w:r>
          </w:p>
        </w:tc>
        <w:tc>
          <w:tcPr>
            <w:tcW w:w="1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r>
      <w:tr>
        <w:trPr>
          <w:trHeight w:val="203"/>
        </w:trPr>
        <w:tc>
          <w:tcPr>
            <w:tcW w:w="1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Net Fee Due</w:t>
            </w: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$7,535.48</w:t>
            </w:r>
          </w:p>
        </w:tc>
      </w:tr>
      <w:tr>
        <w:trPr>
          <w:trHeight w:val="267"/>
        </w:trPr>
        <w:tc>
          <w:tcPr>
            <w:tcW w:w="1140" w:type="dxa"/>
            <w:vAlign w:val="bottom"/>
          </w:tcPr>
          <w:p>
            <w:pPr>
              <w:spacing w:after="0"/>
              <w:rPr>
                <w:sz w:val="20"/>
                <w:szCs w:val="20"/>
                <w:color w:val="auto"/>
              </w:rPr>
            </w:pPr>
            <w:r>
              <w:rPr>
                <w:rFonts w:ascii="Arial" w:cs="Arial" w:eastAsia="Arial" w:hAnsi="Arial"/>
                <w:sz w:val="15"/>
                <w:szCs w:val="15"/>
                <w:color w:val="auto"/>
              </w:rPr>
              <w:t>(1)</w:t>
            </w:r>
          </w:p>
        </w:tc>
        <w:tc>
          <w:tcPr>
            <w:tcW w:w="10120" w:type="dxa"/>
            <w:vAlign w:val="bottom"/>
            <w:gridSpan w:val="7"/>
          </w:tcPr>
          <w:p>
            <w:pPr>
              <w:ind w:left="400"/>
              <w:spacing w:after="0"/>
              <w:rPr>
                <w:sz w:val="20"/>
                <w:szCs w:val="20"/>
                <w:color w:val="auto"/>
              </w:rPr>
            </w:pPr>
            <w:r>
              <w:rPr>
                <w:rFonts w:ascii="Arial" w:cs="Arial" w:eastAsia="Arial" w:hAnsi="Arial"/>
                <w:sz w:val="15"/>
                <w:szCs w:val="15"/>
                <w:color w:val="auto"/>
                <w:w w:val="97"/>
              </w:rPr>
              <w:t>Represents 1,300,000 additional ordinary shares par value £1.00 per share of LivaNova PLC (the “Ordinary Shares”) being registered pursuant to the</w:t>
            </w:r>
          </w:p>
        </w:tc>
      </w:tr>
      <w:tr>
        <w:trPr>
          <w:trHeight w:val="174"/>
        </w:trPr>
        <w:tc>
          <w:tcPr>
            <w:tcW w:w="1140" w:type="dxa"/>
            <w:vAlign w:val="bottom"/>
          </w:tcPr>
          <w:p>
            <w:pPr>
              <w:spacing w:after="0"/>
              <w:rPr>
                <w:sz w:val="15"/>
                <w:szCs w:val="15"/>
                <w:color w:val="auto"/>
              </w:rPr>
            </w:pPr>
          </w:p>
        </w:tc>
        <w:tc>
          <w:tcPr>
            <w:tcW w:w="10120" w:type="dxa"/>
            <w:vAlign w:val="bottom"/>
            <w:gridSpan w:val="7"/>
          </w:tcPr>
          <w:p>
            <w:pPr>
              <w:ind w:left="400"/>
              <w:spacing w:after="0"/>
              <w:rPr>
                <w:sz w:val="20"/>
                <w:szCs w:val="20"/>
                <w:color w:val="auto"/>
              </w:rPr>
            </w:pPr>
            <w:r>
              <w:rPr>
                <w:rFonts w:ascii="Arial" w:cs="Arial" w:eastAsia="Arial" w:hAnsi="Arial"/>
                <w:sz w:val="15"/>
                <w:szCs w:val="15"/>
                <w:color w:val="auto"/>
                <w:w w:val="94"/>
              </w:rPr>
              <w:t>Amended and Restated LivaNova PLC 2022 Incentive Award Plan (the “Plan”) and, pursuant to Rule 416(a) under the Securities Act of 1933, as amended</w:t>
            </w:r>
          </w:p>
        </w:tc>
      </w:tr>
      <w:tr>
        <w:trPr>
          <w:trHeight w:val="174"/>
        </w:trPr>
        <w:tc>
          <w:tcPr>
            <w:tcW w:w="1140" w:type="dxa"/>
            <w:vAlign w:val="bottom"/>
          </w:tcPr>
          <w:p>
            <w:pPr>
              <w:spacing w:after="0"/>
              <w:rPr>
                <w:sz w:val="15"/>
                <w:szCs w:val="15"/>
                <w:color w:val="auto"/>
              </w:rPr>
            </w:pPr>
          </w:p>
        </w:tc>
        <w:tc>
          <w:tcPr>
            <w:tcW w:w="10120" w:type="dxa"/>
            <w:vAlign w:val="bottom"/>
            <w:gridSpan w:val="7"/>
          </w:tcPr>
          <w:p>
            <w:pPr>
              <w:ind w:left="400"/>
              <w:spacing w:after="0"/>
              <w:rPr>
                <w:sz w:val="20"/>
                <w:szCs w:val="20"/>
                <w:color w:val="auto"/>
              </w:rPr>
            </w:pPr>
            <w:r>
              <w:rPr>
                <w:rFonts w:ascii="Arial" w:cs="Arial" w:eastAsia="Arial" w:hAnsi="Arial"/>
                <w:sz w:val="15"/>
                <w:szCs w:val="15"/>
                <w:color w:val="auto"/>
                <w:w w:val="95"/>
              </w:rPr>
              <w:t>(the “Securities Act”), an indeterminable number of additional Ordinary Shares that may be offered and issued under the Plan to prevent dilution resulting</w:t>
            </w:r>
          </w:p>
        </w:tc>
      </w:tr>
      <w:tr>
        <w:trPr>
          <w:trHeight w:val="195"/>
        </w:trPr>
        <w:tc>
          <w:tcPr>
            <w:tcW w:w="1140" w:type="dxa"/>
            <w:vAlign w:val="bottom"/>
          </w:tcPr>
          <w:p>
            <w:pPr>
              <w:spacing w:after="0"/>
              <w:rPr>
                <w:sz w:val="16"/>
                <w:szCs w:val="16"/>
                <w:color w:val="auto"/>
              </w:rPr>
            </w:pPr>
          </w:p>
        </w:tc>
        <w:tc>
          <w:tcPr>
            <w:tcW w:w="5120" w:type="dxa"/>
            <w:vAlign w:val="bottom"/>
            <w:gridSpan w:val="4"/>
          </w:tcPr>
          <w:p>
            <w:pPr>
              <w:ind w:left="400"/>
              <w:spacing w:after="0"/>
              <w:rPr>
                <w:sz w:val="20"/>
                <w:szCs w:val="20"/>
                <w:color w:val="auto"/>
              </w:rPr>
            </w:pPr>
            <w:r>
              <w:rPr>
                <w:rFonts w:ascii="Arial" w:cs="Arial" w:eastAsia="Arial" w:hAnsi="Arial"/>
                <w:sz w:val="15"/>
                <w:szCs w:val="15"/>
                <w:color w:val="auto"/>
              </w:rPr>
              <w:t>from stock splits, stock distributions or similar transactions.</w:t>
            </w:r>
          </w:p>
        </w:tc>
        <w:tc>
          <w:tcPr>
            <w:tcW w:w="2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02"/>
        </w:trPr>
        <w:tc>
          <w:tcPr>
            <w:tcW w:w="1140" w:type="dxa"/>
            <w:vAlign w:val="bottom"/>
          </w:tcPr>
          <w:p>
            <w:pPr>
              <w:spacing w:after="0"/>
              <w:rPr>
                <w:sz w:val="20"/>
                <w:szCs w:val="20"/>
                <w:color w:val="auto"/>
              </w:rPr>
            </w:pPr>
            <w:r>
              <w:rPr>
                <w:rFonts w:ascii="Arial" w:cs="Arial" w:eastAsia="Arial" w:hAnsi="Arial"/>
                <w:sz w:val="15"/>
                <w:szCs w:val="15"/>
                <w:color w:val="auto"/>
              </w:rPr>
              <w:t>(2)</w:t>
            </w:r>
          </w:p>
        </w:tc>
        <w:tc>
          <w:tcPr>
            <w:tcW w:w="10120" w:type="dxa"/>
            <w:vAlign w:val="bottom"/>
            <w:gridSpan w:val="7"/>
          </w:tcPr>
          <w:p>
            <w:pPr>
              <w:ind w:left="400"/>
              <w:spacing w:after="0"/>
              <w:rPr>
                <w:sz w:val="20"/>
                <w:szCs w:val="20"/>
                <w:color w:val="auto"/>
              </w:rPr>
            </w:pPr>
            <w:r>
              <w:rPr>
                <w:rFonts w:ascii="Arial" w:cs="Arial" w:eastAsia="Arial" w:hAnsi="Arial"/>
                <w:sz w:val="15"/>
                <w:szCs w:val="15"/>
                <w:color w:val="auto"/>
                <w:w w:val="93"/>
              </w:rPr>
              <w:t>Calculated pursuant to Rule 457(c) and Rule 457(h) under the Securities Act based on a price of $52.60 per ordinary share, which is the average of the high</w:t>
            </w:r>
          </w:p>
        </w:tc>
      </w:tr>
      <w:tr>
        <w:trPr>
          <w:trHeight w:val="195"/>
        </w:trPr>
        <w:tc>
          <w:tcPr>
            <w:tcW w:w="1140" w:type="dxa"/>
            <w:vAlign w:val="bottom"/>
          </w:tcPr>
          <w:p>
            <w:pPr>
              <w:spacing w:after="0"/>
              <w:rPr>
                <w:sz w:val="16"/>
                <w:szCs w:val="16"/>
                <w:color w:val="auto"/>
              </w:rPr>
            </w:pPr>
          </w:p>
        </w:tc>
        <w:tc>
          <w:tcPr>
            <w:tcW w:w="7200" w:type="dxa"/>
            <w:vAlign w:val="bottom"/>
            <w:gridSpan w:val="5"/>
          </w:tcPr>
          <w:p>
            <w:pPr>
              <w:ind w:left="400"/>
              <w:spacing w:after="0"/>
              <w:rPr>
                <w:sz w:val="20"/>
                <w:szCs w:val="20"/>
                <w:color w:val="auto"/>
              </w:rPr>
            </w:pPr>
            <w:r>
              <w:rPr>
                <w:rFonts w:ascii="Arial" w:cs="Arial" w:eastAsia="Arial" w:hAnsi="Arial"/>
                <w:sz w:val="15"/>
                <w:szCs w:val="15"/>
                <w:color w:val="auto"/>
              </w:rPr>
              <w:t>and low price per ordinary share as reported by the Nasdaq Global Select Market on July 19, 2023.</w:t>
            </w: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ectPr>
          <w:pgSz w:w="11900" w:h="16838" w:orient="portrait"/>
          <w:cols w:equalWidth="0" w:num="1">
            <w:col w:w="11260"/>
          </w:cols>
          <w:pgMar w:left="320" w:top="771" w:right="31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5490" cy="1018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709549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92950" cy="10033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9295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54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70954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92950" cy="10033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9295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54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0954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9295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9295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54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0954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Arial" w:cs="Arial" w:eastAsia="Arial" w:hAnsi="Arial"/>
          <w:sz w:val="15"/>
          <w:szCs w:val="15"/>
          <w:b w:val="1"/>
          <w:bCs w:val="1"/>
          <w:color w:val="auto"/>
        </w:rPr>
        <w:t>Exhibit 23.2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256"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We hereby consent to the incorporation by reference in this Registration Statement on Form S-8 of LivaNova PLC of our report dated February 27, 2023 relating to the financial statements and the effectiveness of internal control over financial reporting, which appears in LivaNova PLC’s Annual Report on Form 10-K for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July 26, 2023</w:t>
      </w:r>
    </w:p>
    <w:sectPr>
      <w:pgSz w:w="11900" w:h="16838" w:orient="portrait"/>
      <w:cols w:equalWidth="0" w:num="1">
        <w:col w:w="11260"/>
      </w:cols>
      <w:pgMar w:left="320" w:top="7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0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9"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jpeg"/><Relationship Id="rId25" Type="http://schemas.openxmlformats.org/officeDocument/2006/relationships/image" Target="media/image6.png"/><Relationship Id="rId26" Type="http://schemas.openxmlformats.org/officeDocument/2006/relationships/image" Target="media/image7.jpeg"/><Relationship Id="rId27" Type="http://schemas.openxmlformats.org/officeDocument/2006/relationships/image" Target="media/image8.png"/><Relationship Id="rId28" Type="http://schemas.openxmlformats.org/officeDocument/2006/relationships/image" Target="media/image9.jpeg"/><Relationship Id="rId29" Type="http://schemas.openxmlformats.org/officeDocument/2006/relationships/image" Target="media/image10.png"/><Relationship Id="rId9" Type="http://schemas.openxmlformats.org/officeDocument/2006/relationships/hyperlink" Target="http://www.sec.gov/Archives/edgar/data/1639691/000110465922070586/tm2218278d1_s8.htm" TargetMode="External"/><Relationship Id="rId10" Type="http://schemas.openxmlformats.org/officeDocument/2006/relationships/hyperlink" Target="http://www.sec.gov/Archives/edgar/data/1639691/000163969123000015/livn-20221231.htm" TargetMode="External"/><Relationship Id="rId11" Type="http://schemas.openxmlformats.org/officeDocument/2006/relationships/hyperlink" Target="http://www.sec.gov/Archives/edgar/data/1639691/000110465923052988/tm223709d2_def14a.htm" TargetMode="External"/><Relationship Id="rId12" Type="http://schemas.openxmlformats.org/officeDocument/2006/relationships/hyperlink" Target="http://www.sec.gov/Archives/edgar/data/1639691/000163969123000047/livn-20230331.htm" TargetMode="External"/><Relationship Id="rId13" Type="http://schemas.openxmlformats.org/officeDocument/2006/relationships/hyperlink" Target="https://www.sec.gov/ix?doc=/Archives/edgar/data/0001639691/000163969123000076/livn-20230630.htm" TargetMode="External"/><Relationship Id="rId14" Type="http://schemas.openxmlformats.org/officeDocument/2006/relationships/hyperlink" Target="http://www.sec.gov/Archives/edgar/data/1639691/000163969123000010/livn-20230215.htm" TargetMode="External"/><Relationship Id="rId15" Type="http://schemas.openxmlformats.org/officeDocument/2006/relationships/hyperlink" Target="http://www.sec.gov/Archives/edgar/data/1639691/000163969123000037/livn-20230412.htm" TargetMode="External"/><Relationship Id="rId16" Type="http://schemas.openxmlformats.org/officeDocument/2006/relationships/hyperlink" Target="http://www.sec.gov/Archives/edgar/data/1639691/000163969123000039/livn-20230412.htm" TargetMode="External"/><Relationship Id="rId17" Type="http://schemas.openxmlformats.org/officeDocument/2006/relationships/hyperlink" Target="http://www.sec.gov/ix?doc=/Archives/edgar/data/0001639691/000163969123000057/livn-20230612.htm" TargetMode="External"/><Relationship Id="rId18" Type="http://schemas.openxmlformats.org/officeDocument/2006/relationships/hyperlink" Target="http://www.sec.gov/Archives/edgar/data/1639691/000163969123000015/livn-20221231xex41.htm" TargetMode="External"/><Relationship Id="rId20" Type="http://schemas.openxmlformats.org/officeDocument/2006/relationships/hyperlink" Target="http://www.sec.gov/Archives/edgar/data/1639691/000163969120000098/livn-20200630xex31.htm" TargetMode="External"/><Relationship Id="rId21" Type="http://schemas.openxmlformats.org/officeDocument/2006/relationships/hyperlink" Target="http://www.sec.gov/Archives/edgar/data/1639691/000163969123000057/proposal4approvalofthe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2023-07-26T14:36:26Z</dcterms:created>
  <dcterms:modified xsi:type="dcterms:W3CDTF">2023-07-26T14:36:26Z</dcterms:modified>
</cp:coreProperties>
</file>