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290"/>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4"/>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Enxing Seng Stacy</w:t>
              </w:r>
            </w:hyperlink>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5"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-1138555</wp:posOffset>
            </wp:positionV>
            <wp:extent cx="6991985" cy="626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626300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4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Arial" w:cs="Arial" w:eastAsia="Arial" w:hAnsi="Arial"/>
                <w:sz w:val="17"/>
                <w:szCs w:val="17"/>
                <w:color w:val="0000FF"/>
                <w:w w:val="97"/>
              </w:rPr>
              <w:t>20 EASTBOURNE TERRANCE</w:t>
            </w:r>
          </w:p>
        </w:tc>
        <w:tc>
          <w:tcPr>
            <w:tcW w:w="128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380" w:type="dxa"/>
            <w:vAlign w:val="bottom"/>
          </w:tcPr>
          <w:p>
            <w:pPr>
              <w:ind w:left="240"/>
              <w:spacing w:after="0"/>
              <w:rPr>
                <w:sz w:val="20"/>
                <w:szCs w:val="20"/>
                <w:color w:val="auto"/>
              </w:rPr>
            </w:pPr>
            <w:r>
              <w:rPr>
                <w:rFonts w:ascii="Arial" w:cs="Arial" w:eastAsia="Arial" w:hAnsi="Arial"/>
                <w:sz w:val="17"/>
                <w:szCs w:val="17"/>
                <w:color w:val="0000FF"/>
              </w:rPr>
              <w:t>X0</w:t>
            </w:r>
          </w:p>
        </w:tc>
        <w:tc>
          <w:tcPr>
            <w:tcW w:w="1280" w:type="dxa"/>
            <w:vAlign w:val="bottom"/>
          </w:tcPr>
          <w:p>
            <w:pPr>
              <w:ind w:left="10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4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5"/>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06/15/2023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4"/>
        </w:trPr>
        <w:tc>
          <w:tcPr>
            <w:tcW w:w="18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95"/>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sectPr>
          <w:pgSz w:w="11900" w:h="16838" w:orient="portrait"/>
          <w:cols w:equalWidth="0" w:num="2">
            <w:col w:w="3760" w:space="100"/>
            <w:col w:w="7220"/>
          </w:cols>
          <w:pgMar w:left="460" w:top="223" w:right="359" w:bottom="1440" w:gutter="0" w:footer="0" w:header="0"/>
          <w:type w:val="continuous"/>
        </w:sectPr>
      </w:pPr>
    </w:p>
    <w:p>
      <w:pPr>
        <w:ind w:left="416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2,082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7,095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7"/>
              </w:rPr>
              <w:t>445</w:t>
            </w:r>
            <w:r>
              <w:rPr>
                <w:rFonts w:ascii="Arial" w:cs="Arial" w:eastAsia="Arial" w:hAnsi="Arial"/>
                <w:sz w:val="21"/>
                <w:szCs w:val="21"/>
                <w:color w:val="008000"/>
                <w:w w:val="87"/>
                <w:vertAlign w:val="superscript"/>
              </w:rPr>
              <w:t>(2)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6,650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2,082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3"/>
                <w:szCs w:val="13"/>
                <w:color w:val="0000FF"/>
              </w:rPr>
              <w:t>2,082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0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2,680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0"/>
                <w:szCs w:val="10"/>
                <w:color w:val="auto"/>
              </w:rPr>
            </w:pPr>
          </w:p>
        </w:tc>
        <w:tc>
          <w:tcPr>
            <w:tcW w:w="420" w:type="dxa"/>
            <w:vAlign w:val="bottom"/>
          </w:tcPr>
          <w:p>
            <w:pPr>
              <w:ind w:left="60"/>
              <w:spacing w:after="0" w:line="126" w:lineRule="exact"/>
              <w:rPr>
                <w:sz w:val="20"/>
                <w:szCs w:val="20"/>
                <w:color w:val="auto"/>
              </w:rPr>
            </w:pPr>
            <w:r>
              <w:rPr>
                <w:rFonts w:ascii="Arial" w:cs="Arial" w:eastAsia="Arial" w:hAnsi="Arial"/>
                <w:sz w:val="13"/>
                <w:szCs w:val="13"/>
                <w:color w:val="0000FF"/>
              </w:rPr>
              <w:t>2,680</w:t>
            </w:r>
          </w:p>
        </w:tc>
        <w:tc>
          <w:tcPr>
            <w:tcW w:w="460" w:type="dxa"/>
            <w:vAlign w:val="bottom"/>
          </w:tcPr>
          <w:p>
            <w:pPr>
              <w:spacing w:after="0"/>
              <w:rPr>
                <w:sz w:val="10"/>
                <w:szCs w:val="1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4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26" w:lineRule="exact"/>
              <w:rPr>
                <w:sz w:val="20"/>
                <w:szCs w:val="20"/>
                <w:color w:val="auto"/>
              </w:rPr>
            </w:pPr>
            <w:r>
              <w:rPr>
                <w:rFonts w:ascii="Arial" w:cs="Arial" w:eastAsia="Arial" w:hAnsi="Arial"/>
                <w:sz w:val="13"/>
                <w:szCs w:val="13"/>
                <w:color w:val="0000FF"/>
              </w:rPr>
              <w:t>2,680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-2223770</wp:posOffset>
            </wp:positionV>
            <wp:extent cx="29210" cy="2228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2288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2023, reporting person was granted RSUs to vest and forfeiture restrictions thereon to lapse on June 15, 2024, subject to continued service during the vesting period and the award agreement.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06/20/2023</w:t>
            </w:r>
          </w:p>
        </w:tc>
      </w:tr>
      <w:tr>
        <w:trPr>
          <w:trHeight w:val="20"/>
        </w:trPr>
        <w:tc>
          <w:tcPr>
            <w:tcW w:w="1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329921" TargetMode="External"/><Relationship Id="rId9"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2023-06-20T14:20:45Z</dcterms:created>
  <dcterms:modified xsi:type="dcterms:W3CDTF">2023-06-20T14:20:45Z</dcterms:modified>
</cp:coreProperties>
</file>