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376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376545"/>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Huston Thad Allen</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LivaNova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LIVN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03/29/2019</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7" w:type="dxa"/>
        <w:tblCellMar>
          <w:top w:w="0" w:type="dxa"/>
          <w:left w:w="0" w:type="dxa"/>
          <w:bottom w:w="0" w:type="dxa"/>
          <w:right w:w="0" w:type="dxa"/>
        </w:tblCellMar>
      </w:tblPr>
      <w:tr>
        <w:trPr>
          <w:trHeight w:val="156"/>
        </w:trPr>
        <w:tc>
          <w:tcPr>
            <w:tcW w:w="240" w:type="dxa"/>
            <w:vAlign w:val="bottom"/>
          </w:tcPr>
          <w:p>
            <w:pPr>
              <w:spacing w:after="0"/>
              <w:rPr>
                <w:sz w:val="13"/>
                <w:szCs w:val="13"/>
                <w:color w:val="auto"/>
              </w:rPr>
            </w:pP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47"/>
        <w:spacing w:after="0"/>
        <w:rPr>
          <w:sz w:val="20"/>
          <w:szCs w:val="20"/>
          <w:color w:val="auto"/>
        </w:rPr>
      </w:pPr>
      <w:r>
        <w:rPr>
          <w:rFonts w:ascii="Arial" w:cs="Arial" w:eastAsia="Arial" w:hAnsi="Arial"/>
          <w:sz w:val="17"/>
          <w:szCs w:val="17"/>
          <w:color w:val="0000FF"/>
        </w:rPr>
        <w:t>Chief Financial Officer</w:t>
      </w:r>
    </w:p>
    <w:p>
      <w:pPr>
        <w:spacing w:after="0" w:line="316" w:lineRule="exact"/>
        <w:rPr>
          <w:sz w:val="24"/>
          <w:szCs w:val="24"/>
          <w:color w:val="auto"/>
        </w:rPr>
      </w:pPr>
    </w:p>
    <w:p>
      <w:pPr>
        <w:sectPr>
          <w:pgSz w:w="11900" w:h="16838" w:orient="portrait"/>
          <w:cols w:equalWidth="0" w:num="3">
            <w:col w:w="3340" w:space="720"/>
            <w:col w:w="3273" w:space="720"/>
            <w:col w:w="3467"/>
          </w:cols>
          <w:pgMar w:left="240" w:top="223" w:right="1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3"/>
                <w:szCs w:val="13"/>
                <w:color w:val="auto"/>
              </w:rPr>
            </w:pPr>
          </w:p>
        </w:tc>
        <w:tc>
          <w:tcPr>
            <w:tcW w:w="17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1020" w:type="dxa"/>
            <w:vAlign w:val="bottom"/>
          </w:tcPr>
          <w:p>
            <w:pPr>
              <w:ind w:left="20"/>
              <w:spacing w:after="0"/>
              <w:rPr>
                <w:sz w:val="20"/>
                <w:szCs w:val="20"/>
                <w:color w:val="auto"/>
              </w:rPr>
            </w:pPr>
            <w:r>
              <w:rPr>
                <w:rFonts w:ascii="Arial" w:cs="Arial" w:eastAsia="Arial" w:hAnsi="Arial"/>
                <w:sz w:val="17"/>
                <w:szCs w:val="17"/>
                <w:color w:val="0000FF"/>
              </w:rPr>
              <w:t>LONDON</w:t>
            </w:r>
          </w:p>
        </w:tc>
        <w:tc>
          <w:tcPr>
            <w:tcW w:w="1100" w:type="dxa"/>
            <w:vAlign w:val="bottom"/>
          </w:tcPr>
          <w:p>
            <w:pPr>
              <w:ind w:left="260"/>
              <w:spacing w:after="0"/>
              <w:rPr>
                <w:sz w:val="20"/>
                <w:szCs w:val="20"/>
                <w:color w:val="auto"/>
              </w:rPr>
            </w:pPr>
            <w:r>
              <w:rPr>
                <w:rFonts w:ascii="Arial" w:cs="Arial" w:eastAsia="Arial" w:hAnsi="Arial"/>
                <w:sz w:val="17"/>
                <w:szCs w:val="17"/>
                <w:color w:val="0000FF"/>
              </w:rPr>
              <w:t>X0</w:t>
            </w:r>
          </w:p>
        </w:tc>
        <w:tc>
          <w:tcPr>
            <w:tcW w:w="1700" w:type="dxa"/>
            <w:vAlign w:val="bottom"/>
          </w:tcPr>
          <w:p>
            <w:pPr>
              <w:ind w:left="440"/>
              <w:spacing w:after="0"/>
              <w:rPr>
                <w:sz w:val="20"/>
                <w:szCs w:val="20"/>
                <w:color w:val="auto"/>
              </w:rPr>
            </w:pPr>
            <w:r>
              <w:rPr>
                <w:rFonts w:ascii="Arial" w:cs="Arial" w:eastAsia="Arial" w:hAnsi="Arial"/>
                <w:sz w:val="17"/>
                <w:szCs w:val="17"/>
                <w:color w:val="0000FF"/>
              </w:rPr>
              <w:t>W2 6LG</w:t>
            </w:r>
          </w:p>
        </w:tc>
      </w:tr>
      <w:tr>
        <w:trPr>
          <w:trHeight w:val="152"/>
        </w:trPr>
        <w:tc>
          <w:tcPr>
            <w:tcW w:w="2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100" w:type="dxa"/>
            <w:vAlign w:val="bottom"/>
          </w:tcPr>
          <w:p>
            <w:pPr>
              <w:ind w:left="260"/>
              <w:spacing w:after="0"/>
              <w:rPr>
                <w:sz w:val="20"/>
                <w:szCs w:val="20"/>
                <w:color w:val="auto"/>
              </w:rPr>
            </w:pPr>
            <w:r>
              <w:rPr>
                <w:rFonts w:ascii="Arial" w:cs="Arial" w:eastAsia="Arial" w:hAnsi="Arial"/>
                <w:sz w:val="13"/>
                <w:szCs w:val="13"/>
                <w:color w:val="auto"/>
              </w:rPr>
              <w:t>(State)</w:t>
            </w:r>
          </w:p>
        </w:tc>
        <w:tc>
          <w:tcPr>
            <w:tcW w:w="170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23"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04" w:lineRule="exact"/>
        <w:rPr>
          <w:sz w:val="24"/>
          <w:szCs w:val="24"/>
          <w:color w:val="auto"/>
        </w:rPr>
      </w:pPr>
    </w:p>
    <w:p>
      <w:pPr>
        <w:sectPr>
          <w:pgSz w:w="11900" w:h="16838" w:orient="portrait"/>
          <w:cols w:equalWidth="0" w:num="2">
            <w:col w:w="3920" w:space="140"/>
            <w:col w:w="7460"/>
          </w:cols>
          <w:pgMar w:left="240" w:top="223"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ind w:left="880"/>
              <w:spacing w:after="0" w:line="131"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62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1"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620" w:type="dxa"/>
            <w:vAlign w:val="bottom"/>
          </w:tcPr>
          <w:p>
            <w:pPr>
              <w:spacing w:after="0"/>
              <w:rPr>
                <w:sz w:val="7"/>
                <w:szCs w:val="7"/>
                <w:color w:val="auto"/>
              </w:rPr>
            </w:pPr>
          </w:p>
        </w:tc>
        <w:tc>
          <w:tcPr>
            <w:tcW w:w="19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7"/>
                <w:szCs w:val="7"/>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62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Borders>
              <w:bottom w:val="single" w:sz="8" w:color="2C2C2C"/>
            </w:tcBorders>
          </w:tcPr>
          <w:p>
            <w:pPr>
              <w:spacing w:after="0"/>
              <w:rPr>
                <w:sz w:val="6"/>
                <w:szCs w:val="6"/>
                <w:color w:val="auto"/>
              </w:rPr>
            </w:pPr>
          </w:p>
        </w:tc>
        <w:tc>
          <w:tcPr>
            <w:tcW w:w="2620" w:type="dxa"/>
            <w:vAlign w:val="bottom"/>
            <w:tcBorders>
              <w:bottom w:val="single" w:sz="8" w:color="2C2C2C"/>
            </w:tcBorders>
          </w:tcPr>
          <w:p>
            <w:pPr>
              <w:spacing w:after="0"/>
              <w:rPr>
                <w:sz w:val="6"/>
                <w:szCs w:val="6"/>
                <w:color w:val="auto"/>
              </w:rPr>
            </w:pPr>
          </w:p>
        </w:tc>
        <w:tc>
          <w:tcPr>
            <w:tcW w:w="1900" w:type="dxa"/>
            <w:vAlign w:val="bottom"/>
            <w:tcBorders>
              <w:bottom w:val="single" w:sz="8" w:color="2C2C2C"/>
            </w:tcBorders>
          </w:tcPr>
          <w:p>
            <w:pPr>
              <w:spacing w:after="0"/>
              <w:rPr>
                <w:sz w:val="6"/>
                <w:szCs w:val="6"/>
                <w:color w:val="auto"/>
              </w:rPr>
            </w:pPr>
          </w:p>
        </w:tc>
        <w:tc>
          <w:tcPr>
            <w:tcW w:w="11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2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 of</w:t>
            </w:r>
          </w:p>
        </w:tc>
        <w:tc>
          <w:tcPr>
            <w:tcW w:w="700" w:type="dxa"/>
            <w:vAlign w:val="bottom"/>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Expiration Date</w:t>
            </w:r>
          </w:p>
        </w:tc>
        <w:tc>
          <w:tcPr>
            <w:tcW w:w="14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 Underlying</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Derivative</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14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8)</w:t>
            </w: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7"/>
              </w:rPr>
              <w:t>(Instr. 3 and 4)</w:t>
            </w:r>
          </w:p>
        </w:tc>
        <w:tc>
          <w:tcPr>
            <w:tcW w:w="540" w:type="dxa"/>
            <w:vAlign w:val="bottom"/>
          </w:tcPr>
          <w:p>
            <w:pPr>
              <w:spacing w:after="0"/>
              <w:rPr>
                <w:sz w:val="11"/>
                <w:szCs w:val="11"/>
                <w:color w:val="auto"/>
              </w:rPr>
            </w:pPr>
          </w:p>
        </w:tc>
        <w:tc>
          <w:tcPr>
            <w:tcW w:w="7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8"/>
              </w:rPr>
              <w:t>Expiration</w:t>
            </w:r>
          </w:p>
        </w:tc>
        <w:tc>
          <w:tcPr>
            <w:tcW w:w="900" w:type="dxa"/>
            <w:vAlign w:val="bottom"/>
          </w:tcPr>
          <w:p>
            <w:pPr>
              <w:spacing w:after="0"/>
              <w:rPr>
                <w:sz w:val="11"/>
                <w:szCs w:val="11"/>
                <w:color w:val="auto"/>
              </w:rPr>
            </w:pPr>
          </w:p>
        </w:tc>
        <w:tc>
          <w:tcPr>
            <w:tcW w:w="540" w:type="dxa"/>
            <w:vAlign w:val="bottom"/>
          </w:tcPr>
          <w:p>
            <w:pPr>
              <w:spacing w:after="0" w:line="131"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03/29/2019</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5,141</w:t>
            </w: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(2)</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Ordinary</w:t>
            </w:r>
          </w:p>
        </w:tc>
        <w:tc>
          <w:tcPr>
            <w:tcW w:w="540" w:type="dxa"/>
            <w:vAlign w:val="bottom"/>
            <w:vMerge w:val="restart"/>
          </w:tcPr>
          <w:p>
            <w:pPr>
              <w:jc w:val="center"/>
              <w:ind w:right="10"/>
              <w:spacing w:after="0"/>
              <w:rPr>
                <w:sz w:val="20"/>
                <w:szCs w:val="20"/>
                <w:color w:val="auto"/>
              </w:rPr>
            </w:pPr>
            <w:r>
              <w:rPr>
                <w:rFonts w:ascii="Arial" w:cs="Arial" w:eastAsia="Arial" w:hAnsi="Arial"/>
                <w:sz w:val="17"/>
                <w:szCs w:val="17"/>
                <w:color w:val="0000FF"/>
                <w:w w:val="89"/>
              </w:rPr>
              <w:t>5,141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60,879</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03/29/2019</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5,141</w:t>
            </w: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(4)</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Ordinary</w:t>
            </w:r>
          </w:p>
        </w:tc>
        <w:tc>
          <w:tcPr>
            <w:tcW w:w="540" w:type="dxa"/>
            <w:vAlign w:val="bottom"/>
            <w:vMerge w:val="restart"/>
          </w:tcPr>
          <w:p>
            <w:pPr>
              <w:jc w:val="center"/>
              <w:ind w:right="10"/>
              <w:spacing w:after="0"/>
              <w:rPr>
                <w:sz w:val="20"/>
                <w:szCs w:val="20"/>
                <w:color w:val="auto"/>
              </w:rPr>
            </w:pPr>
            <w:r>
              <w:rPr>
                <w:rFonts w:ascii="Arial" w:cs="Arial" w:eastAsia="Arial" w:hAnsi="Arial"/>
                <w:sz w:val="17"/>
                <w:szCs w:val="17"/>
                <w:color w:val="0000FF"/>
                <w:w w:val="89"/>
              </w:rPr>
              <w:t>5,141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66,020</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w w:val="99"/>
              </w:rPr>
              <w:t>Performance</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(3)</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2"/>
              </w:rPr>
              <w:t>03/29/2019</w:t>
            </w:r>
          </w:p>
        </w:tc>
        <w:tc>
          <w:tcPr>
            <w:tcW w:w="1100" w:type="dxa"/>
            <w:vAlign w:val="bottom"/>
          </w:tcPr>
          <w:p>
            <w:pPr>
              <w:spacing w:after="0"/>
              <w:rPr>
                <w:sz w:val="16"/>
                <w:szCs w:val="16"/>
                <w:color w:val="auto"/>
              </w:rPr>
            </w:pPr>
          </w:p>
        </w:tc>
        <w:tc>
          <w:tcPr>
            <w:tcW w:w="800" w:type="dxa"/>
            <w:vAlign w:val="bottom"/>
            <w:vMerge w:val="restart"/>
          </w:tcPr>
          <w:p>
            <w:pPr>
              <w:ind w:left="160"/>
              <w:spacing w:after="0"/>
              <w:rPr>
                <w:sz w:val="20"/>
                <w:szCs w:val="20"/>
                <w:color w:val="auto"/>
              </w:rPr>
            </w:pPr>
            <w:r>
              <w:rPr>
                <w:rFonts w:ascii="Arial" w:cs="Arial" w:eastAsia="Arial" w:hAnsi="Arial"/>
                <w:sz w:val="13"/>
                <w:szCs w:val="13"/>
                <w:color w:val="0000FF"/>
              </w:rPr>
              <w:t>A</w:t>
            </w: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92"/>
              </w:rPr>
              <w:t>5,141</w:t>
            </w: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(5)</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Ordinary</w:t>
            </w:r>
          </w:p>
        </w:tc>
        <w:tc>
          <w:tcPr>
            <w:tcW w:w="540" w:type="dxa"/>
            <w:vAlign w:val="bottom"/>
            <w:vMerge w:val="restart"/>
          </w:tcPr>
          <w:p>
            <w:pPr>
              <w:jc w:val="center"/>
              <w:ind w:right="10"/>
              <w:spacing w:after="0"/>
              <w:rPr>
                <w:sz w:val="20"/>
                <w:szCs w:val="20"/>
                <w:color w:val="auto"/>
              </w:rPr>
            </w:pPr>
            <w:r>
              <w:rPr>
                <w:rFonts w:ascii="Arial" w:cs="Arial" w:eastAsia="Arial" w:hAnsi="Arial"/>
                <w:sz w:val="17"/>
                <w:szCs w:val="17"/>
                <w:color w:val="0000FF"/>
                <w:w w:val="89"/>
              </w:rPr>
              <w:t>5,141</w:t>
            </w:r>
          </w:p>
        </w:tc>
        <w:tc>
          <w:tcPr>
            <w:tcW w:w="700" w:type="dxa"/>
            <w:vAlign w:val="bottom"/>
            <w:vMerge w:val="restart"/>
          </w:tcPr>
          <w:p>
            <w:pPr>
              <w:jc w:val="cente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vMerge w:val="restart"/>
          </w:tcPr>
          <w:p>
            <w:pPr>
              <w:ind w:left="300"/>
              <w:spacing w:after="0"/>
              <w:rPr>
                <w:sz w:val="20"/>
                <w:szCs w:val="20"/>
                <w:color w:val="auto"/>
              </w:rPr>
            </w:pPr>
            <w:r>
              <w:rPr>
                <w:rFonts w:ascii="Arial" w:cs="Arial" w:eastAsia="Arial" w:hAnsi="Arial"/>
                <w:sz w:val="13"/>
                <w:szCs w:val="13"/>
                <w:color w:val="0000FF"/>
              </w:rPr>
              <w:t>71,161</w:t>
            </w:r>
          </w:p>
        </w:tc>
        <w:tc>
          <w:tcPr>
            <w:tcW w:w="74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1"/>
        </w:trPr>
        <w:tc>
          <w:tcPr>
            <w:tcW w:w="820" w:type="dxa"/>
            <w:vAlign w:val="bottom"/>
            <w:vMerge w:val="restart"/>
          </w:tcPr>
          <w:p>
            <w:pPr>
              <w:ind w:left="60"/>
              <w:spacing w:after="0"/>
              <w:rPr>
                <w:sz w:val="20"/>
                <w:szCs w:val="20"/>
                <w:color w:val="auto"/>
              </w:rPr>
            </w:pPr>
            <w:r>
              <w:rPr>
                <w:rFonts w:ascii="Arial" w:cs="Arial" w:eastAsia="Arial" w:hAnsi="Arial"/>
                <w:sz w:val="13"/>
                <w:szCs w:val="13"/>
                <w:color w:val="0000FF"/>
              </w:rPr>
              <w:t>Stock Units</w:t>
            </w:r>
          </w:p>
        </w:tc>
        <w:tc>
          <w:tcPr>
            <w:tcW w:w="780" w:type="dxa"/>
            <w:vAlign w:val="bottom"/>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color w:val="0000FF"/>
                <w:w w:val="82"/>
              </w:rPr>
              <w:t>Shares</w:t>
            </w:r>
          </w:p>
        </w:tc>
        <w:tc>
          <w:tcPr>
            <w:tcW w:w="5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74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8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0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7"/>
        </w:trPr>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820" w:type="dxa"/>
            <w:vAlign w:val="bottom"/>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(6)</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(7)</w:t>
            </w:r>
          </w:p>
        </w:tc>
        <w:tc>
          <w:tcPr>
            <w:tcW w:w="700" w:type="dxa"/>
            <w:vAlign w:val="bottom"/>
            <w:vMerge w:val="restart"/>
          </w:tcPr>
          <w:p>
            <w:pPr>
              <w:jc w:val="center"/>
              <w:spacing w:after="0"/>
              <w:rPr>
                <w:sz w:val="20"/>
                <w:szCs w:val="20"/>
                <w:color w:val="auto"/>
              </w:rPr>
            </w:pPr>
            <w:r>
              <w:rPr>
                <w:rFonts w:ascii="Arial" w:cs="Arial" w:eastAsia="Arial" w:hAnsi="Arial"/>
                <w:sz w:val="11"/>
                <w:szCs w:val="11"/>
                <w:color w:val="008000"/>
                <w:w w:val="88"/>
              </w:rPr>
              <w:t>(7)</w:t>
            </w: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15,743</w:t>
            </w: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820" w:type="dxa"/>
            <w:vAlign w:val="bottom"/>
          </w:tcPr>
          <w:p>
            <w:pPr>
              <w:ind w:left="60"/>
              <w:spacing w:after="0" w:line="144" w:lineRule="exact"/>
              <w:rPr>
                <w:sz w:val="20"/>
                <w:szCs w:val="20"/>
                <w:color w:val="auto"/>
              </w:rPr>
            </w:pPr>
            <w:r>
              <w:rPr>
                <w:rFonts w:ascii="Arial" w:cs="Arial" w:eastAsia="Arial" w:hAnsi="Arial"/>
                <w:sz w:val="13"/>
                <w:szCs w:val="13"/>
                <w:color w:val="0000FF"/>
              </w:rPr>
              <w:t>Appreciation</w:t>
            </w:r>
          </w:p>
        </w:tc>
        <w:tc>
          <w:tcPr>
            <w:tcW w:w="780" w:type="dxa"/>
            <w:vAlign w:val="bottom"/>
            <w:vMerge w:val="continue"/>
          </w:tcPr>
          <w:p>
            <w:pPr>
              <w:spacing w:after="0"/>
              <w:rPr>
                <w:sz w:val="12"/>
                <w:szCs w:val="12"/>
                <w:color w:val="auto"/>
              </w:rPr>
            </w:pPr>
          </w:p>
        </w:tc>
        <w:tc>
          <w:tcPr>
            <w:tcW w:w="1100" w:type="dxa"/>
            <w:vAlign w:val="bottom"/>
          </w:tcPr>
          <w:p>
            <w:pPr>
              <w:jc w:val="center"/>
              <w:spacing w:after="0" w:line="144" w:lineRule="exact"/>
              <w:rPr>
                <w:sz w:val="20"/>
                <w:szCs w:val="20"/>
                <w:color w:val="auto"/>
              </w:rPr>
            </w:pPr>
            <w:r>
              <w:rPr>
                <w:rFonts w:ascii="Arial" w:cs="Arial" w:eastAsia="Arial" w:hAnsi="Arial"/>
                <w:sz w:val="13"/>
                <w:szCs w:val="13"/>
                <w:color w:val="0000FF"/>
                <w:w w:val="92"/>
              </w:rPr>
              <w:t>03/29/2019</w:t>
            </w:r>
          </w:p>
        </w:tc>
        <w:tc>
          <w:tcPr>
            <w:tcW w:w="1100" w:type="dxa"/>
            <w:vAlign w:val="bottom"/>
          </w:tcPr>
          <w:p>
            <w:pPr>
              <w:spacing w:after="0"/>
              <w:rPr>
                <w:sz w:val="12"/>
                <w:szCs w:val="12"/>
                <w:color w:val="auto"/>
              </w:rPr>
            </w:pPr>
          </w:p>
        </w:tc>
        <w:tc>
          <w:tcPr>
            <w:tcW w:w="800" w:type="dxa"/>
            <w:vAlign w:val="bottom"/>
          </w:tcPr>
          <w:p>
            <w:pPr>
              <w:ind w:left="160"/>
              <w:spacing w:after="0" w:line="144" w:lineRule="exact"/>
              <w:rPr>
                <w:sz w:val="20"/>
                <w:szCs w:val="20"/>
                <w:color w:val="auto"/>
              </w:rPr>
            </w:pPr>
            <w:r>
              <w:rPr>
                <w:rFonts w:ascii="Arial" w:cs="Arial" w:eastAsia="Arial" w:hAnsi="Arial"/>
                <w:sz w:val="13"/>
                <w:szCs w:val="13"/>
                <w:color w:val="0000FF"/>
              </w:rPr>
              <w:t>A</w:t>
            </w:r>
          </w:p>
        </w:tc>
        <w:tc>
          <w:tcPr>
            <w:tcW w:w="520" w:type="dxa"/>
            <w:vAlign w:val="bottom"/>
          </w:tcPr>
          <w:p>
            <w:pPr>
              <w:jc w:val="center"/>
              <w:spacing w:after="0" w:line="144" w:lineRule="exact"/>
              <w:rPr>
                <w:sz w:val="20"/>
                <w:szCs w:val="20"/>
                <w:color w:val="auto"/>
              </w:rPr>
            </w:pPr>
            <w:r>
              <w:rPr>
                <w:rFonts w:ascii="Arial" w:cs="Arial" w:eastAsia="Arial" w:hAnsi="Arial"/>
                <w:sz w:val="13"/>
                <w:szCs w:val="13"/>
                <w:color w:val="0000FF"/>
                <w:w w:val="90"/>
              </w:rPr>
              <w:t>15,743</w:t>
            </w:r>
          </w:p>
        </w:tc>
        <w:tc>
          <w:tcPr>
            <w:tcW w:w="3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900" w:type="dxa"/>
            <w:vAlign w:val="bottom"/>
          </w:tcPr>
          <w:p>
            <w:pPr>
              <w:jc w:val="center"/>
              <w:spacing w:after="0" w:line="144" w:lineRule="exact"/>
              <w:rPr>
                <w:sz w:val="20"/>
                <w:szCs w:val="20"/>
                <w:color w:val="auto"/>
              </w:rPr>
            </w:pPr>
            <w:r>
              <w:rPr>
                <w:rFonts w:ascii="Arial" w:cs="Arial" w:eastAsia="Arial" w:hAnsi="Arial"/>
                <w:sz w:val="13"/>
                <w:szCs w:val="13"/>
                <w:color w:val="0000FF"/>
                <w:w w:val="94"/>
              </w:rPr>
              <w:t>Appreciation</w:t>
            </w:r>
          </w:p>
        </w:tc>
        <w:tc>
          <w:tcPr>
            <w:tcW w:w="540" w:type="dxa"/>
            <w:vAlign w:val="bottom"/>
            <w:vMerge w:val="continue"/>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40" w:type="dxa"/>
            <w:vAlign w:val="bottom"/>
          </w:tcPr>
          <w:p>
            <w:pPr>
              <w:ind w:left="300"/>
              <w:spacing w:after="0" w:line="144" w:lineRule="exact"/>
              <w:rPr>
                <w:sz w:val="20"/>
                <w:szCs w:val="20"/>
                <w:color w:val="auto"/>
              </w:rPr>
            </w:pPr>
            <w:r>
              <w:rPr>
                <w:rFonts w:ascii="Arial" w:cs="Arial" w:eastAsia="Arial" w:hAnsi="Arial"/>
                <w:sz w:val="13"/>
                <w:szCs w:val="13"/>
                <w:color w:val="0000FF"/>
              </w:rPr>
              <w:t>29,580</w:t>
            </w:r>
          </w:p>
        </w:tc>
        <w:tc>
          <w:tcPr>
            <w:tcW w:w="740" w:type="dxa"/>
            <w:vAlign w:val="bottom"/>
          </w:tcPr>
          <w:p>
            <w:pPr>
              <w:ind w:left="340"/>
              <w:spacing w:after="0" w:line="144" w:lineRule="exact"/>
              <w:rPr>
                <w:sz w:val="20"/>
                <w:szCs w:val="20"/>
                <w:color w:val="auto"/>
              </w:rPr>
            </w:pPr>
            <w:r>
              <w:rPr>
                <w:rFonts w:ascii="Arial" w:cs="Arial" w:eastAsia="Arial" w:hAnsi="Arial"/>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20" w:type="dxa"/>
            <w:vAlign w:val="bottom"/>
          </w:tcPr>
          <w:p>
            <w:pPr>
              <w:ind w:left="60"/>
              <w:spacing w:after="0"/>
              <w:rPr>
                <w:sz w:val="20"/>
                <w:szCs w:val="20"/>
                <w:color w:val="auto"/>
              </w:rPr>
            </w:pPr>
            <w:r>
              <w:rPr>
                <w:rFonts w:ascii="Arial" w:cs="Arial" w:eastAsia="Arial" w:hAnsi="Arial"/>
                <w:sz w:val="13"/>
                <w:szCs w:val="13"/>
                <w:color w:val="0000FF"/>
              </w:rPr>
              <w:t>Rights</w:t>
            </w: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3"/>
                <w:szCs w:val="13"/>
                <w:color w:val="0000FF"/>
                <w:w w:val="92"/>
              </w:rPr>
              <w:t>Rights</w:t>
            </w: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40" w:right="32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one ordinary share (Ordinary Share) of LivaNova PLC (the Company), GBP 1.00 par value, in accordance with the terms of the LivaNova PLC 2015 Incentive Award Plan (the Plan) and the award agreement.</w:t>
      </w:r>
    </w:p>
    <w:p>
      <w:pPr>
        <w:spacing w:after="0" w:line="23" w:lineRule="exact"/>
        <w:rPr>
          <w:rFonts w:ascii="Arial" w:cs="Arial" w:eastAsia="Arial" w:hAnsi="Arial"/>
          <w:sz w:val="13"/>
          <w:szCs w:val="13"/>
          <w:color w:val="008000"/>
        </w:rPr>
      </w:pPr>
    </w:p>
    <w:p>
      <w:pPr>
        <w:ind w:left="40" w:right="42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RSUs subject to a four-year vesting schedule, vesting 25% on each of the first four anniversaries of March 29, 2019, subject to continued service during the vesting period and the RSU Agreement.</w:t>
      </w:r>
    </w:p>
    <w:p>
      <w:pPr>
        <w:spacing w:after="0" w:line="2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performance stock unit (PSU) represents a contingent right to receive one Ordinary Share of the Company in accordance with the terms of the Plan and the award agreement.</w:t>
      </w:r>
    </w:p>
    <w:p>
      <w:pPr>
        <w:spacing w:after="0" w:line="46" w:lineRule="exact"/>
        <w:rPr>
          <w:rFonts w:ascii="Arial" w:cs="Arial" w:eastAsia="Arial" w:hAnsi="Arial"/>
          <w:sz w:val="13"/>
          <w:szCs w:val="13"/>
          <w:color w:val="008000"/>
        </w:rPr>
      </w:pPr>
    </w:p>
    <w:p>
      <w:pPr>
        <w:ind w:left="40" w:right="160" w:firstLine="4"/>
        <w:spacing w:after="0" w:line="239"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5,141 PSUs to vest or lapse on the filing of the Company's Annual Report on Form 10-K for the fiscal year ending December 31, 2021 ("2021 Form 10-K") based on the rank of the Company's total shareholder return for the three-year period ending December 31, 2021 relative to the total shareholder return of a peer group of companies, as determined by the Plan Administrator. The form of agreement for this award was filed with the Securities and Exchange Commission in a Current Report on Form 8-K on April 1, 2019.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40" w:right="240" w:firstLine="4"/>
        <w:spacing w:after="0" w:line="242"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March 29, 2019, reporting person was granted 5,141 PSUs to vest or lapse on the filing of the Company's Annual Report on Form 10-K for the fiscal year ending December 31, 2021 based on how the Company's cumulative adjusted free cash flow for fiscal years 2019, 2020 and 2021 compares to a target determined by the Plan Administrator. The form of agreement for this award was filed with the Securities and Exchange Commission on April 1, 2019. The number included in column 5 of Table II reflects the target number of PSUs eligible for vesting.</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97.25 Conversion or Exercise Price of Derivative Security.</w:t>
      </w:r>
    </w:p>
    <w:p>
      <w:pPr>
        <w:spacing w:after="0" w:line="46" w:lineRule="exact"/>
        <w:rPr>
          <w:rFonts w:ascii="Arial" w:cs="Arial" w:eastAsia="Arial" w:hAnsi="Arial"/>
          <w:sz w:val="13"/>
          <w:szCs w:val="13"/>
          <w:color w:val="008000"/>
        </w:rPr>
      </w:pPr>
    </w:p>
    <w:p>
      <w:pPr>
        <w:ind w:left="40" w:right="28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Reporting person was granted an award of stock appreciation rights ("SARs"). Subject to the terms and conditions of the Plan and the SAR Agreement, the SARs shall vest in equal installments of 25% on each of the first four anniversaries of the grant date, March 29, 2019.</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4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/s/ Sarah K. Mohr, POA</w:t>
            </w:r>
          </w:p>
        </w:tc>
        <w:tc>
          <w:tcPr>
            <w:tcW w:w="66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04/02/2019</w:t>
            </w:r>
          </w:p>
        </w:tc>
      </w:tr>
      <w:tr>
        <w:trPr>
          <w:trHeight w:val="227"/>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4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06052"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2019-12-24T09:01:11Z</dcterms:created>
  <dcterms:modified xsi:type="dcterms:W3CDTF">2019-12-24T09:01:11Z</dcterms:modified>
</cp:coreProperties>
</file>