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 w:lineRule="exact"/>
        <w:rPr>
          <w:sz w:val="24"/>
          <w:szCs w:val="24"/>
          <w:color w:val="auto"/>
        </w:rPr>
      </w:pPr>
    </w:p>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17"/>
              <w:spacing w:after="0" w:line="133"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80" w:type="dxa"/>
            <w:vAlign w:val="bottom"/>
            <w:vMerge w:val="restart"/>
          </w:tcPr>
          <w:p>
            <w:pPr>
              <w:jc w:val="center"/>
              <w:ind w:right="19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13970</wp:posOffset>
            </wp:positionV>
            <wp:extent cx="6995160" cy="6696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6696075"/>
                    </a:xfrm>
                    <a:prstGeom prst="rect">
                      <a:avLst/>
                    </a:prstGeom>
                    <a:noFill/>
                  </pic:spPr>
                </pic:pic>
              </a:graphicData>
            </a:graphic>
          </wp:anchor>
        </w:drawing>
      </w:r>
    </w:p>
    <w:p>
      <w:pPr>
        <w:spacing w:after="0" w:line="90" w:lineRule="exact"/>
        <w:rPr>
          <w:sz w:val="24"/>
          <w:szCs w:val="24"/>
          <w:color w:val="auto"/>
        </w:rPr>
      </w:pPr>
    </w:p>
    <w:p>
      <w:pPr>
        <w:sectPr>
          <w:pgSz w:w="11900" w:h="16844" w:orient="portrait"/>
          <w:cols w:equalWidth="0" w:num="2">
            <w:col w:w="2240" w:space="340"/>
            <w:col w:w="8500"/>
          </w:cols>
          <w:pgMar w:left="460" w:top="220"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Hebbelinck Trui</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TERRANCE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LivaNova PLC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LIVN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03/30/2021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4" w:right="660" w:firstLine="4"/>
        <w:spacing w:after="0" w:line="235"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6" w:type="dxa"/>
        <w:tblCellMar>
          <w:top w:w="0" w:type="dxa"/>
          <w:left w:w="0" w:type="dxa"/>
          <w:bottom w:w="0" w:type="dxa"/>
          <w:right w:w="0" w:type="dxa"/>
        </w:tblCellMar>
      </w:tblPr>
      <w:tr>
        <w:trPr>
          <w:trHeight w:val="153"/>
        </w:trPr>
        <w:tc>
          <w:tcPr>
            <w:tcW w:w="22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516"/>
        <w:spacing w:after="0"/>
        <w:rPr>
          <w:sz w:val="20"/>
          <w:szCs w:val="20"/>
          <w:color w:val="auto"/>
        </w:rPr>
      </w:pPr>
      <w:r>
        <w:rPr>
          <w:rFonts w:ascii="Arial" w:cs="Arial" w:eastAsia="Arial" w:hAnsi="Arial"/>
          <w:sz w:val="16"/>
          <w:szCs w:val="16"/>
          <w:color w:val="0000FF"/>
        </w:rPr>
        <w:t>Chief Human Resources Officer</w:t>
      </w:r>
    </w:p>
    <w:p>
      <w:pPr>
        <w:spacing w:after="0" w:line="310" w:lineRule="exact"/>
        <w:rPr>
          <w:sz w:val="24"/>
          <w:szCs w:val="24"/>
          <w:color w:val="auto"/>
        </w:rPr>
      </w:pPr>
    </w:p>
    <w:p>
      <w:pPr>
        <w:sectPr>
          <w:pgSz w:w="11900" w:h="16844" w:orient="portrait"/>
          <w:cols w:equalWidth="0" w:num="3">
            <w:col w:w="3200" w:space="720"/>
            <w:col w:w="3104" w:space="720"/>
            <w:col w:w="3336"/>
          </w:cols>
          <w:pgMar w:left="460" w:top="220" w:right="359" w:bottom="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3"/>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6"/>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60"/>
              <w:spacing w:after="0"/>
              <w:rPr>
                <w:sz w:val="20"/>
                <w:szCs w:val="20"/>
                <w:color w:val="auto"/>
              </w:rPr>
            </w:pPr>
            <w:r>
              <w:rPr>
                <w:rFonts w:ascii="Arial" w:cs="Arial" w:eastAsia="Arial" w:hAnsi="Arial"/>
                <w:sz w:val="17"/>
                <w:szCs w:val="17"/>
                <w:color w:val="0000FF"/>
              </w:rPr>
              <w:t>X0</w:t>
            </w:r>
          </w:p>
        </w:tc>
        <w:tc>
          <w:tcPr>
            <w:tcW w:w="1620" w:type="dxa"/>
            <w:vAlign w:val="bottom"/>
          </w:tcPr>
          <w:p>
            <w:pPr>
              <w:ind w:left="420"/>
              <w:spacing w:after="0"/>
              <w:rPr>
                <w:sz w:val="20"/>
                <w:szCs w:val="20"/>
                <w:color w:val="auto"/>
              </w:rPr>
            </w:pPr>
            <w:r>
              <w:rPr>
                <w:rFonts w:ascii="Arial" w:cs="Arial" w:eastAsia="Arial" w:hAnsi="Arial"/>
                <w:sz w:val="17"/>
                <w:szCs w:val="17"/>
                <w:color w:val="0000FF"/>
              </w:rPr>
              <w:t>W2 6LG</w:t>
            </w:r>
          </w:p>
        </w:tc>
      </w:tr>
      <w:tr>
        <w:trPr>
          <w:trHeight w:val="148"/>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3"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92" w:lineRule="exact"/>
        <w:rPr>
          <w:sz w:val="24"/>
          <w:szCs w:val="24"/>
          <w:color w:val="auto"/>
        </w:rPr>
      </w:pPr>
    </w:p>
    <w:p>
      <w:pPr>
        <w:sectPr>
          <w:pgSz w:w="11900" w:h="16844" w:orient="portrait"/>
          <w:cols w:equalWidth="0" w:num="2">
            <w:col w:w="3760" w:space="160"/>
            <w:col w:w="716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70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gridSpan w:val="3"/>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00"/>
              <w:spacing w:after="0" w:line="124" w:lineRule="exact"/>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10"/>
                <w:szCs w:val="10"/>
                <w:color w:val="auto"/>
              </w:rPr>
            </w:pPr>
          </w:p>
        </w:tc>
        <w:tc>
          <w:tcPr>
            <w:tcW w:w="10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jc w:val="center"/>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00" w:type="dxa"/>
            <w:vAlign w:val="bottom"/>
            <w:gridSpan w:val="2"/>
          </w:tcPr>
          <w:p>
            <w:pPr>
              <w:jc w:val="center"/>
              <w:ind w:left="572"/>
              <w:spacing w:after="0"/>
              <w:rPr>
                <w:sz w:val="20"/>
                <w:szCs w:val="20"/>
                <w:color w:val="auto"/>
              </w:rPr>
            </w:pPr>
            <w:r>
              <w:rPr>
                <w:rFonts w:ascii="Arial" w:cs="Arial" w:eastAsia="Arial" w:hAnsi="Arial"/>
                <w:sz w:val="11"/>
                <w:szCs w:val="11"/>
                <w:b w:val="1"/>
                <w:bCs w:val="1"/>
                <w:color w:val="auto"/>
              </w:rPr>
              <w:t>(Month/Day/Year)</w:t>
            </w:r>
          </w:p>
        </w:tc>
        <w:tc>
          <w:tcPr>
            <w:tcW w:w="60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48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8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jc w:val="right"/>
              <w:ind w:right="2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572"/>
              <w:spacing w:after="0"/>
              <w:rPr>
                <w:sz w:val="20"/>
                <w:szCs w:val="20"/>
                <w:color w:val="auto"/>
              </w:rPr>
            </w:pPr>
            <w:r>
              <w:rPr>
                <w:rFonts w:ascii="Arial" w:cs="Arial" w:eastAsia="Arial" w:hAnsi="Arial"/>
                <w:sz w:val="17"/>
                <w:szCs w:val="17"/>
                <w:color w:val="0000FF"/>
                <w:w w:val="86"/>
              </w:rPr>
              <w:t>03/30/2021</w:t>
            </w:r>
          </w:p>
        </w:tc>
        <w:tc>
          <w:tcPr>
            <w:tcW w:w="1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3"/>
              <w:spacing w:after="0"/>
              <w:rPr>
                <w:sz w:val="20"/>
                <w:szCs w:val="20"/>
                <w:color w:val="auto"/>
              </w:rPr>
            </w:pPr>
            <w:r>
              <w:rPr>
                <w:rFonts w:ascii="Arial" w:cs="Arial" w:eastAsia="Arial" w:hAnsi="Arial"/>
                <w:sz w:val="13"/>
                <w:szCs w:val="13"/>
                <w:color w:val="0000FF"/>
                <w:w w:val="91"/>
              </w:rPr>
              <w:t>M</w:t>
            </w:r>
          </w:p>
        </w:tc>
        <w:tc>
          <w:tcPr>
            <w:tcW w:w="680" w:type="dxa"/>
            <w:vAlign w:val="bottom"/>
            <w:tcBorders>
              <w:bottom w:val="single" w:sz="8" w:color="2C2C2C"/>
            </w:tcBorders>
          </w:tcPr>
          <w:p>
            <w:pPr>
              <w:jc w:val="center"/>
              <w:ind w:left="98"/>
              <w:spacing w:after="0"/>
              <w:rPr>
                <w:sz w:val="20"/>
                <w:szCs w:val="20"/>
                <w:color w:val="auto"/>
              </w:rPr>
            </w:pPr>
            <w:r>
              <w:rPr>
                <w:rFonts w:ascii="Arial" w:cs="Arial" w:eastAsia="Arial" w:hAnsi="Arial"/>
                <w:sz w:val="17"/>
                <w:szCs w:val="17"/>
                <w:color w:val="0000FF"/>
                <w:w w:val="84"/>
              </w:rPr>
              <w:t>417</w:t>
            </w:r>
          </w:p>
        </w:tc>
        <w:tc>
          <w:tcPr>
            <w:tcW w:w="6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ind w:left="30"/>
              <w:spacing w:after="0" w:line="306" w:lineRule="exact"/>
              <w:rPr>
                <w:sz w:val="20"/>
                <w:szCs w:val="20"/>
                <w:color w:val="auto"/>
              </w:rPr>
            </w:pPr>
            <w:r>
              <w:rPr>
                <w:rFonts w:ascii="Arial" w:cs="Arial" w:eastAsia="Arial" w:hAnsi="Arial"/>
                <w:sz w:val="33"/>
                <w:szCs w:val="33"/>
                <w:color w:val="000000"/>
                <w:w w:val="79"/>
                <w:vertAlign w:val="subscript"/>
              </w:rPr>
              <w:t>$</w:t>
            </w:r>
            <w:r>
              <w:rPr>
                <w:rFonts w:ascii="Arial" w:cs="Arial" w:eastAsia="Arial" w:hAnsi="Arial"/>
                <w:sz w:val="33"/>
                <w:szCs w:val="33"/>
                <w:color w:val="0000FF"/>
                <w:w w:val="79"/>
                <w:vertAlign w:val="subscript"/>
              </w:rPr>
              <w:t>0</w:t>
            </w:r>
            <w:r>
              <w:rPr>
                <w:rFonts w:ascii="Arial" w:cs="Arial" w:eastAsia="Arial" w:hAnsi="Arial"/>
                <w:sz w:val="11"/>
                <w:szCs w:val="11"/>
                <w:color w:val="008000"/>
                <w:w w:val="79"/>
              </w:rPr>
              <w:t>(1)</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871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572"/>
              <w:spacing w:after="0"/>
              <w:rPr>
                <w:sz w:val="20"/>
                <w:szCs w:val="20"/>
                <w:color w:val="auto"/>
              </w:rPr>
            </w:pPr>
            <w:r>
              <w:rPr>
                <w:rFonts w:ascii="Arial" w:cs="Arial" w:eastAsia="Arial" w:hAnsi="Arial"/>
                <w:sz w:val="17"/>
                <w:szCs w:val="17"/>
                <w:color w:val="0000FF"/>
                <w:w w:val="86"/>
              </w:rPr>
              <w:t>03/30/2021</w:t>
            </w:r>
          </w:p>
        </w:tc>
        <w:tc>
          <w:tcPr>
            <w:tcW w:w="1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3"/>
              <w:spacing w:after="0"/>
              <w:rPr>
                <w:sz w:val="20"/>
                <w:szCs w:val="20"/>
                <w:color w:val="auto"/>
              </w:rPr>
            </w:pPr>
            <w:r>
              <w:rPr>
                <w:rFonts w:ascii="Arial" w:cs="Arial" w:eastAsia="Arial" w:hAnsi="Arial"/>
                <w:sz w:val="13"/>
                <w:szCs w:val="13"/>
                <w:color w:val="0000FF"/>
                <w:w w:val="74"/>
              </w:rPr>
              <w:t>F</w:t>
            </w:r>
          </w:p>
        </w:tc>
        <w:tc>
          <w:tcPr>
            <w:tcW w:w="680" w:type="dxa"/>
            <w:vAlign w:val="bottom"/>
            <w:tcBorders>
              <w:bottom w:val="single" w:sz="8" w:color="2C2C2C"/>
            </w:tcBorders>
          </w:tcPr>
          <w:p>
            <w:pPr>
              <w:jc w:val="center"/>
              <w:ind w:left="98"/>
              <w:spacing w:after="0"/>
              <w:rPr>
                <w:sz w:val="20"/>
                <w:szCs w:val="20"/>
                <w:color w:val="auto"/>
              </w:rPr>
            </w:pPr>
            <w:r>
              <w:rPr>
                <w:rFonts w:ascii="Arial" w:cs="Arial" w:eastAsia="Arial" w:hAnsi="Arial"/>
                <w:sz w:val="17"/>
                <w:szCs w:val="17"/>
                <w:color w:val="0000FF"/>
                <w:w w:val="79"/>
              </w:rPr>
              <w:t>196</w:t>
            </w:r>
            <w:r>
              <w:rPr>
                <w:rFonts w:ascii="Arial" w:cs="Arial" w:eastAsia="Arial" w:hAnsi="Arial"/>
                <w:sz w:val="21"/>
                <w:szCs w:val="21"/>
                <w:color w:val="008000"/>
                <w:w w:val="79"/>
                <w:vertAlign w:val="superscript"/>
              </w:rPr>
              <w:t>(2)</w:t>
            </w:r>
          </w:p>
        </w:tc>
        <w:tc>
          <w:tcPr>
            <w:tcW w:w="6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73.54</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675</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572"/>
              <w:spacing w:after="0"/>
              <w:rPr>
                <w:sz w:val="20"/>
                <w:szCs w:val="20"/>
                <w:color w:val="auto"/>
              </w:rPr>
            </w:pPr>
            <w:r>
              <w:rPr>
                <w:rFonts w:ascii="Arial" w:cs="Arial" w:eastAsia="Arial" w:hAnsi="Arial"/>
                <w:sz w:val="17"/>
                <w:szCs w:val="17"/>
                <w:color w:val="0000FF"/>
                <w:w w:val="86"/>
              </w:rPr>
              <w:t>03/30/2021</w:t>
            </w:r>
          </w:p>
        </w:tc>
        <w:tc>
          <w:tcPr>
            <w:tcW w:w="1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3"/>
              <w:spacing w:after="0"/>
              <w:rPr>
                <w:sz w:val="20"/>
                <w:szCs w:val="20"/>
                <w:color w:val="auto"/>
              </w:rPr>
            </w:pPr>
            <w:r>
              <w:rPr>
                <w:rFonts w:ascii="Arial" w:cs="Arial" w:eastAsia="Arial" w:hAnsi="Arial"/>
                <w:sz w:val="13"/>
                <w:szCs w:val="13"/>
                <w:color w:val="0000FF"/>
                <w:w w:val="91"/>
              </w:rPr>
              <w:t>M</w:t>
            </w:r>
          </w:p>
        </w:tc>
        <w:tc>
          <w:tcPr>
            <w:tcW w:w="680" w:type="dxa"/>
            <w:vAlign w:val="bottom"/>
            <w:tcBorders>
              <w:bottom w:val="single" w:sz="8" w:color="2C2C2C"/>
            </w:tcBorders>
          </w:tcPr>
          <w:p>
            <w:pPr>
              <w:jc w:val="center"/>
              <w:ind w:left="98"/>
              <w:spacing w:after="0"/>
              <w:rPr>
                <w:sz w:val="20"/>
                <w:szCs w:val="20"/>
                <w:color w:val="auto"/>
              </w:rPr>
            </w:pPr>
            <w:r>
              <w:rPr>
                <w:rFonts w:ascii="Arial" w:cs="Arial" w:eastAsia="Arial" w:hAnsi="Arial"/>
                <w:sz w:val="17"/>
                <w:szCs w:val="17"/>
                <w:color w:val="0000FF"/>
                <w:w w:val="84"/>
              </w:rPr>
              <w:t>1,148</w:t>
            </w:r>
          </w:p>
        </w:tc>
        <w:tc>
          <w:tcPr>
            <w:tcW w:w="6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ind w:left="30"/>
              <w:spacing w:after="0" w:line="306" w:lineRule="exact"/>
              <w:rPr>
                <w:sz w:val="20"/>
                <w:szCs w:val="20"/>
                <w:color w:val="auto"/>
              </w:rPr>
            </w:pPr>
            <w:r>
              <w:rPr>
                <w:rFonts w:ascii="Arial" w:cs="Arial" w:eastAsia="Arial" w:hAnsi="Arial"/>
                <w:sz w:val="33"/>
                <w:szCs w:val="33"/>
                <w:color w:val="000000"/>
                <w:w w:val="79"/>
                <w:vertAlign w:val="subscript"/>
              </w:rPr>
              <w:t>$</w:t>
            </w:r>
            <w:r>
              <w:rPr>
                <w:rFonts w:ascii="Arial" w:cs="Arial" w:eastAsia="Arial" w:hAnsi="Arial"/>
                <w:sz w:val="33"/>
                <w:szCs w:val="33"/>
                <w:color w:val="0000FF"/>
                <w:w w:val="79"/>
                <w:vertAlign w:val="subscript"/>
              </w:rPr>
              <w:t>0</w:t>
            </w:r>
            <w:r>
              <w:rPr>
                <w:rFonts w:ascii="Arial" w:cs="Arial" w:eastAsia="Arial" w:hAnsi="Arial"/>
                <w:sz w:val="11"/>
                <w:szCs w:val="11"/>
                <w:color w:val="008000"/>
                <w:w w:val="79"/>
              </w:rPr>
              <w:t>(1)</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1,823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jc w:val="center"/>
              <w:ind w:left="572"/>
              <w:spacing w:after="0"/>
              <w:rPr>
                <w:sz w:val="20"/>
                <w:szCs w:val="20"/>
                <w:color w:val="auto"/>
              </w:rPr>
            </w:pPr>
            <w:r>
              <w:rPr>
                <w:rFonts w:ascii="Arial" w:cs="Arial" w:eastAsia="Arial" w:hAnsi="Arial"/>
                <w:sz w:val="17"/>
                <w:szCs w:val="17"/>
                <w:color w:val="0000FF"/>
                <w:w w:val="86"/>
              </w:rPr>
              <w:t>03/30/2021</w:t>
            </w:r>
          </w:p>
        </w:tc>
        <w:tc>
          <w:tcPr>
            <w:tcW w:w="1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3"/>
              <w:spacing w:after="0"/>
              <w:rPr>
                <w:sz w:val="20"/>
                <w:szCs w:val="20"/>
                <w:color w:val="auto"/>
              </w:rPr>
            </w:pPr>
            <w:r>
              <w:rPr>
                <w:rFonts w:ascii="Arial" w:cs="Arial" w:eastAsia="Arial" w:hAnsi="Arial"/>
                <w:sz w:val="13"/>
                <w:szCs w:val="13"/>
                <w:color w:val="0000FF"/>
                <w:w w:val="74"/>
              </w:rPr>
              <w:t>F</w:t>
            </w:r>
          </w:p>
        </w:tc>
        <w:tc>
          <w:tcPr>
            <w:tcW w:w="680" w:type="dxa"/>
            <w:vAlign w:val="bottom"/>
            <w:tcBorders>
              <w:bottom w:val="single" w:sz="8" w:color="2C2C2C"/>
            </w:tcBorders>
          </w:tcPr>
          <w:p>
            <w:pPr>
              <w:jc w:val="center"/>
              <w:ind w:left="98"/>
              <w:spacing w:after="0"/>
              <w:rPr>
                <w:sz w:val="20"/>
                <w:szCs w:val="20"/>
                <w:color w:val="auto"/>
              </w:rPr>
            </w:pPr>
            <w:r>
              <w:rPr>
                <w:rFonts w:ascii="Arial" w:cs="Arial" w:eastAsia="Arial" w:hAnsi="Arial"/>
                <w:sz w:val="17"/>
                <w:szCs w:val="17"/>
                <w:color w:val="0000FF"/>
                <w:w w:val="79"/>
              </w:rPr>
              <w:t>540</w:t>
            </w:r>
            <w:r>
              <w:rPr>
                <w:rFonts w:ascii="Arial" w:cs="Arial" w:eastAsia="Arial" w:hAnsi="Arial"/>
                <w:sz w:val="21"/>
                <w:szCs w:val="21"/>
                <w:color w:val="008000"/>
                <w:w w:val="79"/>
                <w:vertAlign w:val="superscript"/>
              </w:rPr>
              <w:t>(2)</w:t>
            </w:r>
          </w:p>
        </w:tc>
        <w:tc>
          <w:tcPr>
            <w:tcW w:w="6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73.54</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4"/>
              </w:rPr>
              <w:t>1,283</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13"/>
          </w:tcPr>
          <w:p>
            <w:pPr>
              <w:jc w:val="right"/>
              <w:ind w:right="16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20" w:type="dxa"/>
            <w:vAlign w:val="bottom"/>
            <w:gridSpan w:val="10"/>
          </w:tcPr>
          <w:p>
            <w:pPr>
              <w:jc w:val="right"/>
              <w:ind w:righ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6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20" w:type="dxa"/>
            <w:vAlign w:val="bottom"/>
            <w:gridSpan w:val="2"/>
          </w:tcPr>
          <w:p>
            <w:pPr>
              <w:spacing w:after="0"/>
              <w:rPr>
                <w:sz w:val="20"/>
                <w:szCs w:val="20"/>
                <w:color w:val="auto"/>
              </w:rPr>
            </w:pPr>
            <w:r>
              <w:rPr>
                <w:rFonts w:ascii="Arial" w:cs="Arial" w:eastAsia="Arial" w:hAnsi="Arial"/>
                <w:sz w:val="11"/>
                <w:szCs w:val="11"/>
                <w:b w:val="1"/>
                <w:bCs w:val="1"/>
                <w:color w:val="auto"/>
              </w:rPr>
              <w:t>Expiration 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42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9"/>
              </w:rPr>
              <w:t>03/30/2021</w:t>
            </w:r>
          </w:p>
        </w:tc>
        <w:tc>
          <w:tcPr>
            <w:tcW w:w="1080" w:type="dxa"/>
            <w:vAlign w:val="bottom"/>
          </w:tcPr>
          <w:p>
            <w:pPr>
              <w:spacing w:after="0"/>
              <w:rPr>
                <w:sz w:val="15"/>
                <w:szCs w:val="15"/>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vMerge w:val="restart"/>
          </w:tcPr>
          <w:p>
            <w:pPr>
              <w:jc w:val="right"/>
              <w:ind w:right="118"/>
              <w:spacing w:after="0"/>
              <w:rPr>
                <w:sz w:val="20"/>
                <w:szCs w:val="20"/>
                <w:color w:val="auto"/>
              </w:rPr>
            </w:pPr>
            <w:r>
              <w:rPr>
                <w:rFonts w:ascii="Arial" w:cs="Arial" w:eastAsia="Arial" w:hAnsi="Arial"/>
                <w:sz w:val="13"/>
                <w:szCs w:val="13"/>
                <w:color w:val="0000FF"/>
              </w:rPr>
              <w:t>417</w:t>
            </w:r>
          </w:p>
        </w:tc>
        <w:tc>
          <w:tcPr>
            <w:tcW w:w="740" w:type="dxa"/>
            <w:vAlign w:val="bottom"/>
            <w:vMerge w:val="restart"/>
          </w:tcPr>
          <w:p>
            <w:pPr>
              <w:jc w:val="center"/>
              <w:ind w:right="23"/>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660" w:type="dxa"/>
            <w:vAlign w:val="bottom"/>
          </w:tcPr>
          <w:p>
            <w:pPr>
              <w:jc w:val="center"/>
              <w:ind w:right="16"/>
              <w:spacing w:after="0"/>
              <w:rPr>
                <w:sz w:val="20"/>
                <w:szCs w:val="20"/>
                <w:color w:val="auto"/>
              </w:rPr>
            </w:pPr>
            <w:r>
              <w:rPr>
                <w:rFonts w:ascii="Arial" w:cs="Arial" w:eastAsia="Arial" w:hAnsi="Arial"/>
                <w:sz w:val="13"/>
                <w:szCs w:val="13"/>
                <w:color w:val="0000FF"/>
                <w:w w:val="92"/>
              </w:rPr>
              <w:t>Ordinary</w:t>
            </w:r>
          </w:p>
        </w:tc>
        <w:tc>
          <w:tcPr>
            <w:tcW w:w="520" w:type="dxa"/>
            <w:vAlign w:val="bottom"/>
            <w:vMerge w:val="restart"/>
          </w:tcPr>
          <w:p>
            <w:pPr>
              <w:jc w:val="center"/>
              <w:ind w:right="10"/>
              <w:spacing w:after="0"/>
              <w:rPr>
                <w:sz w:val="20"/>
                <w:szCs w:val="20"/>
                <w:color w:val="auto"/>
              </w:rPr>
            </w:pPr>
            <w:r>
              <w:rPr>
                <w:rFonts w:ascii="Arial" w:cs="Arial" w:eastAsia="Arial" w:hAnsi="Arial"/>
                <w:sz w:val="17"/>
                <w:szCs w:val="17"/>
                <w:color w:val="0000FF"/>
                <w:w w:val="84"/>
              </w:rPr>
              <w:t>417</w:t>
            </w:r>
          </w:p>
        </w:tc>
        <w:tc>
          <w:tcPr>
            <w:tcW w:w="40" w:type="dxa"/>
            <w:vAlign w:val="bottom"/>
          </w:tcPr>
          <w:p>
            <w:pPr>
              <w:spacing w:after="0"/>
              <w:rPr>
                <w:sz w:val="15"/>
                <w:szCs w:val="15"/>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80" w:type="dxa"/>
            <w:vAlign w:val="bottom"/>
            <w:vMerge w:val="restart"/>
          </w:tcPr>
          <w:p>
            <w:pPr>
              <w:jc w:val="center"/>
              <w:ind w:left="201"/>
              <w:spacing w:after="0"/>
              <w:rPr>
                <w:sz w:val="20"/>
                <w:szCs w:val="20"/>
                <w:color w:val="auto"/>
              </w:rPr>
            </w:pPr>
            <w:r>
              <w:rPr>
                <w:rFonts w:ascii="Arial" w:cs="Arial" w:eastAsia="Arial" w:hAnsi="Arial"/>
                <w:sz w:val="25"/>
                <w:szCs w:val="25"/>
                <w:color w:val="0000FF"/>
                <w:w w:val="77"/>
                <w:vertAlign w:val="subscript"/>
              </w:rPr>
              <w:t>835</w:t>
            </w:r>
            <w:r>
              <w:rPr>
                <w:rFonts w:ascii="Arial" w:cs="Arial" w:eastAsia="Arial" w:hAnsi="Arial"/>
                <w:sz w:val="11"/>
                <w:szCs w:val="11"/>
                <w:color w:val="008000"/>
                <w:w w:val="77"/>
              </w:rPr>
              <w:t>(5)</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6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60" w:type="dxa"/>
            <w:vAlign w:val="bottom"/>
            <w:vMerge w:val="restart"/>
          </w:tcPr>
          <w:p>
            <w:pPr>
              <w:jc w:val="center"/>
              <w:ind w:right="16"/>
              <w:spacing w:after="0"/>
              <w:rPr>
                <w:sz w:val="20"/>
                <w:szCs w:val="20"/>
                <w:color w:val="auto"/>
              </w:rPr>
            </w:pPr>
            <w:r>
              <w:rPr>
                <w:rFonts w:ascii="Arial" w:cs="Arial" w:eastAsia="Arial" w:hAnsi="Arial"/>
                <w:sz w:val="13"/>
                <w:szCs w:val="13"/>
                <w:color w:val="0000FF"/>
                <w:w w:val="82"/>
              </w:rPr>
              <w:t>Shares</w:t>
            </w:r>
          </w:p>
        </w:tc>
        <w:tc>
          <w:tcPr>
            <w:tcW w:w="5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9"/>
              </w:rPr>
              <w:t>03/30/2021</w:t>
            </w:r>
          </w:p>
        </w:tc>
        <w:tc>
          <w:tcPr>
            <w:tcW w:w="1080" w:type="dxa"/>
            <w:vAlign w:val="bottom"/>
          </w:tcPr>
          <w:p>
            <w:pPr>
              <w:spacing w:after="0"/>
              <w:rPr>
                <w:sz w:val="15"/>
                <w:szCs w:val="15"/>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vMerge w:val="restart"/>
          </w:tcPr>
          <w:p>
            <w:pPr>
              <w:jc w:val="right"/>
              <w:ind w:right="58"/>
              <w:spacing w:after="0"/>
              <w:rPr>
                <w:sz w:val="20"/>
                <w:szCs w:val="20"/>
                <w:color w:val="auto"/>
              </w:rPr>
            </w:pPr>
            <w:r>
              <w:rPr>
                <w:rFonts w:ascii="Arial" w:cs="Arial" w:eastAsia="Arial" w:hAnsi="Arial"/>
                <w:sz w:val="13"/>
                <w:szCs w:val="13"/>
                <w:color w:val="0000FF"/>
              </w:rPr>
              <w:t>1,148</w:t>
            </w:r>
          </w:p>
        </w:tc>
        <w:tc>
          <w:tcPr>
            <w:tcW w:w="740" w:type="dxa"/>
            <w:vAlign w:val="bottom"/>
            <w:vMerge w:val="restart"/>
          </w:tcPr>
          <w:p>
            <w:pPr>
              <w:jc w:val="center"/>
              <w:ind w:right="23"/>
              <w:spacing w:after="0"/>
              <w:rPr>
                <w:sz w:val="20"/>
                <w:szCs w:val="20"/>
                <w:color w:val="auto"/>
              </w:rPr>
            </w:pPr>
            <w:r>
              <w:rPr>
                <w:rFonts w:ascii="Arial" w:cs="Arial" w:eastAsia="Arial" w:hAnsi="Arial"/>
                <w:sz w:val="11"/>
                <w:szCs w:val="11"/>
                <w:color w:val="008000"/>
              </w:rPr>
              <w:t>(6)</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660" w:type="dxa"/>
            <w:vAlign w:val="bottom"/>
          </w:tcPr>
          <w:p>
            <w:pPr>
              <w:jc w:val="center"/>
              <w:ind w:right="16"/>
              <w:spacing w:after="0"/>
              <w:rPr>
                <w:sz w:val="20"/>
                <w:szCs w:val="20"/>
                <w:color w:val="auto"/>
              </w:rPr>
            </w:pPr>
            <w:r>
              <w:rPr>
                <w:rFonts w:ascii="Arial" w:cs="Arial" w:eastAsia="Arial" w:hAnsi="Arial"/>
                <w:sz w:val="13"/>
                <w:szCs w:val="13"/>
                <w:color w:val="0000FF"/>
                <w:w w:val="92"/>
              </w:rPr>
              <w:t>Ordinary</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1,148</w:t>
            </w:r>
          </w:p>
        </w:tc>
        <w:tc>
          <w:tcPr>
            <w:tcW w:w="40" w:type="dxa"/>
            <w:vAlign w:val="bottom"/>
          </w:tcPr>
          <w:p>
            <w:pPr>
              <w:spacing w:after="0"/>
              <w:rPr>
                <w:sz w:val="15"/>
                <w:szCs w:val="15"/>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88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80"/>
              </w:rPr>
              <w:t>3,442</w:t>
            </w:r>
            <w:r>
              <w:rPr>
                <w:rFonts w:ascii="Arial" w:cs="Arial" w:eastAsia="Arial" w:hAnsi="Arial"/>
                <w:sz w:val="21"/>
                <w:szCs w:val="21"/>
                <w:color w:val="008000"/>
                <w:w w:val="80"/>
                <w:vertAlign w:val="superscript"/>
              </w:rPr>
              <w:t>(5)</w:t>
            </w: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60" w:type="dxa"/>
            <w:vAlign w:val="bottom"/>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60" w:type="dxa"/>
            <w:vAlign w:val="bottom"/>
            <w:vMerge w:val="restart"/>
          </w:tcPr>
          <w:p>
            <w:pPr>
              <w:jc w:val="center"/>
              <w:ind w:right="16"/>
              <w:spacing w:after="0"/>
              <w:rPr>
                <w:sz w:val="20"/>
                <w:szCs w:val="20"/>
                <w:color w:val="auto"/>
              </w:rPr>
            </w:pPr>
            <w:r>
              <w:rPr>
                <w:rFonts w:ascii="Arial" w:cs="Arial" w:eastAsia="Arial" w:hAnsi="Arial"/>
                <w:sz w:val="13"/>
                <w:szCs w:val="13"/>
                <w:color w:val="0000FF"/>
                <w:w w:val="82"/>
              </w:rPr>
              <w:t>Shares</w:t>
            </w:r>
          </w:p>
        </w:tc>
        <w:tc>
          <w:tcPr>
            <w:tcW w:w="5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(3)</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9"/>
              </w:rPr>
              <w:t>03/30/2021</w:t>
            </w:r>
          </w:p>
        </w:tc>
        <w:tc>
          <w:tcPr>
            <w:tcW w:w="1080" w:type="dxa"/>
            <w:vAlign w:val="bottom"/>
          </w:tcPr>
          <w:p>
            <w:pPr>
              <w:spacing w:after="0"/>
              <w:rPr>
                <w:sz w:val="15"/>
                <w:szCs w:val="15"/>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160" w:type="dxa"/>
            <w:vAlign w:val="bottom"/>
          </w:tcPr>
          <w:p>
            <w:pPr>
              <w:spacing w:after="0"/>
              <w:rPr>
                <w:sz w:val="15"/>
                <w:szCs w:val="15"/>
                <w:color w:val="auto"/>
              </w:rPr>
            </w:pPr>
          </w:p>
        </w:tc>
        <w:tc>
          <w:tcPr>
            <w:tcW w:w="440" w:type="dxa"/>
            <w:vAlign w:val="bottom"/>
            <w:vMerge w:val="restart"/>
          </w:tcPr>
          <w:p>
            <w:pPr>
              <w:ind w:left="80"/>
              <w:spacing w:after="0"/>
              <w:rPr>
                <w:sz w:val="20"/>
                <w:szCs w:val="20"/>
                <w:color w:val="auto"/>
              </w:rPr>
            </w:pPr>
            <w:r>
              <w:rPr>
                <w:rFonts w:ascii="Arial" w:cs="Arial" w:eastAsia="Arial" w:hAnsi="Arial"/>
                <w:sz w:val="13"/>
                <w:szCs w:val="13"/>
                <w:color w:val="0000FF"/>
              </w:rPr>
              <w:t>2,730</w:t>
            </w:r>
          </w:p>
        </w:tc>
        <w:tc>
          <w:tcPr>
            <w:tcW w:w="480" w:type="dxa"/>
            <w:vAlign w:val="bottom"/>
          </w:tcPr>
          <w:p>
            <w:pPr>
              <w:spacing w:after="0"/>
              <w:rPr>
                <w:sz w:val="15"/>
                <w:szCs w:val="15"/>
                <w:color w:val="auto"/>
              </w:rPr>
            </w:pPr>
          </w:p>
        </w:tc>
        <w:tc>
          <w:tcPr>
            <w:tcW w:w="740" w:type="dxa"/>
            <w:vAlign w:val="bottom"/>
            <w:vMerge w:val="restart"/>
          </w:tcPr>
          <w:p>
            <w:pPr>
              <w:jc w:val="center"/>
              <w:ind w:right="23"/>
              <w:spacing w:after="0"/>
              <w:rPr>
                <w:sz w:val="20"/>
                <w:szCs w:val="20"/>
                <w:color w:val="auto"/>
              </w:rPr>
            </w:pPr>
            <w:r>
              <w:rPr>
                <w:rFonts w:ascii="Arial" w:cs="Arial" w:eastAsia="Arial" w:hAnsi="Arial"/>
                <w:sz w:val="11"/>
                <w:szCs w:val="11"/>
                <w:color w:val="008000"/>
              </w:rPr>
              <w:t>(7)</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(7)</w:t>
            </w:r>
          </w:p>
        </w:tc>
        <w:tc>
          <w:tcPr>
            <w:tcW w:w="660" w:type="dxa"/>
            <w:vAlign w:val="bottom"/>
          </w:tcPr>
          <w:p>
            <w:pPr>
              <w:jc w:val="center"/>
              <w:ind w:right="16"/>
              <w:spacing w:after="0"/>
              <w:rPr>
                <w:sz w:val="20"/>
                <w:szCs w:val="20"/>
                <w:color w:val="auto"/>
              </w:rPr>
            </w:pPr>
            <w:r>
              <w:rPr>
                <w:rFonts w:ascii="Arial" w:cs="Arial" w:eastAsia="Arial" w:hAnsi="Arial"/>
                <w:sz w:val="13"/>
                <w:szCs w:val="13"/>
                <w:color w:val="0000FF"/>
                <w:w w:val="92"/>
              </w:rPr>
              <w:t>Ordinary</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2,730</w:t>
            </w:r>
          </w:p>
        </w:tc>
        <w:tc>
          <w:tcPr>
            <w:tcW w:w="40" w:type="dxa"/>
            <w:vAlign w:val="bottom"/>
          </w:tcPr>
          <w:p>
            <w:pPr>
              <w:spacing w:after="0"/>
              <w:rPr>
                <w:sz w:val="15"/>
                <w:szCs w:val="15"/>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80" w:type="dxa"/>
            <w:vAlign w:val="bottom"/>
            <w:vMerge w:val="restart"/>
          </w:tcPr>
          <w:p>
            <w:pPr>
              <w:jc w:val="center"/>
              <w:ind w:left="201"/>
              <w:spacing w:after="0"/>
              <w:rPr>
                <w:sz w:val="20"/>
                <w:szCs w:val="20"/>
                <w:color w:val="auto"/>
              </w:rPr>
            </w:pPr>
            <w:r>
              <w:rPr>
                <w:rFonts w:ascii="Arial" w:cs="Arial" w:eastAsia="Arial" w:hAnsi="Arial"/>
                <w:sz w:val="13"/>
                <w:szCs w:val="13"/>
                <w:color w:val="0000FF"/>
                <w:w w:val="85"/>
              </w:rPr>
              <w:t>2,730</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jc w:val="center"/>
              <w:ind w:right="16"/>
              <w:spacing w:after="0"/>
              <w:rPr>
                <w:sz w:val="20"/>
                <w:szCs w:val="20"/>
                <w:color w:val="auto"/>
              </w:rPr>
            </w:pPr>
            <w:r>
              <w:rPr>
                <w:rFonts w:ascii="Arial" w:cs="Arial" w:eastAsia="Arial" w:hAnsi="Arial"/>
                <w:sz w:val="13"/>
                <w:szCs w:val="13"/>
                <w:color w:val="0000FF"/>
                <w:w w:val="82"/>
              </w:rPr>
              <w:t>Shares</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Arial" w:cs="Arial" w:eastAsia="Arial" w:hAnsi="Arial"/>
                <w:sz w:val="13"/>
                <w:szCs w:val="13"/>
                <w:color w:val="0000FF"/>
                <w:w w:val="96"/>
              </w:rPr>
              <w:t>Performance</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(8)</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9"/>
              </w:rPr>
              <w:t>03/30/2021</w:t>
            </w:r>
          </w:p>
        </w:tc>
        <w:tc>
          <w:tcPr>
            <w:tcW w:w="1080" w:type="dxa"/>
            <w:vAlign w:val="bottom"/>
          </w:tcPr>
          <w:p>
            <w:pPr>
              <w:spacing w:after="0"/>
              <w:rPr>
                <w:sz w:val="15"/>
                <w:szCs w:val="15"/>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160" w:type="dxa"/>
            <w:vAlign w:val="bottom"/>
          </w:tcPr>
          <w:p>
            <w:pPr>
              <w:spacing w:after="0"/>
              <w:rPr>
                <w:sz w:val="15"/>
                <w:szCs w:val="15"/>
                <w:color w:val="auto"/>
              </w:rPr>
            </w:pPr>
          </w:p>
        </w:tc>
        <w:tc>
          <w:tcPr>
            <w:tcW w:w="440" w:type="dxa"/>
            <w:vAlign w:val="bottom"/>
            <w:vMerge w:val="restart"/>
          </w:tcPr>
          <w:p>
            <w:pPr>
              <w:ind w:left="80"/>
              <w:spacing w:after="0"/>
              <w:rPr>
                <w:sz w:val="20"/>
                <w:szCs w:val="20"/>
                <w:color w:val="auto"/>
              </w:rPr>
            </w:pPr>
            <w:r>
              <w:rPr>
                <w:rFonts w:ascii="Arial" w:cs="Arial" w:eastAsia="Arial" w:hAnsi="Arial"/>
                <w:sz w:val="13"/>
                <w:szCs w:val="13"/>
                <w:color w:val="0000FF"/>
              </w:rPr>
              <w:t>1,365</w:t>
            </w:r>
          </w:p>
        </w:tc>
        <w:tc>
          <w:tcPr>
            <w:tcW w:w="480" w:type="dxa"/>
            <w:vAlign w:val="bottom"/>
          </w:tcPr>
          <w:p>
            <w:pPr>
              <w:spacing w:after="0"/>
              <w:rPr>
                <w:sz w:val="15"/>
                <w:szCs w:val="15"/>
                <w:color w:val="auto"/>
              </w:rPr>
            </w:pPr>
          </w:p>
        </w:tc>
        <w:tc>
          <w:tcPr>
            <w:tcW w:w="740" w:type="dxa"/>
            <w:vAlign w:val="bottom"/>
            <w:vMerge w:val="restart"/>
          </w:tcPr>
          <w:p>
            <w:pPr>
              <w:jc w:val="center"/>
              <w:ind w:right="23"/>
              <w:spacing w:after="0"/>
              <w:rPr>
                <w:sz w:val="20"/>
                <w:szCs w:val="20"/>
                <w:color w:val="auto"/>
              </w:rPr>
            </w:pPr>
            <w:r>
              <w:rPr>
                <w:rFonts w:ascii="Arial" w:cs="Arial" w:eastAsia="Arial" w:hAnsi="Arial"/>
                <w:sz w:val="11"/>
                <w:szCs w:val="11"/>
                <w:color w:val="008000"/>
              </w:rPr>
              <w:t>(9)</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(9)</w:t>
            </w:r>
          </w:p>
        </w:tc>
        <w:tc>
          <w:tcPr>
            <w:tcW w:w="660" w:type="dxa"/>
            <w:vAlign w:val="bottom"/>
          </w:tcPr>
          <w:p>
            <w:pPr>
              <w:jc w:val="center"/>
              <w:ind w:right="16"/>
              <w:spacing w:after="0"/>
              <w:rPr>
                <w:sz w:val="20"/>
                <w:szCs w:val="20"/>
                <w:color w:val="auto"/>
              </w:rPr>
            </w:pPr>
            <w:r>
              <w:rPr>
                <w:rFonts w:ascii="Arial" w:cs="Arial" w:eastAsia="Arial" w:hAnsi="Arial"/>
                <w:sz w:val="13"/>
                <w:szCs w:val="13"/>
                <w:color w:val="0000FF"/>
                <w:w w:val="92"/>
              </w:rPr>
              <w:t>Ordinary</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1,365</w:t>
            </w:r>
          </w:p>
        </w:tc>
        <w:tc>
          <w:tcPr>
            <w:tcW w:w="40" w:type="dxa"/>
            <w:vAlign w:val="bottom"/>
          </w:tcPr>
          <w:p>
            <w:pPr>
              <w:spacing w:after="0"/>
              <w:rPr>
                <w:sz w:val="15"/>
                <w:szCs w:val="15"/>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80" w:type="dxa"/>
            <w:vAlign w:val="bottom"/>
            <w:vMerge w:val="restart"/>
          </w:tcPr>
          <w:p>
            <w:pPr>
              <w:jc w:val="center"/>
              <w:ind w:left="201"/>
              <w:spacing w:after="0"/>
              <w:rPr>
                <w:sz w:val="20"/>
                <w:szCs w:val="20"/>
                <w:color w:val="auto"/>
              </w:rPr>
            </w:pPr>
            <w:r>
              <w:rPr>
                <w:rFonts w:ascii="Arial" w:cs="Arial" w:eastAsia="Arial" w:hAnsi="Arial"/>
                <w:sz w:val="13"/>
                <w:szCs w:val="13"/>
                <w:color w:val="0000FF"/>
                <w:w w:val="85"/>
              </w:rPr>
              <w:t>1,365</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jc w:val="center"/>
              <w:ind w:right="16"/>
              <w:spacing w:after="0"/>
              <w:rPr>
                <w:sz w:val="20"/>
                <w:szCs w:val="20"/>
                <w:color w:val="auto"/>
              </w:rPr>
            </w:pPr>
            <w:r>
              <w:rPr>
                <w:rFonts w:ascii="Arial" w:cs="Arial" w:eastAsia="Arial" w:hAnsi="Arial"/>
                <w:sz w:val="13"/>
                <w:szCs w:val="13"/>
                <w:color w:val="0000FF"/>
                <w:w w:val="82"/>
              </w:rPr>
              <w:t>Shares</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Arial" w:cs="Arial" w:eastAsia="Arial" w:hAnsi="Arial"/>
                <w:sz w:val="13"/>
                <w:szCs w:val="13"/>
                <w:color w:val="0000FF"/>
                <w:w w:val="96"/>
              </w:rPr>
              <w:t>Performance</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(8)</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9"/>
              </w:rPr>
              <w:t>03/30/2021</w:t>
            </w:r>
          </w:p>
        </w:tc>
        <w:tc>
          <w:tcPr>
            <w:tcW w:w="1080" w:type="dxa"/>
            <w:vAlign w:val="bottom"/>
          </w:tcPr>
          <w:p>
            <w:pPr>
              <w:spacing w:after="0"/>
              <w:rPr>
                <w:sz w:val="15"/>
                <w:szCs w:val="15"/>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160" w:type="dxa"/>
            <w:vAlign w:val="bottom"/>
          </w:tcPr>
          <w:p>
            <w:pPr>
              <w:spacing w:after="0"/>
              <w:rPr>
                <w:sz w:val="15"/>
                <w:szCs w:val="15"/>
                <w:color w:val="auto"/>
              </w:rPr>
            </w:pPr>
          </w:p>
        </w:tc>
        <w:tc>
          <w:tcPr>
            <w:tcW w:w="440" w:type="dxa"/>
            <w:vAlign w:val="bottom"/>
            <w:vMerge w:val="restart"/>
          </w:tcPr>
          <w:p>
            <w:pPr>
              <w:ind w:left="80"/>
              <w:spacing w:after="0"/>
              <w:rPr>
                <w:sz w:val="20"/>
                <w:szCs w:val="20"/>
                <w:color w:val="auto"/>
              </w:rPr>
            </w:pPr>
            <w:r>
              <w:rPr>
                <w:rFonts w:ascii="Arial" w:cs="Arial" w:eastAsia="Arial" w:hAnsi="Arial"/>
                <w:sz w:val="13"/>
                <w:szCs w:val="13"/>
                <w:color w:val="0000FF"/>
              </w:rPr>
              <w:t>1,365</w:t>
            </w:r>
          </w:p>
        </w:tc>
        <w:tc>
          <w:tcPr>
            <w:tcW w:w="480" w:type="dxa"/>
            <w:vAlign w:val="bottom"/>
          </w:tcPr>
          <w:p>
            <w:pPr>
              <w:spacing w:after="0"/>
              <w:rPr>
                <w:sz w:val="15"/>
                <w:szCs w:val="15"/>
                <w:color w:val="auto"/>
              </w:rPr>
            </w:pPr>
          </w:p>
        </w:tc>
        <w:tc>
          <w:tcPr>
            <w:tcW w:w="740" w:type="dxa"/>
            <w:vAlign w:val="bottom"/>
            <w:vMerge w:val="restart"/>
          </w:tcPr>
          <w:p>
            <w:pPr>
              <w:jc w:val="center"/>
              <w:ind w:right="23"/>
              <w:spacing w:after="0"/>
              <w:rPr>
                <w:sz w:val="20"/>
                <w:szCs w:val="20"/>
                <w:color w:val="auto"/>
              </w:rPr>
            </w:pPr>
            <w:r>
              <w:rPr>
                <w:rFonts w:ascii="Arial" w:cs="Arial" w:eastAsia="Arial" w:hAnsi="Arial"/>
                <w:sz w:val="11"/>
                <w:szCs w:val="11"/>
                <w:color w:val="008000"/>
                <w:w w:val="91"/>
              </w:rPr>
              <w:t>(10)</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w w:val="91"/>
              </w:rPr>
              <w:t>(10)</w:t>
            </w:r>
          </w:p>
        </w:tc>
        <w:tc>
          <w:tcPr>
            <w:tcW w:w="660" w:type="dxa"/>
            <w:vAlign w:val="bottom"/>
          </w:tcPr>
          <w:p>
            <w:pPr>
              <w:jc w:val="center"/>
              <w:ind w:right="16"/>
              <w:spacing w:after="0"/>
              <w:rPr>
                <w:sz w:val="20"/>
                <w:szCs w:val="20"/>
                <w:color w:val="auto"/>
              </w:rPr>
            </w:pPr>
            <w:r>
              <w:rPr>
                <w:rFonts w:ascii="Arial" w:cs="Arial" w:eastAsia="Arial" w:hAnsi="Arial"/>
                <w:sz w:val="13"/>
                <w:szCs w:val="13"/>
                <w:color w:val="0000FF"/>
                <w:w w:val="92"/>
              </w:rPr>
              <w:t>Ordinary</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1,365</w:t>
            </w:r>
          </w:p>
        </w:tc>
        <w:tc>
          <w:tcPr>
            <w:tcW w:w="40" w:type="dxa"/>
            <w:vAlign w:val="bottom"/>
          </w:tcPr>
          <w:p>
            <w:pPr>
              <w:spacing w:after="0"/>
              <w:rPr>
                <w:sz w:val="15"/>
                <w:szCs w:val="15"/>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80" w:type="dxa"/>
            <w:vAlign w:val="bottom"/>
            <w:vMerge w:val="restart"/>
          </w:tcPr>
          <w:p>
            <w:pPr>
              <w:jc w:val="center"/>
              <w:ind w:left="201"/>
              <w:spacing w:after="0"/>
              <w:rPr>
                <w:sz w:val="20"/>
                <w:szCs w:val="20"/>
                <w:color w:val="auto"/>
              </w:rPr>
            </w:pPr>
            <w:r>
              <w:rPr>
                <w:rFonts w:ascii="Arial" w:cs="Arial" w:eastAsia="Arial" w:hAnsi="Arial"/>
                <w:sz w:val="13"/>
                <w:szCs w:val="13"/>
                <w:color w:val="0000FF"/>
                <w:w w:val="85"/>
              </w:rPr>
              <w:t>1,365</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jc w:val="center"/>
              <w:ind w:right="16"/>
              <w:spacing w:after="0"/>
              <w:rPr>
                <w:sz w:val="20"/>
                <w:szCs w:val="20"/>
                <w:color w:val="auto"/>
              </w:rPr>
            </w:pPr>
            <w:r>
              <w:rPr>
                <w:rFonts w:ascii="Arial" w:cs="Arial" w:eastAsia="Arial" w:hAnsi="Arial"/>
                <w:sz w:val="13"/>
                <w:szCs w:val="13"/>
                <w:color w:val="0000FF"/>
                <w:w w:val="82"/>
              </w:rPr>
              <w:t>Shares</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Arial" w:cs="Arial" w:eastAsia="Arial" w:hAnsi="Arial"/>
                <w:sz w:val="13"/>
                <w:szCs w:val="13"/>
                <w:color w:val="0000FF"/>
                <w:w w:val="96"/>
              </w:rPr>
              <w:t>Performance</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008000"/>
                <w:w w:val="88"/>
              </w:rPr>
              <w:t>(8)</w:t>
            </w:r>
          </w:p>
        </w:tc>
        <w:tc>
          <w:tcPr>
            <w:tcW w:w="1060" w:type="dxa"/>
            <w:vAlign w:val="bottom"/>
            <w:vMerge w:val="restart"/>
          </w:tcPr>
          <w:p>
            <w:pPr>
              <w:jc w:val="center"/>
              <w:spacing w:after="0"/>
              <w:rPr>
                <w:sz w:val="20"/>
                <w:szCs w:val="20"/>
                <w:color w:val="auto"/>
              </w:rPr>
            </w:pPr>
            <w:r>
              <w:rPr>
                <w:rFonts w:ascii="Arial" w:cs="Arial" w:eastAsia="Arial" w:hAnsi="Arial"/>
                <w:sz w:val="13"/>
                <w:szCs w:val="13"/>
                <w:color w:val="0000FF"/>
                <w:w w:val="89"/>
              </w:rPr>
              <w:t>03/30/2021</w:t>
            </w:r>
          </w:p>
        </w:tc>
        <w:tc>
          <w:tcPr>
            <w:tcW w:w="1080" w:type="dxa"/>
            <w:vAlign w:val="bottom"/>
          </w:tcPr>
          <w:p>
            <w:pPr>
              <w:spacing w:after="0"/>
              <w:rPr>
                <w:sz w:val="15"/>
                <w:szCs w:val="15"/>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160" w:type="dxa"/>
            <w:vAlign w:val="bottom"/>
          </w:tcPr>
          <w:p>
            <w:pPr>
              <w:spacing w:after="0"/>
              <w:rPr>
                <w:sz w:val="15"/>
                <w:szCs w:val="15"/>
                <w:color w:val="auto"/>
              </w:rPr>
            </w:pPr>
          </w:p>
        </w:tc>
        <w:tc>
          <w:tcPr>
            <w:tcW w:w="440" w:type="dxa"/>
            <w:vAlign w:val="bottom"/>
            <w:vMerge w:val="restart"/>
          </w:tcPr>
          <w:p>
            <w:pPr>
              <w:ind w:left="80"/>
              <w:spacing w:after="0"/>
              <w:rPr>
                <w:sz w:val="20"/>
                <w:szCs w:val="20"/>
                <w:color w:val="auto"/>
              </w:rPr>
            </w:pPr>
            <w:r>
              <w:rPr>
                <w:rFonts w:ascii="Arial" w:cs="Arial" w:eastAsia="Arial" w:hAnsi="Arial"/>
                <w:sz w:val="13"/>
                <w:szCs w:val="13"/>
                <w:color w:val="0000FF"/>
              </w:rPr>
              <w:t>2,730</w:t>
            </w:r>
          </w:p>
        </w:tc>
        <w:tc>
          <w:tcPr>
            <w:tcW w:w="480" w:type="dxa"/>
            <w:vAlign w:val="bottom"/>
          </w:tcPr>
          <w:p>
            <w:pPr>
              <w:spacing w:after="0"/>
              <w:rPr>
                <w:sz w:val="15"/>
                <w:szCs w:val="15"/>
                <w:color w:val="auto"/>
              </w:rPr>
            </w:pPr>
          </w:p>
        </w:tc>
        <w:tc>
          <w:tcPr>
            <w:tcW w:w="740" w:type="dxa"/>
            <w:vAlign w:val="bottom"/>
            <w:vMerge w:val="restart"/>
          </w:tcPr>
          <w:p>
            <w:pPr>
              <w:jc w:val="center"/>
              <w:ind w:right="23"/>
              <w:spacing w:after="0"/>
              <w:rPr>
                <w:sz w:val="20"/>
                <w:szCs w:val="20"/>
                <w:color w:val="auto"/>
              </w:rPr>
            </w:pPr>
            <w:r>
              <w:rPr>
                <w:rFonts w:ascii="Arial" w:cs="Arial" w:eastAsia="Arial" w:hAnsi="Arial"/>
                <w:sz w:val="11"/>
                <w:szCs w:val="11"/>
                <w:color w:val="008000"/>
                <w:w w:val="91"/>
              </w:rPr>
              <w:t>(11)</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w w:val="91"/>
              </w:rPr>
              <w:t>(11)</w:t>
            </w:r>
          </w:p>
        </w:tc>
        <w:tc>
          <w:tcPr>
            <w:tcW w:w="660" w:type="dxa"/>
            <w:vAlign w:val="bottom"/>
          </w:tcPr>
          <w:p>
            <w:pPr>
              <w:jc w:val="center"/>
              <w:ind w:right="16"/>
              <w:spacing w:after="0"/>
              <w:rPr>
                <w:sz w:val="20"/>
                <w:szCs w:val="20"/>
                <w:color w:val="auto"/>
              </w:rPr>
            </w:pPr>
            <w:r>
              <w:rPr>
                <w:rFonts w:ascii="Arial" w:cs="Arial" w:eastAsia="Arial" w:hAnsi="Arial"/>
                <w:sz w:val="13"/>
                <w:szCs w:val="13"/>
                <w:color w:val="0000FF"/>
                <w:w w:val="92"/>
              </w:rPr>
              <w:t>Ordinary</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2,730</w:t>
            </w:r>
          </w:p>
        </w:tc>
        <w:tc>
          <w:tcPr>
            <w:tcW w:w="40" w:type="dxa"/>
            <w:vAlign w:val="bottom"/>
          </w:tcPr>
          <w:p>
            <w:pPr>
              <w:spacing w:after="0"/>
              <w:rPr>
                <w:sz w:val="15"/>
                <w:szCs w:val="15"/>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80" w:type="dxa"/>
            <w:vAlign w:val="bottom"/>
            <w:vMerge w:val="restart"/>
          </w:tcPr>
          <w:p>
            <w:pPr>
              <w:jc w:val="center"/>
              <w:ind w:left="201"/>
              <w:spacing w:after="0"/>
              <w:rPr>
                <w:sz w:val="20"/>
                <w:szCs w:val="20"/>
                <w:color w:val="auto"/>
              </w:rPr>
            </w:pPr>
            <w:r>
              <w:rPr>
                <w:rFonts w:ascii="Arial" w:cs="Arial" w:eastAsia="Arial" w:hAnsi="Arial"/>
                <w:sz w:val="13"/>
                <w:szCs w:val="13"/>
                <w:color w:val="0000FF"/>
                <w:w w:val="85"/>
              </w:rPr>
              <w:t>2,730</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60" w:type="dxa"/>
            <w:vAlign w:val="bottom"/>
            <w:vMerge w:val="restart"/>
          </w:tcPr>
          <w:p>
            <w:pPr>
              <w:jc w:val="center"/>
              <w:ind w:right="16"/>
              <w:spacing w:after="0"/>
              <w:rPr>
                <w:sz w:val="20"/>
                <w:szCs w:val="20"/>
                <w:color w:val="auto"/>
              </w:rPr>
            </w:pPr>
            <w:r>
              <w:rPr>
                <w:rFonts w:ascii="Arial" w:cs="Arial" w:eastAsia="Arial" w:hAnsi="Arial"/>
                <w:sz w:val="13"/>
                <w:szCs w:val="13"/>
                <w:color w:val="0000FF"/>
                <w:w w:val="82"/>
              </w:rPr>
              <w:t>Shares</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vMerge w:val="restart"/>
          </w:tcPr>
          <w:p>
            <w:pPr>
              <w:jc w:val="center"/>
              <w:ind w:right="23"/>
              <w:spacing w:after="0"/>
              <w:rPr>
                <w:sz w:val="20"/>
                <w:szCs w:val="20"/>
                <w:color w:val="auto"/>
              </w:rPr>
            </w:pPr>
            <w:r>
              <w:rPr>
                <w:rFonts w:ascii="Arial" w:cs="Arial" w:eastAsia="Arial" w:hAnsi="Arial"/>
                <w:sz w:val="11"/>
                <w:szCs w:val="11"/>
                <w:color w:val="008000"/>
                <w:w w:val="91"/>
              </w:rPr>
              <w:t>(12)</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w w:val="91"/>
              </w:rPr>
              <w:t>(12)</w:t>
            </w:r>
          </w:p>
        </w:tc>
        <w:tc>
          <w:tcPr>
            <w:tcW w:w="660" w:type="dxa"/>
            <w:vAlign w:val="bottom"/>
            <w:vMerge w:val="restart"/>
          </w:tcPr>
          <w:p>
            <w:pPr>
              <w:jc w:val="center"/>
              <w:ind w:right="16"/>
              <w:spacing w:after="0"/>
              <w:rPr>
                <w:sz w:val="20"/>
                <w:szCs w:val="20"/>
                <w:color w:val="auto"/>
              </w:rPr>
            </w:pPr>
            <w:r>
              <w:rPr>
                <w:rFonts w:ascii="Arial" w:cs="Arial" w:eastAsia="Arial" w:hAnsi="Arial"/>
                <w:sz w:val="13"/>
                <w:szCs w:val="13"/>
                <w:color w:val="0000FF"/>
                <w:w w:val="92"/>
              </w:rPr>
              <w:t>Ordinary</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0000FF"/>
                <w:w w:val="89"/>
              </w:rPr>
              <w:t>6,749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0" w:type="dxa"/>
            <w:vAlign w:val="bottom"/>
            <w:vMerge w:val="restart"/>
          </w:tcPr>
          <w:p>
            <w:pPr>
              <w:ind w:left="60"/>
              <w:spacing w:after="0" w:line="140" w:lineRule="exact"/>
              <w:rPr>
                <w:sz w:val="20"/>
                <w:szCs w:val="20"/>
                <w:color w:val="auto"/>
              </w:rPr>
            </w:pPr>
            <w:r>
              <w:rPr>
                <w:rFonts w:ascii="Arial" w:cs="Arial" w:eastAsia="Arial" w:hAnsi="Arial"/>
                <w:sz w:val="13"/>
                <w:szCs w:val="13"/>
                <w:color w:val="0000FF"/>
                <w:w w:val="99"/>
              </w:rPr>
              <w:t>Appreciation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w w:val="99"/>
              </w:rPr>
              <w:t>$</w:t>
            </w:r>
            <w:r>
              <w:rPr>
                <w:rFonts w:ascii="Arial" w:cs="Arial" w:eastAsia="Arial" w:hAnsi="Arial"/>
                <w:sz w:val="12"/>
                <w:szCs w:val="12"/>
                <w:color w:val="0000FF"/>
                <w:w w:val="99"/>
              </w:rPr>
              <w:t>73.25</w:t>
            </w:r>
          </w:p>
        </w:tc>
        <w:tc>
          <w:tcPr>
            <w:tcW w:w="106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89"/>
              </w:rPr>
              <w:t>03/30/2021</w:t>
            </w:r>
          </w:p>
        </w:tc>
        <w:tc>
          <w:tcPr>
            <w:tcW w:w="1080" w:type="dxa"/>
            <w:vAlign w:val="bottom"/>
          </w:tcPr>
          <w:p>
            <w:pPr>
              <w:spacing w:after="0"/>
              <w:rPr>
                <w:sz w:val="5"/>
                <w:szCs w:val="5"/>
                <w:color w:val="auto"/>
              </w:rPr>
            </w:pPr>
          </w:p>
        </w:tc>
        <w:tc>
          <w:tcPr>
            <w:tcW w:w="620" w:type="dxa"/>
            <w:vAlign w:val="bottom"/>
            <w:vMerge w:val="restart"/>
          </w:tcPr>
          <w:p>
            <w:pPr>
              <w:ind w:left="160"/>
              <w:spacing w:after="0" w:line="140" w:lineRule="exact"/>
              <w:rPr>
                <w:sz w:val="20"/>
                <w:szCs w:val="20"/>
                <w:color w:val="auto"/>
              </w:rPr>
            </w:pPr>
            <w:r>
              <w:rPr>
                <w:rFonts w:ascii="Arial" w:cs="Arial" w:eastAsia="Arial" w:hAnsi="Arial"/>
                <w:sz w:val="13"/>
                <w:szCs w:val="13"/>
                <w:color w:val="0000FF"/>
              </w:rPr>
              <w:t>A</w:t>
            </w:r>
          </w:p>
        </w:tc>
        <w:tc>
          <w:tcPr>
            <w:tcW w:w="160" w:type="dxa"/>
            <w:vAlign w:val="bottom"/>
          </w:tcPr>
          <w:p>
            <w:pPr>
              <w:spacing w:after="0"/>
              <w:rPr>
                <w:sz w:val="5"/>
                <w:szCs w:val="5"/>
                <w:color w:val="auto"/>
              </w:rPr>
            </w:pPr>
          </w:p>
        </w:tc>
        <w:tc>
          <w:tcPr>
            <w:tcW w:w="440" w:type="dxa"/>
            <w:vAlign w:val="bottom"/>
            <w:vMerge w:val="restart"/>
          </w:tcPr>
          <w:p>
            <w:pPr>
              <w:ind w:left="80"/>
              <w:spacing w:after="0" w:line="140" w:lineRule="exact"/>
              <w:rPr>
                <w:sz w:val="20"/>
                <w:szCs w:val="20"/>
                <w:color w:val="auto"/>
              </w:rPr>
            </w:pPr>
            <w:r>
              <w:rPr>
                <w:rFonts w:ascii="Arial" w:cs="Arial" w:eastAsia="Arial" w:hAnsi="Arial"/>
                <w:sz w:val="13"/>
                <w:szCs w:val="13"/>
                <w:color w:val="0000FF"/>
              </w:rPr>
              <w:t>6,749</w:t>
            </w:r>
          </w:p>
        </w:tc>
        <w:tc>
          <w:tcPr>
            <w:tcW w:w="4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auto"/>
                <w:w w:val="93"/>
              </w:rPr>
              <w:t>$</w:t>
            </w:r>
            <w:r>
              <w:rPr>
                <w:rFonts w:ascii="Arial" w:cs="Arial" w:eastAsia="Arial" w:hAnsi="Arial"/>
                <w:sz w:val="12"/>
                <w:szCs w:val="12"/>
                <w:color w:val="0000FF"/>
                <w:w w:val="93"/>
              </w:rPr>
              <w:t>0</w:t>
            </w:r>
          </w:p>
        </w:tc>
        <w:tc>
          <w:tcPr>
            <w:tcW w:w="580" w:type="dxa"/>
            <w:vAlign w:val="bottom"/>
            <w:vMerge w:val="restart"/>
          </w:tcPr>
          <w:p>
            <w:pPr>
              <w:jc w:val="center"/>
              <w:ind w:left="201"/>
              <w:spacing w:after="0" w:line="140" w:lineRule="exact"/>
              <w:rPr>
                <w:sz w:val="20"/>
                <w:szCs w:val="20"/>
                <w:color w:val="auto"/>
              </w:rPr>
            </w:pPr>
            <w:r>
              <w:rPr>
                <w:rFonts w:ascii="Arial" w:cs="Arial" w:eastAsia="Arial" w:hAnsi="Arial"/>
                <w:sz w:val="13"/>
                <w:szCs w:val="13"/>
                <w:color w:val="0000FF"/>
                <w:w w:val="85"/>
              </w:rPr>
              <w:t>6,749</w:t>
            </w:r>
          </w:p>
        </w:tc>
        <w:tc>
          <w:tcPr>
            <w:tcW w:w="300" w:type="dxa"/>
            <w:vAlign w:val="bottom"/>
          </w:tcPr>
          <w:p>
            <w:pPr>
              <w:spacing w:after="0"/>
              <w:rPr>
                <w:sz w:val="5"/>
                <w:szCs w:val="5"/>
                <w:color w:val="auto"/>
              </w:rPr>
            </w:pPr>
          </w:p>
        </w:tc>
        <w:tc>
          <w:tcPr>
            <w:tcW w:w="640" w:type="dxa"/>
            <w:vAlign w:val="bottom"/>
            <w:vMerge w:val="restart"/>
          </w:tcPr>
          <w:p>
            <w:pPr>
              <w:ind w:left="320"/>
              <w:spacing w:after="0" w:line="140"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vMerge w:val="restart"/>
          </w:tcPr>
          <w:p>
            <w:pPr>
              <w:jc w:val="center"/>
              <w:ind w:right="16"/>
              <w:spacing w:after="0"/>
              <w:rPr>
                <w:sz w:val="20"/>
                <w:szCs w:val="20"/>
                <w:color w:val="auto"/>
              </w:rPr>
            </w:pPr>
            <w:r>
              <w:rPr>
                <w:rFonts w:ascii="Arial" w:cs="Arial" w:eastAsia="Arial" w:hAnsi="Arial"/>
                <w:sz w:val="13"/>
                <w:szCs w:val="13"/>
                <w:color w:val="0000FF"/>
                <w:w w:val="82"/>
              </w:rPr>
              <w:t>Shares</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0" w:type="dxa"/>
            <w:vAlign w:val="bottom"/>
            <w:vMerge w:val="restart"/>
          </w:tcPr>
          <w:p>
            <w:pPr>
              <w:ind w:left="60"/>
              <w:spacing w:after="0"/>
              <w:rPr>
                <w:sz w:val="20"/>
                <w:szCs w:val="20"/>
                <w:color w:val="auto"/>
              </w:rPr>
            </w:pPr>
            <w:r>
              <w:rPr>
                <w:rFonts w:ascii="Arial" w:cs="Arial" w:eastAsia="Arial" w:hAnsi="Arial"/>
                <w:sz w:val="13"/>
                <w:szCs w:val="13"/>
                <w:color w:val="0000FF"/>
              </w:rPr>
              <w:t>Rights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-3375660</wp:posOffset>
            </wp:positionV>
            <wp:extent cx="28575" cy="3380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338074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of LivaNova PLC (the Company), GBP 1.00 par value.</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1" w:lineRule="exact"/>
        <w:rPr>
          <w:rFonts w:ascii="Arial" w:cs="Arial" w:eastAsia="Arial" w:hAnsi="Arial"/>
          <w:sz w:val="13"/>
          <w:szCs w:val="13"/>
          <w:color w:val="008000"/>
        </w:rPr>
      </w:pPr>
    </w:p>
    <w:p>
      <w:pPr>
        <w:ind w:left="40" w:right="460"/>
        <w:spacing w:after="0" w:line="244"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7" w:lineRule="exact"/>
        <w:rPr>
          <w:rFonts w:ascii="Arial" w:cs="Arial" w:eastAsia="Arial" w:hAnsi="Arial"/>
          <w:sz w:val="13"/>
          <w:szCs w:val="13"/>
          <w:color w:val="008000"/>
        </w:rPr>
      </w:pPr>
    </w:p>
    <w:p>
      <w:pPr>
        <w:ind w:left="40" w:right="320"/>
        <w:spacing w:after="0" w:line="244"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30, 2019, reporting person was granted RSUs subject to a four-year vesting schedule, the first vesting occurring on March 30, 2020. The RSUs are subject to forfeiture prior to vesting in accordance with the terms of the Plan and the award agreement.</w:t>
      </w:r>
    </w:p>
    <w:p>
      <w:pPr>
        <w:spacing w:after="0" w:line="27"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number reflects the number of derivative securities beneficially owned following reported transaction for this specific grant.</w:t>
      </w:r>
    </w:p>
    <w:p>
      <w:pPr>
        <w:spacing w:after="0" w:line="41" w:lineRule="exact"/>
        <w:rPr>
          <w:rFonts w:ascii="Arial" w:cs="Arial" w:eastAsia="Arial" w:hAnsi="Arial"/>
          <w:sz w:val="13"/>
          <w:szCs w:val="13"/>
          <w:color w:val="008000"/>
        </w:rPr>
      </w:pPr>
    </w:p>
    <w:p>
      <w:pPr>
        <w:ind w:left="40" w:right="320"/>
        <w:spacing w:after="0" w:line="244"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30, 2020, reporting person was granted RSUs subject to a four-year vesting schedule, the first vesting occurring on March 30, 2021. The RSUs are subject to forfeiture prior to vesting in accordance with the terms of the Plan and the award agreement.</w:t>
      </w:r>
    </w:p>
    <w:p>
      <w:pPr>
        <w:spacing w:after="0" w:line="27" w:lineRule="exact"/>
        <w:rPr>
          <w:rFonts w:ascii="Arial" w:cs="Arial" w:eastAsia="Arial" w:hAnsi="Arial"/>
          <w:sz w:val="13"/>
          <w:szCs w:val="13"/>
          <w:color w:val="008000"/>
        </w:rPr>
      </w:pPr>
    </w:p>
    <w:p>
      <w:pPr>
        <w:ind w:left="40" w:right="380"/>
        <w:spacing w:after="0" w:line="244"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30, 2021, reporting person was granted RSUs subject to a four-year vesting schedule, the first vesting to occur on March 30, 2022. The RSUs are subject to forfeiture prior to vesting in accordance with the terms of the Plan and the award agreement.</w:t>
      </w:r>
    </w:p>
    <w:p>
      <w:pPr>
        <w:spacing w:after="0" w:line="27"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performance stock unit (PSU) represents a contingent right to receive one ordinary share of the Company in accordance with the terms of the Plan and the award agreement.</w:t>
      </w:r>
    </w:p>
    <w:p>
      <w:pPr>
        <w:spacing w:after="0" w:line="41" w:lineRule="exact"/>
        <w:rPr>
          <w:rFonts w:ascii="Arial" w:cs="Arial" w:eastAsia="Arial" w:hAnsi="Arial"/>
          <w:sz w:val="13"/>
          <w:szCs w:val="13"/>
          <w:color w:val="008000"/>
        </w:rPr>
      </w:pPr>
    </w:p>
    <w:p>
      <w:pPr>
        <w:ind w:left="40" w:right="480"/>
        <w:spacing w:after="0" w:line="236"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30, 2021, reporting person was granted PSUs to vest or lapse on March 30, 2024 based on how the Company's Return on Investment Capital (ROIC) for fiscal year 2021 compares to a target determined by the Plan Administrator. The number included in column 5 of Table II reflects the target number of PSUs eligible for vesting subject to continued service during the vesting period and the award agreement.</w:t>
      </w:r>
    </w:p>
    <w:p>
      <w:pPr>
        <w:spacing w:after="0" w:line="30" w:lineRule="exact"/>
        <w:rPr>
          <w:rFonts w:ascii="Arial" w:cs="Arial" w:eastAsia="Arial" w:hAnsi="Arial"/>
          <w:sz w:val="13"/>
          <w:szCs w:val="13"/>
          <w:color w:val="008000"/>
        </w:rPr>
      </w:pPr>
    </w:p>
    <w:p>
      <w:pPr>
        <w:ind w:left="40" w:right="480"/>
        <w:spacing w:after="0" w:line="236" w:lineRule="auto"/>
        <w:tabs>
          <w:tab w:leader="none" w:pos="23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30, 2021, reporting person was granted PSUs to vest or lapse on March 30, 2024 based on how the Company's cumulative adjusted free cash flow for fiscal years 2021 compares to a target determined by the Plan Administrator. The number included in column 5 of Table II reflects the target number of PSUs eligible for vesting subject to continued service during the vesting period and the award agreement.</w:t>
      </w:r>
    </w:p>
    <w:p>
      <w:pPr>
        <w:spacing w:after="0" w:line="30" w:lineRule="exact"/>
        <w:rPr>
          <w:rFonts w:ascii="Arial" w:cs="Arial" w:eastAsia="Arial" w:hAnsi="Arial"/>
          <w:sz w:val="13"/>
          <w:szCs w:val="13"/>
          <w:color w:val="008000"/>
        </w:rPr>
      </w:pPr>
    </w:p>
    <w:p>
      <w:pPr>
        <w:ind w:left="40" w:right="140"/>
        <w:spacing w:after="0" w:line="236" w:lineRule="auto"/>
        <w:tabs>
          <w:tab w:leader="none" w:pos="226"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30, 2021, reporting person was granted PSUs to vest or lapse on March 30, 2024 based on the the Company's total shareholder return (TSR) for the three-year period beginning on January 1, 2021 and ending December 31, 2023 relative to the total shareholder return of a peer group of companies, as determined by the Plan Administrator. The number included in column 5 of Table II reflects the target number of PSUs eligible for vesting subject to continued service during the vesting period and the award agreement.</w:t>
      </w:r>
    </w:p>
    <w:p>
      <w:pPr>
        <w:spacing w:after="0" w:line="30" w:lineRule="exact"/>
        <w:rPr>
          <w:rFonts w:ascii="Arial" w:cs="Arial" w:eastAsia="Arial" w:hAnsi="Arial"/>
          <w:sz w:val="13"/>
          <w:szCs w:val="13"/>
          <w:color w:val="008000"/>
        </w:rPr>
      </w:pPr>
    </w:p>
    <w:p>
      <w:pPr>
        <w:ind w:left="40" w:right="220"/>
        <w:spacing w:after="0" w:line="244" w:lineRule="auto"/>
        <w:tabs>
          <w:tab w:leader="none" w:pos="23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30, 2021, reporting person was granted stock appreciation rights (SARs) subject to a four-year vesting schedule, the first vesting to occur on March 30, 2022. The SARs are subject to forfeiture prior to vesting in accordance with the terms of the Plan and the award agreement.</w:t>
      </w:r>
    </w:p>
    <w:p>
      <w:pPr>
        <w:sectPr>
          <w:pgSz w:w="11900" w:h="16844" w:orient="portrait"/>
          <w:cols w:equalWidth="0" w:num="1">
            <w:col w:w="11080"/>
          </w:cols>
          <w:pgMar w:left="460" w:top="220" w:right="359" w:bottom="0" w:gutter="0" w:footer="0" w:header="0"/>
          <w:type w:val="continuous"/>
        </w:sectPr>
      </w:pPr>
    </w:p>
    <w:p>
      <w:pPr>
        <w:spacing w:after="0" w:line="19"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ectPr>
          <w:pgSz w:w="11900" w:h="16844" w:orient="portrait"/>
          <w:cols w:equalWidth="0" w:num="1">
            <w:col w:w="11080"/>
          </w:cols>
          <w:pgMar w:left="460" w:top="220" w:right="359" w:bottom="0" w:gutter="0" w:footer="0" w:header="0"/>
          <w:type w:val="continuous"/>
        </w:sectPr>
      </w:pPr>
    </w:p>
    <w:bookmarkStart w:id="1" w:name="page2"/>
    <w:bookmarkEnd w:id="1"/>
    <w:tbl>
      <w:tblPr>
        <w:tblLayout w:type="fixed"/>
        <w:tblInd w:w="6560" w:type="dxa"/>
        <w:tblCellMar>
          <w:top w:w="0" w:type="dxa"/>
          <w:left w:w="0" w:type="dxa"/>
          <w:bottom w:w="0" w:type="dxa"/>
          <w:right w:w="0" w:type="dxa"/>
        </w:tblCellMar>
      </w:tblPr>
      <w:tr>
        <w:trPr>
          <w:trHeight w:val="195"/>
        </w:trPr>
        <w:tc>
          <w:tcPr>
            <w:tcW w:w="16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8"/>
              </w:rPr>
              <w:t>/s/ Sarah K. Mohr, POA</w:t>
            </w:r>
          </w:p>
        </w:tc>
        <w:tc>
          <w:tcPr>
            <w:tcW w:w="60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04/01/2021</w:t>
            </w:r>
          </w:p>
        </w:tc>
      </w:tr>
      <w:tr>
        <w:trPr>
          <w:trHeight w:val="222"/>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2619"/>
        <w:spacing w:after="0" w:line="328"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9959"/>
          </w:cols>
          <w:pgMar w:left="500" w:top="186"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9"/>
          <w:szCs w:val="19"/>
          <w:b w:val="1"/>
          <w:bCs w:val="1"/>
          <w:u w:val="single" w:color="auto"/>
          <w:color w:val="auto"/>
        </w:rPr>
        <w:t>POWER OF ATTORNEY</w:t>
      </w:r>
    </w:p>
    <w:p>
      <w:pPr>
        <w:spacing w:after="0" w:line="206" w:lineRule="exact"/>
        <w:rPr>
          <w:sz w:val="20"/>
          <w:szCs w:val="20"/>
          <w:color w:val="auto"/>
        </w:rPr>
      </w:pPr>
    </w:p>
    <w:p>
      <w:pPr>
        <w:ind w:firstLine="611"/>
        <w:spacing w:after="0" w:line="307" w:lineRule="auto"/>
        <w:rPr>
          <w:sz w:val="20"/>
          <w:szCs w:val="20"/>
          <w:color w:val="auto"/>
        </w:rPr>
      </w:pPr>
      <w:r>
        <w:rPr>
          <w:rFonts w:ascii="Arial" w:cs="Arial" w:eastAsia="Arial" w:hAnsi="Arial"/>
          <w:sz w:val="18"/>
          <w:szCs w:val="18"/>
          <w:color w:val="auto"/>
        </w:rPr>
        <w:t>Know all by these presents, that the undersigned hereby constitutes and appoints each of (i) the General Counsel of LivaNova PLC, a public limited company organized under the laws of England and Wales (the “Company”), who is currently Keyna Skeffington, (ii) the Company’s Company Secretary who is currently Catherine Moroz, and (iii) the Company’s internal counsel who is currently Sarah K. Mohr, and their respective successors, signing singly, the undersigned’s true and lawful attorney-in-fact to:</w:t>
      </w:r>
    </w:p>
    <w:p>
      <w:pPr>
        <w:spacing w:after="0" w:line="125" w:lineRule="exact"/>
        <w:rPr>
          <w:sz w:val="20"/>
          <w:szCs w:val="20"/>
          <w:color w:val="auto"/>
        </w:rPr>
      </w:pPr>
    </w:p>
    <w:p>
      <w:pPr>
        <w:ind w:left="1220" w:right="40" w:hanging="607"/>
        <w:spacing w:after="0" w:line="313" w:lineRule="auto"/>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119" w:lineRule="exact"/>
        <w:rPr>
          <w:rFonts w:ascii="Arial" w:cs="Arial" w:eastAsia="Arial" w:hAnsi="Arial"/>
          <w:sz w:val="18"/>
          <w:szCs w:val="18"/>
          <w:color w:val="auto"/>
        </w:rPr>
      </w:pPr>
    </w:p>
    <w:p>
      <w:pPr>
        <w:ind w:left="1220" w:right="180" w:hanging="607"/>
        <w:spacing w:after="0" w:line="338" w:lineRule="auto"/>
        <w:tabs>
          <w:tab w:leader="none" w:pos="1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103" w:lineRule="exact"/>
        <w:rPr>
          <w:rFonts w:ascii="Arial" w:cs="Arial" w:eastAsia="Arial" w:hAnsi="Arial"/>
          <w:sz w:val="17"/>
          <w:szCs w:val="17"/>
          <w:color w:val="auto"/>
        </w:rPr>
      </w:pPr>
    </w:p>
    <w:p>
      <w:pPr>
        <w:jc w:val="both"/>
        <w:ind w:left="1220" w:right="40" w:hanging="607"/>
        <w:spacing w:after="0" w:line="330" w:lineRule="auto"/>
        <w:tabs>
          <w:tab w:leader="none" w:pos="1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09" w:lineRule="exact"/>
        <w:rPr>
          <w:sz w:val="20"/>
          <w:szCs w:val="20"/>
          <w:color w:val="auto"/>
        </w:rPr>
      </w:pPr>
    </w:p>
    <w:p>
      <w:pPr>
        <w:ind w:right="20" w:firstLine="611"/>
        <w:spacing w:after="0" w:line="301"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31" w:lineRule="exact"/>
        <w:rPr>
          <w:sz w:val="20"/>
          <w:szCs w:val="20"/>
          <w:color w:val="auto"/>
        </w:rPr>
      </w:pPr>
    </w:p>
    <w:p>
      <w:pPr>
        <w:ind w:firstLine="611"/>
        <w:spacing w:after="0" w:line="346" w:lineRule="auto"/>
        <w:rPr>
          <w:sz w:val="20"/>
          <w:szCs w:val="20"/>
          <w:color w:val="auto"/>
        </w:rPr>
      </w:pPr>
      <w:r>
        <w:rPr>
          <w:rFonts w:ascii="Arial" w:cs="Arial" w:eastAsia="Arial" w:hAnsi="Arial"/>
          <w:sz w:val="16"/>
          <w:szCs w:val="16"/>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102" w:lineRule="exact"/>
        <w:rPr>
          <w:sz w:val="20"/>
          <w:szCs w:val="20"/>
          <w:color w:val="auto"/>
        </w:rPr>
      </w:pPr>
    </w:p>
    <w:p>
      <w:pPr>
        <w:ind w:right="160" w:firstLine="611"/>
        <w:spacing w:after="0" w:line="331" w:lineRule="auto"/>
        <w:rPr>
          <w:sz w:val="20"/>
          <w:szCs w:val="20"/>
          <w:color w:val="auto"/>
        </w:rPr>
      </w:pPr>
      <w:r>
        <w:rPr>
          <w:rFonts w:ascii="Arial" w:cs="Arial" w:eastAsia="Arial" w:hAnsi="Arial"/>
          <w:sz w:val="18"/>
          <w:szCs w:val="18"/>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104" w:lineRule="exact"/>
        <w:rPr>
          <w:sz w:val="20"/>
          <w:szCs w:val="20"/>
          <w:color w:val="auto"/>
        </w:rPr>
      </w:pPr>
    </w:p>
    <w:p>
      <w:pPr>
        <w:ind w:right="40" w:firstLine="611"/>
        <w:spacing w:after="0" w:line="287" w:lineRule="auto"/>
        <w:rPr>
          <w:sz w:val="20"/>
          <w:szCs w:val="20"/>
          <w:color w:val="auto"/>
        </w:rPr>
      </w:pPr>
      <w:r>
        <w:rPr>
          <w:rFonts w:ascii="Arial" w:cs="Arial" w:eastAsia="Arial" w:hAnsi="Arial"/>
          <w:sz w:val="19"/>
          <w:szCs w:val="19"/>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1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27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March, 2019.</w:t>
      </w:r>
    </w:p>
    <w:p>
      <w:pPr>
        <w:spacing w:after="0" w:line="200" w:lineRule="exact"/>
        <w:rPr>
          <w:sz w:val="20"/>
          <w:szCs w:val="20"/>
          <w:color w:val="auto"/>
        </w:rPr>
      </w:pPr>
    </w:p>
    <w:p>
      <w:pPr>
        <w:spacing w:after="0" w:line="397" w:lineRule="exact"/>
        <w:rPr>
          <w:sz w:val="20"/>
          <w:szCs w:val="20"/>
          <w:color w:val="auto"/>
        </w:rPr>
      </w:pPr>
    </w:p>
    <w:p>
      <w:pPr>
        <w:ind w:left="4900"/>
        <w:spacing w:after="0"/>
        <w:rPr>
          <w:sz w:val="20"/>
          <w:szCs w:val="20"/>
          <w:color w:val="auto"/>
        </w:rPr>
      </w:pPr>
      <w:r>
        <w:rPr>
          <w:rFonts w:ascii="Arial" w:cs="Arial" w:eastAsia="Arial" w:hAnsi="Arial"/>
          <w:sz w:val="19"/>
          <w:szCs w:val="19"/>
          <w:color w:val="auto"/>
        </w:rPr>
        <w:t>/s/ Trui Hebbelinck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3106420</wp:posOffset>
            </wp:positionH>
            <wp:positionV relativeFrom="paragraph">
              <wp:posOffset>-13970</wp:posOffset>
            </wp:positionV>
            <wp:extent cx="1272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2540" cy="8255"/>
                    </a:xfrm>
                    <a:prstGeom prst="rect">
                      <a:avLst/>
                    </a:prstGeom>
                    <a:noFill/>
                  </pic:spPr>
                </pic:pic>
              </a:graphicData>
            </a:graphic>
          </wp:anchor>
        </w:drawing>
      </w:r>
    </w:p>
    <w:p>
      <w:pPr>
        <w:ind w:left="4900"/>
        <w:spacing w:after="0"/>
        <w:rPr>
          <w:sz w:val="20"/>
          <w:szCs w:val="20"/>
          <w:color w:val="auto"/>
        </w:rPr>
      </w:pPr>
      <w:r>
        <w:rPr>
          <w:rFonts w:ascii="Arial" w:cs="Arial" w:eastAsia="Arial" w:hAnsi="Arial"/>
          <w:sz w:val="19"/>
          <w:szCs w:val="19"/>
          <w:color w:val="auto"/>
        </w:rPr>
        <w:t>Trui Hebbelinck</w:t>
      </w:r>
    </w:p>
    <w:sectPr>
      <w:pgSz w:w="11900" w:h="16838" w:orient="portrait"/>
      <w:cols w:equalWidth="0" w:num="1">
        <w:col w:w="10960"/>
      </w:cols>
      <w:pgMar w:left="460" w:top="373"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73051"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2021-04-01T16:34:59Z</dcterms:created>
  <dcterms:modified xsi:type="dcterms:W3CDTF">2021-04-01T16:34:59Z</dcterms:modified>
</cp:coreProperties>
</file>