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Report (Date of earliest event reported): October 19,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168910</wp:posOffset>
            </wp:positionV>
            <wp:extent cx="1474470" cy="4629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139" w:lineRule="exact"/>
        <w:rPr>
          <w:sz w:val="24"/>
          <w:szCs w:val="24"/>
          <w:color w:val="auto"/>
        </w:rPr>
      </w:pPr>
    </w:p>
    <w:tbl>
      <w:tblPr>
        <w:tblLayout w:type="fixed"/>
        <w:tblInd w:w="1320" w:type="dxa"/>
        <w:tblCellMar>
          <w:top w:w="0" w:type="dxa"/>
          <w:left w:w="0" w:type="dxa"/>
          <w:bottom w:w="0" w:type="dxa"/>
          <w:right w:w="0" w:type="dxa"/>
        </w:tblCellMar>
      </w:tblPr>
      <w:tr>
        <w:trPr>
          <w:trHeight w:val="234"/>
        </w:trPr>
        <w:tc>
          <w:tcPr>
            <w:tcW w:w="21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England and Wales</w:t>
            </w:r>
          </w:p>
        </w:tc>
        <w:tc>
          <w:tcPr>
            <w:tcW w:w="45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001-37599</w:t>
            </w:r>
          </w:p>
        </w:tc>
        <w:tc>
          <w:tcPr>
            <w:tcW w:w="1660" w:type="dxa"/>
            <w:vAlign w:val="bottom"/>
          </w:tcPr>
          <w:p>
            <w:pPr>
              <w:jc w:val="center"/>
              <w:ind w:left="250"/>
              <w:spacing w:after="0"/>
              <w:rPr>
                <w:sz w:val="20"/>
                <w:szCs w:val="20"/>
                <w:color w:val="auto"/>
              </w:rPr>
            </w:pPr>
            <w:r>
              <w:rPr>
                <w:rFonts w:ascii="Arial" w:cs="Arial" w:eastAsia="Arial" w:hAnsi="Arial"/>
                <w:sz w:val="18"/>
                <w:szCs w:val="18"/>
                <w:b w:val="1"/>
                <w:bCs w:val="1"/>
                <w:color w:val="auto"/>
                <w:w w:val="91"/>
              </w:rPr>
              <w:t>98-1268150</w:t>
            </w:r>
          </w:p>
        </w:tc>
      </w:tr>
      <w:tr>
        <w:trPr>
          <w:trHeight w:val="256"/>
        </w:trPr>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(State or Other Jurisdiction</w:t>
            </w:r>
          </w:p>
        </w:tc>
        <w:tc>
          <w:tcPr>
            <w:tcW w:w="4500" w:type="dxa"/>
            <w:vAlign w:val="bottom"/>
          </w:tcPr>
          <w:p>
            <w:pPr>
              <w:ind w:left="1660"/>
              <w:spacing w:after="0"/>
              <w:rPr>
                <w:sz w:val="20"/>
                <w:szCs w:val="20"/>
                <w:color w:val="auto"/>
              </w:rPr>
            </w:pPr>
            <w:r>
              <w:rPr>
                <w:rFonts w:ascii="Arial" w:cs="Arial" w:eastAsia="Arial" w:hAnsi="Arial"/>
                <w:sz w:val="18"/>
                <w:szCs w:val="18"/>
                <w:color w:val="auto"/>
              </w:rPr>
              <w:t>(Commission</w:t>
            </w:r>
          </w:p>
        </w:tc>
        <w:tc>
          <w:tcPr>
            <w:tcW w:w="1660" w:type="dxa"/>
            <w:vAlign w:val="bottom"/>
          </w:tcPr>
          <w:p>
            <w:pPr>
              <w:jc w:val="center"/>
              <w:ind w:left="190"/>
              <w:spacing w:after="0"/>
              <w:rPr>
                <w:sz w:val="20"/>
                <w:szCs w:val="20"/>
                <w:color w:val="auto"/>
              </w:rPr>
            </w:pPr>
            <w:r>
              <w:rPr>
                <w:rFonts w:ascii="Arial" w:cs="Arial" w:eastAsia="Arial" w:hAnsi="Arial"/>
                <w:sz w:val="18"/>
                <w:szCs w:val="18"/>
                <w:color w:val="auto"/>
                <w:w w:val="93"/>
              </w:rPr>
              <w:t>(IRS Employer</w:t>
            </w:r>
          </w:p>
        </w:tc>
      </w:tr>
      <w:tr>
        <w:trPr>
          <w:trHeight w:val="230"/>
        </w:trPr>
        <w:tc>
          <w:tcPr>
            <w:tcW w:w="2120" w:type="dxa"/>
            <w:vAlign w:val="bottom"/>
          </w:tcPr>
          <w:p>
            <w:pPr>
              <w:jc w:val="center"/>
              <w:ind w:right="30"/>
              <w:spacing w:after="0"/>
              <w:rPr>
                <w:sz w:val="20"/>
                <w:szCs w:val="20"/>
                <w:color w:val="auto"/>
              </w:rPr>
            </w:pPr>
            <w:r>
              <w:rPr>
                <w:rFonts w:ascii="Arial" w:cs="Arial" w:eastAsia="Arial" w:hAnsi="Arial"/>
                <w:sz w:val="18"/>
                <w:szCs w:val="18"/>
                <w:color w:val="auto"/>
                <w:w w:val="94"/>
              </w:rPr>
              <w:t>of Incorporation)</w:t>
            </w:r>
          </w:p>
        </w:tc>
        <w:tc>
          <w:tcPr>
            <w:tcW w:w="4500" w:type="dxa"/>
            <w:vAlign w:val="bottom"/>
          </w:tcPr>
          <w:p>
            <w:pPr>
              <w:jc w:val="center"/>
              <w:ind w:right="70"/>
              <w:spacing w:after="0"/>
              <w:rPr>
                <w:sz w:val="20"/>
                <w:szCs w:val="20"/>
                <w:color w:val="auto"/>
              </w:rPr>
            </w:pPr>
            <w:r>
              <w:rPr>
                <w:rFonts w:ascii="Arial" w:cs="Arial" w:eastAsia="Arial" w:hAnsi="Arial"/>
                <w:sz w:val="18"/>
                <w:szCs w:val="18"/>
                <w:color w:val="auto"/>
                <w:w w:val="94"/>
              </w:rPr>
              <w:t>File Number)</w:t>
            </w:r>
          </w:p>
        </w:tc>
        <w:tc>
          <w:tcPr>
            <w:tcW w:w="1660" w:type="dxa"/>
            <w:vAlign w:val="bottom"/>
          </w:tcPr>
          <w:p>
            <w:pPr>
              <w:jc w:val="center"/>
              <w:ind w:left="230"/>
              <w:spacing w:after="0"/>
              <w:rPr>
                <w:sz w:val="20"/>
                <w:szCs w:val="20"/>
                <w:color w:val="auto"/>
              </w:rPr>
            </w:pPr>
            <w:r>
              <w:rPr>
                <w:rFonts w:ascii="Arial" w:cs="Arial" w:eastAsia="Arial" w:hAnsi="Arial"/>
                <w:sz w:val="18"/>
                <w:szCs w:val="18"/>
                <w:color w:val="auto"/>
                <w:w w:val="95"/>
              </w:rPr>
              <w:t>Identification No.)</w:t>
            </w:r>
          </w:p>
        </w:tc>
      </w:tr>
      <w:tr>
        <w:trPr>
          <w:trHeight w:val="562"/>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20 Eastbourne Terrace</w:t>
            </w:r>
          </w:p>
        </w:tc>
        <w:tc>
          <w:tcPr>
            <w:tcW w:w="1660" w:type="dxa"/>
            <w:vAlign w:val="bottom"/>
          </w:tcPr>
          <w:p>
            <w:pPr>
              <w:spacing w:after="0"/>
              <w:rPr>
                <w:sz w:val="24"/>
                <w:szCs w:val="24"/>
                <w:color w:val="auto"/>
              </w:rPr>
            </w:pPr>
          </w:p>
        </w:tc>
      </w:tr>
      <w:tr>
        <w:trPr>
          <w:trHeight w:val="216"/>
        </w:trPr>
        <w:tc>
          <w:tcPr>
            <w:tcW w:w="2120" w:type="dxa"/>
            <w:vAlign w:val="bottom"/>
          </w:tcPr>
          <w:p>
            <w:pPr>
              <w:spacing w:after="0"/>
              <w:rPr>
                <w:sz w:val="18"/>
                <w:szCs w:val="18"/>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5"/>
              </w:rPr>
              <w:t>London, W2 6LG</w:t>
            </w:r>
          </w:p>
        </w:tc>
        <w:tc>
          <w:tcPr>
            <w:tcW w:w="1660" w:type="dxa"/>
            <w:vAlign w:val="bottom"/>
          </w:tcPr>
          <w:p>
            <w:pPr>
              <w:spacing w:after="0"/>
              <w:rPr>
                <w:sz w:val="18"/>
                <w:szCs w:val="18"/>
                <w:color w:val="auto"/>
              </w:rPr>
            </w:pPr>
          </w:p>
        </w:tc>
      </w:tr>
      <w:tr>
        <w:trPr>
          <w:trHeight w:val="220"/>
        </w:trPr>
        <w:tc>
          <w:tcPr>
            <w:tcW w:w="2120" w:type="dxa"/>
            <w:vAlign w:val="bottom"/>
          </w:tcPr>
          <w:p>
            <w:pPr>
              <w:spacing w:after="0"/>
              <w:rPr>
                <w:sz w:val="19"/>
                <w:szCs w:val="19"/>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United Kingdom</w:t>
            </w:r>
          </w:p>
        </w:tc>
        <w:tc>
          <w:tcPr>
            <w:tcW w:w="1660" w:type="dxa"/>
            <w:vAlign w:val="bottom"/>
          </w:tcPr>
          <w:p>
            <w:pPr>
              <w:spacing w:after="0"/>
              <w:rPr>
                <w:sz w:val="19"/>
                <w:szCs w:val="19"/>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30"/>
              <w:spacing w:after="0"/>
              <w:rPr>
                <w:sz w:val="20"/>
                <w:szCs w:val="20"/>
                <w:color w:val="auto"/>
              </w:rPr>
            </w:pPr>
            <w:r>
              <w:rPr>
                <w:rFonts w:ascii="Arial" w:cs="Arial" w:eastAsia="Arial" w:hAnsi="Arial"/>
                <w:sz w:val="18"/>
                <w:szCs w:val="18"/>
                <w:color w:val="auto"/>
                <w:w w:val="92"/>
              </w:rPr>
              <w:t>(Address of Principal Executive Offices)</w:t>
            </w:r>
          </w:p>
        </w:tc>
        <w:tc>
          <w:tcPr>
            <w:tcW w:w="1660" w:type="dxa"/>
            <w:vAlign w:val="bottom"/>
          </w:tcPr>
          <w:p>
            <w:pPr>
              <w:spacing w:after="0"/>
              <w:rPr>
                <w:sz w:val="20"/>
                <w:szCs w:val="20"/>
                <w:color w:val="auto"/>
              </w:rPr>
            </w:pPr>
          </w:p>
        </w:tc>
      </w:tr>
      <w:tr>
        <w:trPr>
          <w:trHeight w:val="445"/>
        </w:trPr>
        <w:tc>
          <w:tcPr>
            <w:tcW w:w="2120" w:type="dxa"/>
            <w:vAlign w:val="bottom"/>
          </w:tcPr>
          <w:p>
            <w:pPr>
              <w:spacing w:after="0"/>
              <w:rPr>
                <w:sz w:val="24"/>
                <w:szCs w:val="24"/>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+44 20 33250660</w:t>
            </w:r>
          </w:p>
        </w:tc>
        <w:tc>
          <w:tcPr>
            <w:tcW w:w="1660" w:type="dxa"/>
            <w:vAlign w:val="bottom"/>
          </w:tcPr>
          <w:p>
            <w:pPr>
              <w:spacing w:after="0"/>
              <w:rPr>
                <w:sz w:val="24"/>
                <w:szCs w:val="24"/>
                <w:color w:val="auto"/>
              </w:rPr>
            </w:pPr>
          </w:p>
        </w:tc>
      </w:tr>
      <w:tr>
        <w:trPr>
          <w:trHeight w:val="230"/>
        </w:trPr>
        <w:tc>
          <w:tcPr>
            <w:tcW w:w="2120" w:type="dxa"/>
            <w:vAlign w:val="bottom"/>
          </w:tcPr>
          <w:p>
            <w:pPr>
              <w:spacing w:after="0"/>
              <w:rPr>
                <w:sz w:val="20"/>
                <w:szCs w:val="20"/>
                <w:color w:val="auto"/>
              </w:rPr>
            </w:pPr>
          </w:p>
        </w:tc>
        <w:tc>
          <w:tcPr>
            <w:tcW w:w="4500" w:type="dxa"/>
            <w:vAlign w:val="bottom"/>
          </w:tcPr>
          <w:p>
            <w:pPr>
              <w:jc w:val="center"/>
              <w:ind w:right="50"/>
              <w:spacing w:after="0"/>
              <w:rPr>
                <w:sz w:val="20"/>
                <w:szCs w:val="20"/>
                <w:color w:val="auto"/>
              </w:rPr>
            </w:pPr>
            <w:r>
              <w:rPr>
                <w:rFonts w:ascii="Arial" w:cs="Arial" w:eastAsia="Arial" w:hAnsi="Arial"/>
                <w:sz w:val="18"/>
                <w:szCs w:val="18"/>
                <w:color w:val="auto"/>
                <w:w w:val="91"/>
              </w:rPr>
              <w:t>(Registrant’s Telephone Number, Including Area Code)</w:t>
            </w:r>
          </w:p>
        </w:tc>
        <w:tc>
          <w:tcPr>
            <w:tcW w:w="1660" w:type="dxa"/>
            <w:vAlign w:val="bottom"/>
          </w:tcPr>
          <w:p>
            <w:pPr>
              <w:spacing w:after="0"/>
              <w:rPr>
                <w:sz w:val="20"/>
                <w:szCs w:val="20"/>
                <w:color w:val="auto"/>
              </w:rPr>
            </w:pPr>
          </w:p>
        </w:tc>
      </w:tr>
    </w:tbl>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ind w:right="3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 (see General Instructions A.2. below):</w:t>
      </w:r>
    </w:p>
    <w:p>
      <w:pPr>
        <w:spacing w:after="0" w:line="238" w:lineRule="exact"/>
        <w:rPr>
          <w:sz w:val="24"/>
          <w:szCs w:val="24"/>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Written communications pursuant to Rule 425 under the Securities Act (17 CFR 230.425)</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Soliciting material pursuant to Rule 14a-12 under the Exchange Act (17 CFR 240.14a-12)</w:t>
      </w:r>
    </w:p>
    <w:p>
      <w:pPr>
        <w:spacing w:after="0" w:line="272" w:lineRule="exact"/>
        <w:rPr>
          <w:rFonts w:ascii="MS PGothic" w:cs="MS PGothic" w:eastAsia="MS PGothic" w:hAnsi="MS PGothic"/>
          <w:sz w:val="22"/>
          <w:szCs w:val="22"/>
          <w:color w:val="auto"/>
        </w:rPr>
      </w:pPr>
    </w:p>
    <w:p>
      <w:pPr>
        <w:ind w:left="240" w:hanging="232"/>
        <w:spacing w:after="0"/>
        <w:tabs>
          <w:tab w:leader="none" w:pos="240"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14d-2(b) under the Exchange Act (17 CFR 240.14d-2(b))</w:t>
      </w:r>
    </w:p>
    <w:p>
      <w:pPr>
        <w:spacing w:after="0" w:line="272" w:lineRule="exact"/>
        <w:rPr>
          <w:rFonts w:ascii="MS PGothic" w:cs="MS PGothic" w:eastAsia="MS PGothic" w:hAnsi="MS PGothic"/>
          <w:sz w:val="22"/>
          <w:szCs w:val="22"/>
          <w:color w:val="auto"/>
        </w:rPr>
      </w:pPr>
    </w:p>
    <w:p>
      <w:pPr>
        <w:ind w:right="2960" w:firstLine="8"/>
        <w:spacing w:after="0" w:line="395" w:lineRule="auto"/>
        <w:tabs>
          <w:tab w:leader="none" w:pos="234" w:val="left"/>
        </w:tabs>
        <w:numPr>
          <w:ilvl w:val="0"/>
          <w:numId w:val="1"/>
        </w:numPr>
        <w:rPr>
          <w:rFonts w:ascii="MS PGothic" w:cs="MS PGothic" w:eastAsia="MS PGothic" w:hAnsi="MS PGothic"/>
          <w:sz w:val="22"/>
          <w:szCs w:val="22"/>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25"/>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8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on each exchange on which registered</w:t>
            </w:r>
          </w:p>
        </w:tc>
      </w:tr>
      <w:tr>
        <w:trPr>
          <w:trHeight w:val="223"/>
        </w:trPr>
        <w:tc>
          <w:tcPr>
            <w:tcW w:w="4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Ordinary Shares - £1.00 par value per share</w:t>
            </w:r>
          </w:p>
        </w:tc>
        <w:tc>
          <w:tcPr>
            <w:tcW w:w="1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LIVN</w:t>
            </w:r>
          </w:p>
        </w:tc>
        <w:tc>
          <w:tcPr>
            <w:tcW w:w="4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NASDAQ Global Market</w:t>
            </w:r>
          </w:p>
        </w:tc>
      </w:tr>
    </w:tbl>
    <w:p>
      <w:pPr>
        <w:spacing w:after="0" w:line="323"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8" w:lineRule="exact"/>
        <w:rPr>
          <w:sz w:val="24"/>
          <w:szCs w:val="24"/>
          <w:color w:val="auto"/>
        </w:rPr>
      </w:pPr>
    </w:p>
    <w:p>
      <w:pPr>
        <w:ind w:left="7780"/>
        <w:spacing w:after="0" w:line="207" w:lineRule="exact"/>
        <w:tabs>
          <w:tab w:leader="none" w:pos="1072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35"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ectPr>
          <w:pgSz w:w="11900" w:h="16838" w:orient="portrait"/>
          <w:cols w:equalWidth="0" w:num="1">
            <w:col w:w="11240"/>
          </w:cols>
          <w:pgMar w:left="320" w:top="783" w:right="339" w:bottom="1440" w:gutter="0" w:footer="0" w:header="0"/>
        </w:sectPr>
      </w:pPr>
    </w:p>
    <w:p>
      <w:pPr>
        <w:spacing w:after="0" w:line="28" w:lineRule="exact"/>
        <w:rPr>
          <w:sz w:val="24"/>
          <w:szCs w:val="24"/>
          <w:color w:val="auto"/>
        </w:rPr>
      </w:pPr>
    </w:p>
    <w:p>
      <w:pPr>
        <w:ind w:left="107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503555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83" w:right="339" w:bottom="1440" w:gutter="0" w:footer="0" w:header="0"/>
          <w:type w:val="continuous"/>
        </w:sectPr>
      </w:pPr>
    </w:p>
    <w:bookmarkStart w:id="1" w:name="page2"/>
    <w:bookmarkEnd w:id="1"/>
    <w:p>
      <w:pPr>
        <w:ind w:right="300"/>
        <w:spacing w:after="0" w:line="250"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207"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On October 19, 2023, LivaNova PLC (the “Company”) announced that the Company’s Board of Directors (the “Board”) has determined to extend the term of William A. Kozy’s employment as interim Chief Executive Officer until the earlier of (i) the commencement of employment of a successor Chief Executive Officer and (ii) April 13, 2024.</w:t>
      </w:r>
    </w:p>
    <w:p>
      <w:pPr>
        <w:spacing w:after="0" w:line="216" w:lineRule="exact"/>
        <w:rPr>
          <w:sz w:val="20"/>
          <w:szCs w:val="20"/>
          <w:color w:val="auto"/>
        </w:rPr>
      </w:pPr>
    </w:p>
    <w:p>
      <w:pPr>
        <w:jc w:val="both"/>
        <w:ind w:firstLine="648"/>
        <w:spacing w:after="0"/>
        <w:rPr>
          <w:sz w:val="20"/>
          <w:szCs w:val="20"/>
          <w:color w:val="auto"/>
        </w:rPr>
      </w:pPr>
      <w:r>
        <w:rPr>
          <w:rFonts w:ascii="Arial" w:cs="Arial" w:eastAsia="Arial" w:hAnsi="Arial"/>
          <w:sz w:val="18"/>
          <w:szCs w:val="18"/>
          <w:color w:val="auto"/>
        </w:rPr>
        <w:t>In connection with this extension and consistent with the terms of Mr. Kozy’s previously filed offer letter, the Compensation Committee of the Board determined to grant Mr. Kozy an additional one-time award of time-based restricted stock units under the Company’s Amended and Restated 2022 Incentive Award Plan with a grant date fair value of $750,000, effective as of December 15, 2023, in accordance with the Company’s next predetermined equity grant date (contingent upon Mr. Kozy’s continued employment as interim Chief Executive Officer through such date), which will vest upon the earlier of (i) the commencement of employment of a successor Chief Executive Officer and (ii) April 13, 2024, subject to Mr. Kozy’s continued employment through such vesting date.</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56"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89"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b w:val="1"/>
          <w:bCs w:val="1"/>
          <w:u w:val="single" w:color="auto"/>
          <w:color w:val="auto"/>
        </w:rPr>
        <w:t>Exhibit</w:t>
      </w:r>
      <w:r>
        <w:rPr>
          <w:sz w:val="20"/>
          <w:szCs w:val="20"/>
          <w:color w:val="auto"/>
        </w:rPr>
        <w:tab/>
      </w:r>
      <w:r>
        <w:rPr>
          <w:rFonts w:ascii="Arial" w:cs="Arial" w:eastAsia="Arial" w:hAnsi="Arial"/>
          <w:sz w:val="18"/>
          <w:szCs w:val="18"/>
          <w:b w:val="1"/>
          <w:bCs w:val="1"/>
          <w:u w:val="single" w:color="auto"/>
          <w:color w:val="auto"/>
        </w:rPr>
        <w:t>Description</w:t>
      </w:r>
    </w:p>
    <w:p>
      <w:pPr>
        <w:spacing w:after="0" w:line="283" w:lineRule="exact"/>
        <w:rPr>
          <w:sz w:val="20"/>
          <w:szCs w:val="20"/>
          <w:color w:val="auto"/>
        </w:rPr>
      </w:pPr>
    </w:p>
    <w:p>
      <w:pPr>
        <w:ind w:left="20"/>
        <w:spacing w:after="0"/>
        <w:tabs>
          <w:tab w:leader="none" w:pos="15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944880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2" w:name="page3"/>
    <w:bookmarkEnd w:id="2"/>
    <w:p>
      <w:pPr>
        <w:jc w:val="center"/>
        <w:ind w:right="-2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5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LivaNova PLC</w:t>
      </w:r>
    </w:p>
    <w:p>
      <w:pPr>
        <w:spacing w:after="0" w:line="200" w:lineRule="exact"/>
        <w:rPr>
          <w:sz w:val="20"/>
          <w:szCs w:val="20"/>
          <w:color w:val="auto"/>
        </w:rPr>
      </w:pPr>
    </w:p>
    <w:p>
      <w:pPr>
        <w:spacing w:after="0" w:line="336" w:lineRule="exact"/>
        <w:rPr>
          <w:sz w:val="20"/>
          <w:szCs w:val="20"/>
          <w:color w:val="auto"/>
        </w:rPr>
      </w:pPr>
    </w:p>
    <w:p>
      <w:pPr>
        <w:jc w:val="right"/>
        <w:ind w:right="3320"/>
        <w:spacing w:after="0"/>
        <w:tabs>
          <w:tab w:leader="none" w:pos="5300" w:val="left"/>
        </w:tabs>
        <w:rPr>
          <w:sz w:val="20"/>
          <w:szCs w:val="20"/>
          <w:color w:val="auto"/>
        </w:rPr>
      </w:pPr>
      <w:r>
        <w:rPr>
          <w:rFonts w:ascii="Arial" w:cs="Arial" w:eastAsia="Arial" w:hAnsi="Arial"/>
          <w:sz w:val="18"/>
          <w:szCs w:val="18"/>
          <w:color w:val="auto"/>
        </w:rPr>
        <w:t>Date: October 19, 2023</w:t>
      </w:r>
      <w:r>
        <w:rPr>
          <w:sz w:val="20"/>
          <w:szCs w:val="20"/>
          <w:color w:val="auto"/>
        </w:rPr>
        <w:tab/>
      </w:r>
      <w:r>
        <w:rPr>
          <w:rFonts w:ascii="Arial" w:cs="Arial" w:eastAsia="Arial" w:hAnsi="Arial"/>
          <w:sz w:val="16"/>
          <w:szCs w:val="16"/>
          <w:color w:val="auto"/>
        </w:rPr>
        <w:t xml:space="preserve">By: </w:t>
      </w:r>
      <w:r>
        <w:rPr>
          <w:rFonts w:ascii="Arial" w:cs="Arial" w:eastAsia="Arial" w:hAnsi="Arial"/>
          <w:sz w:val="16"/>
          <w:szCs w:val="16"/>
          <w:u w:val="single" w:color="auto"/>
          <w:color w:val="auto"/>
        </w:rPr>
        <w:t>/s/ Michael Hutchinson</w:t>
      </w:r>
    </w:p>
    <w:p>
      <w:pPr>
        <w:spacing w:after="0" w:line="63" w:lineRule="exact"/>
        <w:rPr>
          <w:sz w:val="20"/>
          <w:szCs w:val="20"/>
          <w:color w:val="auto"/>
        </w:rPr>
      </w:pPr>
    </w:p>
    <w:p>
      <w:pPr>
        <w:jc w:val="right"/>
        <w:ind w:right="3320"/>
        <w:spacing w:after="0"/>
        <w:rPr>
          <w:sz w:val="20"/>
          <w:szCs w:val="20"/>
          <w:color w:val="auto"/>
        </w:rPr>
      </w:pPr>
      <w:r>
        <w:rPr>
          <w:rFonts w:ascii="Arial" w:cs="Arial" w:eastAsia="Arial" w:hAnsi="Arial"/>
          <w:sz w:val="18"/>
          <w:szCs w:val="18"/>
          <w:color w:val="auto"/>
        </w:rPr>
        <w:t>Name: Michael Hutchinson</w:t>
      </w:r>
    </w:p>
    <w:p>
      <w:pPr>
        <w:spacing w:after="0" w:line="23"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Title: SVP, Company Secretary &amp; Chief Legal Officer</w:t>
      </w:r>
    </w:p>
    <w:sectPr>
      <w:pgSz w:w="11900" w:h="16838" w:orient="portrait"/>
      <w:cols w:equalWidth="0" w:num="1">
        <w:col w:w="10980"/>
      </w:cols>
      <w:pgMar w:left="320" w:top="1012"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2023-10-19T15:19:44Z</dcterms:created>
  <dcterms:modified xsi:type="dcterms:W3CDTF">2023-10-19T15:19:44Z</dcterms:modified>
</cp:coreProperties>
</file>