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Chief Administrative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03/11/2018</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5,208</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right="2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45,642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03/11/2018</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1,226</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87.55</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44,416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3"/>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5,208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03/11/2018</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4"/>
                <w:szCs w:val="14"/>
                <w:color w:val="0000FF"/>
              </w:rPr>
              <w:t>5,208</w:t>
            </w: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4"/>
                <w:szCs w:val="14"/>
                <w:color w:val="0000FF"/>
                <w:w w:val="99"/>
              </w:rPr>
              <w:t>03/11/2020</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27,015</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(Ordinary Share) of LivaNova PLC (the Company), GBP 1.00 par value, in accordance with the terms of the LivaNova PLC 2015 Incentive Award Plan (the Plan).</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March 11, 2018 vesting of 5,208 restricted stock units (RSUs).</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subject to a four-year vesting schedule, vesting 20%, each, on March 11, 2017, March 11, 2018 and March 11, 2019, and 40% on March 11, 2020.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/s/ David S. Wise</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03/13/2018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2019-12-24T09:07:34Z</dcterms:created>
  <dcterms:modified xsi:type="dcterms:W3CDTF">2019-12-24T09:07:34Z</dcterms:modified>
</cp:coreProperties>
</file>