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As filed with the Securities and Exchange Commission on May 31, 2016</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163195</wp:posOffset>
            </wp:positionV>
            <wp:extent cx="13379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SD</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163195</wp:posOffset>
            </wp:positionV>
            <wp:extent cx="13379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1714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317500</wp:posOffset>
            </wp:positionV>
            <wp:extent cx="2400935"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93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97790</wp:posOffset>
            </wp:positionV>
            <wp:extent cx="13379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ectPr>
          <w:pgSz w:w="11900" w:h="16838" w:orient="portrait"/>
          <w:cols w:equalWidth="0" w:num="1">
            <w:col w:w="11420"/>
          </w:cols>
          <w:pgMar w:left="240" w:top="1229" w:right="239" w:bottom="0" w:gutter="0" w:footer="0" w:header="0"/>
        </w:sectPr>
      </w:pPr>
    </w:p>
    <w:p>
      <w:pPr>
        <w:spacing w:after="0" w:line="200" w:lineRule="exact"/>
        <w:rPr>
          <w:sz w:val="24"/>
          <w:szCs w:val="24"/>
          <w:color w:val="auto"/>
        </w:rPr>
      </w:pPr>
    </w:p>
    <w:p>
      <w:pPr>
        <w:spacing w:after="0" w:line="21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England and Wales</w:t>
      </w:r>
    </w:p>
    <w:p>
      <w:pPr>
        <w:spacing w:after="0" w:line="40"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001-37599</w:t>
      </w:r>
    </w:p>
    <w:p>
      <w:pPr>
        <w:spacing w:after="0" w:line="40"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98-1268150</w:t>
      </w:r>
    </w:p>
    <w:p>
      <w:pPr>
        <w:spacing w:after="0" w:line="40" w:lineRule="exact"/>
        <w:rPr>
          <w:sz w:val="24"/>
          <w:szCs w:val="24"/>
          <w:color w:val="auto"/>
        </w:rPr>
      </w:pPr>
    </w:p>
    <w:p>
      <w:pPr>
        <w:jc w:val="center"/>
        <w:ind w:right="460"/>
        <w:spacing w:after="0"/>
        <w:rPr>
          <w:sz w:val="20"/>
          <w:szCs w:val="20"/>
          <w:color w:val="auto"/>
        </w:rPr>
      </w:pPr>
      <w:r>
        <w:rPr>
          <w:rFonts w:ascii="Arial" w:cs="Arial" w:eastAsia="Arial" w:hAnsi="Arial"/>
          <w:sz w:val="17"/>
          <w:szCs w:val="17"/>
          <w:color w:val="auto"/>
        </w:rPr>
        <w:t>(I.R.S. Employer Identification No.)</w:t>
      </w:r>
    </w:p>
    <w:p>
      <w:pPr>
        <w:spacing w:after="0" w:line="48" w:lineRule="exact"/>
        <w:rPr>
          <w:sz w:val="24"/>
          <w:szCs w:val="24"/>
          <w:color w:val="auto"/>
        </w:rPr>
      </w:pPr>
    </w:p>
    <w:p>
      <w:pPr>
        <w:sectPr>
          <w:pgSz w:w="11900" w:h="16838" w:orient="portrait"/>
          <w:cols w:equalWidth="0" w:num="3">
            <w:col w:w="4000" w:space="720"/>
            <w:col w:w="2900" w:space="720"/>
            <w:col w:w="3080"/>
          </w:cols>
          <w:pgMar w:left="240" w:top="1229" w:right="23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organization)</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 Merchant Square, North Wharf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United Kingdom</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W2 1AY</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Pascal Govi</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Vice President, Operations and Business Development</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(0)20 3786 5276</w:t>
      </w:r>
    </w:p>
    <w:p>
      <w:pPr>
        <w:sectPr>
          <w:pgSz w:w="11900" w:h="16838" w:orient="portrait"/>
          <w:cols w:equalWidth="0" w:num="1">
            <w:col w:w="11420"/>
          </w:cols>
          <w:pgMar w:left="240" w:top="1229" w:right="239" w:bottom="0" w:gutter="0" w:footer="0" w:header="0"/>
          <w:type w:val="continuous"/>
        </w:sect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23495</wp:posOffset>
            </wp:positionV>
            <wp:extent cx="13379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945" cy="17145"/>
                    </a:xfrm>
                    <a:prstGeom prst="rect">
                      <a:avLst/>
                    </a:prstGeom>
                    <a:noFill/>
                  </pic:spPr>
                </pic:pic>
              </a:graphicData>
            </a:graphic>
          </wp:anchor>
        </w:drawing>
      </w:r>
    </w:p>
    <w:p>
      <w:pPr>
        <w:spacing w:after="0" w:line="259" w:lineRule="exact"/>
        <w:rPr>
          <w:sz w:val="24"/>
          <w:szCs w:val="24"/>
          <w:color w:val="auto"/>
        </w:rPr>
      </w:pPr>
    </w:p>
    <w:p>
      <w:pPr>
        <w:ind w:right="5060"/>
        <w:spacing w:after="0" w:line="309"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9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Rule 13p-1 under the Securities Exchange Act (17 CFR 240.13p-1) for the reporting period from January 1 to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2720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339725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INFORMATION TO BE INCLUDED IN THE REPORT</w:t>
      </w:r>
    </w:p>
    <w:p>
      <w:pPr>
        <w:spacing w:after="0" w:line="200" w:lineRule="exact"/>
        <w:rPr>
          <w:sz w:val="24"/>
          <w:szCs w:val="24"/>
          <w:color w:val="auto"/>
        </w:rPr>
      </w:pP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Section 1—Conflict Minerals Disclosure</w:t>
      </w:r>
    </w:p>
    <w:p>
      <w:pPr>
        <w:spacing w:after="0" w:line="200" w:lineRule="exact"/>
        <w:rPr>
          <w:sz w:val="24"/>
          <w:szCs w:val="24"/>
          <w:color w:val="auto"/>
        </w:rPr>
      </w:pPr>
    </w:p>
    <w:p>
      <w:pPr>
        <w:spacing w:after="0" w:line="255" w:lineRule="exact"/>
        <w:rPr>
          <w:sz w:val="24"/>
          <w:szCs w:val="24"/>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89" w:lineRule="exact"/>
        <w:rPr>
          <w:sz w:val="24"/>
          <w:szCs w:val="24"/>
          <w:color w:val="auto"/>
        </w:rPr>
      </w:pPr>
    </w:p>
    <w:p>
      <w:pPr>
        <w:ind w:firstLine="648"/>
        <w:spacing w:after="0" w:line="303" w:lineRule="auto"/>
        <w:rPr>
          <w:sz w:val="20"/>
          <w:szCs w:val="20"/>
          <w:color w:val="auto"/>
        </w:rPr>
      </w:pPr>
      <w:r>
        <w:rPr>
          <w:rFonts w:ascii="Arial" w:cs="Arial" w:eastAsia="Arial" w:hAnsi="Arial"/>
          <w:sz w:val="17"/>
          <w:szCs w:val="17"/>
          <w:color w:val="auto"/>
        </w:rPr>
        <w:t>LivaNova PLC, a public limited company incorporated under the laws of England and Wales ("LivaNova") was formed for the purpose of facilitating the business combination of Cyberonics, Inc., a Delaware corporation ("Cyberonics"), and Sorin S.p.A., a joint stock company organized under the laws of Italy ("Sorin"). Cyberonics was considered the accounting acquirer and LivaNova PLC ("LivaNova", "registrant", "we", "us", or "our") became the successor organization to Cyberonics. Per the instructions to Item 1.01 of the SEC's Form SD, a "registrant that acquires or otherwise obtains control over a company that manufactures or contracts to manufacture products with conflict minerals necessary to the functionality or production of those products that previously had not been obligated to provide a specialized disclosure report with respect to its conflict minerals will be permitted to delay reporting on the products manufactured by the acquired company until the end of the first reporting calendar year that begins no sooner than eight months after the effective date of the acquisition." As a result, LivaNova is filing this Specialized Disclosure Report on Form SD (this "Form SD") for legacy Cyberonics' supply chain operations for the year ended December 31, 2015. This Form SD is presented in compliance with Rule 13p-1 under the Securities Exchange Act of 1934, as amended, for the reporting period from January 1, 2015 to December 31, 2015.</w:t>
      </w:r>
    </w:p>
    <w:p>
      <w:pPr>
        <w:spacing w:after="0" w:line="85" w:lineRule="exact"/>
        <w:rPr>
          <w:sz w:val="24"/>
          <w:szCs w:val="24"/>
          <w:color w:val="auto"/>
        </w:rPr>
      </w:pPr>
    </w:p>
    <w:p>
      <w:pPr>
        <w:ind w:firstLine="648"/>
        <w:spacing w:after="0" w:line="371" w:lineRule="auto"/>
        <w:rPr>
          <w:sz w:val="20"/>
          <w:szCs w:val="20"/>
          <w:color w:val="auto"/>
        </w:rPr>
      </w:pPr>
      <w:r>
        <w:rPr>
          <w:rFonts w:ascii="Arial" w:cs="Arial" w:eastAsia="Arial" w:hAnsi="Arial"/>
          <w:sz w:val="18"/>
          <w:szCs w:val="18"/>
          <w:color w:val="auto"/>
        </w:rPr>
        <w:t>A copy of our Conflict Minerals Report is filed as a part of this Form SD. In accordance with Rule 12b-12 (17 CFR 240.12b-12), a copy of this Form SD may be found on our website at www.livanova.com.</w:t>
      </w:r>
    </w:p>
    <w:p>
      <w:pPr>
        <w:spacing w:after="0" w:line="99" w:lineRule="exact"/>
        <w:rPr>
          <w:sz w:val="24"/>
          <w:szCs w:val="24"/>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420"/>
          </w:cols>
          <w:pgMar w:left="240" w:top="1229" w:right="239" w:bottom="0" w:gutter="0" w:footer="0" w:header="0"/>
          <w:type w:val="continuous"/>
        </w:sectPr>
      </w:pPr>
    </w:p>
    <w:bookmarkStart w:id="1" w:name="page2"/>
    <w:bookmarkEnd w:id="1"/>
    <w:p>
      <w:pPr>
        <w:ind w:left="660"/>
        <w:spacing w:after="0"/>
        <w:rPr>
          <w:sz w:val="20"/>
          <w:szCs w:val="20"/>
          <w:color w:val="auto"/>
        </w:rPr>
      </w:pPr>
      <w:r>
        <w:rPr>
          <w:rFonts w:ascii="Arial" w:cs="Arial" w:eastAsia="Arial" w:hAnsi="Arial"/>
          <w:sz w:val="16"/>
          <w:szCs w:val="16"/>
          <w:color w:val="auto"/>
        </w:rPr>
        <w:t>LivaNova has filed, as an exhibit to this Form SD, the Conflict Minerals Report required by Item 1.01.</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200" w:lineRule="exact"/>
        <w:rPr>
          <w:sz w:val="20"/>
          <w:szCs w:val="20"/>
          <w:color w:val="auto"/>
        </w:rPr>
      </w:pPr>
    </w:p>
    <w:p>
      <w:pPr>
        <w:spacing w:after="0" w:line="268"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part of this report.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120" w:firstLine="648"/>
        <w:spacing w:after="0" w:line="30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38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LivaNova PLC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4760"/>
              <w:spacing w:after="0"/>
              <w:rPr>
                <w:sz w:val="20"/>
                <w:szCs w:val="20"/>
                <w:color w:val="auto"/>
              </w:rPr>
            </w:pPr>
            <w:r>
              <w:rPr>
                <w:rFonts w:ascii="Arial" w:cs="Arial" w:eastAsia="Arial" w:hAnsi="Arial"/>
                <w:sz w:val="18"/>
                <w:szCs w:val="18"/>
                <w:color w:val="auto"/>
              </w:rPr>
              <w:t>By:</w:t>
            </w:r>
          </w:p>
        </w:tc>
        <w:tc>
          <w:tcPr>
            <w:tcW w:w="6020" w:type="dxa"/>
            <w:vAlign w:val="bottom"/>
          </w:tcPr>
          <w:p>
            <w:pPr>
              <w:ind w:left="160"/>
              <w:spacing w:after="0"/>
              <w:rPr>
                <w:sz w:val="20"/>
                <w:szCs w:val="20"/>
                <w:color w:val="auto"/>
              </w:rPr>
            </w:pPr>
            <w:r>
              <w:rPr>
                <w:rFonts w:ascii="Arial" w:cs="Arial" w:eastAsia="Arial" w:hAnsi="Arial"/>
                <w:sz w:val="18"/>
                <w:szCs w:val="18"/>
                <w:color w:val="auto"/>
                <w:w w:val="89"/>
              </w:rPr>
              <w:t>_________________________________________________________________</w:t>
            </w:r>
          </w:p>
        </w:tc>
      </w:tr>
      <w:tr>
        <w:trPr>
          <w:trHeight w:val="243"/>
        </w:trPr>
        <w:tc>
          <w:tcPr>
            <w:tcW w:w="5400" w:type="dxa"/>
            <w:vAlign w:val="bottom"/>
          </w:tcPr>
          <w:p>
            <w:pPr>
              <w:ind w:left="4760"/>
              <w:spacing w:after="0"/>
              <w:rPr>
                <w:sz w:val="20"/>
                <w:szCs w:val="20"/>
                <w:color w:val="auto"/>
              </w:rPr>
            </w:pPr>
            <w:r>
              <w:rPr>
                <w:rFonts w:ascii="Arial" w:cs="Arial" w:eastAsia="Arial" w:hAnsi="Arial"/>
                <w:sz w:val="18"/>
                <w:szCs w:val="18"/>
                <w:color w:val="auto"/>
              </w:rPr>
              <w:t>Name:</w:t>
            </w:r>
          </w:p>
        </w:tc>
        <w:tc>
          <w:tcPr>
            <w:tcW w:w="6020" w:type="dxa"/>
            <w:vAlign w:val="bottom"/>
          </w:tcPr>
          <w:p>
            <w:pPr>
              <w:ind w:left="160"/>
              <w:spacing w:after="0"/>
              <w:rPr>
                <w:sz w:val="20"/>
                <w:szCs w:val="20"/>
                <w:color w:val="auto"/>
              </w:rPr>
            </w:pPr>
            <w:r>
              <w:rPr>
                <w:rFonts w:ascii="Arial" w:cs="Arial" w:eastAsia="Arial" w:hAnsi="Arial"/>
                <w:sz w:val="18"/>
                <w:szCs w:val="18"/>
                <w:color w:val="auto"/>
              </w:rPr>
              <w:t>Catherine Moroz</w:t>
            </w:r>
          </w:p>
        </w:tc>
      </w:tr>
      <w:tr>
        <w:trPr>
          <w:trHeight w:val="243"/>
        </w:trPr>
        <w:tc>
          <w:tcPr>
            <w:tcW w:w="5400" w:type="dxa"/>
            <w:vAlign w:val="bottom"/>
          </w:tcPr>
          <w:p>
            <w:pPr>
              <w:ind w:left="4760"/>
              <w:spacing w:after="0"/>
              <w:rPr>
                <w:sz w:val="20"/>
                <w:szCs w:val="20"/>
                <w:color w:val="auto"/>
              </w:rPr>
            </w:pPr>
            <w:r>
              <w:rPr>
                <w:rFonts w:ascii="Arial" w:cs="Arial" w:eastAsia="Arial" w:hAnsi="Arial"/>
                <w:sz w:val="18"/>
                <w:szCs w:val="18"/>
                <w:color w:val="auto"/>
              </w:rPr>
              <w:t>Title:</w:t>
            </w:r>
          </w:p>
        </w:tc>
        <w:tc>
          <w:tcPr>
            <w:tcW w:w="6020" w:type="dxa"/>
            <w:vAlign w:val="bottom"/>
          </w:tcPr>
          <w:p>
            <w:pPr>
              <w:ind w:left="160"/>
              <w:spacing w:after="0"/>
              <w:rPr>
                <w:sz w:val="20"/>
                <w:szCs w:val="20"/>
                <w:color w:val="auto"/>
              </w:rPr>
            </w:pPr>
            <w:r>
              <w:rPr>
                <w:rFonts w:ascii="Arial" w:cs="Arial" w:eastAsia="Arial" w:hAnsi="Arial"/>
                <w:sz w:val="18"/>
                <w:szCs w:val="18"/>
                <w:color w:val="auto"/>
              </w:rPr>
              <w:t>Deputy Secretary</w:t>
            </w:r>
          </w:p>
        </w:tc>
      </w:tr>
      <w:tr>
        <w:trPr>
          <w:trHeight w:val="966"/>
        </w:trPr>
        <w:tc>
          <w:tcPr>
            <w:tcW w:w="54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LivaNova PLC</w:t>
      </w:r>
    </w:p>
    <w:p>
      <w:pPr>
        <w:spacing w:after="0" w:line="9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Conflict Minerals Report</w:t>
      </w:r>
    </w:p>
    <w:p>
      <w:pPr>
        <w:spacing w:after="0" w:line="9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 the Year Ended December 31, 2015</w:t>
      </w:r>
    </w:p>
    <w:p>
      <w:pPr>
        <w:spacing w:after="0" w:line="391"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8"/>
          <w:szCs w:val="18"/>
          <w:color w:val="auto"/>
        </w:rPr>
        <w:t>This Conflict Minerals Report of LivaNova PLC (this "Report") has been prepared for the reporting period from January 1, 2015 to December 31, 2015 for Cyberonics, Inc. pursuant to Rule 13p-1 under the Securities Exchange Act of 1934 (the "Rule"). The Rule was adopted by the Securities and Exchange Commission ("SEC") to implement disclosure and reporting requirements pursuant to Section 1502 of the Dodd-Frank Wall Street Reform and Consumer Protection Act (the "Act"). The Act defines conflict minerals as cassiterite (tin), columbite-tanlite (tantalum), gold, wolframite (tungsten), (together, "3TG") or their derivatives ("Conflict Minerals"). The "Covered Countries" for the purposes of the Rule are the Democratic Republic of the Congo, the Republic of the Congo, the Central African Republic, South Sudan, Uganda, Rwanda, Burundi, Tanzania, Zambia and Angola. The Rule imposes certain reporting requirements on SEC registrants who manufacture or contract to manufacture products that include Conflict Minerals, if such Conflict Minerals are necessary to the functionality or production of the products.</w:t>
      </w:r>
    </w:p>
    <w:p>
      <w:pPr>
        <w:spacing w:after="0" w:line="165"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8"/>
          <w:szCs w:val="18"/>
          <w:color w:val="auto"/>
        </w:rPr>
        <w:t>If a registrant has reason to believe that any of the conflict minerals necessary to the functionality or production of their products may have originated in the Covered Countries, or if they are unable to determine the country of origin of those conflict minerals, then the registrant must exercise due diligence on the conflict minerals' source and chain of custody and submit a Conflict Minerals Report to the SEC that includes a description of those due diligence measures.</w:t>
      </w:r>
    </w:p>
    <w:p>
      <w:pPr>
        <w:spacing w:after="0" w:line="142"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Company Overview</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8"/>
          <w:szCs w:val="18"/>
          <w:color w:val="auto"/>
        </w:rPr>
        <w:t>This Report has been prepared by the management of LivaNova PLC ("LivaNova," "we," "us," "registrant," or "our"). It does not include the activities of variable interest entities that are not required to be consolidated.</w:t>
      </w:r>
    </w:p>
    <w:p>
      <w:pPr>
        <w:spacing w:after="0" w:line="142"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7"/>
          <w:szCs w:val="17"/>
          <w:color w:val="auto"/>
        </w:rPr>
        <w:t>As described in Item 1.01 of the Form SD, LivaNova PLC, a public limited company incorporated under the laws of England and Wales ("LivaNova") was formed for the purpose of facilitating the business combination of Cyberonics, Inc., a Delaware corporation ("Cyberonics"), and Sorin S.p.A., a joint stock company organized under the laws of Italy ("Sorin"). Cyberonics was considered the accounting acquirer and LivaNova PLC ("LivaNova", "registrant", "we", "us", or "our") became the successor organization to Cyberonics. Per the instructions to Item 1.01 of the SEC's Form SD, a "registrant that acquires or otherwise obtains control over a company that manufactures or contracts to manufacture products with conflict minerals necessary to the functionality or production of those products that previously had not been obligated to provide a specialized disclosure report with respect to its conflict minerals will be permitted to delay reporting on the products manufactured by the acquired company until the end of the first reporting calendar year that begins no sooner than eight months after the effective date of the acquisition." As a result, in this Form SD and related Conflict Minerals Report, LivaNova is reporting the results for Cyberonics' supply chain operations for the year ended December 31, 2015.</w:t>
      </w:r>
    </w:p>
    <w:p>
      <w:pPr>
        <w:spacing w:after="0" w:line="140" w:lineRule="exact"/>
        <w:rPr>
          <w:sz w:val="20"/>
          <w:szCs w:val="20"/>
          <w:color w:val="auto"/>
        </w:rPr>
      </w:pPr>
    </w:p>
    <w:p>
      <w:pPr>
        <w:jc w:val="both"/>
        <w:ind w:firstLine="648"/>
        <w:spacing w:after="0" w:line="390" w:lineRule="auto"/>
        <w:rPr>
          <w:sz w:val="20"/>
          <w:szCs w:val="20"/>
          <w:color w:val="auto"/>
        </w:rPr>
      </w:pPr>
      <w:r>
        <w:rPr>
          <w:rFonts w:ascii="Arial" w:cs="Arial" w:eastAsia="Arial" w:hAnsi="Arial"/>
          <w:sz w:val="16"/>
          <w:szCs w:val="16"/>
          <w:color w:val="auto"/>
        </w:rPr>
        <w:t>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114"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8"/>
          <w:szCs w:val="18"/>
          <w:color w:val="auto"/>
        </w:rPr>
        <w:t>Cyberonics currently operates as one of LivaNova's three business units, with core expertise in neuromodulation. Cyberonics develops and markets the VNS Therapy System®, which is FDA-approved for the treatment of refractory epilepsy and treatment-resistant depression. The VNS Therapy System uses an implanted medical device that delivers pulsed electrical signals to the vagus nerve. The VNS Therapy System is offered in selected markets worldwide.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Our VNS Therapy System includes the following:</w:t>
      </w:r>
    </w:p>
    <w:p>
      <w:pPr>
        <w:spacing w:after="0" w:line="347" w:lineRule="exact"/>
        <w:rPr>
          <w:sz w:val="20"/>
          <w:szCs w:val="20"/>
          <w:color w:val="auto"/>
        </w:rPr>
      </w:pPr>
    </w:p>
    <w:p>
      <w:pPr>
        <w:ind w:left="1540" w:hanging="762"/>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implantable pulse generator to provide appropriate stimulation to the vagus nerve;</w:t>
      </w:r>
    </w:p>
    <w:p>
      <w:pPr>
        <w:spacing w:after="0" w:line="157" w:lineRule="exact"/>
        <w:rPr>
          <w:rFonts w:ascii="Arial" w:cs="Arial" w:eastAsia="Arial" w:hAnsi="Arial"/>
          <w:sz w:val="18"/>
          <w:szCs w:val="18"/>
          <w:color w:val="auto"/>
        </w:rPr>
      </w:pPr>
    </w:p>
    <w:p>
      <w:pPr>
        <w:ind w:left="1540" w:hanging="762"/>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lead that conducts current pulses from the pulse generator to the vagus nerve;</w:t>
      </w:r>
    </w:p>
    <w:p>
      <w:pPr>
        <w:spacing w:after="0" w:line="157" w:lineRule="exact"/>
        <w:rPr>
          <w:rFonts w:ascii="Arial" w:cs="Arial" w:eastAsia="Arial" w:hAnsi="Arial"/>
          <w:sz w:val="18"/>
          <w:szCs w:val="18"/>
          <w:color w:val="auto"/>
        </w:rPr>
      </w:pPr>
    </w:p>
    <w:p>
      <w:pPr>
        <w:ind w:left="1540" w:hanging="762"/>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surgical instrument to assist with the implant procedure;</w:t>
      </w:r>
    </w:p>
    <w:p>
      <w:pPr>
        <w:spacing w:after="0" w:line="157" w:lineRule="exact"/>
        <w:rPr>
          <w:rFonts w:ascii="Arial" w:cs="Arial" w:eastAsia="Arial" w:hAnsi="Arial"/>
          <w:sz w:val="18"/>
          <w:szCs w:val="18"/>
          <w:color w:val="auto"/>
        </w:rPr>
      </w:pPr>
    </w:p>
    <w:p>
      <w:pPr>
        <w:ind w:left="1540" w:hanging="762"/>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equipment to enable the treating physician to set the pulse generator stimulation parameters for the patient;</w:t>
      </w:r>
    </w:p>
    <w:p>
      <w:pPr>
        <w:spacing w:after="0" w:line="157" w:lineRule="exact"/>
        <w:rPr>
          <w:rFonts w:ascii="Arial" w:cs="Arial" w:eastAsia="Arial" w:hAnsi="Arial"/>
          <w:sz w:val="18"/>
          <w:szCs w:val="18"/>
          <w:color w:val="auto"/>
        </w:rPr>
      </w:pPr>
    </w:p>
    <w:p>
      <w:pPr>
        <w:ind w:left="1540" w:hanging="762"/>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instruction manuals; and</w:t>
      </w:r>
    </w:p>
    <w:p>
      <w:pPr>
        <w:spacing w:after="0" w:line="157" w:lineRule="exact"/>
        <w:rPr>
          <w:rFonts w:ascii="Arial" w:cs="Arial" w:eastAsia="Arial" w:hAnsi="Arial"/>
          <w:sz w:val="18"/>
          <w:szCs w:val="18"/>
          <w:color w:val="auto"/>
        </w:rPr>
      </w:pPr>
    </w:p>
    <w:p>
      <w:pPr>
        <w:ind w:left="1540" w:hanging="762"/>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VNS Therapy System, magnets to suspend or induce stimulation manually.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broad and complex product range may contain conflict minerals within the following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2" w:right="239" w:bottom="761" w:gutter="0" w:footer="0" w:header="0"/>
        </w:sectPr>
      </w:pPr>
    </w:p>
    <w:bookmarkStart w:id="4" w:name="page5"/>
    <w:bookmarkEnd w:id="4"/>
    <w:p>
      <w:pPr>
        <w:ind w:left="1420" w:hanging="69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Tantalum, used in capacitors;</w:t>
      </w:r>
    </w:p>
    <w:p>
      <w:pPr>
        <w:spacing w:after="0" w:line="157" w:lineRule="exact"/>
        <w:rPr>
          <w:rFonts w:ascii="Arial" w:cs="Arial" w:eastAsia="Arial" w:hAnsi="Arial"/>
          <w:sz w:val="18"/>
          <w:szCs w:val="18"/>
          <w:color w:val="auto"/>
        </w:rPr>
      </w:pPr>
    </w:p>
    <w:p>
      <w:pPr>
        <w:ind w:left="1420" w:hanging="69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Tin, used in soldered components;</w:t>
      </w:r>
    </w:p>
    <w:p>
      <w:pPr>
        <w:spacing w:after="0" w:line="157" w:lineRule="exact"/>
        <w:rPr>
          <w:rFonts w:ascii="Arial" w:cs="Arial" w:eastAsia="Arial" w:hAnsi="Arial"/>
          <w:sz w:val="18"/>
          <w:szCs w:val="18"/>
          <w:color w:val="auto"/>
        </w:rPr>
      </w:pPr>
    </w:p>
    <w:p>
      <w:pPr>
        <w:ind w:left="1420" w:hanging="69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Tungsten, used in coatings, alloys, heating elements and electrodes; and</w:t>
      </w:r>
    </w:p>
    <w:p>
      <w:pPr>
        <w:spacing w:after="0" w:line="157" w:lineRule="exact"/>
        <w:rPr>
          <w:rFonts w:ascii="Arial" w:cs="Arial" w:eastAsia="Arial" w:hAnsi="Arial"/>
          <w:sz w:val="18"/>
          <w:szCs w:val="18"/>
          <w:color w:val="auto"/>
        </w:rPr>
      </w:pPr>
    </w:p>
    <w:p>
      <w:pPr>
        <w:ind w:left="1420" w:hanging="696"/>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 used in circuit boards, electrodes and electronic components.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on LivaNova and the VNS Therapy System is available at www.livanova.com.</w:t>
      </w:r>
    </w:p>
    <w:p>
      <w:pPr>
        <w:spacing w:after="0" w:line="26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General Policy and Team</w:t>
      </w:r>
    </w:p>
    <w:p>
      <w:pPr>
        <w:spacing w:after="0" w:line="200" w:lineRule="exact"/>
        <w:rPr>
          <w:sz w:val="20"/>
          <w:szCs w:val="20"/>
          <w:color w:val="auto"/>
        </w:rPr>
      </w:pPr>
    </w:p>
    <w:p>
      <w:pPr>
        <w:spacing w:after="0" w:line="225" w:lineRule="exact"/>
        <w:rPr>
          <w:sz w:val="20"/>
          <w:szCs w:val="20"/>
          <w:color w:val="auto"/>
        </w:rPr>
      </w:pPr>
    </w:p>
    <w:p>
      <w:pPr>
        <w:ind w:right="40" w:firstLine="648"/>
        <w:spacing w:after="0" w:line="331" w:lineRule="auto"/>
        <w:rPr>
          <w:sz w:val="20"/>
          <w:szCs w:val="20"/>
          <w:color w:val="auto"/>
        </w:rPr>
      </w:pPr>
      <w:r>
        <w:rPr>
          <w:rFonts w:ascii="Arial" w:cs="Arial" w:eastAsia="Arial" w:hAnsi="Arial"/>
          <w:sz w:val="19"/>
          <w:szCs w:val="19"/>
          <w:color w:val="auto"/>
        </w:rPr>
        <w:t>We strive to conduct our activities in a manner that reflects our mission and Code of Business Conduct and Ethics – which includes being a good corporate citizen, dealing fairly in business, behaving ethically, supporting a safe and healthy workplace, doing business in an environmentally responsible manner, and complying with applicable law. We are committed to ensuring that our supply chain reflects our values and beliefs, including adherence to principles of responsible sourcing for materials for our products. As part of our commitment, Cyberonics supports the goals and objectives of Section 1502 of the Dodd Frank Act that requires public companies to determine the sourcing of conflict minerals used in their products and that we expect our suppliers to support our efforts to comply with the Dodd Frank Act and to proactively identify and make every effort to eliminate the use of any conflict minerals in our supply chain. In addition, we expect our suppliers to conduct business operations in an ethical manner and to comply with our Code of Business Conduct and Ethics all applicable laws related to environmental responsibility, workplace health and safety, and human resources. We have established a cross-functional team to implement our conflict mineral compliance strategy and policy. This team has executive level involvement and access to various subject matter experts from such areas as sourcing, procurement, legal and finance.</w:t>
      </w:r>
    </w:p>
    <w:p>
      <w:pPr>
        <w:spacing w:after="0" w:line="142"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Reasonable Country of Origin Inquiry</w:t>
      </w:r>
    </w:p>
    <w:p>
      <w:pPr>
        <w:spacing w:after="0" w:line="200" w:lineRule="exact"/>
        <w:rPr>
          <w:sz w:val="20"/>
          <w:szCs w:val="20"/>
          <w:color w:val="auto"/>
        </w:rPr>
      </w:pPr>
    </w:p>
    <w:p>
      <w:pPr>
        <w:spacing w:after="0" w:line="225" w:lineRule="exact"/>
        <w:rPr>
          <w:sz w:val="20"/>
          <w:szCs w:val="20"/>
          <w:color w:val="auto"/>
        </w:rPr>
      </w:pPr>
    </w:p>
    <w:p>
      <w:pPr>
        <w:ind w:right="60" w:firstLine="648"/>
        <w:spacing w:after="0" w:line="306" w:lineRule="auto"/>
        <w:rPr>
          <w:sz w:val="20"/>
          <w:szCs w:val="20"/>
          <w:color w:val="auto"/>
        </w:rPr>
      </w:pPr>
      <w:r>
        <w:rPr>
          <w:rFonts w:ascii="Arial" w:cs="Arial" w:eastAsia="Arial" w:hAnsi="Arial"/>
          <w:sz w:val="21"/>
          <w:szCs w:val="21"/>
          <w:color w:val="auto"/>
        </w:rPr>
        <w:t xml:space="preserve">In beginning our analysis in conjunction with our partners at Assent Compliance, we first determined which of our products contained Conflict Minerals necessary to the functionality or production of such products. We then conducted a good faith reasonable country of origin inquiry ("RCOI") with respect to Conflict Minerals contained in our products by assessing our supply chain in accordance with guidance from </w:t>
      </w:r>
      <w:r>
        <w:rPr>
          <w:rFonts w:ascii="Arial" w:cs="Arial" w:eastAsia="Arial" w:hAnsi="Arial"/>
          <w:sz w:val="17"/>
          <w:szCs w:val="17"/>
          <w:color w:val="auto"/>
        </w:rPr>
        <w:t>the Organization for Economic Cooperation and Development ("OECD").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648"/>
        <w:spacing w:after="0" w:line="407" w:lineRule="auto"/>
        <w:rPr>
          <w:sz w:val="20"/>
          <w:szCs w:val="20"/>
          <w:color w:val="auto"/>
        </w:rPr>
      </w:pPr>
      <w:r>
        <w:rPr>
          <w:rFonts w:ascii="Arial" w:cs="Arial" w:eastAsia="Arial" w:hAnsi="Arial"/>
          <w:sz w:val="16"/>
          <w:szCs w:val="16"/>
          <w:color w:val="auto"/>
        </w:rPr>
        <w:t>The RCOI was designed to determine whether any Conflict Minerals originated in the Covered Countries. The "Covered Countries" for the purposes of the Rule are the Democratic Republic of the Congo, the Republic of the Congo, the Central African Republic, South Sudan, Uganda, Rwanda, Burundi, Tanzania, Zambia and Angola. We do not purchase minerals directly from mines, smelters or refiners and therefore must rely on our direct suppliers to provide information on the origin of the minerals contained in components and materials supplied to us or products manufactured for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We began our supplier scoping process by:</w:t>
      </w:r>
    </w:p>
    <w:p>
      <w:pPr>
        <w:spacing w:after="0" w:line="347" w:lineRule="exact"/>
        <w:rPr>
          <w:sz w:val="20"/>
          <w:szCs w:val="20"/>
          <w:color w:val="auto"/>
        </w:rPr>
      </w:pPr>
    </w:p>
    <w:p>
      <w:pPr>
        <w:ind w:left="1780" w:hanging="881"/>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Determining which of our manufactured products contain Conflict Minerals;</w:t>
      </w:r>
    </w:p>
    <w:p>
      <w:pPr>
        <w:spacing w:after="0" w:line="157" w:lineRule="exact"/>
        <w:rPr>
          <w:rFonts w:ascii="Arial" w:cs="Arial" w:eastAsia="Arial" w:hAnsi="Arial"/>
          <w:sz w:val="18"/>
          <w:szCs w:val="18"/>
          <w:color w:val="auto"/>
        </w:rPr>
      </w:pPr>
    </w:p>
    <w:p>
      <w:pPr>
        <w:ind w:left="1780" w:hanging="881"/>
        <w:spacing w:after="0"/>
        <w:tabs>
          <w:tab w:leader="none" w:pos="1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Identifying our suppliers that manufactured or contracted to manufacture products containing Conflict Minerals in 2015; and</w:t>
      </w:r>
    </w:p>
    <w:p>
      <w:pPr>
        <w:spacing w:after="0" w:line="169" w:lineRule="exact"/>
        <w:rPr>
          <w:rFonts w:ascii="Arial" w:cs="Arial" w:eastAsia="Arial" w:hAnsi="Arial"/>
          <w:sz w:val="17"/>
          <w:szCs w:val="17"/>
          <w:color w:val="auto"/>
        </w:rPr>
      </w:pPr>
    </w:p>
    <w:p>
      <w:pPr>
        <w:ind w:left="1780" w:right="20" w:hanging="881"/>
        <w:spacing w:after="0" w:line="449" w:lineRule="auto"/>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Identified suppliers that provide product or service that is deemed out of scope (provide material that does not ship with or does not impact functionality of the final product).</w:t>
      </w:r>
    </w:p>
    <w:p>
      <w:pPr>
        <w:spacing w:after="0" w:line="200" w:lineRule="exact"/>
        <w:rPr>
          <w:sz w:val="20"/>
          <w:szCs w:val="20"/>
          <w:color w:val="auto"/>
        </w:rPr>
      </w:pPr>
    </w:p>
    <w:p>
      <w:pPr>
        <w:spacing w:after="0" w:line="322" w:lineRule="exact"/>
        <w:rPr>
          <w:sz w:val="20"/>
          <w:szCs w:val="20"/>
          <w:color w:val="auto"/>
        </w:rPr>
      </w:pPr>
    </w:p>
    <w:p>
      <w:pPr>
        <w:ind w:firstLine="648"/>
        <w:spacing w:after="0" w:line="481" w:lineRule="auto"/>
        <w:rPr>
          <w:sz w:val="20"/>
          <w:szCs w:val="20"/>
          <w:color w:val="auto"/>
        </w:rPr>
      </w:pPr>
      <w:r>
        <w:rPr>
          <w:rFonts w:ascii="Arial" w:cs="Arial" w:eastAsia="Arial" w:hAnsi="Arial"/>
          <w:sz w:val="18"/>
          <w:szCs w:val="18"/>
          <w:color w:val="auto"/>
        </w:rPr>
        <w:t>The supply chain survey, and the conflict minerals program as a whole, has been developed and implemented in cooperation with Assent Compliance.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8"/>
          <w:szCs w:val="18"/>
          <w:color w:val="auto"/>
        </w:rPr>
        <w:t>Our primary means of determining country of origin of necessary 3TG was by conducting a supply chain survey with direct suppliers using the Conflict Minerals Reporting Template, or CRMT, developed by the EICC and the GeSI. The CMRT was developed to facilitate disclosure and communication of information regarding smelters that provide material to a company's supply chain. It includes questions regarding a direct supplier's conflict minerals policy, engagement with its direct suppliers, and a listing of the smelters the direct supplier and its suppliers use. In addition, the CMRT contains questions about the origin of conflict minerals included in the direct supplier's products, as well as supplier due diligence. Written instructions and recorded training illustrating the use of the tool are available on EICC's website. Many companies are using the CMRT in their compliance processes related to conflict minerals.</w:t>
      </w:r>
    </w:p>
    <w:p>
      <w:pPr>
        <w:spacing w:after="0" w:line="256" w:lineRule="exact"/>
        <w:rPr>
          <w:sz w:val="20"/>
          <w:szCs w:val="20"/>
          <w:color w:val="auto"/>
        </w:rPr>
      </w:pPr>
    </w:p>
    <w:p>
      <w:pPr>
        <w:jc w:val="both"/>
        <w:ind w:firstLine="621"/>
        <w:spacing w:after="0" w:line="356" w:lineRule="auto"/>
        <w:rPr>
          <w:sz w:val="20"/>
          <w:szCs w:val="20"/>
          <w:color w:val="auto"/>
        </w:rPr>
      </w:pPr>
      <w:r>
        <w:rPr>
          <w:rFonts w:ascii="Arial" w:cs="Arial" w:eastAsia="Arial" w:hAnsi="Arial"/>
          <w:sz w:val="18"/>
          <w:szCs w:val="18"/>
          <w:color w:val="auto"/>
        </w:rPr>
        <w:t>We surveyed 84 suppliers based on the scoping process noted above. Responses were tracked and supplier statuses reported regularly by Assent to LivaNova. As of May 24, 2016, we received responses from 68% of the suppliers surveyed.</w:t>
      </w:r>
    </w:p>
    <w:p>
      <w:pPr>
        <w:spacing w:after="0" w:line="216" w:lineRule="exact"/>
        <w:rPr>
          <w:sz w:val="20"/>
          <w:szCs w:val="20"/>
          <w:color w:val="auto"/>
        </w:rPr>
      </w:pPr>
    </w:p>
    <w:p>
      <w:pPr>
        <w:ind w:right="280" w:firstLine="648"/>
        <w:spacing w:after="0" w:line="289" w:lineRule="auto"/>
        <w:rPr>
          <w:sz w:val="20"/>
          <w:szCs w:val="20"/>
          <w:color w:val="auto"/>
        </w:rPr>
      </w:pPr>
      <w:r>
        <w:rPr>
          <w:rFonts w:ascii="Arial" w:cs="Arial" w:eastAsia="Arial" w:hAnsi="Arial"/>
          <w:sz w:val="22"/>
          <w:szCs w:val="22"/>
          <w:color w:val="auto"/>
        </w:rPr>
        <w:t>During the survey, Assent Compliance assessed the supplier list and received information from suppliers in the following groups that could be deemed as out of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6" w:name="page7"/>
    <w:bookmarkEnd w:id="6"/>
    <w:p>
      <w:pPr>
        <w:ind w:left="1800" w:hanging="901"/>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Service providers/suppliers</w:t>
      </w:r>
    </w:p>
    <w:p>
      <w:pPr>
        <w:spacing w:after="0" w:line="157" w:lineRule="exact"/>
        <w:rPr>
          <w:rFonts w:ascii="Arial" w:cs="Arial" w:eastAsia="Arial" w:hAnsi="Arial"/>
          <w:sz w:val="18"/>
          <w:szCs w:val="18"/>
          <w:color w:val="auto"/>
        </w:rPr>
      </w:pPr>
    </w:p>
    <w:p>
      <w:pPr>
        <w:ind w:left="1800" w:hanging="901"/>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Indirect materials suppliers</w:t>
      </w:r>
    </w:p>
    <w:p>
      <w:pPr>
        <w:spacing w:after="0" w:line="157" w:lineRule="exact"/>
        <w:rPr>
          <w:rFonts w:ascii="Arial" w:cs="Arial" w:eastAsia="Arial" w:hAnsi="Arial"/>
          <w:sz w:val="18"/>
          <w:szCs w:val="18"/>
          <w:color w:val="auto"/>
        </w:rPr>
      </w:pPr>
    </w:p>
    <w:p>
      <w:pPr>
        <w:ind w:left="1800" w:hanging="901"/>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Inactive suppliers (minimum 5 years since last purchase)</w:t>
      </w:r>
    </w:p>
    <w:p>
      <w:pPr>
        <w:spacing w:after="0" w:line="117" w:lineRule="exact"/>
        <w:rPr>
          <w:sz w:val="20"/>
          <w:szCs w:val="20"/>
          <w:color w:val="auto"/>
        </w:rPr>
      </w:pPr>
    </w:p>
    <w:p>
      <w:pPr>
        <w:jc w:val="both"/>
        <w:ind w:firstLine="648"/>
        <w:spacing w:after="0" w:line="391" w:lineRule="auto"/>
        <w:rPr>
          <w:sz w:val="20"/>
          <w:szCs w:val="20"/>
          <w:color w:val="auto"/>
        </w:rPr>
      </w:pPr>
      <w:r>
        <w:rPr>
          <w:rFonts w:ascii="Arial" w:cs="Arial" w:eastAsia="Arial" w:hAnsi="Arial"/>
          <w:sz w:val="17"/>
          <w:szCs w:val="17"/>
          <w:color w:val="auto"/>
        </w:rPr>
        <w:t>Once Assent received confirmation from LivaNova on these designations, the suppliers were classified as Out of Scope in the Assent Compliance Manager ("ACM"), which is the software tool used to manage the conflict minerals program. Two suppliers were deemed out of scope.</w:t>
      </w:r>
    </w:p>
    <w:p>
      <w:pPr>
        <w:spacing w:after="0" w:line="227"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7"/>
          <w:szCs w:val="17"/>
          <w:color w:val="auto"/>
        </w:rPr>
        <w:t>This year's program includes automated data validation on all submitted Conflict Minerals Reporting Templates. The goal of data validation is to increase the accuracy of submissions, identify submissions not including smelter lists and identify any contradictory answers in the CMRT. All submitted forms are accepted and classified as valid or invalid so that data is still retained. Suppliers were contacted in regards to invalid forms and were encouraged to resubmit a valid form. As of May 24, 2016, we still had 2 invalid supplier submissions that were not yet corrected</w:t>
      </w:r>
    </w:p>
    <w:p>
      <w:pPr>
        <w:spacing w:after="0" w:line="251"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8"/>
          <w:szCs w:val="18"/>
          <w:color w:val="auto"/>
        </w:rPr>
        <w:t>There were some suppliers who did not provide smelter lists (deemed as invalid responses) and suppliers who could not provide full smelter lists. Accordingly, before conducting an in-depth examination of the smelter information itself, the fact that the company was unable to obtain full smelter information for LivaNova products from all suppliers in scope makes it impossible for LivaNova to confidently state that there is no sourcing from the Covered Countries.</w:t>
      </w:r>
    </w:p>
    <w:p>
      <w:pPr>
        <w:spacing w:after="0" w:line="200" w:lineRule="exact"/>
        <w:rPr>
          <w:sz w:val="20"/>
          <w:szCs w:val="20"/>
          <w:color w:val="auto"/>
        </w:rPr>
      </w:pPr>
    </w:p>
    <w:p>
      <w:pPr>
        <w:spacing w:after="0" w:line="361"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5"/>
          <w:szCs w:val="15"/>
          <w:b w:val="1"/>
          <w:bCs w:val="1"/>
          <w:color w:val="auto"/>
        </w:rPr>
        <w:t>Design of Due Diligence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567"/>
        <w:spacing w:after="0" w:line="379" w:lineRule="auto"/>
        <w:rPr>
          <w:sz w:val="20"/>
          <w:szCs w:val="20"/>
          <w:color w:val="auto"/>
        </w:rPr>
      </w:pPr>
      <w:r>
        <w:rPr>
          <w:rFonts w:ascii="Arial" w:cs="Arial" w:eastAsia="Arial" w:hAnsi="Arial"/>
          <w:sz w:val="17"/>
          <w:szCs w:val="17"/>
          <w:color w:val="auto"/>
        </w:rPr>
        <w:t>Cyberonics designed its due diligence process to be in conformity, in all material respects, with the due diligence framework of the Organization of Economic Co-operation and Development Due Diligence Guidance for Responsible Supply Chains of Minerals from Conflict-Affected and High-Risk Areas, Second Edition and related Supplements on Tin, Tantalum and Tungsten and on Gold (collectively the "OECD Guidance"). Cyberonics' due diligence process is based on multi-industry initiatives with the smelters and refiners who provide conflict minerals within global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6" w:right="239" w:bottom="1440" w:gutter="0" w:footer="0" w:header="0"/>
        </w:sectPr>
      </w:pPr>
    </w:p>
    <w:bookmarkStart w:id="7" w:name="page8"/>
    <w:bookmarkEnd w:id="7"/>
    <w:p>
      <w:pPr>
        <w:ind w:left="660"/>
        <w:spacing w:after="0"/>
        <w:tabs>
          <w:tab w:leader="none" w:pos="136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Establish Strong Company Management and Control Systems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Conflict Minerals Policy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371" w:lineRule="auto"/>
        <w:rPr>
          <w:sz w:val="20"/>
          <w:szCs w:val="20"/>
          <w:color w:val="auto"/>
        </w:rPr>
      </w:pPr>
      <w:r>
        <w:rPr>
          <w:rFonts w:ascii="Arial" w:cs="Arial" w:eastAsia="Arial" w:hAnsi="Arial"/>
          <w:sz w:val="18"/>
          <w:szCs w:val="18"/>
          <w:color w:val="auto"/>
        </w:rPr>
        <w:t>In connection with the merger, the Company will be adopting a Conflict Minerals Policy which will be posted on the company website and made available to suppliers and others.</w:t>
      </w:r>
    </w:p>
    <w:p>
      <w:pPr>
        <w:spacing w:after="0" w:line="200" w:lineRule="exact"/>
        <w:rPr>
          <w:sz w:val="20"/>
          <w:szCs w:val="20"/>
          <w:color w:val="auto"/>
        </w:rPr>
      </w:pPr>
    </w:p>
    <w:p>
      <w:pPr>
        <w:spacing w:after="0" w:line="3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Internal Team and Training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7"/>
          <w:szCs w:val="17"/>
          <w:color w:val="auto"/>
        </w:rPr>
        <w:t>The Company has established a management team relating to conflict minerals. Our management team is overseen by the Chief Financial Officer and a team of subject matter experts from relevant functions such as quality, supply chain, operations, finance and legal. The team of subject matter experts is responsible for implementing our conflict minerals compliance strategy and is led by the Sr. Manager of Purchasing, who acts as the conflict minerals program manager. Senior management is briefed about the results of our due diligence efforts on a regular basis.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Supplier Engagement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8"/>
          <w:szCs w:val="18"/>
          <w:color w:val="auto"/>
        </w:rPr>
        <w:t>As we do not typically have a direct relationship with 3TG smelters and refiners, we are engaged and actively cooperate with other manufacturers in our industry and other sectors. We rely primarily on our direct suppliers to provide information on the origin of the 3TG contained in components and materials supplied to us – including sources of 3TG that are supplied to them from lower tier suppliers.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8"/>
          <w:szCs w:val="18"/>
          <w:color w:val="auto"/>
        </w:rPr>
        <w:t>In accordance with the Organization for Economic Co-operation and Development ("OECD") requirement to strengthen engagement with suppliers, we have, in cooperation with Assent Compliance, provided education to suppliers on the Conflict Minerals regulations as well as the expectations of the law. In addition, we have leveraged the existing communications within the Company, specifically through our procurement personnel, to encourage supplier interactions with Assent Compliance as well for them to understand the need for completion of the surveys. Feedback from this process has allowed us to enhance the training, focus it and adapt it to each user's needs. It has also allowed for our supplier communications to be more focused and ensure expectations are clear.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firstLine="648"/>
        <w:spacing w:after="0" w:line="375" w:lineRule="auto"/>
        <w:rPr>
          <w:sz w:val="20"/>
          <w:szCs w:val="20"/>
          <w:color w:val="auto"/>
        </w:rPr>
      </w:pPr>
      <w:r>
        <w:rPr>
          <w:rFonts w:ascii="Arial" w:cs="Arial" w:eastAsia="Arial" w:hAnsi="Arial"/>
          <w:sz w:val="17"/>
          <w:szCs w:val="17"/>
          <w:color w:val="auto"/>
        </w:rPr>
        <w:t>As part of our risk management plan, we intend to include a clause in our supplier contracts that requires suppliers to provide information about the sourcing of conflict minerals and smelters and to ensure that suppliers are conducting due diligence on the source and chain of the conflict minerals. We anticipate this effort may take several years to ensure that all our supplier contracts contain appropriate flow-down clauses as some of the contracts with our suppliers are frequently in force for three to five years or more and we cannot unilaterally impose new contract terms and flow-down requirements. Therefore, we expect to add these new provisions as our contracts are renewed or when entering into new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b w:val="1"/>
          <w:bCs w:val="1"/>
          <w:color w:val="auto"/>
        </w:rPr>
        <w:t>Grievance Mechanism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8"/>
          <w:szCs w:val="18"/>
          <w:color w:val="auto"/>
        </w:rPr>
        <w:t>Our controls include our Code of Business Conduct and Ethics, which outlines expected behaviors for all our employees. We have longstanding grievance mechanisms whereby employees and suppliers can report violations of the Company's policies, including our Code of Business Conduct and Ethics policy.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Records Maintenance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retained all relevant documentation from our Reasonable Country of Origin Inquiry and due diligence.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Identify and Assess Risk in Our Supply Chain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right="20" w:firstLine="648"/>
        <w:spacing w:after="0" w:line="371" w:lineRule="auto"/>
        <w:rPr>
          <w:sz w:val="20"/>
          <w:szCs w:val="20"/>
          <w:color w:val="auto"/>
        </w:rPr>
      </w:pPr>
      <w:r>
        <w:rPr>
          <w:rFonts w:ascii="Arial" w:cs="Arial" w:eastAsia="Arial" w:hAnsi="Arial"/>
          <w:sz w:val="18"/>
          <w:szCs w:val="18"/>
          <w:color w:val="auto"/>
        </w:rPr>
        <w:t>Because of our size, the complexity of our products, and the depth, breadth, and constant evolution of our supply chain, it is difficult for us to identify actors upstream from our direct suppliers.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407" w:lineRule="auto"/>
        <w:rPr>
          <w:sz w:val="20"/>
          <w:szCs w:val="20"/>
          <w:color w:val="auto"/>
        </w:rPr>
      </w:pPr>
      <w:r>
        <w:rPr>
          <w:rFonts w:ascii="Arial" w:cs="Arial" w:eastAsia="Arial" w:hAnsi="Arial"/>
          <w:sz w:val="16"/>
          <w:szCs w:val="16"/>
          <w:color w:val="auto"/>
        </w:rPr>
        <w:t>We have identified over 126 direct suppliers to the company. Out of those 126 suppliers, we initially deemed 42 as out of scope based upon the criteria listed above. We then based our RCOI on the remaining 84 suppliers. We rely on suppliers whose materials or components contain 3TG to provide us with information about the source of 3TG contained in those materials or components. Our direct suppliers similarly rely upon information provided by their suppliers. Many of the largest suppliers either are SEC registrants and subject to the Rule or are suppliers to other SEC registrants that are subject to the Rule.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8"/>
          <w:szCs w:val="18"/>
          <w:color w:val="auto"/>
        </w:rPr>
        <w:t>In accordance with OECD Guidelines, it is important to understand risk levels associated with conflict minerals in the supply chain. Smelter(s) or refiner(s) ("SORs") that are not certified as DRC-Conflict Free by third party sources such as the Conflict-Free Sourcing Initiative ("CFSI") or the London Bullion Market Association ("LBMA") Responsible Gold Programme, pose a significant risk. Where a smelter is not identified as Conflict Free by such sources, it is assigned a risk rating of either High, Medium or Low. This rating is based on various factors, including whether the SOR has been identified as a valid SOR and has an associated Smelter Identification Number (under the CFSI, this is known as a CID), and the SOR's geographic location, including proximity to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9" w:name="page10"/>
    <w:bookmarkEnd w:id="9"/>
    <w:p>
      <w:pPr>
        <w:jc w:val="both"/>
        <w:ind w:right="20" w:firstLine="648"/>
        <w:spacing w:after="0" w:line="371" w:lineRule="auto"/>
        <w:rPr>
          <w:sz w:val="20"/>
          <w:szCs w:val="20"/>
          <w:color w:val="auto"/>
        </w:rPr>
      </w:pPr>
      <w:r>
        <w:rPr>
          <w:rFonts w:ascii="Arial" w:cs="Arial" w:eastAsia="Arial" w:hAnsi="Arial"/>
          <w:sz w:val="18"/>
          <w:szCs w:val="18"/>
          <w:color w:val="auto"/>
        </w:rPr>
        <w:t>We calculate supplier risk based on the chances that a supplier provides 3TGs that may originate from Non-Conflict Free sources. The value of this risk is calculated based on the risk ratings of the smelters declared by that supplier on their CMRT.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8"/>
          <w:szCs w:val="18"/>
          <w:color w:val="auto"/>
        </w:rPr>
        <w:t>Additionally, suppliers are evaluated on program strength (further assisting in identifying risk in the supply chain). Evaluating and tracking the strength of the program can assist in making key risk mitigation decisions as the program progresses. The criteria used to evaluate the strength of the supplier's program are: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780" w:hanging="881"/>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you have a policy in place that includes DRC conflict-free sourcing?</w:t>
      </w:r>
    </w:p>
    <w:p>
      <w:pPr>
        <w:spacing w:after="0" w:line="157" w:lineRule="exact"/>
        <w:rPr>
          <w:rFonts w:ascii="Arial" w:cs="Arial" w:eastAsia="Arial" w:hAnsi="Arial"/>
          <w:sz w:val="18"/>
          <w:szCs w:val="18"/>
          <w:color w:val="auto"/>
        </w:rPr>
      </w:pPr>
    </w:p>
    <w:p>
      <w:pPr>
        <w:ind w:left="1780" w:hanging="881"/>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Have you implemented due diligence measures for conflict-free sourcing?</w:t>
      </w:r>
    </w:p>
    <w:p>
      <w:pPr>
        <w:spacing w:after="0" w:line="157" w:lineRule="exact"/>
        <w:rPr>
          <w:rFonts w:ascii="Arial" w:cs="Arial" w:eastAsia="Arial" w:hAnsi="Arial"/>
          <w:sz w:val="18"/>
          <w:szCs w:val="18"/>
          <w:color w:val="auto"/>
        </w:rPr>
      </w:pPr>
    </w:p>
    <w:p>
      <w:pPr>
        <w:ind w:left="1780" w:hanging="881"/>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 you verify due diligence information received from your suppliers?</w:t>
      </w:r>
    </w:p>
    <w:p>
      <w:pPr>
        <w:spacing w:after="0" w:line="157" w:lineRule="exact"/>
        <w:rPr>
          <w:rFonts w:ascii="Arial" w:cs="Arial" w:eastAsia="Arial" w:hAnsi="Arial"/>
          <w:sz w:val="18"/>
          <w:szCs w:val="18"/>
          <w:color w:val="auto"/>
        </w:rPr>
      </w:pPr>
    </w:p>
    <w:p>
      <w:pPr>
        <w:ind w:left="1780" w:hanging="881"/>
        <w:spacing w:after="0"/>
        <w:tabs>
          <w:tab w:leader="none" w:pos="1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Does your verification process include corrective action management?</w:t>
      </w:r>
    </w:p>
    <w:p>
      <w:pPr>
        <w:spacing w:after="0" w:line="200" w:lineRule="exact"/>
        <w:rPr>
          <w:sz w:val="20"/>
          <w:szCs w:val="20"/>
          <w:color w:val="auto"/>
        </w:rPr>
      </w:pPr>
    </w:p>
    <w:p>
      <w:pPr>
        <w:spacing w:after="0" w:line="390"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8"/>
          <w:szCs w:val="18"/>
          <w:color w:val="auto"/>
        </w:rPr>
        <w:t>When suppliers answer yes, they are deemed to have a strong program. When suppliers do not meet those criteria, they are deemed to have a weak program.</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351" w:lineRule="auto"/>
        <w:rPr>
          <w:sz w:val="20"/>
          <w:szCs w:val="20"/>
          <w:color w:val="auto"/>
        </w:rPr>
      </w:pPr>
      <w:r>
        <w:rPr>
          <w:rFonts w:ascii="Arial" w:cs="Arial" w:eastAsia="Arial" w:hAnsi="Arial"/>
          <w:sz w:val="18"/>
          <w:szCs w:val="18"/>
          <w:color w:val="auto"/>
        </w:rPr>
        <w:t>The SORs and countries of origin listed by suppliers in their CMRTs were matched against a database of verified SORs and associated mines. Verified SORs were matched against available lists of processors that have been certified by internationally-recognized industry validation schemes, such as the Conflict-Free Sourcing Initiative's Conflict-Free Smelter Program, the London Bullion Market Association Good Delivery Program, and the Responsible Jewelry Council Chain-of-Custody Certification. In cases where suppliers and products were associated with certified SORs they were categorized by the Company as "DRC Conflict Free."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8"/>
          <w:szCs w:val="18"/>
          <w:color w:val="auto"/>
        </w:rPr>
        <w:t>If the SOR was not certified by an internationally-recognized organization, research was conducted to gain more information about the SOR's sourcing practices, including countries of origin and transfer, and whether there were any internal due diligence procedures in place or other processes the SOR had taken to track the chain-of-custody on the source of its mineral ores.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373" w:lineRule="auto"/>
        <w:rPr>
          <w:sz w:val="20"/>
          <w:szCs w:val="20"/>
          <w:color w:val="auto"/>
        </w:rPr>
      </w:pPr>
      <w:r>
        <w:rPr>
          <w:rFonts w:ascii="Arial" w:cs="Arial" w:eastAsia="Arial" w:hAnsi="Arial"/>
          <w:sz w:val="17"/>
          <w:szCs w:val="17"/>
          <w:color w:val="auto"/>
        </w:rPr>
        <w:t>Tracing materials back to their mine of origin is a complex aspect of responsible sourcing in our supply chain. We have determined that seeking information about 3TG SORs in our supply chain represents the most reasonable effort we can make to determine the mines or locations of origin of the 3TGs in our supply chain. This was done by adopting methodology outlined by the CFSI's joint industry programs and outreach initiatives and requiring our suppliers to conform with the same standards to meet the OECD Guidelines, and report to us using the CMRT. Through this industry joint effort, we made reasonable determination of the mines or locations of origin of the 3TGs in our supply chain. We also requested that all of our suppliers support the initiative by following the sourcing initiative and working to align their declared sources with the "Known" and "Conflict Free" lists of sourced metals.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10" w:name="page11"/>
    <w:bookmarkEnd w:id="10"/>
    <w:p>
      <w:pPr>
        <w:ind w:left="660"/>
        <w:spacing w:after="0"/>
        <w:tabs>
          <w:tab w:leader="none" w:pos="164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6"/>
          <w:szCs w:val="16"/>
          <w:b w:val="1"/>
          <w:bCs w:val="1"/>
          <w:color w:val="auto"/>
        </w:rPr>
        <w:t>Design and Implement a Strategy to Respond to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In designing and implementing our strategy to respond to the supply chain risks that we identified, LivaNova analyzed various industry approaches and consulted with other companies in our industry. The Company has established a risk management plan through which the conflict minerals program is implemented, managed and monitored. Updates to this risk assessment are provided regularly to senior management.</w:t>
      </w:r>
    </w:p>
    <w:p>
      <w:pPr>
        <w:spacing w:after="0" w:line="200" w:lineRule="exact"/>
        <w:rPr>
          <w:sz w:val="20"/>
          <w:szCs w:val="20"/>
          <w:color w:val="auto"/>
        </w:rPr>
      </w:pPr>
    </w:p>
    <w:p>
      <w:pPr>
        <w:spacing w:after="0" w:line="396" w:lineRule="exact"/>
        <w:rPr>
          <w:sz w:val="20"/>
          <w:szCs w:val="20"/>
          <w:color w:val="auto"/>
        </w:rPr>
      </w:pPr>
    </w:p>
    <w:p>
      <w:pPr>
        <w:jc w:val="both"/>
        <w:ind w:firstLine="648"/>
        <w:spacing w:after="0" w:line="397" w:lineRule="auto"/>
        <w:rPr>
          <w:sz w:val="20"/>
          <w:szCs w:val="20"/>
          <w:color w:val="auto"/>
        </w:rPr>
      </w:pPr>
      <w:r>
        <w:rPr>
          <w:rFonts w:ascii="Arial" w:cs="Arial" w:eastAsia="Arial" w:hAnsi="Arial"/>
          <w:sz w:val="16"/>
          <w:szCs w:val="16"/>
          <w:color w:val="auto"/>
        </w:rPr>
        <w:t>As part of our risk management plan, to ensure suppliers understand our expectations, we have provided both video, recorded training and documented instructions through Assent Compliance. We answered all questions or requests for clarification from suppliers, assistance completing the form and one-on-one email or phone discussions with supplier personnel. We then provided each supplier a copy of the EICC-GeSI reporting CMRT to complete for purposes of conflict minerals tracking. Furthermore, we reviewed responses to the reporting CMRT with specific suppliers where we needed clarification. We intend to engage any of our suppliers whom we have reason to believe are supplying us with 3TG from sources that may support conflict in the DRC or any adjoining country to establish an alternative source of 3TG that does not support such conflict, as provided in the OECD guidance. In cases where suppliers may contain 3TG, LivaNova will assess the risks and determine the response strategy to address those scenarios.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Carry out Independent Third Party Audit of Supply Chain Due Diligence at Identified Points in the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386" w:lineRule="auto"/>
        <w:rPr>
          <w:sz w:val="20"/>
          <w:szCs w:val="20"/>
          <w:color w:val="auto"/>
        </w:rPr>
      </w:pPr>
      <w:r>
        <w:rPr>
          <w:rFonts w:ascii="Arial" w:cs="Arial" w:eastAsia="Arial" w:hAnsi="Arial"/>
          <w:sz w:val="17"/>
          <w:szCs w:val="17"/>
          <w:color w:val="auto"/>
        </w:rPr>
        <w:t>Cyberonics does not have a direct relationship with conflict minerals SORs and as a result, Cyberonics does not perform direct audits of these entities in its supply chain. Cyberonics relies on the efforts of the industry associations that administer independent third-party SOR audit programs and encourages suppliers with more direct relationships with SORs to participate in comparable due diligence validation activities.</w:t>
      </w:r>
    </w:p>
    <w:p>
      <w:pPr>
        <w:spacing w:after="0" w:line="200" w:lineRule="exact"/>
        <w:rPr>
          <w:sz w:val="20"/>
          <w:szCs w:val="20"/>
          <w:color w:val="auto"/>
        </w:rPr>
      </w:pPr>
    </w:p>
    <w:p>
      <w:pPr>
        <w:spacing w:after="0" w:line="3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4.1.5</w:t>
      </w:r>
      <w:r>
        <w:rPr>
          <w:sz w:val="20"/>
          <w:szCs w:val="20"/>
          <w:color w:val="auto"/>
        </w:rPr>
        <w:tab/>
      </w:r>
      <w:r>
        <w:rPr>
          <w:rFonts w:ascii="Arial" w:cs="Arial" w:eastAsia="Arial" w:hAnsi="Arial"/>
          <w:sz w:val="16"/>
          <w:szCs w:val="16"/>
          <w:b w:val="1"/>
          <w:bCs w:val="1"/>
          <w:color w:val="auto"/>
        </w:rPr>
        <w:t>Report on Supply Chain Due Diligence</w:t>
      </w:r>
    </w:p>
    <w:p>
      <w:pPr>
        <w:spacing w:after="0" w:line="200" w:lineRule="exact"/>
        <w:rPr>
          <w:sz w:val="20"/>
          <w:szCs w:val="20"/>
          <w:color w:val="auto"/>
        </w:rPr>
      </w:pPr>
    </w:p>
    <w:p>
      <w:pPr>
        <w:spacing w:after="0" w:line="259"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8"/>
          <w:szCs w:val="18"/>
          <w:color w:val="auto"/>
        </w:rPr>
        <w:t>This Conflict Minerals Report is being filed with the SEC as an exhibit to our specialized disclosure report on Form SD and will be available on our website at http://www.livanova.com/investor-relations/sec-filings.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11" w:name="page12"/>
    <w:bookmarkEnd w:id="11"/>
    <w:p>
      <w:pPr>
        <w:ind w:left="1300" w:hanging="644"/>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7"/>
          <w:szCs w:val="17"/>
          <w:color w:val="auto"/>
        </w:rPr>
        <w:t>During our due diligence efforts, members of Assent Compliance and/or members of the Cyberonics supply chain team made at least three follow-up inquiries to each "failed" supplier who did not respond to our initial survey, by phone or email. Assent Compliance reviewed the responses against criteria developed to determine which required further engagement with our suppliers. These criteria included incomplete responses as well as inconsistencies within the data reported in the CMRT. Assent Compliance worked directly with those suppliers to provide revised responses.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379" w:lineRule="auto"/>
        <w:rPr>
          <w:sz w:val="20"/>
          <w:szCs w:val="20"/>
          <w:color w:val="auto"/>
        </w:rPr>
      </w:pPr>
      <w:r>
        <w:rPr>
          <w:rFonts w:ascii="Arial" w:cs="Arial" w:eastAsia="Arial" w:hAnsi="Arial"/>
          <w:sz w:val="17"/>
          <w:szCs w:val="17"/>
          <w:color w:val="auto"/>
        </w:rPr>
        <w:t>The large majority of the responses received provided data at the supplier company level or a division/segment level relative to the supplier, rather than at a level directly relating to a part number that the supplier supplies to us, or were otherwise unable to specify the SORs used for components supplied to us. We were therefore unable to determine whether any of the 3TG that these suppliers reported was contained in components or parts that the suppliers supplied to us or to validate that any of these smelters or refiners are actually in our supply chain.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371" w:lineRule="auto"/>
        <w:rPr>
          <w:sz w:val="20"/>
          <w:szCs w:val="20"/>
          <w:color w:val="auto"/>
        </w:rPr>
      </w:pPr>
      <w:r>
        <w:rPr>
          <w:rFonts w:ascii="Arial" w:cs="Arial" w:eastAsia="Arial" w:hAnsi="Arial"/>
          <w:sz w:val="17"/>
          <w:szCs w:val="17"/>
          <w:color w:val="auto"/>
        </w:rPr>
        <w:t xml:space="preserve">As noted above, we received 68% responses from our in-scope suppliers as of May 24, 2016. Based on these responses, for all responses that indicated a SOR, our third party consultant compared the facilities listed to the list of SORs maintained by the Conflict-Free Sourcing Initiative ("CFSI"). If a supplier indicated that the facility was certified as "Conflict-Free," Assent Compliance confirmed that the name was listed by CFSI as a certified SOR. No violations were identified. As of May 24, 2016, we have validated 304 SORs and we are working to validate the additional SOR entries from the submitted CMRTs.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lists the smelters and refiners that the suppliers we surveyed reported as being in their supply chains. We have not listed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any smelters or refiners that we have not been able to validate.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also includes an aggregated list of the countries of origin from which the reported facilities collectively source conflict minerals, based on information provided by suppliers and CFSI.</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648"/>
        <w:spacing w:after="0" w:line="407" w:lineRule="auto"/>
        <w:rPr>
          <w:sz w:val="20"/>
          <w:szCs w:val="20"/>
          <w:color w:val="auto"/>
        </w:rPr>
      </w:pPr>
      <w:r>
        <w:rPr>
          <w:rFonts w:ascii="Arial" w:cs="Arial" w:eastAsia="Arial" w:hAnsi="Arial"/>
          <w:sz w:val="17"/>
          <w:szCs w:val="17"/>
          <w:color w:val="auto"/>
        </w:rPr>
        <w:t>Based on the smelter lists provided by suppliers via the CMRTs and publically available information, we have identified 213 SORs sourcing from the Covered Countries that are certified conflict-free and 91 SORs of which the source is not disclosed but are certified conflict free smelters.</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Efforts to Determine Mine or Location of Origin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8"/>
          <w:szCs w:val="18"/>
          <w:color w:val="auto"/>
        </w:rPr>
        <w:t>By requesting our suppliers to complete the CMRT, and, as the program progresses, requiring full completion of all necessary smelter identification information which will enable the validation and disclosure of the SORs as well as the tracing of the 3TGs to their location of origin, we have determined that seeking information about 3TG SORs in our supply chain represents the most reasonable effort we can make to determine the mines or locations of origin of the 3TG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Planned Process Improvements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We intend to take the following steps to improve our conflict minerals program: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120" w:hanging="88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Track and add new suppliers as they enter our supply chain to the Company's Conflict Minerals program.</w:t>
      </w:r>
    </w:p>
    <w:p>
      <w:pPr>
        <w:spacing w:after="0" w:line="157" w:lineRule="exact"/>
        <w:rPr>
          <w:rFonts w:ascii="Arial" w:cs="Arial" w:eastAsia="Arial" w:hAnsi="Arial"/>
          <w:sz w:val="18"/>
          <w:szCs w:val="18"/>
          <w:color w:val="auto"/>
        </w:rPr>
      </w:pPr>
    </w:p>
    <w:p>
      <w:pPr>
        <w:ind w:left="1120" w:hanging="881"/>
        <w:spacing w:after="0" w:line="422"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Engage with suppliers and direct them to training resources to attempt to increase the response rate and improve the content of the supplier survey responses.</w:t>
      </w:r>
    </w:p>
    <w:p>
      <w:pPr>
        <w:spacing w:after="0" w:line="1" w:lineRule="exact"/>
        <w:rPr>
          <w:rFonts w:ascii="Arial" w:cs="Arial" w:eastAsia="Arial" w:hAnsi="Arial"/>
          <w:sz w:val="18"/>
          <w:szCs w:val="18"/>
          <w:color w:val="auto"/>
        </w:rPr>
      </w:pPr>
    </w:p>
    <w:p>
      <w:pPr>
        <w:ind w:left="1120" w:right="20" w:hanging="881"/>
        <w:spacing w:after="0" w:line="475"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Engage any of our suppliers found to be supplying us with 3TG from sources in the DRC or any adjoining country that they cannot demonstrate are "DRC conflict free" to establish an alternative source of 3TG that they can demonstrate are "DRC conflict free".</w:t>
      </w:r>
    </w:p>
    <w:p>
      <w:pPr>
        <w:spacing w:after="0" w:line="1" w:lineRule="exact"/>
        <w:rPr>
          <w:rFonts w:ascii="Arial" w:cs="Arial" w:eastAsia="Arial" w:hAnsi="Arial"/>
          <w:sz w:val="16"/>
          <w:szCs w:val="16"/>
          <w:color w:val="auto"/>
        </w:rPr>
      </w:pPr>
    </w:p>
    <w:p>
      <w:pPr>
        <w:ind w:left="1120" w:hanging="88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program to include all other divisions of LivaNova that were previously excluded prior to the merger.</w:t>
      </w:r>
    </w:p>
    <w:p>
      <w:pPr>
        <w:spacing w:after="0" w:line="157" w:lineRule="exact"/>
        <w:rPr>
          <w:rFonts w:ascii="Arial" w:cs="Arial" w:eastAsia="Arial" w:hAnsi="Arial"/>
          <w:sz w:val="18"/>
          <w:szCs w:val="18"/>
          <w:color w:val="auto"/>
        </w:rPr>
      </w:pPr>
    </w:p>
    <w:p>
      <w:pPr>
        <w:ind w:left="1120" w:hanging="881"/>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Adopt Conflict Minerals Policy to address the new LivaNova corporate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358140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6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Appendix A 2016 Smelter or Refiner (SOR) List</w:t>
      </w:r>
    </w:p>
    <w:p>
      <w:pPr>
        <w:spacing w:after="0" w:line="279" w:lineRule="exact"/>
        <w:rPr>
          <w:sz w:val="20"/>
          <w:szCs w:val="20"/>
          <w:color w:val="auto"/>
        </w:rPr>
      </w:pPr>
    </w:p>
    <w:p>
      <w:pPr>
        <w:spacing w:after="0" w:line="376" w:lineRule="auto"/>
        <w:rPr>
          <w:sz w:val="20"/>
          <w:szCs w:val="20"/>
          <w:color w:val="auto"/>
        </w:rPr>
      </w:pPr>
      <w:r>
        <w:rPr>
          <w:rFonts w:ascii="Arial" w:cs="Arial" w:eastAsia="Arial" w:hAnsi="Arial"/>
          <w:sz w:val="18"/>
          <w:szCs w:val="18"/>
          <w:b w:val="1"/>
          <w:bCs w:val="1"/>
          <w:color w:val="auto"/>
        </w:rPr>
        <w:t>The following smelters and refiners were reported by our suppliers as being in their supply chains. Facilities that have been certified as conflict-free by an internationally-recognized validation scheme (CFSI) for 3TG smelters and refiners are identified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Metal</w:t>
            </w:r>
          </w:p>
        </w:tc>
        <w:tc>
          <w:tcPr>
            <w:tcW w:w="524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3160" w:type="dxa"/>
            <w:vAlign w:val="bottom"/>
          </w:tcPr>
          <w:p>
            <w:pPr>
              <w:ind w:left="1260"/>
              <w:spacing w:after="0"/>
              <w:rPr>
                <w:sz w:val="20"/>
                <w:szCs w:val="20"/>
                <w:color w:val="auto"/>
              </w:rPr>
            </w:pPr>
            <w:r>
              <w:rPr>
                <w:rFonts w:ascii="Arial" w:cs="Arial" w:eastAsia="Arial" w:hAnsi="Arial"/>
                <w:sz w:val="18"/>
                <w:szCs w:val="18"/>
                <w:b w:val="1"/>
                <w:bCs w:val="1"/>
                <w:color w:val="auto"/>
              </w:rPr>
              <w:t>Location</w:t>
            </w:r>
          </w:p>
        </w:tc>
        <w:tc>
          <w:tcPr>
            <w:tcW w:w="2080" w:type="dxa"/>
            <w:vAlign w:val="bottom"/>
          </w:tcPr>
          <w:p>
            <w:pPr>
              <w:ind w:left="940"/>
              <w:spacing w:after="0"/>
              <w:rPr>
                <w:sz w:val="20"/>
                <w:szCs w:val="20"/>
                <w:color w:val="auto"/>
              </w:rPr>
            </w:pPr>
            <w:r>
              <w:rPr>
                <w:rFonts w:ascii="Arial" w:cs="Arial" w:eastAsia="Arial" w:hAnsi="Arial"/>
                <w:sz w:val="18"/>
                <w:szCs w:val="18"/>
                <w:b w:val="1"/>
                <w:bCs w:val="1"/>
                <w:color w:val="auto"/>
              </w:rPr>
              <w:t>Conflict Free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Advanced Chemical Company</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Aida Chemical Industries Co., Ltd.</w:t>
            </w:r>
          </w:p>
        </w:tc>
        <w:tc>
          <w:tcPr>
            <w:tcW w:w="3160" w:type="dxa"/>
            <w:vAlign w:val="bottom"/>
          </w:tcPr>
          <w:p>
            <w:pPr>
              <w:ind w:left="1260"/>
              <w:spacing w:after="0"/>
              <w:rPr>
                <w:sz w:val="20"/>
                <w:szCs w:val="20"/>
                <w:color w:val="auto"/>
              </w:rPr>
            </w:pPr>
            <w:r>
              <w:rPr>
                <w:rFonts w:ascii="Arial" w:cs="Arial" w:eastAsia="Arial" w:hAnsi="Arial"/>
                <w:sz w:val="18"/>
                <w:szCs w:val="18"/>
                <w:color w:val="auto"/>
              </w:rPr>
              <w:t>Japan</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Aktyubinsk Copper Company TOO</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Kazakhstan</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Al Etihad Gold Refinery DMCC</w:t>
            </w:r>
          </w:p>
        </w:tc>
        <w:tc>
          <w:tcPr>
            <w:tcW w:w="3160" w:type="dxa"/>
            <w:vAlign w:val="bottom"/>
          </w:tcPr>
          <w:p>
            <w:pPr>
              <w:ind w:left="1260"/>
              <w:spacing w:after="0"/>
              <w:rPr>
                <w:sz w:val="20"/>
                <w:szCs w:val="20"/>
                <w:color w:val="auto"/>
              </w:rPr>
            </w:pPr>
            <w:r>
              <w:rPr>
                <w:rFonts w:ascii="Arial" w:cs="Arial" w:eastAsia="Arial" w:hAnsi="Arial"/>
                <w:sz w:val="18"/>
                <w:szCs w:val="18"/>
                <w:color w:val="auto"/>
              </w:rPr>
              <w:t>U.A.E.</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Allgemeine Gold-und Silberscheideanstalt A.G.</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Germany</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Almalyk Mining and Metallurgical Complex</w:t>
            </w:r>
          </w:p>
        </w:tc>
        <w:tc>
          <w:tcPr>
            <w:tcW w:w="3160" w:type="dxa"/>
            <w:vAlign w:val="bottom"/>
          </w:tcPr>
          <w:p>
            <w:pPr>
              <w:ind w:left="1260"/>
              <w:spacing w:after="0"/>
              <w:rPr>
                <w:sz w:val="20"/>
                <w:szCs w:val="20"/>
                <w:color w:val="auto"/>
              </w:rPr>
            </w:pPr>
            <w:r>
              <w:rPr>
                <w:rFonts w:ascii="Arial" w:cs="Arial" w:eastAsia="Arial" w:hAnsi="Arial"/>
                <w:sz w:val="18"/>
                <w:szCs w:val="18"/>
                <w:color w:val="auto"/>
              </w:rPr>
              <w:t>Uzbekistan</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AngloGold Ashanti Córrego do Sítio Mineração</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Brazil</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Argor-Heraeus SA</w:t>
            </w:r>
          </w:p>
        </w:tc>
        <w:tc>
          <w:tcPr>
            <w:tcW w:w="3160" w:type="dxa"/>
            <w:vAlign w:val="bottom"/>
          </w:tcPr>
          <w:p>
            <w:pPr>
              <w:ind w:left="1260"/>
              <w:spacing w:after="0"/>
              <w:rPr>
                <w:sz w:val="20"/>
                <w:szCs w:val="20"/>
                <w:color w:val="auto"/>
              </w:rPr>
            </w:pPr>
            <w:r>
              <w:rPr>
                <w:rFonts w:ascii="Arial" w:cs="Arial" w:eastAsia="Arial" w:hAnsi="Arial"/>
                <w:sz w:val="18"/>
                <w:szCs w:val="18"/>
                <w:color w:val="auto"/>
              </w:rPr>
              <w:t>Switzerland</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Asahi Pretec Corporation</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Japan</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Asahi Refining Canada Limited</w:t>
            </w:r>
          </w:p>
        </w:tc>
        <w:tc>
          <w:tcPr>
            <w:tcW w:w="3160" w:type="dxa"/>
            <w:vAlign w:val="bottom"/>
          </w:tcPr>
          <w:p>
            <w:pPr>
              <w:ind w:left="1260"/>
              <w:spacing w:after="0"/>
              <w:rPr>
                <w:sz w:val="20"/>
                <w:szCs w:val="20"/>
                <w:color w:val="auto"/>
              </w:rPr>
            </w:pPr>
            <w:r>
              <w:rPr>
                <w:rFonts w:ascii="Arial" w:cs="Arial" w:eastAsia="Arial" w:hAnsi="Arial"/>
                <w:sz w:val="18"/>
                <w:szCs w:val="18"/>
                <w:color w:val="auto"/>
              </w:rPr>
              <w:t>Canada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Asahi Refining USA Inc.</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Asaka Riken Co., Ltd.</w:t>
            </w:r>
          </w:p>
        </w:tc>
        <w:tc>
          <w:tcPr>
            <w:tcW w:w="3160" w:type="dxa"/>
            <w:vAlign w:val="bottom"/>
          </w:tcPr>
          <w:p>
            <w:pPr>
              <w:ind w:left="1260"/>
              <w:spacing w:after="0"/>
              <w:rPr>
                <w:sz w:val="20"/>
                <w:szCs w:val="20"/>
                <w:color w:val="auto"/>
              </w:rPr>
            </w:pPr>
            <w:r>
              <w:rPr>
                <w:rFonts w:ascii="Arial" w:cs="Arial" w:eastAsia="Arial" w:hAnsi="Arial"/>
                <w:sz w:val="18"/>
                <w:szCs w:val="18"/>
                <w:color w:val="auto"/>
              </w:rPr>
              <w:t>Japan</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Atasay Kuyumculuk Sanayi Ve Ticaret A.S.</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Turkey</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Aurubis AG</w:t>
            </w:r>
          </w:p>
        </w:tc>
        <w:tc>
          <w:tcPr>
            <w:tcW w:w="3160" w:type="dxa"/>
            <w:vAlign w:val="bottom"/>
          </w:tcPr>
          <w:p>
            <w:pPr>
              <w:ind w:left="1260"/>
              <w:spacing w:after="0"/>
              <w:rPr>
                <w:sz w:val="20"/>
                <w:szCs w:val="20"/>
                <w:color w:val="auto"/>
              </w:rPr>
            </w:pPr>
            <w:r>
              <w:rPr>
                <w:rFonts w:ascii="Arial" w:cs="Arial" w:eastAsia="Arial" w:hAnsi="Arial"/>
                <w:sz w:val="18"/>
                <w:szCs w:val="18"/>
                <w:color w:val="auto"/>
              </w:rPr>
              <w:t>Germany</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Bangko Sentral ng Pilipinas</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Philippines</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Bauer Walser AG</w:t>
            </w:r>
          </w:p>
        </w:tc>
        <w:tc>
          <w:tcPr>
            <w:tcW w:w="3160" w:type="dxa"/>
            <w:vAlign w:val="bottom"/>
          </w:tcPr>
          <w:p>
            <w:pPr>
              <w:ind w:left="1260"/>
              <w:spacing w:after="0"/>
              <w:rPr>
                <w:sz w:val="20"/>
                <w:szCs w:val="20"/>
                <w:color w:val="auto"/>
              </w:rPr>
            </w:pPr>
            <w:r>
              <w:rPr>
                <w:rFonts w:ascii="Arial" w:cs="Arial" w:eastAsia="Arial" w:hAnsi="Arial"/>
                <w:sz w:val="18"/>
                <w:szCs w:val="18"/>
                <w:color w:val="auto"/>
              </w:rPr>
              <w:t>Germany</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Boliden AB</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Sweden</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C. Hafner GmbH + Co. KG</w:t>
            </w:r>
          </w:p>
        </w:tc>
        <w:tc>
          <w:tcPr>
            <w:tcW w:w="3160" w:type="dxa"/>
            <w:vAlign w:val="bottom"/>
          </w:tcPr>
          <w:p>
            <w:pPr>
              <w:ind w:left="1260"/>
              <w:spacing w:after="0"/>
              <w:rPr>
                <w:sz w:val="20"/>
                <w:szCs w:val="20"/>
                <w:color w:val="auto"/>
              </w:rPr>
            </w:pPr>
            <w:r>
              <w:rPr>
                <w:rFonts w:ascii="Arial" w:cs="Arial" w:eastAsia="Arial" w:hAnsi="Arial"/>
                <w:sz w:val="18"/>
                <w:szCs w:val="18"/>
                <w:color w:val="auto"/>
              </w:rPr>
              <w:t>Germany</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Caridad</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Mexico</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5240" w:type="dxa"/>
            <w:vAlign w:val="bottom"/>
          </w:tcPr>
          <w:p>
            <w:pPr>
              <w:ind w:left="480"/>
              <w:spacing w:after="0"/>
              <w:rPr>
                <w:sz w:val="20"/>
                <w:szCs w:val="20"/>
                <w:color w:val="auto"/>
              </w:rPr>
            </w:pPr>
            <w:r>
              <w:rPr>
                <w:rFonts w:ascii="Arial" w:cs="Arial" w:eastAsia="Arial" w:hAnsi="Arial"/>
                <w:sz w:val="18"/>
                <w:szCs w:val="18"/>
                <w:color w:val="auto"/>
              </w:rPr>
              <w:t>CCR Refinery - Glencore Canada Corporation</w:t>
            </w:r>
          </w:p>
        </w:tc>
        <w:tc>
          <w:tcPr>
            <w:tcW w:w="3160" w:type="dxa"/>
            <w:vAlign w:val="bottom"/>
          </w:tcPr>
          <w:p>
            <w:pPr>
              <w:ind w:left="1260"/>
              <w:spacing w:after="0"/>
              <w:rPr>
                <w:sz w:val="20"/>
                <w:szCs w:val="20"/>
                <w:color w:val="auto"/>
              </w:rPr>
            </w:pPr>
            <w:r>
              <w:rPr>
                <w:rFonts w:ascii="Arial" w:cs="Arial" w:eastAsia="Arial" w:hAnsi="Arial"/>
                <w:sz w:val="18"/>
                <w:szCs w:val="18"/>
                <w:color w:val="auto"/>
              </w:rPr>
              <w:t>Canada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Cendres + Métaux SA</w:t>
            </w:r>
          </w:p>
        </w:tc>
        <w:tc>
          <w:tcPr>
            <w:tcW w:w="316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Switzerland</w:t>
            </w:r>
          </w:p>
        </w:tc>
        <w:tc>
          <w:tcPr>
            <w:tcW w:w="2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21"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Metal</w:t>
            </w:r>
          </w:p>
        </w:tc>
        <w:tc>
          <w:tcPr>
            <w:tcW w:w="622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2400" w:type="dxa"/>
            <w:vAlign w:val="bottom"/>
          </w:tcPr>
          <w:p>
            <w:pPr>
              <w:ind w:left="280"/>
              <w:spacing w:after="0"/>
              <w:rPr>
                <w:sz w:val="20"/>
                <w:szCs w:val="20"/>
                <w:color w:val="auto"/>
              </w:rPr>
            </w:pPr>
            <w:r>
              <w:rPr>
                <w:rFonts w:ascii="Arial" w:cs="Arial" w:eastAsia="Arial" w:hAnsi="Arial"/>
                <w:sz w:val="18"/>
                <w:szCs w:val="18"/>
                <w:b w:val="1"/>
                <w:bCs w:val="1"/>
                <w:color w:val="auto"/>
              </w:rPr>
              <w:t>Location</w:t>
            </w:r>
          </w:p>
        </w:tc>
        <w:tc>
          <w:tcPr>
            <w:tcW w:w="1880" w:type="dxa"/>
            <w:vAlign w:val="bottom"/>
            <w:gridSpan w:val="2"/>
          </w:tcPr>
          <w:p>
            <w:pPr>
              <w:ind w:left="720"/>
              <w:spacing w:after="0"/>
              <w:rPr>
                <w:sz w:val="20"/>
                <w:szCs w:val="20"/>
                <w:color w:val="auto"/>
              </w:rPr>
            </w:pPr>
            <w:r>
              <w:rPr>
                <w:rFonts w:ascii="Arial" w:cs="Arial" w:eastAsia="Arial" w:hAnsi="Arial"/>
                <w:sz w:val="18"/>
                <w:szCs w:val="18"/>
                <w:b w:val="1"/>
                <w:bCs w:val="1"/>
                <w:color w:val="auto"/>
              </w:rPr>
              <w:t>Conflict Free</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9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Chimet S.p.A.</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Italy</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Chugai Mining</w:t>
            </w:r>
          </w:p>
        </w:tc>
        <w:tc>
          <w:tcPr>
            <w:tcW w:w="2400" w:type="dxa"/>
            <w:vAlign w:val="bottom"/>
          </w:tcPr>
          <w:p>
            <w:pPr>
              <w:ind w:left="280"/>
              <w:spacing w:after="0"/>
              <w:rPr>
                <w:sz w:val="20"/>
                <w:szCs w:val="20"/>
                <w:color w:val="auto"/>
              </w:rPr>
            </w:pPr>
            <w:r>
              <w:rPr>
                <w:rFonts w:ascii="Arial" w:cs="Arial" w:eastAsia="Arial" w:hAnsi="Arial"/>
                <w:sz w:val="18"/>
                <w:szCs w:val="18"/>
                <w:color w:val="auto"/>
              </w:rPr>
              <w:t>Japan</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Daejin Indus Co., Ltd.</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Korea, Republic Of</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Daye Non-Ferrous Metals Mining Ltd.</w:t>
            </w:r>
          </w:p>
        </w:tc>
        <w:tc>
          <w:tcPr>
            <w:tcW w:w="2400" w:type="dxa"/>
            <w:vAlign w:val="bottom"/>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Do Sung Corporation</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Korea, Republic Of</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DODUCO GmbH</w:t>
            </w:r>
          </w:p>
        </w:tc>
        <w:tc>
          <w:tcPr>
            <w:tcW w:w="240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Dowa</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Japan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Eco-System Recycling Co., Ltd.</w:t>
            </w:r>
          </w:p>
        </w:tc>
        <w:tc>
          <w:tcPr>
            <w:tcW w:w="2400" w:type="dxa"/>
            <w:vAlign w:val="bottom"/>
          </w:tcPr>
          <w:p>
            <w:pPr>
              <w:ind w:left="28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Elemetal Refining, LLC</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Faggi Enrico S.p.A.</w:t>
            </w:r>
          </w:p>
        </w:tc>
        <w:tc>
          <w:tcPr>
            <w:tcW w:w="2400" w:type="dxa"/>
            <w:vAlign w:val="bottom"/>
          </w:tcPr>
          <w:p>
            <w:pPr>
              <w:ind w:left="280"/>
              <w:spacing w:after="0"/>
              <w:rPr>
                <w:sz w:val="20"/>
                <w:szCs w:val="20"/>
                <w:color w:val="auto"/>
              </w:rPr>
            </w:pPr>
            <w:r>
              <w:rPr>
                <w:rFonts w:ascii="Arial" w:cs="Arial" w:eastAsia="Arial" w:hAnsi="Arial"/>
                <w:sz w:val="18"/>
                <w:szCs w:val="18"/>
                <w:color w:val="auto"/>
              </w:rPr>
              <w:t>Italy</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Fidelity Printers and Refiners Ltd.</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Zimbabwe</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Gansu Seemine Material Hi-Tech Co., Ltd.</w:t>
            </w:r>
          </w:p>
        </w:tc>
        <w:tc>
          <w:tcPr>
            <w:tcW w:w="2400" w:type="dxa"/>
            <w:vAlign w:val="bottom"/>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Geib Refining Corporation</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Great Wall Precious Metals Co., Ltd. of CBPM</w:t>
            </w:r>
          </w:p>
        </w:tc>
        <w:tc>
          <w:tcPr>
            <w:tcW w:w="2400" w:type="dxa"/>
            <w:vAlign w:val="bottom"/>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Guangdong Jinding Gold Limited</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Guoda Safina High-Tech Env. Refinery Co., Ltd.</w:t>
            </w:r>
          </w:p>
        </w:tc>
        <w:tc>
          <w:tcPr>
            <w:tcW w:w="2400" w:type="dxa"/>
            <w:vAlign w:val="bottom"/>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Hangzhou Fuchunjiang Smelting Co., Ltd.</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Heimerle + Meule GmbH</w:t>
            </w:r>
          </w:p>
        </w:tc>
        <w:tc>
          <w:tcPr>
            <w:tcW w:w="240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Heraeus Ltd. Hong Kong</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Heraeus Precious Metals GmbH &amp; Co. KG</w:t>
            </w:r>
          </w:p>
        </w:tc>
        <w:tc>
          <w:tcPr>
            <w:tcW w:w="240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Hunan Chenzhou Mining Co., Ltd.</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Hwasung CJ Co., Ltd.</w:t>
            </w:r>
          </w:p>
        </w:tc>
        <w:tc>
          <w:tcPr>
            <w:tcW w:w="2400" w:type="dxa"/>
            <w:vAlign w:val="bottom"/>
          </w:tcPr>
          <w:p>
            <w:pPr>
              <w:ind w:left="280"/>
              <w:spacing w:after="0"/>
              <w:rPr>
                <w:sz w:val="20"/>
                <w:szCs w:val="20"/>
                <w:color w:val="auto"/>
              </w:rPr>
            </w:pPr>
            <w:r>
              <w:rPr>
                <w:rFonts w:ascii="Arial" w:cs="Arial" w:eastAsia="Arial" w:hAnsi="Arial"/>
                <w:sz w:val="18"/>
                <w:szCs w:val="18"/>
                <w:color w:val="auto"/>
              </w:rPr>
              <w:t>Korea, Republic Of</w:t>
            </w: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Inner Mongolia Qiankun Gold and Silver Refinery Share Company Limited</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Gold</w:t>
            </w:r>
          </w:p>
        </w:tc>
        <w:tc>
          <w:tcPr>
            <w:tcW w:w="6220" w:type="dxa"/>
            <w:vAlign w:val="bottom"/>
          </w:tcPr>
          <w:p>
            <w:pPr>
              <w:ind w:left="480"/>
              <w:spacing w:after="0"/>
              <w:rPr>
                <w:sz w:val="20"/>
                <w:szCs w:val="20"/>
                <w:color w:val="auto"/>
              </w:rPr>
            </w:pPr>
            <w:r>
              <w:rPr>
                <w:rFonts w:ascii="Arial" w:cs="Arial" w:eastAsia="Arial" w:hAnsi="Arial"/>
                <w:sz w:val="18"/>
                <w:szCs w:val="18"/>
                <w:color w:val="auto"/>
              </w:rPr>
              <w:t>Ishifuku Metal Industry Co., Ltd.</w:t>
            </w:r>
          </w:p>
        </w:tc>
        <w:tc>
          <w:tcPr>
            <w:tcW w:w="2400" w:type="dxa"/>
            <w:vAlign w:val="bottom"/>
          </w:tcPr>
          <w:p>
            <w:pPr>
              <w:ind w:left="28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Istanbul Gold Refinery</w:t>
            </w:r>
          </w:p>
        </w:tc>
        <w:tc>
          <w:tcPr>
            <w:tcW w:w="2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Turkey</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62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26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3360" w:type="dxa"/>
            <w:vAlign w:val="bottom"/>
          </w:tcPr>
          <w:p>
            <w:pPr>
              <w:ind w:left="1240"/>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ind w:left="7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Japan Mint</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Japan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Jiangxi Copper Company Limited</w:t>
            </w:r>
          </w:p>
        </w:tc>
        <w:tc>
          <w:tcPr>
            <w:tcW w:w="3360" w:type="dxa"/>
            <w:vAlign w:val="bottom"/>
          </w:tcPr>
          <w:p>
            <w:pPr>
              <w:ind w:left="124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JSC Ekaterinburg Non-Ferrous Metal Proc. Plant</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Russian Federation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JSC Uralelectromed</w:t>
            </w:r>
          </w:p>
        </w:tc>
        <w:tc>
          <w:tcPr>
            <w:tcW w:w="3360" w:type="dxa"/>
            <w:vAlign w:val="bottom"/>
          </w:tcPr>
          <w:p>
            <w:pPr>
              <w:ind w:left="1240"/>
              <w:spacing w:after="0"/>
              <w:rPr>
                <w:sz w:val="20"/>
                <w:szCs w:val="20"/>
                <w:color w:val="auto"/>
              </w:rPr>
            </w:pPr>
            <w:r>
              <w:rPr>
                <w:rFonts w:ascii="Arial" w:cs="Arial" w:eastAsia="Arial" w:hAnsi="Arial"/>
                <w:sz w:val="18"/>
                <w:szCs w:val="18"/>
                <w:color w:val="auto"/>
              </w:rPr>
              <w:t>Russian Federation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JX Nippon Mining &amp; Metals Co., Ltd.</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Japan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Kazakhmys Smelting LLC</w:t>
            </w:r>
          </w:p>
        </w:tc>
        <w:tc>
          <w:tcPr>
            <w:tcW w:w="3360" w:type="dxa"/>
            <w:vAlign w:val="bottom"/>
          </w:tcPr>
          <w:p>
            <w:pPr>
              <w:ind w:left="1240"/>
              <w:spacing w:after="0"/>
              <w:rPr>
                <w:sz w:val="20"/>
                <w:szCs w:val="20"/>
                <w:color w:val="auto"/>
              </w:rPr>
            </w:pPr>
            <w:r>
              <w:rPr>
                <w:rFonts w:ascii="Arial" w:cs="Arial" w:eastAsia="Arial" w:hAnsi="Arial"/>
                <w:sz w:val="18"/>
                <w:szCs w:val="18"/>
                <w:color w:val="auto"/>
              </w:rPr>
              <w:t>Kazakhstan</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Kazzinc</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Kazakhstan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Kennecott Utah Copper LLC</w:t>
            </w:r>
          </w:p>
        </w:tc>
        <w:tc>
          <w:tcPr>
            <w:tcW w:w="3360" w:type="dxa"/>
            <w:vAlign w:val="bottom"/>
          </w:tcPr>
          <w:p>
            <w:pPr>
              <w:ind w:left="1240"/>
              <w:spacing w:after="0"/>
              <w:rPr>
                <w:sz w:val="20"/>
                <w:szCs w:val="20"/>
                <w:color w:val="auto"/>
              </w:rPr>
            </w:pPr>
            <w:r>
              <w:rPr>
                <w:rFonts w:ascii="Arial" w:cs="Arial" w:eastAsia="Arial" w:hAnsi="Arial"/>
                <w:sz w:val="18"/>
                <w:szCs w:val="18"/>
                <w:color w:val="auto"/>
              </w:rPr>
              <w:t>United States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KGHM Polska Miedź Spółka Akcyjna</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Poland</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Kojima Chemicals Co., Ltd.</w:t>
            </w:r>
          </w:p>
        </w:tc>
        <w:tc>
          <w:tcPr>
            <w:tcW w:w="3360" w:type="dxa"/>
            <w:vAlign w:val="bottom"/>
          </w:tcPr>
          <w:p>
            <w:pPr>
              <w:ind w:left="124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Korea Metal Co., Ltd.</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Korea, Republic Of</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Korea Zinc Co. Ltd.</w:t>
            </w:r>
          </w:p>
        </w:tc>
        <w:tc>
          <w:tcPr>
            <w:tcW w:w="3360" w:type="dxa"/>
            <w:vAlign w:val="bottom"/>
          </w:tcPr>
          <w:p>
            <w:pPr>
              <w:ind w:left="1240"/>
              <w:spacing w:after="0"/>
              <w:rPr>
                <w:sz w:val="20"/>
                <w:szCs w:val="20"/>
                <w:color w:val="auto"/>
              </w:rPr>
            </w:pPr>
            <w:r>
              <w:rPr>
                <w:rFonts w:ascii="Arial" w:cs="Arial" w:eastAsia="Arial" w:hAnsi="Arial"/>
                <w:sz w:val="18"/>
                <w:szCs w:val="18"/>
                <w:color w:val="auto"/>
              </w:rPr>
              <w:t>Korea, Republic Of</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Kyrgyzaltyn JSC</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Kyrgyzstan</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L' azurde Company For Jewelry</w:t>
            </w:r>
          </w:p>
        </w:tc>
        <w:tc>
          <w:tcPr>
            <w:tcW w:w="3360" w:type="dxa"/>
            <w:vAlign w:val="bottom"/>
          </w:tcPr>
          <w:p>
            <w:pPr>
              <w:ind w:left="1240"/>
              <w:spacing w:after="0"/>
              <w:rPr>
                <w:sz w:val="20"/>
                <w:szCs w:val="20"/>
                <w:color w:val="auto"/>
              </w:rPr>
            </w:pPr>
            <w:r>
              <w:rPr>
                <w:rFonts w:ascii="Arial" w:cs="Arial" w:eastAsia="Arial" w:hAnsi="Arial"/>
                <w:sz w:val="18"/>
                <w:szCs w:val="18"/>
                <w:color w:val="auto"/>
              </w:rPr>
              <w:t>Saudi Arabia</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Lingbao Gold Company Limited</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Lingbao Jinyuan Tonghui Refinery Co., Ltd.</w:t>
            </w:r>
          </w:p>
        </w:tc>
        <w:tc>
          <w:tcPr>
            <w:tcW w:w="3360" w:type="dxa"/>
            <w:vAlign w:val="bottom"/>
          </w:tcPr>
          <w:p>
            <w:pPr>
              <w:ind w:left="124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LS-NIKKO Copper Inc.</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Korea, Republic Of</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Luoyang Zijin Yinhui Gold Refinery Co., Ltd.</w:t>
            </w:r>
          </w:p>
        </w:tc>
        <w:tc>
          <w:tcPr>
            <w:tcW w:w="3360" w:type="dxa"/>
            <w:vAlign w:val="bottom"/>
          </w:tcPr>
          <w:p>
            <w:pPr>
              <w:ind w:left="124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Materion</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Matsuda Sangyo Co., Ltd.</w:t>
            </w:r>
          </w:p>
        </w:tc>
        <w:tc>
          <w:tcPr>
            <w:tcW w:w="3360" w:type="dxa"/>
            <w:vAlign w:val="bottom"/>
          </w:tcPr>
          <w:p>
            <w:pPr>
              <w:ind w:left="124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Metahub Industries Sdn. Bhd.</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Malaysia</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Metalor Technologies (Hong Kong) Ltd.</w:t>
            </w:r>
          </w:p>
        </w:tc>
        <w:tc>
          <w:tcPr>
            <w:tcW w:w="3360" w:type="dxa"/>
            <w:vAlign w:val="bottom"/>
          </w:tcPr>
          <w:p>
            <w:pPr>
              <w:ind w:left="124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Metalor Technologies (Singapore) Pte., Ltd.</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Singapore</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260" w:type="dxa"/>
            <w:vAlign w:val="bottom"/>
          </w:tcPr>
          <w:p>
            <w:pPr>
              <w:ind w:left="480"/>
              <w:spacing w:after="0"/>
              <w:rPr>
                <w:sz w:val="20"/>
                <w:szCs w:val="20"/>
                <w:color w:val="auto"/>
              </w:rPr>
            </w:pPr>
            <w:r>
              <w:rPr>
                <w:rFonts w:ascii="Arial" w:cs="Arial" w:eastAsia="Arial" w:hAnsi="Arial"/>
                <w:sz w:val="18"/>
                <w:szCs w:val="18"/>
                <w:color w:val="auto"/>
              </w:rPr>
              <w:t>Metalor Technologies (Suzhou) Ltd.</w:t>
            </w:r>
          </w:p>
        </w:tc>
        <w:tc>
          <w:tcPr>
            <w:tcW w:w="3360" w:type="dxa"/>
            <w:vAlign w:val="bottom"/>
          </w:tcPr>
          <w:p>
            <w:pPr>
              <w:ind w:left="124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2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Metalor Technologies SA</w:t>
            </w:r>
          </w:p>
        </w:tc>
        <w:tc>
          <w:tcPr>
            <w:tcW w:w="336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Switzerland</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183"/>
        </w:trPr>
        <w:tc>
          <w:tcPr>
            <w:tcW w:w="940" w:type="dxa"/>
            <w:vAlign w:val="bottom"/>
            <w:tcBorders>
              <w:bottom w:val="single" w:sz="8" w:color="auto"/>
            </w:tcBorders>
          </w:tcPr>
          <w:p>
            <w:pPr>
              <w:spacing w:after="0"/>
              <w:rPr>
                <w:sz w:val="15"/>
                <w:szCs w:val="15"/>
                <w:color w:val="auto"/>
              </w:rPr>
            </w:pPr>
          </w:p>
        </w:tc>
        <w:tc>
          <w:tcPr>
            <w:tcW w:w="52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78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2840" w:type="dxa"/>
            <w:vAlign w:val="bottom"/>
          </w:tcPr>
          <w:p>
            <w:pPr>
              <w:ind w:left="720"/>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ind w:left="7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Metalor USA Refining Corporation</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METALÚRGICA MET-MEX PEÑOLES, S.A. DE C.V</w:t>
            </w:r>
          </w:p>
        </w:tc>
        <w:tc>
          <w:tcPr>
            <w:tcW w:w="2840" w:type="dxa"/>
            <w:vAlign w:val="bottom"/>
          </w:tcPr>
          <w:p>
            <w:pPr>
              <w:ind w:left="720"/>
              <w:spacing w:after="0"/>
              <w:rPr>
                <w:sz w:val="20"/>
                <w:szCs w:val="20"/>
                <w:color w:val="auto"/>
              </w:rPr>
            </w:pPr>
            <w:r>
              <w:rPr>
                <w:rFonts w:ascii="Arial" w:cs="Arial" w:eastAsia="Arial" w:hAnsi="Arial"/>
                <w:sz w:val="18"/>
                <w:szCs w:val="18"/>
                <w:color w:val="auto"/>
              </w:rPr>
              <w:t>Mexico</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Mitsubishi Materials Corporation</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Japan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Mitsui Mining and Smelting Co., Ltd.</w:t>
            </w:r>
          </w:p>
        </w:tc>
        <w:tc>
          <w:tcPr>
            <w:tcW w:w="2840" w:type="dxa"/>
            <w:vAlign w:val="bottom"/>
          </w:tcPr>
          <w:p>
            <w:pPr>
              <w:ind w:left="72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MMTC-PAMP India Pvt., Ltd.</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India</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Morris and Watson</w:t>
            </w:r>
          </w:p>
        </w:tc>
        <w:tc>
          <w:tcPr>
            <w:tcW w:w="2840" w:type="dxa"/>
            <w:vAlign w:val="bottom"/>
          </w:tcPr>
          <w:p>
            <w:pPr>
              <w:ind w:left="720"/>
              <w:spacing w:after="0"/>
              <w:rPr>
                <w:sz w:val="20"/>
                <w:szCs w:val="20"/>
                <w:color w:val="auto"/>
              </w:rPr>
            </w:pPr>
            <w:r>
              <w:rPr>
                <w:rFonts w:ascii="Arial" w:cs="Arial" w:eastAsia="Arial" w:hAnsi="Arial"/>
                <w:sz w:val="18"/>
                <w:szCs w:val="18"/>
                <w:color w:val="auto"/>
              </w:rPr>
              <w:t>New Zealand</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Moscow Special Alloys Processing Plant</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Russian Federation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Nadir Metal Rafineri San. Ve Tic. A.Ş.</w:t>
            </w:r>
          </w:p>
        </w:tc>
        <w:tc>
          <w:tcPr>
            <w:tcW w:w="2840" w:type="dxa"/>
            <w:vAlign w:val="bottom"/>
          </w:tcPr>
          <w:p>
            <w:pPr>
              <w:ind w:left="720"/>
              <w:spacing w:after="0"/>
              <w:rPr>
                <w:sz w:val="20"/>
                <w:szCs w:val="20"/>
                <w:color w:val="auto"/>
              </w:rPr>
            </w:pPr>
            <w:r>
              <w:rPr>
                <w:rFonts w:ascii="Arial" w:cs="Arial" w:eastAsia="Arial" w:hAnsi="Arial"/>
                <w:sz w:val="18"/>
                <w:szCs w:val="18"/>
                <w:color w:val="auto"/>
              </w:rPr>
              <w:t>Turkey</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Navoi Mining and Metallurgical Combinat</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Uzbekistan</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Nihon Material Co., Ltd.</w:t>
            </w:r>
          </w:p>
        </w:tc>
        <w:tc>
          <w:tcPr>
            <w:tcW w:w="2840" w:type="dxa"/>
            <w:vAlign w:val="bottom"/>
          </w:tcPr>
          <w:p>
            <w:pPr>
              <w:ind w:left="72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Ögussa Österreichische Gold- und Silber-Scheideanstalt GmbH</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Austria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Ohura Precious Metal Industry Co., Ltd.</w:t>
            </w:r>
          </w:p>
        </w:tc>
        <w:tc>
          <w:tcPr>
            <w:tcW w:w="2840" w:type="dxa"/>
            <w:vAlign w:val="bottom"/>
          </w:tcPr>
          <w:p>
            <w:pPr>
              <w:ind w:left="72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8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OJSC "The Gulidov Krasnoyarsk Non-Ferrous Metals Plant" (OJSC Krastsvetmet) Russian Federation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OJSC Kolyma Refinery</w:t>
            </w:r>
          </w:p>
        </w:tc>
        <w:tc>
          <w:tcPr>
            <w:tcW w:w="2840" w:type="dxa"/>
            <w:vAlign w:val="bottom"/>
          </w:tcPr>
          <w:p>
            <w:pPr>
              <w:ind w:left="720"/>
              <w:spacing w:after="0"/>
              <w:rPr>
                <w:sz w:val="20"/>
                <w:szCs w:val="20"/>
                <w:color w:val="auto"/>
              </w:rPr>
            </w:pPr>
            <w:r>
              <w:rPr>
                <w:rFonts w:ascii="Arial" w:cs="Arial" w:eastAsia="Arial" w:hAnsi="Arial"/>
                <w:sz w:val="18"/>
                <w:szCs w:val="18"/>
                <w:color w:val="auto"/>
              </w:rPr>
              <w:t>Russian Federation</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OJSC Novosibirsk Refinery</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Russian Federation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PAMP SA</w:t>
            </w:r>
          </w:p>
        </w:tc>
        <w:tc>
          <w:tcPr>
            <w:tcW w:w="2840" w:type="dxa"/>
            <w:vAlign w:val="bottom"/>
          </w:tcPr>
          <w:p>
            <w:pPr>
              <w:ind w:left="720"/>
              <w:spacing w:after="0"/>
              <w:rPr>
                <w:sz w:val="20"/>
                <w:szCs w:val="20"/>
                <w:color w:val="auto"/>
              </w:rPr>
            </w:pPr>
            <w:r>
              <w:rPr>
                <w:rFonts w:ascii="Arial" w:cs="Arial" w:eastAsia="Arial" w:hAnsi="Arial"/>
                <w:sz w:val="18"/>
                <w:szCs w:val="18"/>
                <w:color w:val="auto"/>
              </w:rPr>
              <w:t>Switzerland</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Penglai Penggang Gold Industry Co., Ltd.</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Prioksky Plant of Non-Ferrous Metals</w:t>
            </w:r>
          </w:p>
        </w:tc>
        <w:tc>
          <w:tcPr>
            <w:tcW w:w="2840" w:type="dxa"/>
            <w:vAlign w:val="bottom"/>
          </w:tcPr>
          <w:p>
            <w:pPr>
              <w:ind w:left="720"/>
              <w:spacing w:after="0"/>
              <w:rPr>
                <w:sz w:val="20"/>
                <w:szCs w:val="20"/>
                <w:color w:val="auto"/>
              </w:rPr>
            </w:pPr>
            <w:r>
              <w:rPr>
                <w:rFonts w:ascii="Arial" w:cs="Arial" w:eastAsia="Arial" w:hAnsi="Arial"/>
                <w:sz w:val="18"/>
                <w:szCs w:val="18"/>
                <w:color w:val="auto"/>
              </w:rPr>
              <w:t>Russian Federation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Aneka Tambang (Persero) Tbk</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Indonesia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PX Précinox SA</w:t>
            </w:r>
          </w:p>
        </w:tc>
        <w:tc>
          <w:tcPr>
            <w:tcW w:w="2840" w:type="dxa"/>
            <w:vAlign w:val="bottom"/>
          </w:tcPr>
          <w:p>
            <w:pPr>
              <w:ind w:left="720"/>
              <w:spacing w:after="0"/>
              <w:rPr>
                <w:sz w:val="20"/>
                <w:szCs w:val="20"/>
                <w:color w:val="auto"/>
              </w:rPr>
            </w:pPr>
            <w:r>
              <w:rPr>
                <w:rFonts w:ascii="Arial" w:cs="Arial" w:eastAsia="Arial" w:hAnsi="Arial"/>
                <w:sz w:val="18"/>
                <w:szCs w:val="18"/>
                <w:color w:val="auto"/>
              </w:rPr>
              <w:t>Switzerland</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Rand Refinery (Pty) Ltd.</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South Africa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Republic Metals Corporation</w:t>
            </w:r>
          </w:p>
        </w:tc>
        <w:tc>
          <w:tcPr>
            <w:tcW w:w="284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Royal Canadian Mint</w:t>
            </w:r>
          </w:p>
        </w:tc>
        <w:tc>
          <w:tcPr>
            <w:tcW w:w="28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Canada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780" w:type="dxa"/>
            <w:vAlign w:val="bottom"/>
          </w:tcPr>
          <w:p>
            <w:pPr>
              <w:ind w:left="480"/>
              <w:spacing w:after="0"/>
              <w:rPr>
                <w:sz w:val="20"/>
                <w:szCs w:val="20"/>
                <w:color w:val="auto"/>
              </w:rPr>
            </w:pPr>
            <w:r>
              <w:rPr>
                <w:rFonts w:ascii="Arial" w:cs="Arial" w:eastAsia="Arial" w:hAnsi="Arial"/>
                <w:sz w:val="18"/>
                <w:szCs w:val="18"/>
                <w:color w:val="auto"/>
              </w:rPr>
              <w:t>Sabin Metal Corp.</w:t>
            </w:r>
          </w:p>
        </w:tc>
        <w:tc>
          <w:tcPr>
            <w:tcW w:w="284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1860" w:type="dxa"/>
            <w:vAlign w:val="bottom"/>
          </w:tcPr>
          <w:p>
            <w:pPr>
              <w:spacing w:after="0"/>
              <w:rPr>
                <w:sz w:val="20"/>
                <w:szCs w:val="20"/>
                <w:color w:val="auto"/>
              </w:rPr>
            </w:pPr>
          </w:p>
        </w:tc>
      </w:tr>
      <w:tr>
        <w:trPr>
          <w:trHeight w:val="168"/>
        </w:trPr>
        <w:tc>
          <w:tcPr>
            <w:tcW w:w="940" w:type="dxa"/>
            <w:vAlign w:val="bottom"/>
            <w:tcBorders>
              <w:bottom w:val="single" w:sz="8" w:color="auto"/>
            </w:tcBorders>
          </w:tcPr>
          <w:p>
            <w:pPr>
              <w:spacing w:after="0"/>
              <w:rPr>
                <w:sz w:val="14"/>
                <w:szCs w:val="14"/>
                <w:color w:val="auto"/>
              </w:rPr>
            </w:pPr>
          </w:p>
        </w:tc>
        <w:tc>
          <w:tcPr>
            <w:tcW w:w="57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37" w:right="2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56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3060" w:type="dxa"/>
            <w:vAlign w:val="bottom"/>
          </w:tcPr>
          <w:p>
            <w:pPr>
              <w:ind w:left="940"/>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ind w:left="7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Samduck Precious Metals</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Korea, Republic Of</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SAMWON Metals Corp.</w:t>
            </w:r>
          </w:p>
        </w:tc>
        <w:tc>
          <w:tcPr>
            <w:tcW w:w="3060" w:type="dxa"/>
            <w:vAlign w:val="bottom"/>
          </w:tcPr>
          <w:p>
            <w:pPr>
              <w:ind w:left="940"/>
              <w:spacing w:after="0"/>
              <w:rPr>
                <w:sz w:val="20"/>
                <w:szCs w:val="20"/>
                <w:color w:val="auto"/>
              </w:rPr>
            </w:pPr>
            <w:r>
              <w:rPr>
                <w:rFonts w:ascii="Arial" w:cs="Arial" w:eastAsia="Arial" w:hAnsi="Arial"/>
                <w:sz w:val="18"/>
                <w:szCs w:val="18"/>
                <w:color w:val="auto"/>
              </w:rPr>
              <w:t>Korea, Republic Of</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SAXONIA Edelmetalle GmbH</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Germany</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Schone Edelmetaal B.V.</w:t>
            </w:r>
          </w:p>
        </w:tc>
        <w:tc>
          <w:tcPr>
            <w:tcW w:w="3060" w:type="dxa"/>
            <w:vAlign w:val="bottom"/>
          </w:tcPr>
          <w:p>
            <w:pPr>
              <w:ind w:left="940"/>
              <w:spacing w:after="0"/>
              <w:rPr>
                <w:sz w:val="20"/>
                <w:szCs w:val="20"/>
                <w:color w:val="auto"/>
              </w:rPr>
            </w:pPr>
            <w:r>
              <w:rPr>
                <w:rFonts w:ascii="Arial" w:cs="Arial" w:eastAsia="Arial" w:hAnsi="Arial"/>
                <w:sz w:val="18"/>
                <w:szCs w:val="18"/>
                <w:color w:val="auto"/>
              </w:rPr>
              <w:t>Netherlands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SEMPSA Joyería Platería SA</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Spain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Shandong Tiancheng Biological Gold Ind. Co., Ltd.</w:t>
            </w:r>
          </w:p>
        </w:tc>
        <w:tc>
          <w:tcPr>
            <w:tcW w:w="3060" w:type="dxa"/>
            <w:vAlign w:val="bottom"/>
          </w:tcPr>
          <w:p>
            <w:pPr>
              <w:ind w:left="94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Shandong Zhaojin Gold &amp; Silver Refinery Co., Ltd.</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Sichuan Tianze Precious Metals Co., Ltd.</w:t>
            </w:r>
          </w:p>
        </w:tc>
        <w:tc>
          <w:tcPr>
            <w:tcW w:w="3060" w:type="dxa"/>
            <w:vAlign w:val="bottom"/>
          </w:tcPr>
          <w:p>
            <w:pPr>
              <w:ind w:left="94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Singway Technology Co., Ltd.</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Taiwan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So Accurate Group, Inc.</w:t>
            </w:r>
          </w:p>
        </w:tc>
        <w:tc>
          <w:tcPr>
            <w:tcW w:w="306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SOE Shyolkovsky Factory of Secondary Precious Metals</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Russian Federation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Solar Applied Materials Technology Corp.</w:t>
            </w:r>
          </w:p>
        </w:tc>
        <w:tc>
          <w:tcPr>
            <w:tcW w:w="3060" w:type="dxa"/>
            <w:vAlign w:val="bottom"/>
          </w:tcPr>
          <w:p>
            <w:pPr>
              <w:ind w:left="940"/>
              <w:spacing w:after="0"/>
              <w:rPr>
                <w:sz w:val="20"/>
                <w:szCs w:val="20"/>
                <w:color w:val="auto"/>
              </w:rPr>
            </w:pPr>
            <w:r>
              <w:rPr>
                <w:rFonts w:ascii="Arial" w:cs="Arial" w:eastAsia="Arial" w:hAnsi="Arial"/>
                <w:sz w:val="18"/>
                <w:szCs w:val="18"/>
                <w:color w:val="auto"/>
              </w:rPr>
              <w:t>Taiwan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Sudan Gold Refinery</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Sudan</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Sumitomo Metal Mining Co., Ltd.</w:t>
            </w:r>
          </w:p>
        </w:tc>
        <w:tc>
          <w:tcPr>
            <w:tcW w:w="3060" w:type="dxa"/>
            <w:vAlign w:val="bottom"/>
          </w:tcPr>
          <w:p>
            <w:pPr>
              <w:ind w:left="94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T.C.A S.p.A</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Italy</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Tanaka Kikinzoku Kogyo K.K.</w:t>
            </w:r>
          </w:p>
        </w:tc>
        <w:tc>
          <w:tcPr>
            <w:tcW w:w="3060" w:type="dxa"/>
            <w:vAlign w:val="bottom"/>
          </w:tcPr>
          <w:p>
            <w:pPr>
              <w:ind w:left="94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Refinery of Shandong Gold Mining Co., Ltd.</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Tokuriki Honten Co., Ltd.</w:t>
            </w:r>
          </w:p>
        </w:tc>
        <w:tc>
          <w:tcPr>
            <w:tcW w:w="3060" w:type="dxa"/>
            <w:vAlign w:val="bottom"/>
          </w:tcPr>
          <w:p>
            <w:pPr>
              <w:ind w:left="94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Tongling Nonferrous Metals Group Co., Ltd.</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Torecom</w:t>
            </w:r>
          </w:p>
        </w:tc>
        <w:tc>
          <w:tcPr>
            <w:tcW w:w="3060" w:type="dxa"/>
            <w:vAlign w:val="bottom"/>
          </w:tcPr>
          <w:p>
            <w:pPr>
              <w:ind w:left="940"/>
              <w:spacing w:after="0"/>
              <w:rPr>
                <w:sz w:val="20"/>
                <w:szCs w:val="20"/>
                <w:color w:val="auto"/>
              </w:rPr>
            </w:pPr>
            <w:r>
              <w:rPr>
                <w:rFonts w:ascii="Arial" w:cs="Arial" w:eastAsia="Arial" w:hAnsi="Arial"/>
                <w:sz w:val="18"/>
                <w:szCs w:val="18"/>
                <w:color w:val="auto"/>
              </w:rPr>
              <w:t>Korea, Republic Of</w:t>
            </w:r>
          </w:p>
        </w:tc>
        <w:tc>
          <w:tcPr>
            <w:tcW w:w="186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Umicore Brasil Ltda.</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Brazil</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Umicore Precious Metals Thailand</w:t>
            </w:r>
          </w:p>
        </w:tc>
        <w:tc>
          <w:tcPr>
            <w:tcW w:w="3060" w:type="dxa"/>
            <w:vAlign w:val="bottom"/>
          </w:tcPr>
          <w:p>
            <w:pPr>
              <w:ind w:left="940"/>
              <w:spacing w:after="0"/>
              <w:rPr>
                <w:sz w:val="20"/>
                <w:szCs w:val="20"/>
                <w:color w:val="auto"/>
              </w:rPr>
            </w:pPr>
            <w:r>
              <w:rPr>
                <w:rFonts w:ascii="Arial" w:cs="Arial" w:eastAsia="Arial" w:hAnsi="Arial"/>
                <w:sz w:val="18"/>
                <w:szCs w:val="18"/>
                <w:color w:val="auto"/>
              </w:rPr>
              <w:t>Thailand</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Umicore SA Bus. Unit Precious Metals Refining</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Belgium</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Gold</w:t>
            </w:r>
          </w:p>
        </w:tc>
        <w:tc>
          <w:tcPr>
            <w:tcW w:w="5560" w:type="dxa"/>
            <w:vAlign w:val="bottom"/>
          </w:tcPr>
          <w:p>
            <w:pPr>
              <w:ind w:left="480"/>
              <w:spacing w:after="0"/>
              <w:rPr>
                <w:sz w:val="20"/>
                <w:szCs w:val="20"/>
                <w:color w:val="auto"/>
              </w:rPr>
            </w:pPr>
            <w:r>
              <w:rPr>
                <w:rFonts w:ascii="Arial" w:cs="Arial" w:eastAsia="Arial" w:hAnsi="Arial"/>
                <w:sz w:val="18"/>
                <w:szCs w:val="18"/>
                <w:color w:val="auto"/>
              </w:rPr>
              <w:t>United Precious Metal Refining, Inc.</w:t>
            </w:r>
          </w:p>
        </w:tc>
        <w:tc>
          <w:tcPr>
            <w:tcW w:w="3060" w:type="dxa"/>
            <w:vAlign w:val="bottom"/>
          </w:tcPr>
          <w:p>
            <w:pPr>
              <w:ind w:left="940"/>
              <w:spacing w:after="0"/>
              <w:rPr>
                <w:sz w:val="20"/>
                <w:szCs w:val="20"/>
                <w:color w:val="auto"/>
              </w:rPr>
            </w:pPr>
            <w:r>
              <w:rPr>
                <w:rFonts w:ascii="Arial" w:cs="Arial" w:eastAsia="Arial" w:hAnsi="Arial"/>
                <w:sz w:val="18"/>
                <w:szCs w:val="18"/>
                <w:color w:val="auto"/>
              </w:rPr>
              <w:t>United States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Valcambi SA</w:t>
            </w:r>
          </w:p>
        </w:tc>
        <w:tc>
          <w:tcPr>
            <w:tcW w:w="3060" w:type="dxa"/>
            <w:vAlign w:val="bottom"/>
            <w:shd w:val="clear" w:color="auto" w:fill="CCEEFF"/>
          </w:tcPr>
          <w:p>
            <w:pPr>
              <w:ind w:left="940"/>
              <w:spacing w:after="0"/>
              <w:rPr>
                <w:sz w:val="20"/>
                <w:szCs w:val="20"/>
                <w:color w:val="auto"/>
              </w:rPr>
            </w:pPr>
            <w:r>
              <w:rPr>
                <w:rFonts w:ascii="Arial" w:cs="Arial" w:eastAsia="Arial" w:hAnsi="Arial"/>
                <w:sz w:val="18"/>
                <w:szCs w:val="18"/>
                <w:color w:val="auto"/>
              </w:rPr>
              <w:t>Switzerland</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183"/>
        </w:trPr>
        <w:tc>
          <w:tcPr>
            <w:tcW w:w="94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420" w:type="dxa"/>
            <w:vAlign w:val="bottom"/>
          </w:tcPr>
          <w:p>
            <w:pPr>
              <w:ind w:left="360"/>
              <w:spacing w:after="0"/>
              <w:rPr>
                <w:sz w:val="20"/>
                <w:szCs w:val="20"/>
                <w:color w:val="auto"/>
              </w:rPr>
            </w:pPr>
            <w:r>
              <w:rPr>
                <w:rFonts w:ascii="Arial" w:cs="Arial" w:eastAsia="Arial" w:hAnsi="Arial"/>
                <w:sz w:val="18"/>
                <w:szCs w:val="18"/>
                <w:b w:val="1"/>
                <w:bCs w:val="1"/>
                <w:color w:val="auto"/>
              </w:rPr>
              <w:t>Smelter/Refiner Name</w:t>
            </w:r>
          </w:p>
        </w:tc>
        <w:tc>
          <w:tcPr>
            <w:tcW w:w="2980" w:type="dxa"/>
            <w:vAlign w:val="bottom"/>
          </w:tcPr>
          <w:p>
            <w:pPr>
              <w:ind w:left="960"/>
              <w:spacing w:after="0"/>
              <w:rPr>
                <w:sz w:val="20"/>
                <w:szCs w:val="20"/>
                <w:color w:val="auto"/>
              </w:rPr>
            </w:pPr>
            <w:r>
              <w:rPr>
                <w:rFonts w:ascii="Arial" w:cs="Arial" w:eastAsia="Arial" w:hAnsi="Arial"/>
                <w:sz w:val="18"/>
                <w:szCs w:val="18"/>
                <w:b w:val="1"/>
                <w:bCs w:val="1"/>
                <w:color w:val="auto"/>
              </w:rPr>
              <w:t>Location</w:t>
            </w:r>
          </w:p>
        </w:tc>
        <w:tc>
          <w:tcPr>
            <w:tcW w:w="1960" w:type="dxa"/>
            <w:vAlign w:val="bottom"/>
          </w:tcPr>
          <w:p>
            <w:pPr>
              <w:ind w:left="8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Western Australian Mint trading as The Perth Mint</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Australia</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Gold</w:t>
            </w:r>
          </w:p>
        </w:tc>
        <w:tc>
          <w:tcPr>
            <w:tcW w:w="5420" w:type="dxa"/>
            <w:vAlign w:val="bottom"/>
          </w:tcPr>
          <w:p>
            <w:pPr>
              <w:ind w:left="360"/>
              <w:spacing w:after="0"/>
              <w:rPr>
                <w:sz w:val="20"/>
                <w:szCs w:val="20"/>
                <w:color w:val="auto"/>
              </w:rPr>
            </w:pPr>
            <w:r>
              <w:rPr>
                <w:rFonts w:ascii="Arial" w:cs="Arial" w:eastAsia="Arial" w:hAnsi="Arial"/>
                <w:sz w:val="18"/>
                <w:szCs w:val="18"/>
                <w:color w:val="auto"/>
              </w:rPr>
              <w:t>WIELAND Edelmetalle GmbH</w:t>
            </w:r>
          </w:p>
        </w:tc>
        <w:tc>
          <w:tcPr>
            <w:tcW w:w="2980" w:type="dxa"/>
            <w:vAlign w:val="bottom"/>
          </w:tcPr>
          <w:p>
            <w:pPr>
              <w:ind w:left="960"/>
              <w:spacing w:after="0"/>
              <w:rPr>
                <w:sz w:val="20"/>
                <w:szCs w:val="20"/>
                <w:color w:val="auto"/>
              </w:rPr>
            </w:pPr>
            <w:r>
              <w:rPr>
                <w:rFonts w:ascii="Arial" w:cs="Arial" w:eastAsia="Arial" w:hAnsi="Arial"/>
                <w:sz w:val="18"/>
                <w:szCs w:val="18"/>
                <w:color w:val="auto"/>
              </w:rPr>
              <w:t>Germany</w:t>
            </w:r>
          </w:p>
        </w:tc>
        <w:tc>
          <w:tcPr>
            <w:tcW w:w="196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Yamamoto Precious Metal Co., Ltd.</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Japan</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Gold</w:t>
            </w:r>
          </w:p>
        </w:tc>
        <w:tc>
          <w:tcPr>
            <w:tcW w:w="5420" w:type="dxa"/>
            <w:vAlign w:val="bottom"/>
          </w:tcPr>
          <w:p>
            <w:pPr>
              <w:ind w:left="360"/>
              <w:spacing w:after="0"/>
              <w:rPr>
                <w:sz w:val="20"/>
                <w:szCs w:val="20"/>
                <w:color w:val="auto"/>
              </w:rPr>
            </w:pPr>
            <w:r>
              <w:rPr>
                <w:rFonts w:ascii="Arial" w:cs="Arial" w:eastAsia="Arial" w:hAnsi="Arial"/>
                <w:sz w:val="18"/>
                <w:szCs w:val="18"/>
                <w:color w:val="auto"/>
              </w:rPr>
              <w:t>Yokohama Metal Co., Ltd.</w:t>
            </w:r>
          </w:p>
        </w:tc>
        <w:tc>
          <w:tcPr>
            <w:tcW w:w="2980" w:type="dxa"/>
            <w:vAlign w:val="bottom"/>
          </w:tcPr>
          <w:p>
            <w:pPr>
              <w:ind w:left="960"/>
              <w:spacing w:after="0"/>
              <w:rPr>
                <w:sz w:val="20"/>
                <w:szCs w:val="20"/>
                <w:color w:val="auto"/>
              </w:rPr>
            </w:pPr>
            <w:r>
              <w:rPr>
                <w:rFonts w:ascii="Arial" w:cs="Arial" w:eastAsia="Arial" w:hAnsi="Arial"/>
                <w:sz w:val="18"/>
                <w:szCs w:val="18"/>
                <w:color w:val="auto"/>
              </w:rPr>
              <w:t>Japan</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Yunnan Copper Industry Co., Ltd.</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Gold</w:t>
            </w:r>
          </w:p>
        </w:tc>
        <w:tc>
          <w:tcPr>
            <w:tcW w:w="5420" w:type="dxa"/>
            <w:vAlign w:val="bottom"/>
          </w:tcPr>
          <w:p>
            <w:pPr>
              <w:ind w:left="360"/>
              <w:spacing w:after="0"/>
              <w:rPr>
                <w:sz w:val="20"/>
                <w:szCs w:val="20"/>
                <w:color w:val="auto"/>
              </w:rPr>
            </w:pPr>
            <w:r>
              <w:rPr>
                <w:rFonts w:ascii="Arial" w:cs="Arial" w:eastAsia="Arial" w:hAnsi="Arial"/>
                <w:sz w:val="18"/>
                <w:szCs w:val="18"/>
                <w:color w:val="auto"/>
              </w:rPr>
              <w:t>Zhongyuan Gold Smelter of Zhongjin Gold Corp.</w:t>
            </w:r>
          </w:p>
        </w:tc>
        <w:tc>
          <w:tcPr>
            <w:tcW w:w="2980" w:type="dxa"/>
            <w:vAlign w:val="bottom"/>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Zijin Mining Group Co., Ltd. Gold Refinery</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Avon Specialty Metals Ltd</w:t>
            </w:r>
          </w:p>
        </w:tc>
        <w:tc>
          <w:tcPr>
            <w:tcW w:w="2980" w:type="dxa"/>
            <w:vAlign w:val="bottom"/>
          </w:tcPr>
          <w:p>
            <w:pPr>
              <w:ind w:left="960"/>
              <w:spacing w:after="0"/>
              <w:rPr>
                <w:sz w:val="20"/>
                <w:szCs w:val="20"/>
                <w:color w:val="auto"/>
              </w:rPr>
            </w:pPr>
            <w:r>
              <w:rPr>
                <w:rFonts w:ascii="Arial" w:cs="Arial" w:eastAsia="Arial" w:hAnsi="Arial"/>
                <w:sz w:val="18"/>
                <w:szCs w:val="18"/>
                <w:color w:val="auto"/>
              </w:rPr>
              <w:t>United Kingdom</w:t>
            </w:r>
          </w:p>
        </w:tc>
        <w:tc>
          <w:tcPr>
            <w:tcW w:w="196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Changsha So. Tantalum Niobium Co., Ltd.</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Conghua Tantalum and Niobium Smeltry</w:t>
            </w:r>
          </w:p>
        </w:tc>
        <w:tc>
          <w:tcPr>
            <w:tcW w:w="2980" w:type="dxa"/>
            <w:vAlign w:val="bottom"/>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 Block Metals, LLC</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States</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Duoluoshan</w:t>
            </w:r>
          </w:p>
        </w:tc>
        <w:tc>
          <w:tcPr>
            <w:tcW w:w="2980" w:type="dxa"/>
            <w:vAlign w:val="bottom"/>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Exotech Inc.</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States</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F&amp;X Electro-Materials Ltd.</w:t>
            </w:r>
          </w:p>
        </w:tc>
        <w:tc>
          <w:tcPr>
            <w:tcW w:w="2980" w:type="dxa"/>
            <w:vAlign w:val="bottom"/>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 Metals &amp; Resource Ltd.</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Global Advanced Metals Aizu</w:t>
            </w:r>
          </w:p>
        </w:tc>
        <w:tc>
          <w:tcPr>
            <w:tcW w:w="2980" w:type="dxa"/>
            <w:vAlign w:val="bottom"/>
          </w:tcPr>
          <w:p>
            <w:pPr>
              <w:ind w:left="960"/>
              <w:spacing w:after="0"/>
              <w:rPr>
                <w:sz w:val="20"/>
                <w:szCs w:val="20"/>
                <w:color w:val="auto"/>
              </w:rPr>
            </w:pPr>
            <w:r>
              <w:rPr>
                <w:rFonts w:ascii="Arial" w:cs="Arial" w:eastAsia="Arial" w:hAnsi="Arial"/>
                <w:sz w:val="18"/>
                <w:szCs w:val="18"/>
                <w:color w:val="auto"/>
              </w:rPr>
              <w:t>Japan</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Advanced Metals Boyertown</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United States</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Guangdong Zhiyuan New Material Co., Ltd.</w:t>
            </w:r>
          </w:p>
        </w:tc>
        <w:tc>
          <w:tcPr>
            <w:tcW w:w="2980" w:type="dxa"/>
            <w:vAlign w:val="bottom"/>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Guizhou Zhenhua Xinyun Technology Ltd., Kaili branch</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China</w:t>
            </w:r>
          </w:p>
        </w:tc>
        <w:tc>
          <w:tcPr>
            <w:tcW w:w="196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H.C. Starck Co., Ltd.</w:t>
            </w:r>
          </w:p>
        </w:tc>
        <w:tc>
          <w:tcPr>
            <w:tcW w:w="2980" w:type="dxa"/>
            <w:vAlign w:val="bottom"/>
          </w:tcPr>
          <w:p>
            <w:pPr>
              <w:ind w:left="960"/>
              <w:spacing w:after="0"/>
              <w:rPr>
                <w:sz w:val="20"/>
                <w:szCs w:val="20"/>
                <w:color w:val="auto"/>
              </w:rPr>
            </w:pPr>
            <w:r>
              <w:rPr>
                <w:rFonts w:ascii="Arial" w:cs="Arial" w:eastAsia="Arial" w:hAnsi="Arial"/>
                <w:sz w:val="18"/>
                <w:szCs w:val="18"/>
                <w:color w:val="auto"/>
              </w:rPr>
              <w:t>Thailand</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H.C. Starck GmbH Goslar</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Germany</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H.C. Starck GmbH Laufenburg</w:t>
            </w:r>
          </w:p>
        </w:tc>
        <w:tc>
          <w:tcPr>
            <w:tcW w:w="2980" w:type="dxa"/>
            <w:vAlign w:val="bottom"/>
          </w:tcPr>
          <w:p>
            <w:pPr>
              <w:ind w:left="960"/>
              <w:spacing w:after="0"/>
              <w:rPr>
                <w:sz w:val="20"/>
                <w:szCs w:val="20"/>
                <w:color w:val="auto"/>
              </w:rPr>
            </w:pPr>
            <w:r>
              <w:rPr>
                <w:rFonts w:ascii="Arial" w:cs="Arial" w:eastAsia="Arial" w:hAnsi="Arial"/>
                <w:sz w:val="18"/>
                <w:szCs w:val="18"/>
                <w:color w:val="auto"/>
              </w:rPr>
              <w:t>Germany</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H.C. Starck Hermsdorf GmbH</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Germany</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420" w:type="dxa"/>
            <w:vAlign w:val="bottom"/>
          </w:tcPr>
          <w:p>
            <w:pPr>
              <w:ind w:left="360"/>
              <w:spacing w:after="0"/>
              <w:rPr>
                <w:sz w:val="20"/>
                <w:szCs w:val="20"/>
                <w:color w:val="auto"/>
              </w:rPr>
            </w:pPr>
            <w:r>
              <w:rPr>
                <w:rFonts w:ascii="Arial" w:cs="Arial" w:eastAsia="Arial" w:hAnsi="Arial"/>
                <w:sz w:val="18"/>
                <w:szCs w:val="18"/>
                <w:color w:val="auto"/>
              </w:rPr>
              <w:t>H.C. Starck Inc.</w:t>
            </w:r>
          </w:p>
        </w:tc>
        <w:tc>
          <w:tcPr>
            <w:tcW w:w="2980" w:type="dxa"/>
            <w:vAlign w:val="bottom"/>
          </w:tcPr>
          <w:p>
            <w:pPr>
              <w:ind w:left="960"/>
              <w:spacing w:after="0"/>
              <w:rPr>
                <w:sz w:val="20"/>
                <w:szCs w:val="20"/>
                <w:color w:val="auto"/>
              </w:rPr>
            </w:pPr>
            <w:r>
              <w:rPr>
                <w:rFonts w:ascii="Arial" w:cs="Arial" w:eastAsia="Arial" w:hAnsi="Arial"/>
                <w:sz w:val="18"/>
                <w:szCs w:val="18"/>
                <w:color w:val="auto"/>
              </w:rPr>
              <w:t>United States</w:t>
            </w:r>
          </w:p>
        </w:tc>
        <w:tc>
          <w:tcPr>
            <w:tcW w:w="1960" w:type="dxa"/>
            <w:vAlign w:val="bottom"/>
          </w:tcPr>
          <w:p>
            <w:pPr>
              <w:ind w:left="17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H.C. Starck Ltd.</w:t>
            </w:r>
          </w:p>
        </w:tc>
        <w:tc>
          <w:tcPr>
            <w:tcW w:w="29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Japan</w:t>
            </w:r>
          </w:p>
        </w:tc>
        <w:tc>
          <w:tcPr>
            <w:tcW w:w="196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77"/>
              </w:rPr>
              <w:t>Yes</w:t>
            </w:r>
          </w:p>
        </w:tc>
      </w:tr>
      <w:tr>
        <w:trPr>
          <w:trHeight w:val="183"/>
        </w:trPr>
        <w:tc>
          <w:tcPr>
            <w:tcW w:w="106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320" w:type="dxa"/>
            <w:vAlign w:val="bottom"/>
          </w:tcPr>
          <w:p>
            <w:pPr>
              <w:ind w:left="360"/>
              <w:spacing w:after="0"/>
              <w:rPr>
                <w:sz w:val="20"/>
                <w:szCs w:val="20"/>
                <w:color w:val="auto"/>
              </w:rPr>
            </w:pPr>
            <w:r>
              <w:rPr>
                <w:rFonts w:ascii="Arial" w:cs="Arial" w:eastAsia="Arial" w:hAnsi="Arial"/>
                <w:sz w:val="18"/>
                <w:szCs w:val="18"/>
                <w:b w:val="1"/>
                <w:bCs w:val="1"/>
                <w:color w:val="auto"/>
              </w:rPr>
              <w:t>Smelter/Refiner Name</w:t>
            </w:r>
          </w:p>
        </w:tc>
        <w:tc>
          <w:tcPr>
            <w:tcW w:w="3180" w:type="dxa"/>
            <w:vAlign w:val="bottom"/>
          </w:tcPr>
          <w:p>
            <w:pPr>
              <w:ind w:left="1060"/>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ind w:left="7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H.C. Starck Smelting GmbH &amp; Co.KG</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Germany</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Hengyang King Xing Lifeng New Materials Co., Ltd.</w:t>
            </w:r>
          </w:p>
        </w:tc>
        <w:tc>
          <w:tcPr>
            <w:tcW w:w="3180" w:type="dxa"/>
            <w:vAlign w:val="bottom"/>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Hi-Temp Specialty Metals, Inc.</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Jiangxi Dinghai Tantalum &amp; Niobium Co., Ltd.</w:t>
            </w:r>
          </w:p>
        </w:tc>
        <w:tc>
          <w:tcPr>
            <w:tcW w:w="3180" w:type="dxa"/>
            <w:vAlign w:val="bottom"/>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JiuJiang JinXin Nonferrous Metals Co., Ltd.</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Jiujiang Tanbre Co., Ltd.</w:t>
            </w:r>
          </w:p>
        </w:tc>
        <w:tc>
          <w:tcPr>
            <w:tcW w:w="3180" w:type="dxa"/>
            <w:vAlign w:val="bottom"/>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Jiujiang Zhongao Tantalum &amp; Niobium Co., Ltd.</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KEMET Blue Metals</w:t>
            </w:r>
          </w:p>
        </w:tc>
        <w:tc>
          <w:tcPr>
            <w:tcW w:w="3180" w:type="dxa"/>
            <w:vAlign w:val="bottom"/>
          </w:tcPr>
          <w:p>
            <w:pPr>
              <w:ind w:left="1060"/>
              <w:spacing w:after="0"/>
              <w:rPr>
                <w:sz w:val="20"/>
                <w:szCs w:val="20"/>
                <w:color w:val="auto"/>
              </w:rPr>
            </w:pPr>
            <w:r>
              <w:rPr>
                <w:rFonts w:ascii="Arial" w:cs="Arial" w:eastAsia="Arial" w:hAnsi="Arial"/>
                <w:sz w:val="18"/>
                <w:szCs w:val="18"/>
                <w:color w:val="auto"/>
              </w:rPr>
              <w:t>Mexico</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KEMET Blue Powder</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King-Tan Tantalum Industry Ltd.</w:t>
            </w:r>
          </w:p>
        </w:tc>
        <w:tc>
          <w:tcPr>
            <w:tcW w:w="3180" w:type="dxa"/>
            <w:vAlign w:val="bottom"/>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LSM Brasil S.A.</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Brazil</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Metallurgical Products India Pvt., Ltd.</w:t>
            </w:r>
          </w:p>
        </w:tc>
        <w:tc>
          <w:tcPr>
            <w:tcW w:w="3180" w:type="dxa"/>
            <w:vAlign w:val="bottom"/>
          </w:tcPr>
          <w:p>
            <w:pPr>
              <w:ind w:left="1060"/>
              <w:spacing w:after="0"/>
              <w:rPr>
                <w:sz w:val="20"/>
                <w:szCs w:val="20"/>
                <w:color w:val="auto"/>
              </w:rPr>
            </w:pPr>
            <w:r>
              <w:rPr>
                <w:rFonts w:ascii="Arial" w:cs="Arial" w:eastAsia="Arial" w:hAnsi="Arial"/>
                <w:sz w:val="18"/>
                <w:szCs w:val="18"/>
                <w:color w:val="auto"/>
              </w:rPr>
              <w:t>India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Mineração Taboca S.A.</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Brazil</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Mitsui Mining &amp; Smelting</w:t>
            </w:r>
          </w:p>
        </w:tc>
        <w:tc>
          <w:tcPr>
            <w:tcW w:w="3180" w:type="dxa"/>
            <w:vAlign w:val="bottom"/>
          </w:tcPr>
          <w:p>
            <w:pPr>
              <w:ind w:left="1060"/>
              <w:spacing w:after="0"/>
              <w:rPr>
                <w:sz w:val="20"/>
                <w:szCs w:val="20"/>
                <w:color w:val="auto"/>
              </w:rPr>
            </w:pPr>
            <w:r>
              <w:rPr>
                <w:rFonts w:ascii="Arial" w:cs="Arial" w:eastAsia="Arial" w:hAnsi="Arial"/>
                <w:sz w:val="18"/>
                <w:szCs w:val="18"/>
                <w:color w:val="auto"/>
              </w:rPr>
              <w:t>Japan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Molycorp Silmet A.S.</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Estonia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Ningxia Orient Tantalum Industry Co., Ltd.</w:t>
            </w:r>
          </w:p>
        </w:tc>
        <w:tc>
          <w:tcPr>
            <w:tcW w:w="3180" w:type="dxa"/>
            <w:vAlign w:val="bottom"/>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Plansee SE Liezen</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Austria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Plansee SE Reutte</w:t>
            </w:r>
          </w:p>
        </w:tc>
        <w:tc>
          <w:tcPr>
            <w:tcW w:w="3180" w:type="dxa"/>
            <w:vAlign w:val="bottom"/>
          </w:tcPr>
          <w:p>
            <w:pPr>
              <w:ind w:left="1060"/>
              <w:spacing w:after="0"/>
              <w:rPr>
                <w:sz w:val="20"/>
                <w:szCs w:val="20"/>
                <w:color w:val="auto"/>
              </w:rPr>
            </w:pPr>
            <w:r>
              <w:rPr>
                <w:rFonts w:ascii="Arial" w:cs="Arial" w:eastAsia="Arial" w:hAnsi="Arial"/>
                <w:sz w:val="18"/>
                <w:szCs w:val="18"/>
                <w:color w:val="auto"/>
              </w:rPr>
              <w:t>Austria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QuantumClean</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Resind Indústria e Comércio Ltda.</w:t>
            </w:r>
          </w:p>
        </w:tc>
        <w:tc>
          <w:tcPr>
            <w:tcW w:w="3180" w:type="dxa"/>
            <w:vAlign w:val="bottom"/>
          </w:tcPr>
          <w:p>
            <w:pPr>
              <w:ind w:left="1060"/>
              <w:spacing w:after="0"/>
              <w:rPr>
                <w:sz w:val="20"/>
                <w:szCs w:val="20"/>
                <w:color w:val="auto"/>
              </w:rPr>
            </w:pPr>
            <w:r>
              <w:rPr>
                <w:rFonts w:ascii="Arial" w:cs="Arial" w:eastAsia="Arial" w:hAnsi="Arial"/>
                <w:sz w:val="18"/>
                <w:szCs w:val="18"/>
                <w:color w:val="auto"/>
              </w:rPr>
              <w:t>Brazil</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RFH Tantalum Smeltry Co., Ltd.</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Solikamsk Magnesium Works OAO</w:t>
            </w:r>
          </w:p>
        </w:tc>
        <w:tc>
          <w:tcPr>
            <w:tcW w:w="3180" w:type="dxa"/>
            <w:vAlign w:val="bottom"/>
          </w:tcPr>
          <w:p>
            <w:pPr>
              <w:ind w:left="1060"/>
              <w:spacing w:after="0"/>
              <w:rPr>
                <w:sz w:val="20"/>
                <w:szCs w:val="20"/>
                <w:color w:val="auto"/>
              </w:rPr>
            </w:pPr>
            <w:r>
              <w:rPr>
                <w:rFonts w:ascii="Arial" w:cs="Arial" w:eastAsia="Arial" w:hAnsi="Arial"/>
                <w:sz w:val="18"/>
                <w:szCs w:val="18"/>
                <w:color w:val="auto"/>
              </w:rPr>
              <w:t>Russian Federation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Taki Chemicals</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Japan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5320" w:type="dxa"/>
            <w:vAlign w:val="bottom"/>
          </w:tcPr>
          <w:p>
            <w:pPr>
              <w:ind w:left="360"/>
              <w:spacing w:after="0"/>
              <w:rPr>
                <w:sz w:val="20"/>
                <w:szCs w:val="20"/>
                <w:color w:val="auto"/>
              </w:rPr>
            </w:pPr>
            <w:r>
              <w:rPr>
                <w:rFonts w:ascii="Arial" w:cs="Arial" w:eastAsia="Arial" w:hAnsi="Arial"/>
                <w:sz w:val="18"/>
                <w:szCs w:val="18"/>
                <w:color w:val="auto"/>
              </w:rPr>
              <w:t>Telex Metals</w:t>
            </w:r>
          </w:p>
        </w:tc>
        <w:tc>
          <w:tcPr>
            <w:tcW w:w="3180" w:type="dxa"/>
            <w:vAlign w:val="bottom"/>
          </w:tcPr>
          <w:p>
            <w:pPr>
              <w:ind w:left="1060"/>
              <w:spacing w:after="0"/>
              <w:rPr>
                <w:sz w:val="20"/>
                <w:szCs w:val="20"/>
                <w:color w:val="auto"/>
              </w:rPr>
            </w:pPr>
            <w:r>
              <w:rPr>
                <w:rFonts w:ascii="Arial" w:cs="Arial" w:eastAsia="Arial" w:hAnsi="Arial"/>
                <w:sz w:val="18"/>
                <w:szCs w:val="18"/>
                <w:color w:val="auto"/>
              </w:rPr>
              <w:t>United States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Tranzact, Inc.</w:t>
            </w:r>
          </w:p>
        </w:tc>
        <w:tc>
          <w:tcPr>
            <w:tcW w:w="31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183"/>
        </w:trPr>
        <w:tc>
          <w:tcPr>
            <w:tcW w:w="106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6280" w:type="dxa"/>
            <w:vAlign w:val="bottom"/>
          </w:tcPr>
          <w:p>
            <w:pPr>
              <w:ind w:left="360"/>
              <w:spacing w:after="0"/>
              <w:rPr>
                <w:sz w:val="20"/>
                <w:szCs w:val="20"/>
                <w:color w:val="auto"/>
              </w:rPr>
            </w:pPr>
            <w:r>
              <w:rPr>
                <w:rFonts w:ascii="Arial" w:cs="Arial" w:eastAsia="Arial" w:hAnsi="Arial"/>
                <w:sz w:val="18"/>
                <w:szCs w:val="18"/>
                <w:b w:val="1"/>
                <w:bCs w:val="1"/>
                <w:color w:val="auto"/>
              </w:rPr>
              <w:t>Smelter/Refiner Name</w:t>
            </w:r>
          </w:p>
        </w:tc>
        <w:tc>
          <w:tcPr>
            <w:tcW w:w="2000" w:type="dxa"/>
            <w:vAlign w:val="bottom"/>
          </w:tcPr>
          <w:p>
            <w:pPr>
              <w:ind w:left="100"/>
              <w:spacing w:after="0"/>
              <w:rPr>
                <w:sz w:val="20"/>
                <w:szCs w:val="20"/>
                <w:color w:val="auto"/>
              </w:rPr>
            </w:pPr>
            <w:r>
              <w:rPr>
                <w:rFonts w:ascii="Arial" w:cs="Arial" w:eastAsia="Arial" w:hAnsi="Arial"/>
                <w:sz w:val="18"/>
                <w:szCs w:val="18"/>
                <w:b w:val="1"/>
                <w:bCs w:val="1"/>
                <w:color w:val="auto"/>
              </w:rPr>
              <w:t>Location</w:t>
            </w:r>
          </w:p>
        </w:tc>
        <w:tc>
          <w:tcPr>
            <w:tcW w:w="2080" w:type="dxa"/>
            <w:vAlign w:val="bottom"/>
          </w:tcPr>
          <w:p>
            <w:pPr>
              <w:ind w:left="94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Ulba Metallurgical Plant JSC</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Kazakhstan</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6280" w:type="dxa"/>
            <w:vAlign w:val="bottom"/>
          </w:tcPr>
          <w:p>
            <w:pPr>
              <w:ind w:left="360"/>
              <w:spacing w:after="0"/>
              <w:rPr>
                <w:sz w:val="20"/>
                <w:szCs w:val="20"/>
                <w:color w:val="auto"/>
              </w:rPr>
            </w:pPr>
            <w:r>
              <w:rPr>
                <w:rFonts w:ascii="Arial" w:cs="Arial" w:eastAsia="Arial" w:hAnsi="Arial"/>
                <w:sz w:val="18"/>
                <w:szCs w:val="18"/>
                <w:color w:val="auto"/>
              </w:rPr>
              <w:t>XinXing HaoRong Elec. Material Co., Ltd.</w:t>
            </w:r>
          </w:p>
        </w:tc>
        <w:tc>
          <w:tcPr>
            <w:tcW w:w="200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Yichun Jin Yang Rare Metal Co., Ltd.</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Tantalum</w:t>
            </w:r>
          </w:p>
        </w:tc>
        <w:tc>
          <w:tcPr>
            <w:tcW w:w="6280" w:type="dxa"/>
            <w:vAlign w:val="bottom"/>
          </w:tcPr>
          <w:p>
            <w:pPr>
              <w:ind w:left="360"/>
              <w:spacing w:after="0"/>
              <w:rPr>
                <w:sz w:val="20"/>
                <w:szCs w:val="20"/>
                <w:color w:val="auto"/>
              </w:rPr>
            </w:pPr>
            <w:r>
              <w:rPr>
                <w:rFonts w:ascii="Arial" w:cs="Arial" w:eastAsia="Arial" w:hAnsi="Arial"/>
                <w:sz w:val="18"/>
                <w:szCs w:val="18"/>
                <w:color w:val="auto"/>
              </w:rPr>
              <w:t>Zhuzhou Cemented Carbide</w:t>
            </w:r>
          </w:p>
        </w:tc>
        <w:tc>
          <w:tcPr>
            <w:tcW w:w="200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Alpha</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An Thai Minerals Company Limited</w:t>
            </w:r>
          </w:p>
        </w:tc>
        <w:tc>
          <w:tcPr>
            <w:tcW w:w="2000" w:type="dxa"/>
            <w:vAlign w:val="bottom"/>
          </w:tcPr>
          <w:p>
            <w:pPr>
              <w:ind w:left="100"/>
              <w:spacing w:after="0"/>
              <w:rPr>
                <w:sz w:val="20"/>
                <w:szCs w:val="20"/>
                <w:color w:val="auto"/>
              </w:rPr>
            </w:pPr>
            <w:r>
              <w:rPr>
                <w:rFonts w:ascii="Arial" w:cs="Arial" w:eastAsia="Arial" w:hAnsi="Arial"/>
                <w:sz w:val="18"/>
                <w:szCs w:val="18"/>
                <w:color w:val="auto"/>
              </w:rPr>
              <w:t>Viet Nam</w:t>
            </w:r>
          </w:p>
        </w:tc>
        <w:tc>
          <w:tcPr>
            <w:tcW w:w="20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 Vinh Joint Stock Mineral Processing Company</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Viet Nam</w:t>
            </w:r>
          </w:p>
        </w:tc>
        <w:tc>
          <w:tcPr>
            <w:tcW w:w="20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Chenzhou Yun Xiang Mining Lmited Liability Co.</w:t>
            </w:r>
          </w:p>
        </w:tc>
        <w:tc>
          <w:tcPr>
            <w:tcW w:w="200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China Tin Group Co., Ltd.</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CNMC (Guangxi) PGMA Co., Ltd.</w:t>
            </w:r>
          </w:p>
        </w:tc>
        <w:tc>
          <w:tcPr>
            <w:tcW w:w="2000" w:type="dxa"/>
            <w:vAlign w:val="bottom"/>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Cooperativa Metalurgica de Rondônia Ltda.</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Brazil</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CV Ayi Jaya</w:t>
            </w:r>
          </w:p>
        </w:tc>
        <w:tc>
          <w:tcPr>
            <w:tcW w:w="200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CV Dua Sekawan</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CV Gita Pesona</w:t>
            </w:r>
          </w:p>
        </w:tc>
        <w:tc>
          <w:tcPr>
            <w:tcW w:w="200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CV Serumpun Sebalai</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CV United Smelting</w:t>
            </w:r>
          </w:p>
        </w:tc>
        <w:tc>
          <w:tcPr>
            <w:tcW w:w="2000" w:type="dxa"/>
            <w:vAlign w:val="bottom"/>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CV Venus Inti Perkasa</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Dowa</w:t>
            </w:r>
          </w:p>
        </w:tc>
        <w:tc>
          <w:tcPr>
            <w:tcW w:w="2000" w:type="dxa"/>
            <w:vAlign w:val="bottom"/>
          </w:tcPr>
          <w:p>
            <w:pPr>
              <w:ind w:left="100"/>
              <w:spacing w:after="0"/>
              <w:rPr>
                <w:sz w:val="20"/>
                <w:szCs w:val="20"/>
                <w:color w:val="auto"/>
              </w:rPr>
            </w:pPr>
            <w:r>
              <w:rPr>
                <w:rFonts w:ascii="Arial" w:cs="Arial" w:eastAsia="Arial" w:hAnsi="Arial"/>
                <w:sz w:val="18"/>
                <w:szCs w:val="18"/>
                <w:color w:val="auto"/>
              </w:rPr>
              <w:t>Japan</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02"/>
        </w:trPr>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Electro-Mechanical Facility of the Cao Bang Minerals &amp; Metallurgy Joint Stock</w:t>
            </w:r>
          </w:p>
        </w:tc>
        <w:tc>
          <w:tcPr>
            <w:tcW w:w="20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Viet Nam</w:t>
            </w:r>
          </w:p>
        </w:tc>
        <w:tc>
          <w:tcPr>
            <w:tcW w:w="2080" w:type="dxa"/>
            <w:vAlign w:val="bottom"/>
            <w:shd w:val="clear" w:color="auto" w:fill="CCEEFF"/>
          </w:tcPr>
          <w:p>
            <w:pPr>
              <w:spacing w:after="0"/>
              <w:rPr>
                <w:sz w:val="17"/>
                <w:szCs w:val="17"/>
                <w:color w:val="auto"/>
              </w:rPr>
            </w:pPr>
          </w:p>
        </w:tc>
      </w:tr>
      <w:tr>
        <w:trPr>
          <w:trHeight w:val="230"/>
        </w:trPr>
        <w:tc>
          <w:tcPr>
            <w:tcW w:w="1060" w:type="dxa"/>
            <w:vAlign w:val="bottom"/>
            <w:shd w:val="clear" w:color="auto" w:fill="CCEEFF"/>
          </w:tcPr>
          <w:p>
            <w:pPr>
              <w:spacing w:after="0"/>
              <w:rPr>
                <w:sz w:val="20"/>
                <w:szCs w:val="20"/>
                <w:color w:val="auto"/>
              </w:rPr>
            </w:pP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Company</w:t>
            </w:r>
          </w:p>
        </w:tc>
        <w:tc>
          <w:tcPr>
            <w:tcW w:w="20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Elmet S.L.U. (Metallo Group)</w:t>
            </w:r>
          </w:p>
        </w:tc>
        <w:tc>
          <w:tcPr>
            <w:tcW w:w="2000" w:type="dxa"/>
            <w:vAlign w:val="bottom"/>
          </w:tcPr>
          <w:p>
            <w:pPr>
              <w:ind w:left="100"/>
              <w:spacing w:after="0"/>
              <w:rPr>
                <w:sz w:val="20"/>
                <w:szCs w:val="20"/>
                <w:color w:val="auto"/>
              </w:rPr>
            </w:pPr>
            <w:r>
              <w:rPr>
                <w:rFonts w:ascii="Arial" w:cs="Arial" w:eastAsia="Arial" w:hAnsi="Arial"/>
                <w:sz w:val="18"/>
                <w:szCs w:val="18"/>
                <w:color w:val="auto"/>
              </w:rPr>
              <w:t>Spain</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 Vinto</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Bolivia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Estanho de Rondônia S.A.</w:t>
            </w:r>
          </w:p>
        </w:tc>
        <w:tc>
          <w:tcPr>
            <w:tcW w:w="2000" w:type="dxa"/>
            <w:vAlign w:val="bottom"/>
          </w:tcPr>
          <w:p>
            <w:pPr>
              <w:ind w:left="100"/>
              <w:spacing w:after="0"/>
              <w:rPr>
                <w:sz w:val="20"/>
                <w:szCs w:val="20"/>
                <w:color w:val="auto"/>
              </w:rPr>
            </w:pPr>
            <w:r>
              <w:rPr>
                <w:rFonts w:ascii="Arial" w:cs="Arial" w:eastAsia="Arial" w:hAnsi="Arial"/>
                <w:sz w:val="18"/>
                <w:szCs w:val="18"/>
                <w:color w:val="auto"/>
              </w:rPr>
              <w:t>Brazil</w:t>
            </w:r>
          </w:p>
        </w:tc>
        <w:tc>
          <w:tcPr>
            <w:tcW w:w="208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Feinhütte Halsbrücke GmbH</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Germany</w:t>
            </w:r>
          </w:p>
        </w:tc>
        <w:tc>
          <w:tcPr>
            <w:tcW w:w="208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Tin</w:t>
            </w:r>
          </w:p>
        </w:tc>
        <w:tc>
          <w:tcPr>
            <w:tcW w:w="6280" w:type="dxa"/>
            <w:vAlign w:val="bottom"/>
          </w:tcPr>
          <w:p>
            <w:pPr>
              <w:ind w:left="360"/>
              <w:spacing w:after="0"/>
              <w:rPr>
                <w:sz w:val="20"/>
                <w:szCs w:val="20"/>
                <w:color w:val="auto"/>
              </w:rPr>
            </w:pPr>
            <w:r>
              <w:rPr>
                <w:rFonts w:ascii="Arial" w:cs="Arial" w:eastAsia="Arial" w:hAnsi="Arial"/>
                <w:sz w:val="18"/>
                <w:szCs w:val="18"/>
                <w:color w:val="auto"/>
              </w:rPr>
              <w:t>Fenix Metals</w:t>
            </w:r>
          </w:p>
        </w:tc>
        <w:tc>
          <w:tcPr>
            <w:tcW w:w="2000" w:type="dxa"/>
            <w:vAlign w:val="bottom"/>
          </w:tcPr>
          <w:p>
            <w:pPr>
              <w:ind w:left="100"/>
              <w:spacing w:after="0"/>
              <w:rPr>
                <w:sz w:val="20"/>
                <w:szCs w:val="20"/>
                <w:color w:val="auto"/>
              </w:rPr>
            </w:pPr>
            <w:r>
              <w:rPr>
                <w:rFonts w:ascii="Arial" w:cs="Arial" w:eastAsia="Arial" w:hAnsi="Arial"/>
                <w:sz w:val="18"/>
                <w:szCs w:val="18"/>
                <w:color w:val="auto"/>
              </w:rPr>
              <w:t>Poland</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Gejiu Kai Meng Industry and Trade LLC</w:t>
            </w:r>
          </w:p>
        </w:tc>
        <w:tc>
          <w:tcPr>
            <w:tcW w:w="2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CEEFF"/>
          </w:tcPr>
          <w:p>
            <w:pPr>
              <w:spacing w:after="0"/>
              <w:rPr>
                <w:sz w:val="18"/>
                <w:szCs w:val="18"/>
                <w:color w:val="auto"/>
              </w:rPr>
            </w:pPr>
          </w:p>
        </w:tc>
      </w:tr>
      <w:tr>
        <w:trPr>
          <w:trHeight w:val="183"/>
        </w:trPr>
        <w:tc>
          <w:tcPr>
            <w:tcW w:w="106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20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3200" w:type="dxa"/>
            <w:vAlign w:val="bottom"/>
          </w:tcPr>
          <w:p>
            <w:pPr>
              <w:ind w:left="1300"/>
              <w:spacing w:after="0"/>
              <w:rPr>
                <w:sz w:val="20"/>
                <w:szCs w:val="20"/>
                <w:color w:val="auto"/>
              </w:rPr>
            </w:pPr>
            <w:r>
              <w:rPr>
                <w:rFonts w:ascii="Arial" w:cs="Arial" w:eastAsia="Arial" w:hAnsi="Arial"/>
                <w:sz w:val="18"/>
                <w:szCs w:val="18"/>
                <w:b w:val="1"/>
                <w:bCs w:val="1"/>
                <w:color w:val="auto"/>
              </w:rPr>
              <w:t>Location</w:t>
            </w:r>
          </w:p>
        </w:tc>
        <w:tc>
          <w:tcPr>
            <w:tcW w:w="2080" w:type="dxa"/>
            <w:vAlign w:val="bottom"/>
          </w:tcPr>
          <w:p>
            <w:pPr>
              <w:ind w:left="94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Gejiu Non-Ferrous Metal Processing Co., Ltd.</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Gejiu Yunxin Nonferrous Electrolysis Co., Ltd.</w:t>
            </w:r>
          </w:p>
        </w:tc>
        <w:tc>
          <w:tcPr>
            <w:tcW w:w="3200" w:type="dxa"/>
            <w:vAlign w:val="bottom"/>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Gejiu Zili Mining And Metallurgy Co., Ltd.</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Huichang Jinshunda Tin Co., Ltd.</w:t>
            </w:r>
          </w:p>
        </w:tc>
        <w:tc>
          <w:tcPr>
            <w:tcW w:w="3200" w:type="dxa"/>
            <w:vAlign w:val="bottom"/>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Jiangxi Ketai Advanced Material Co., Ltd.</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Linwu Xianggui Ore Smelting Co., Ltd.</w:t>
            </w:r>
          </w:p>
        </w:tc>
        <w:tc>
          <w:tcPr>
            <w:tcW w:w="3200" w:type="dxa"/>
            <w:vAlign w:val="bottom"/>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Magnu's Minerais Metais e Ligas Ltda.</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Brazil</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Malaysia Smelting Corporation (MSC)</w:t>
            </w:r>
          </w:p>
        </w:tc>
        <w:tc>
          <w:tcPr>
            <w:tcW w:w="3200" w:type="dxa"/>
            <w:vAlign w:val="bottom"/>
          </w:tcPr>
          <w:p>
            <w:pPr>
              <w:ind w:left="1300"/>
              <w:spacing w:after="0"/>
              <w:rPr>
                <w:sz w:val="20"/>
                <w:szCs w:val="20"/>
                <w:color w:val="auto"/>
              </w:rPr>
            </w:pPr>
            <w:r>
              <w:rPr>
                <w:rFonts w:ascii="Arial" w:cs="Arial" w:eastAsia="Arial" w:hAnsi="Arial"/>
                <w:sz w:val="18"/>
                <w:szCs w:val="18"/>
                <w:color w:val="auto"/>
              </w:rPr>
              <w:t>Malaysia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Melt Metais e Ligas S/A</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Brazil</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Metahub Industries Sdn. Bhd.</w:t>
            </w:r>
          </w:p>
        </w:tc>
        <w:tc>
          <w:tcPr>
            <w:tcW w:w="3200" w:type="dxa"/>
            <w:vAlign w:val="bottom"/>
          </w:tcPr>
          <w:p>
            <w:pPr>
              <w:ind w:left="1300"/>
              <w:spacing w:after="0"/>
              <w:rPr>
                <w:sz w:val="20"/>
                <w:szCs w:val="20"/>
                <w:color w:val="auto"/>
              </w:rPr>
            </w:pPr>
            <w:r>
              <w:rPr>
                <w:rFonts w:ascii="Arial" w:cs="Arial" w:eastAsia="Arial" w:hAnsi="Arial"/>
                <w:sz w:val="18"/>
                <w:szCs w:val="18"/>
                <w:color w:val="auto"/>
              </w:rPr>
              <w:t>Malaysia</w:t>
            </w:r>
          </w:p>
        </w:tc>
        <w:tc>
          <w:tcPr>
            <w:tcW w:w="20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Metallic Resources, Inc.</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United States</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Metallo-Chimique N.V.</w:t>
            </w:r>
          </w:p>
        </w:tc>
        <w:tc>
          <w:tcPr>
            <w:tcW w:w="3200" w:type="dxa"/>
            <w:vAlign w:val="bottom"/>
          </w:tcPr>
          <w:p>
            <w:pPr>
              <w:ind w:left="1300"/>
              <w:spacing w:after="0"/>
              <w:rPr>
                <w:sz w:val="20"/>
                <w:szCs w:val="20"/>
                <w:color w:val="auto"/>
              </w:rPr>
            </w:pPr>
            <w:r>
              <w:rPr>
                <w:rFonts w:ascii="Arial" w:cs="Arial" w:eastAsia="Arial" w:hAnsi="Arial"/>
                <w:sz w:val="18"/>
                <w:szCs w:val="18"/>
                <w:color w:val="auto"/>
              </w:rPr>
              <w:t>Belgium</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Mineração Taboca S.A.</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Brazil</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Minsur</w:t>
            </w:r>
          </w:p>
        </w:tc>
        <w:tc>
          <w:tcPr>
            <w:tcW w:w="3200" w:type="dxa"/>
            <w:vAlign w:val="bottom"/>
          </w:tcPr>
          <w:p>
            <w:pPr>
              <w:ind w:left="1300"/>
              <w:spacing w:after="0"/>
              <w:rPr>
                <w:sz w:val="20"/>
                <w:szCs w:val="20"/>
                <w:color w:val="auto"/>
              </w:rPr>
            </w:pPr>
            <w:r>
              <w:rPr>
                <w:rFonts w:ascii="Arial" w:cs="Arial" w:eastAsia="Arial" w:hAnsi="Arial"/>
                <w:sz w:val="18"/>
                <w:szCs w:val="18"/>
                <w:color w:val="auto"/>
              </w:rPr>
              <w:t>Peru</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Mitsubishi Materials Corporation</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Japan</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Nankang Nanshan Tin Manufactory Co., Ltd.</w:t>
            </w:r>
          </w:p>
        </w:tc>
        <w:tc>
          <w:tcPr>
            <w:tcW w:w="3200" w:type="dxa"/>
            <w:vAlign w:val="bottom"/>
          </w:tcPr>
          <w:p>
            <w:pPr>
              <w:ind w:left="1300"/>
              <w:spacing w:after="0"/>
              <w:rPr>
                <w:sz w:val="20"/>
                <w:szCs w:val="20"/>
                <w:color w:val="auto"/>
              </w:rPr>
            </w:pPr>
            <w:r>
              <w:rPr>
                <w:rFonts w:ascii="Arial" w:cs="Arial" w:eastAsia="Arial" w:hAnsi="Arial"/>
                <w:sz w:val="18"/>
                <w:szCs w:val="18"/>
                <w:color w:val="auto"/>
              </w:rPr>
              <w:t>China</w:t>
            </w:r>
          </w:p>
        </w:tc>
        <w:tc>
          <w:tcPr>
            <w:tcW w:w="20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Nghe Tinh Non-Ferrous Metals Joint Stock Co.</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Viet Nam</w:t>
            </w:r>
          </w:p>
        </w:tc>
        <w:tc>
          <w:tcPr>
            <w:tcW w:w="20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O.M. Manufacturing (Thailand) Co., Ltd.</w:t>
            </w:r>
          </w:p>
        </w:tc>
        <w:tc>
          <w:tcPr>
            <w:tcW w:w="3200" w:type="dxa"/>
            <w:vAlign w:val="bottom"/>
          </w:tcPr>
          <w:p>
            <w:pPr>
              <w:ind w:left="1300"/>
              <w:spacing w:after="0"/>
              <w:rPr>
                <w:sz w:val="20"/>
                <w:szCs w:val="20"/>
                <w:color w:val="auto"/>
              </w:rPr>
            </w:pPr>
            <w:r>
              <w:rPr>
                <w:rFonts w:ascii="Arial" w:cs="Arial" w:eastAsia="Arial" w:hAnsi="Arial"/>
                <w:sz w:val="18"/>
                <w:szCs w:val="18"/>
                <w:color w:val="auto"/>
              </w:rPr>
              <w:t>Thailand</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O.M. Manufacturing Philippines, Inc.</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Philippines</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Operaciones Metalurgical S.A.</w:t>
            </w:r>
          </w:p>
        </w:tc>
        <w:tc>
          <w:tcPr>
            <w:tcW w:w="3200" w:type="dxa"/>
            <w:vAlign w:val="bottom"/>
          </w:tcPr>
          <w:p>
            <w:pPr>
              <w:ind w:left="1300"/>
              <w:spacing w:after="0"/>
              <w:rPr>
                <w:sz w:val="20"/>
                <w:szCs w:val="20"/>
                <w:color w:val="auto"/>
              </w:rPr>
            </w:pPr>
            <w:r>
              <w:rPr>
                <w:rFonts w:ascii="Arial" w:cs="Arial" w:eastAsia="Arial" w:hAnsi="Arial"/>
                <w:sz w:val="18"/>
                <w:szCs w:val="18"/>
                <w:color w:val="auto"/>
              </w:rPr>
              <w:t>Bolivia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Phoenix Metal Ltd.</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Rwanda</w:t>
            </w:r>
          </w:p>
        </w:tc>
        <w:tc>
          <w:tcPr>
            <w:tcW w:w="208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PT Alam Lestari Kencana</w:t>
            </w:r>
          </w:p>
        </w:tc>
        <w:tc>
          <w:tcPr>
            <w:tcW w:w="320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08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Aries Kencana Sejahtera</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5200" w:type="dxa"/>
            <w:vAlign w:val="bottom"/>
          </w:tcPr>
          <w:p>
            <w:pPr>
              <w:ind w:left="480"/>
              <w:spacing w:after="0"/>
              <w:rPr>
                <w:sz w:val="20"/>
                <w:szCs w:val="20"/>
                <w:color w:val="auto"/>
              </w:rPr>
            </w:pPr>
            <w:r>
              <w:rPr>
                <w:rFonts w:ascii="Arial" w:cs="Arial" w:eastAsia="Arial" w:hAnsi="Arial"/>
                <w:sz w:val="18"/>
                <w:szCs w:val="18"/>
                <w:color w:val="auto"/>
              </w:rPr>
              <w:t>PT Artha Cipta Langgeng</w:t>
            </w:r>
          </w:p>
        </w:tc>
        <w:tc>
          <w:tcPr>
            <w:tcW w:w="3200" w:type="dxa"/>
            <w:vAlign w:val="bottom"/>
          </w:tcPr>
          <w:p>
            <w:pPr>
              <w:ind w:left="1300"/>
              <w:spacing w:after="0"/>
              <w:rPr>
                <w:sz w:val="20"/>
                <w:szCs w:val="20"/>
                <w:color w:val="auto"/>
              </w:rPr>
            </w:pPr>
            <w:r>
              <w:rPr>
                <w:rFonts w:ascii="Arial" w:cs="Arial" w:eastAsia="Arial" w:hAnsi="Arial"/>
                <w:sz w:val="18"/>
                <w:szCs w:val="18"/>
                <w:color w:val="auto"/>
              </w:rPr>
              <w:t>Indonesia</w:t>
            </w:r>
          </w:p>
        </w:tc>
        <w:tc>
          <w:tcPr>
            <w:tcW w:w="2080" w:type="dxa"/>
            <w:vAlign w:val="bottom"/>
          </w:tcPr>
          <w:p>
            <w:pPr>
              <w:ind w:left="182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ATD Makmur Mandiri Jaya</w:t>
            </w:r>
          </w:p>
        </w:tc>
        <w:tc>
          <w:tcPr>
            <w:tcW w:w="3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Indonesia</w:t>
            </w:r>
          </w:p>
        </w:tc>
        <w:tc>
          <w:tcPr>
            <w:tcW w:w="20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77"/>
              </w:rPr>
              <w:t>Yes</w:t>
            </w:r>
          </w:p>
        </w:tc>
      </w:tr>
      <w:tr>
        <w:trPr>
          <w:trHeight w:val="183"/>
        </w:trPr>
        <w:tc>
          <w:tcPr>
            <w:tcW w:w="94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4780" w:type="dxa"/>
            <w:vAlign w:val="bottom"/>
          </w:tcPr>
          <w:p>
            <w:pPr>
              <w:ind w:left="480"/>
              <w:spacing w:after="0"/>
              <w:rPr>
                <w:sz w:val="20"/>
                <w:szCs w:val="20"/>
                <w:color w:val="auto"/>
              </w:rPr>
            </w:pPr>
            <w:r>
              <w:rPr>
                <w:rFonts w:ascii="Arial" w:cs="Arial" w:eastAsia="Arial" w:hAnsi="Arial"/>
                <w:sz w:val="18"/>
                <w:szCs w:val="18"/>
                <w:b w:val="1"/>
                <w:bCs w:val="1"/>
                <w:color w:val="auto"/>
              </w:rPr>
              <w:t>Smelter/Refiner Name</w:t>
            </w:r>
          </w:p>
        </w:tc>
        <w:tc>
          <w:tcPr>
            <w:tcW w:w="3500" w:type="dxa"/>
            <w:vAlign w:val="bottom"/>
          </w:tcPr>
          <w:p>
            <w:pPr>
              <w:ind w:left="1720"/>
              <w:spacing w:after="0"/>
              <w:rPr>
                <w:sz w:val="20"/>
                <w:szCs w:val="20"/>
                <w:color w:val="auto"/>
              </w:rPr>
            </w:pPr>
            <w:r>
              <w:rPr>
                <w:rFonts w:ascii="Arial" w:cs="Arial" w:eastAsia="Arial" w:hAnsi="Arial"/>
                <w:sz w:val="18"/>
                <w:szCs w:val="18"/>
                <w:b w:val="1"/>
                <w:bCs w:val="1"/>
                <w:color w:val="auto"/>
              </w:rPr>
              <w:t>Location</w:t>
            </w:r>
          </w:p>
        </w:tc>
        <w:tc>
          <w:tcPr>
            <w:tcW w:w="2200" w:type="dxa"/>
            <w:vAlign w:val="bottom"/>
          </w:tcPr>
          <w:p>
            <w:pPr>
              <w:ind w:left="106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Babel Inti Perkasa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Bangka Kudai Tin</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Bangka Prima Tin</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Bangka Timah Utama Sejahtera</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Bangka Tin Industry</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Belitung Industri Sejahtera</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BilliTin Makmur Lestari</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Bukit Timah</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Cipta Persada Mulia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DS Jaya Abadi</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Eunindo Usaha Mandiri</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Fang Di MulTindo</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Inti Stania Prima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Justindo</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Karimun Mining</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Mitra Stania Prima</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Panca Mega Persada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Pelat Timah Nusantara Tbk</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Prima Timah Utama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Refined Bangka Tin</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Sariwiguna Binasentosa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Seirama Tin Investment</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spacing w:after="0"/>
              <w:rPr>
                <w:sz w:val="18"/>
                <w:szCs w:val="18"/>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Stanindo Inti Perkasa</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Tin</w:t>
            </w:r>
          </w:p>
        </w:tc>
        <w:tc>
          <w:tcPr>
            <w:tcW w:w="4780" w:type="dxa"/>
            <w:vAlign w:val="bottom"/>
          </w:tcPr>
          <w:p>
            <w:pPr>
              <w:ind w:left="480"/>
              <w:spacing w:after="0"/>
              <w:rPr>
                <w:sz w:val="20"/>
                <w:szCs w:val="20"/>
                <w:color w:val="auto"/>
              </w:rPr>
            </w:pPr>
            <w:r>
              <w:rPr>
                <w:rFonts w:ascii="Arial" w:cs="Arial" w:eastAsia="Arial" w:hAnsi="Arial"/>
                <w:sz w:val="18"/>
                <w:szCs w:val="18"/>
                <w:color w:val="auto"/>
              </w:rPr>
              <w:t>PT Sukses Inti Makmur</w:t>
            </w:r>
          </w:p>
        </w:tc>
        <w:tc>
          <w:tcPr>
            <w:tcW w:w="3500" w:type="dxa"/>
            <w:vAlign w:val="bottom"/>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PT Sumber Jaya Indah</w:t>
            </w:r>
          </w:p>
        </w:tc>
        <w:tc>
          <w:tcPr>
            <w:tcW w:w="35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183"/>
        </w:trPr>
        <w:tc>
          <w:tcPr>
            <w:tcW w:w="94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c>
          <w:tcPr>
            <w:tcW w:w="35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220" w:type="dxa"/>
            <w:vAlign w:val="bottom"/>
          </w:tcPr>
          <w:p>
            <w:pPr>
              <w:ind w:left="380"/>
              <w:spacing w:after="0"/>
              <w:rPr>
                <w:sz w:val="20"/>
                <w:szCs w:val="20"/>
                <w:color w:val="auto"/>
              </w:rPr>
            </w:pPr>
            <w:r>
              <w:rPr>
                <w:rFonts w:ascii="Arial" w:cs="Arial" w:eastAsia="Arial" w:hAnsi="Arial"/>
                <w:sz w:val="18"/>
                <w:szCs w:val="18"/>
                <w:b w:val="1"/>
                <w:bCs w:val="1"/>
                <w:color w:val="auto"/>
              </w:rPr>
              <w:t>Smelter/Refiner Name</w:t>
            </w:r>
          </w:p>
        </w:tc>
        <w:tc>
          <w:tcPr>
            <w:tcW w:w="2960" w:type="dxa"/>
            <w:vAlign w:val="bottom"/>
          </w:tcPr>
          <w:p>
            <w:pPr>
              <w:ind w:left="1180"/>
              <w:spacing w:after="0"/>
              <w:rPr>
                <w:sz w:val="20"/>
                <w:szCs w:val="20"/>
                <w:color w:val="auto"/>
              </w:rPr>
            </w:pPr>
            <w:r>
              <w:rPr>
                <w:rFonts w:ascii="Arial" w:cs="Arial" w:eastAsia="Arial" w:hAnsi="Arial"/>
                <w:sz w:val="18"/>
                <w:szCs w:val="18"/>
                <w:b w:val="1"/>
                <w:bCs w:val="1"/>
                <w:color w:val="auto"/>
              </w:rPr>
              <w:t>Location</w:t>
            </w:r>
          </w:p>
        </w:tc>
        <w:tc>
          <w:tcPr>
            <w:tcW w:w="2200" w:type="dxa"/>
            <w:vAlign w:val="bottom"/>
          </w:tcPr>
          <w:p>
            <w:pPr>
              <w:ind w:left="106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PT Timah (Persero) Tbk Kundur</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PT Timah (Persero) Tbk Mentok</w:t>
            </w:r>
          </w:p>
        </w:tc>
        <w:tc>
          <w:tcPr>
            <w:tcW w:w="2960" w:type="dxa"/>
            <w:vAlign w:val="bottom"/>
          </w:tcPr>
          <w:p>
            <w:pPr>
              <w:ind w:left="118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PT Tinindo Inter Nusa</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PT Tirus Putra Mandiri</w:t>
            </w:r>
          </w:p>
        </w:tc>
        <w:tc>
          <w:tcPr>
            <w:tcW w:w="2960" w:type="dxa"/>
            <w:vAlign w:val="bottom"/>
          </w:tcPr>
          <w:p>
            <w:pPr>
              <w:ind w:left="1180"/>
              <w:spacing w:after="0"/>
              <w:rPr>
                <w:sz w:val="20"/>
                <w:szCs w:val="20"/>
                <w:color w:val="auto"/>
              </w:rPr>
            </w:pPr>
            <w:r>
              <w:rPr>
                <w:rFonts w:ascii="Arial" w:cs="Arial" w:eastAsia="Arial" w:hAnsi="Arial"/>
                <w:sz w:val="18"/>
                <w:szCs w:val="18"/>
                <w:color w:val="auto"/>
              </w:rPr>
              <w:t>Indonesia</w:t>
            </w:r>
          </w:p>
        </w:tc>
        <w:tc>
          <w:tcPr>
            <w:tcW w:w="22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PT Tommy Utama</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Indonesia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PT Wahana Perkit Jaya</w:t>
            </w:r>
          </w:p>
        </w:tc>
        <w:tc>
          <w:tcPr>
            <w:tcW w:w="2960" w:type="dxa"/>
            <w:vAlign w:val="bottom"/>
          </w:tcPr>
          <w:p>
            <w:pPr>
              <w:ind w:left="1180"/>
              <w:spacing w:after="0"/>
              <w:rPr>
                <w:sz w:val="20"/>
                <w:szCs w:val="20"/>
                <w:color w:val="auto"/>
              </w:rPr>
            </w:pPr>
            <w:r>
              <w:rPr>
                <w:rFonts w:ascii="Arial" w:cs="Arial" w:eastAsia="Arial" w:hAnsi="Arial"/>
                <w:sz w:val="18"/>
                <w:szCs w:val="18"/>
                <w:color w:val="auto"/>
              </w:rPr>
              <w:t>Indonesia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Resind Indústria e Comércio Ltda.</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Brazil</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Rui Da Hung</w:t>
            </w:r>
          </w:p>
        </w:tc>
        <w:tc>
          <w:tcPr>
            <w:tcW w:w="2960" w:type="dxa"/>
            <w:vAlign w:val="bottom"/>
          </w:tcPr>
          <w:p>
            <w:pPr>
              <w:ind w:left="1180"/>
              <w:spacing w:after="0"/>
              <w:rPr>
                <w:sz w:val="20"/>
                <w:szCs w:val="20"/>
                <w:color w:val="auto"/>
              </w:rPr>
            </w:pPr>
            <w:r>
              <w:rPr>
                <w:rFonts w:ascii="Arial" w:cs="Arial" w:eastAsia="Arial" w:hAnsi="Arial"/>
                <w:sz w:val="18"/>
                <w:szCs w:val="18"/>
                <w:color w:val="auto"/>
              </w:rPr>
              <w:t>Taiwan</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Soft Metais Ltda.</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Brazil</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Thaisarco</w:t>
            </w:r>
          </w:p>
        </w:tc>
        <w:tc>
          <w:tcPr>
            <w:tcW w:w="2960" w:type="dxa"/>
            <w:vAlign w:val="bottom"/>
          </w:tcPr>
          <w:p>
            <w:pPr>
              <w:ind w:left="1180"/>
              <w:spacing w:after="0"/>
              <w:rPr>
                <w:sz w:val="20"/>
                <w:szCs w:val="20"/>
                <w:color w:val="auto"/>
              </w:rPr>
            </w:pPr>
            <w:r>
              <w:rPr>
                <w:rFonts w:ascii="Arial" w:cs="Arial" w:eastAsia="Arial" w:hAnsi="Arial"/>
                <w:sz w:val="18"/>
                <w:szCs w:val="18"/>
                <w:color w:val="auto"/>
              </w:rPr>
              <w:t>Thailand</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Tuyen Quang Non-Ferrous Metals Joint Stock Co.</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Viet Nam</w:t>
            </w:r>
          </w:p>
        </w:tc>
        <w:tc>
          <w:tcPr>
            <w:tcW w:w="22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VQB Mineral and Trading Group JSC</w:t>
            </w:r>
          </w:p>
        </w:tc>
        <w:tc>
          <w:tcPr>
            <w:tcW w:w="2960" w:type="dxa"/>
            <w:vAlign w:val="bottom"/>
          </w:tcPr>
          <w:p>
            <w:pPr>
              <w:ind w:left="1180"/>
              <w:spacing w:after="0"/>
              <w:rPr>
                <w:sz w:val="20"/>
                <w:szCs w:val="20"/>
                <w:color w:val="auto"/>
              </w:rPr>
            </w:pPr>
            <w:r>
              <w:rPr>
                <w:rFonts w:ascii="Arial" w:cs="Arial" w:eastAsia="Arial" w:hAnsi="Arial"/>
                <w:sz w:val="18"/>
                <w:szCs w:val="18"/>
                <w:color w:val="auto"/>
              </w:rPr>
              <w:t>Viet Nam</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White Solder Metalurgia e Mineração Ltda.</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Brazil</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Tin</w:t>
            </w:r>
          </w:p>
        </w:tc>
        <w:tc>
          <w:tcPr>
            <w:tcW w:w="5220" w:type="dxa"/>
            <w:vAlign w:val="bottom"/>
          </w:tcPr>
          <w:p>
            <w:pPr>
              <w:ind w:left="380"/>
              <w:spacing w:after="0"/>
              <w:rPr>
                <w:sz w:val="20"/>
                <w:szCs w:val="20"/>
                <w:color w:val="auto"/>
              </w:rPr>
            </w:pPr>
            <w:r>
              <w:rPr>
                <w:rFonts w:ascii="Arial" w:cs="Arial" w:eastAsia="Arial" w:hAnsi="Arial"/>
                <w:sz w:val="18"/>
                <w:szCs w:val="18"/>
                <w:color w:val="auto"/>
              </w:rPr>
              <w:t>Yunnan Chengfeng Non-ferrous Metals Co., Ltd.</w:t>
            </w:r>
          </w:p>
        </w:tc>
        <w:tc>
          <w:tcPr>
            <w:tcW w:w="2960" w:type="dxa"/>
            <w:vAlign w:val="bottom"/>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Yunnan Tin Group (Holding) Company Limited</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220" w:type="dxa"/>
            <w:vAlign w:val="bottom"/>
          </w:tcPr>
          <w:p>
            <w:pPr>
              <w:ind w:left="380"/>
              <w:spacing w:after="0"/>
              <w:rPr>
                <w:sz w:val="20"/>
                <w:szCs w:val="20"/>
                <w:color w:val="auto"/>
              </w:rPr>
            </w:pPr>
            <w:r>
              <w:rPr>
                <w:rFonts w:ascii="Arial" w:cs="Arial" w:eastAsia="Arial" w:hAnsi="Arial"/>
                <w:sz w:val="18"/>
                <w:szCs w:val="18"/>
                <w:color w:val="auto"/>
              </w:rPr>
              <w:t>A.L.M.T. TUNGSTEN Corp.</w:t>
            </w:r>
          </w:p>
        </w:tc>
        <w:tc>
          <w:tcPr>
            <w:tcW w:w="2960" w:type="dxa"/>
            <w:vAlign w:val="bottom"/>
          </w:tcPr>
          <w:p>
            <w:pPr>
              <w:ind w:left="1180"/>
              <w:spacing w:after="0"/>
              <w:rPr>
                <w:sz w:val="20"/>
                <w:szCs w:val="20"/>
                <w:color w:val="auto"/>
              </w:rPr>
            </w:pPr>
            <w:r>
              <w:rPr>
                <w:rFonts w:ascii="Arial" w:cs="Arial" w:eastAsia="Arial" w:hAnsi="Arial"/>
                <w:sz w:val="18"/>
                <w:szCs w:val="18"/>
                <w:color w:val="auto"/>
              </w:rPr>
              <w:t>Japan</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Asia Tungsten Products Vietnam Ltd.</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Viet Nam</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220" w:type="dxa"/>
            <w:vAlign w:val="bottom"/>
          </w:tcPr>
          <w:p>
            <w:pPr>
              <w:ind w:left="380"/>
              <w:spacing w:after="0"/>
              <w:rPr>
                <w:sz w:val="20"/>
                <w:szCs w:val="20"/>
                <w:color w:val="auto"/>
              </w:rPr>
            </w:pPr>
            <w:r>
              <w:rPr>
                <w:rFonts w:ascii="Arial" w:cs="Arial" w:eastAsia="Arial" w:hAnsi="Arial"/>
                <w:sz w:val="18"/>
                <w:szCs w:val="18"/>
                <w:color w:val="auto"/>
              </w:rPr>
              <w:t>Chenzhou Diamond Tungsten Prod. Co., Ltd.</w:t>
            </w:r>
          </w:p>
        </w:tc>
        <w:tc>
          <w:tcPr>
            <w:tcW w:w="2960" w:type="dxa"/>
            <w:vAlign w:val="bottom"/>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Chongyi Zhangyuan Tungsten Co., Ltd.</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220" w:type="dxa"/>
            <w:vAlign w:val="bottom"/>
          </w:tcPr>
          <w:p>
            <w:pPr>
              <w:ind w:left="380"/>
              <w:spacing w:after="0"/>
              <w:rPr>
                <w:sz w:val="20"/>
                <w:szCs w:val="20"/>
                <w:color w:val="auto"/>
              </w:rPr>
            </w:pPr>
            <w:r>
              <w:rPr>
                <w:rFonts w:ascii="Arial" w:cs="Arial" w:eastAsia="Arial" w:hAnsi="Arial"/>
                <w:sz w:val="18"/>
                <w:szCs w:val="18"/>
                <w:color w:val="auto"/>
              </w:rPr>
              <w:t>Dayu Jincheng Tungsten Industry Co., Ltd.</w:t>
            </w:r>
          </w:p>
        </w:tc>
        <w:tc>
          <w:tcPr>
            <w:tcW w:w="2960" w:type="dxa"/>
            <w:vAlign w:val="bottom"/>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Dayu Weiliang Tungsten Co., Ltd.</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220" w:type="dxa"/>
            <w:vAlign w:val="bottom"/>
          </w:tcPr>
          <w:p>
            <w:pPr>
              <w:ind w:left="380"/>
              <w:spacing w:after="0"/>
              <w:rPr>
                <w:sz w:val="20"/>
                <w:szCs w:val="20"/>
                <w:color w:val="auto"/>
              </w:rPr>
            </w:pPr>
            <w:r>
              <w:rPr>
                <w:rFonts w:ascii="Arial" w:cs="Arial" w:eastAsia="Arial" w:hAnsi="Arial"/>
                <w:sz w:val="18"/>
                <w:szCs w:val="18"/>
                <w:color w:val="auto"/>
              </w:rPr>
              <w:t>Fujian Jinxin Tungsten Co., Ltd.</w:t>
            </w:r>
          </w:p>
        </w:tc>
        <w:tc>
          <w:tcPr>
            <w:tcW w:w="2960" w:type="dxa"/>
            <w:vAlign w:val="bottom"/>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Ganxian Shirui New Material Co., Ltd.</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220" w:type="dxa"/>
            <w:vAlign w:val="bottom"/>
          </w:tcPr>
          <w:p>
            <w:pPr>
              <w:ind w:left="380"/>
              <w:spacing w:after="0"/>
              <w:rPr>
                <w:sz w:val="20"/>
                <w:szCs w:val="20"/>
                <w:color w:val="auto"/>
              </w:rPr>
            </w:pPr>
            <w:r>
              <w:rPr>
                <w:rFonts w:ascii="Arial" w:cs="Arial" w:eastAsia="Arial" w:hAnsi="Arial"/>
                <w:sz w:val="18"/>
                <w:szCs w:val="18"/>
                <w:color w:val="auto"/>
              </w:rPr>
              <w:t>Ganzhou Huaxing Tungsten Prod. Co., Ltd.</w:t>
            </w:r>
          </w:p>
        </w:tc>
        <w:tc>
          <w:tcPr>
            <w:tcW w:w="2960" w:type="dxa"/>
            <w:vAlign w:val="bottom"/>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tcPr>
          <w:p>
            <w:pPr>
              <w:ind w:left="194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Ganzhou Jiangwu Ferrotungsten Co., Ltd.</w:t>
            </w:r>
          </w:p>
        </w:tc>
        <w:tc>
          <w:tcPr>
            <w:tcW w:w="296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China</w:t>
            </w:r>
          </w:p>
        </w:tc>
        <w:tc>
          <w:tcPr>
            <w:tcW w:w="2200" w:type="dxa"/>
            <w:vAlign w:val="bottom"/>
            <w:shd w:val="clear" w:color="auto" w:fill="CCEEFF"/>
          </w:tcPr>
          <w:p>
            <w:pPr>
              <w:ind w:left="1940"/>
              <w:spacing w:after="0"/>
              <w:rPr>
                <w:sz w:val="20"/>
                <w:szCs w:val="20"/>
                <w:color w:val="auto"/>
              </w:rPr>
            </w:pPr>
            <w:r>
              <w:rPr>
                <w:rFonts w:ascii="Arial" w:cs="Arial" w:eastAsia="Arial" w:hAnsi="Arial"/>
                <w:sz w:val="18"/>
                <w:szCs w:val="18"/>
                <w:color w:val="auto"/>
                <w:w w:val="77"/>
              </w:rPr>
              <w:t>Yes</w:t>
            </w:r>
          </w:p>
        </w:tc>
      </w:tr>
      <w:tr>
        <w:trPr>
          <w:trHeight w:val="183"/>
        </w:trPr>
        <w:tc>
          <w:tcPr>
            <w:tcW w:w="1040" w:type="dxa"/>
            <w:vAlign w:val="bottom"/>
            <w:tcBorders>
              <w:bottom w:val="single" w:sz="8" w:color="auto"/>
            </w:tcBorders>
          </w:tcPr>
          <w:p>
            <w:pPr>
              <w:spacing w:after="0"/>
              <w:rPr>
                <w:sz w:val="15"/>
                <w:szCs w:val="15"/>
                <w:color w:val="auto"/>
              </w:rPr>
            </w:pPr>
          </w:p>
        </w:tc>
        <w:tc>
          <w:tcPr>
            <w:tcW w:w="52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720" w:type="dxa"/>
            <w:vAlign w:val="bottom"/>
          </w:tcPr>
          <w:p>
            <w:pPr>
              <w:ind w:left="380"/>
              <w:spacing w:after="0"/>
              <w:rPr>
                <w:sz w:val="20"/>
                <w:szCs w:val="20"/>
                <w:color w:val="auto"/>
              </w:rPr>
            </w:pPr>
            <w:r>
              <w:rPr>
                <w:rFonts w:ascii="Arial" w:cs="Arial" w:eastAsia="Arial" w:hAnsi="Arial"/>
                <w:sz w:val="18"/>
                <w:szCs w:val="18"/>
                <w:b w:val="1"/>
                <w:bCs w:val="1"/>
                <w:color w:val="auto"/>
              </w:rPr>
              <w:t>Smelter/Refiner Name</w:t>
            </w:r>
          </w:p>
        </w:tc>
        <w:tc>
          <w:tcPr>
            <w:tcW w:w="2800" w:type="dxa"/>
            <w:vAlign w:val="bottom"/>
          </w:tcPr>
          <w:p>
            <w:pPr>
              <w:ind w:left="680"/>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ind w:left="7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Ganzhou Non-ferrous Metals Smelting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Ganzhou Seadragon W &amp; Mo Co., Ltd.</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Ganzhou Yatai Tungsten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Global Tungsten &amp; Powders Corp.</w:t>
            </w:r>
          </w:p>
        </w:tc>
        <w:tc>
          <w:tcPr>
            <w:tcW w:w="280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Guangdong Xianglu Tungsten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H.C. Starck GmbH</w:t>
            </w:r>
          </w:p>
        </w:tc>
        <w:tc>
          <w:tcPr>
            <w:tcW w:w="2800" w:type="dxa"/>
            <w:vAlign w:val="bottom"/>
          </w:tcPr>
          <w:p>
            <w:pPr>
              <w:ind w:left="680"/>
              <w:spacing w:after="0"/>
              <w:rPr>
                <w:sz w:val="20"/>
                <w:szCs w:val="20"/>
                <w:color w:val="auto"/>
              </w:rPr>
            </w:pPr>
            <w:r>
              <w:rPr>
                <w:rFonts w:ascii="Arial" w:cs="Arial" w:eastAsia="Arial" w:hAnsi="Arial"/>
                <w:sz w:val="18"/>
                <w:szCs w:val="18"/>
                <w:color w:val="auto"/>
              </w:rPr>
              <w:t>Germany</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H.C. Starck Smelting GmbH &amp; Co.KG</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Germany</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Hunan Chenzhou Mining Co., Ltd.</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Hunan Chuangda Vanadium Tungsten Co., Ltd. Wuji</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Hunan Chuangda Vanadium Tungsten Co., Ltd. Yanglin</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Hunan Chunchang Nonferrous Metals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Hydrometallurg, JSC</w:t>
            </w:r>
          </w:p>
        </w:tc>
        <w:tc>
          <w:tcPr>
            <w:tcW w:w="2800" w:type="dxa"/>
            <w:vAlign w:val="bottom"/>
          </w:tcPr>
          <w:p>
            <w:pPr>
              <w:ind w:left="680"/>
              <w:spacing w:after="0"/>
              <w:rPr>
                <w:sz w:val="20"/>
                <w:szCs w:val="20"/>
                <w:color w:val="auto"/>
              </w:rPr>
            </w:pPr>
            <w:r>
              <w:rPr>
                <w:rFonts w:ascii="Arial" w:cs="Arial" w:eastAsia="Arial" w:hAnsi="Arial"/>
                <w:sz w:val="18"/>
                <w:szCs w:val="18"/>
                <w:color w:val="auto"/>
              </w:rPr>
              <w:t>Russian Federation</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Japan New Metals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Japan</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Jiangwu H.C. Starck Tungsten Prod.Co., Ltd.</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Jiangxi Gan Bei Tungsten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Jiangxi Minmetals Gao'an Non-ferrous Metals Co., Ltd.</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Jiangxi Tonggu Non-ferrous Metallurgical &amp; Chemical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Jiangxi Xinsheng Tungsten Industry Co., Ltd.</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Jiangxi Xiushui Xianggan Nonferrous Metals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Jiangxi Yaosheng Tungsten Co., Ltd.</w:t>
            </w:r>
          </w:p>
        </w:tc>
        <w:tc>
          <w:tcPr>
            <w:tcW w:w="2800" w:type="dxa"/>
            <w:vAlign w:val="bottom"/>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Kennametal Fallon</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20" w:type="dxa"/>
            <w:vAlign w:val="bottom"/>
          </w:tcPr>
          <w:p>
            <w:pPr>
              <w:ind w:left="380"/>
              <w:spacing w:after="0"/>
              <w:rPr>
                <w:sz w:val="20"/>
                <w:szCs w:val="20"/>
                <w:color w:val="auto"/>
              </w:rPr>
            </w:pPr>
            <w:r>
              <w:rPr>
                <w:rFonts w:ascii="Arial" w:cs="Arial" w:eastAsia="Arial" w:hAnsi="Arial"/>
                <w:sz w:val="18"/>
                <w:szCs w:val="18"/>
                <w:color w:val="auto"/>
              </w:rPr>
              <w:t>Kennametal Huntsville</w:t>
            </w:r>
          </w:p>
        </w:tc>
        <w:tc>
          <w:tcPr>
            <w:tcW w:w="2800" w:type="dxa"/>
            <w:vAlign w:val="bottom"/>
          </w:tcPr>
          <w:p>
            <w:pPr>
              <w:ind w:left="680"/>
              <w:spacing w:after="0"/>
              <w:rPr>
                <w:sz w:val="20"/>
                <w:szCs w:val="20"/>
                <w:color w:val="auto"/>
              </w:rPr>
            </w:pPr>
            <w:r>
              <w:rPr>
                <w:rFonts w:ascii="Arial" w:cs="Arial" w:eastAsia="Arial" w:hAnsi="Arial"/>
                <w:sz w:val="18"/>
                <w:szCs w:val="18"/>
                <w:color w:val="auto"/>
              </w:rPr>
              <w:t>United States</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Malipo Haiyu Tungsten Co., Ltd.</w:t>
            </w:r>
          </w:p>
        </w:tc>
        <w:tc>
          <w:tcPr>
            <w:tcW w:w="28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183"/>
        </w:trPr>
        <w:tc>
          <w:tcPr>
            <w:tcW w:w="1040" w:type="dxa"/>
            <w:vAlign w:val="bottom"/>
            <w:tcBorders>
              <w:bottom w:val="single" w:sz="8" w:color="auto"/>
            </w:tcBorders>
          </w:tcPr>
          <w:p>
            <w:pPr>
              <w:spacing w:after="0"/>
              <w:rPr>
                <w:sz w:val="15"/>
                <w:szCs w:val="15"/>
                <w:color w:val="auto"/>
              </w:rPr>
            </w:pPr>
          </w:p>
        </w:tc>
        <w:tc>
          <w:tcPr>
            <w:tcW w:w="572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37"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5780" w:type="dxa"/>
            <w:vAlign w:val="bottom"/>
          </w:tcPr>
          <w:p>
            <w:pPr>
              <w:ind w:left="380"/>
              <w:spacing w:after="0"/>
              <w:rPr>
                <w:sz w:val="20"/>
                <w:szCs w:val="20"/>
                <w:color w:val="auto"/>
              </w:rPr>
            </w:pPr>
            <w:r>
              <w:rPr>
                <w:rFonts w:ascii="Arial" w:cs="Arial" w:eastAsia="Arial" w:hAnsi="Arial"/>
                <w:sz w:val="18"/>
                <w:szCs w:val="18"/>
                <w:b w:val="1"/>
                <w:bCs w:val="1"/>
                <w:color w:val="auto"/>
              </w:rPr>
              <w:t>Smelter/Refiner Name</w:t>
            </w:r>
          </w:p>
        </w:tc>
        <w:tc>
          <w:tcPr>
            <w:tcW w:w="2740" w:type="dxa"/>
            <w:vAlign w:val="bottom"/>
          </w:tcPr>
          <w:p>
            <w:pPr>
              <w:ind w:left="620"/>
              <w:spacing w:after="0"/>
              <w:rPr>
                <w:sz w:val="20"/>
                <w:szCs w:val="20"/>
                <w:color w:val="auto"/>
              </w:rPr>
            </w:pPr>
            <w:r>
              <w:rPr>
                <w:rFonts w:ascii="Arial" w:cs="Arial" w:eastAsia="Arial" w:hAnsi="Arial"/>
                <w:sz w:val="18"/>
                <w:szCs w:val="18"/>
                <w:b w:val="1"/>
                <w:bCs w:val="1"/>
                <w:color w:val="auto"/>
              </w:rPr>
              <w:t>Location</w:t>
            </w:r>
          </w:p>
        </w:tc>
        <w:tc>
          <w:tcPr>
            <w:tcW w:w="1860" w:type="dxa"/>
            <w:vAlign w:val="bottom"/>
          </w:tcPr>
          <w:p>
            <w:pPr>
              <w:ind w:left="720"/>
              <w:spacing w:after="0"/>
              <w:rPr>
                <w:sz w:val="20"/>
                <w:szCs w:val="20"/>
                <w:color w:val="auto"/>
              </w:rPr>
            </w:pPr>
            <w:r>
              <w:rPr>
                <w:rFonts w:ascii="Arial" w:cs="Arial" w:eastAsia="Arial" w:hAnsi="Arial"/>
                <w:sz w:val="18"/>
                <w:szCs w:val="18"/>
                <w:b w:val="1"/>
                <w:bCs w:val="1"/>
                <w:color w:val="auto"/>
              </w:rPr>
              <w:t>Conflict Free</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Niagara Refining LLC</w:t>
            </w:r>
          </w:p>
        </w:tc>
        <w:tc>
          <w:tcPr>
            <w:tcW w:w="2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United States</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80" w:type="dxa"/>
            <w:vAlign w:val="bottom"/>
          </w:tcPr>
          <w:p>
            <w:pPr>
              <w:ind w:left="380"/>
              <w:spacing w:after="0"/>
              <w:rPr>
                <w:sz w:val="20"/>
                <w:szCs w:val="20"/>
                <w:color w:val="auto"/>
              </w:rPr>
            </w:pPr>
            <w:r>
              <w:rPr>
                <w:rFonts w:ascii="Arial" w:cs="Arial" w:eastAsia="Arial" w:hAnsi="Arial"/>
                <w:sz w:val="18"/>
                <w:szCs w:val="18"/>
                <w:color w:val="auto"/>
              </w:rPr>
              <w:t>Nui Phao H.C. Starck Tungsten Chemicals Manufacturing LLC</w:t>
            </w:r>
          </w:p>
        </w:tc>
        <w:tc>
          <w:tcPr>
            <w:tcW w:w="2740" w:type="dxa"/>
            <w:vAlign w:val="bottom"/>
          </w:tcPr>
          <w:p>
            <w:pPr>
              <w:ind w:left="620"/>
              <w:spacing w:after="0"/>
              <w:rPr>
                <w:sz w:val="20"/>
                <w:szCs w:val="20"/>
                <w:color w:val="auto"/>
              </w:rPr>
            </w:pPr>
            <w:r>
              <w:rPr>
                <w:rFonts w:ascii="Arial" w:cs="Arial" w:eastAsia="Arial" w:hAnsi="Arial"/>
                <w:sz w:val="18"/>
                <w:szCs w:val="18"/>
                <w:color w:val="auto"/>
              </w:rPr>
              <w:t>Viet Nam</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Pobedit, JSC</w:t>
            </w:r>
          </w:p>
        </w:tc>
        <w:tc>
          <w:tcPr>
            <w:tcW w:w="2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Russian Federation</w:t>
            </w:r>
          </w:p>
        </w:tc>
        <w:tc>
          <w:tcPr>
            <w:tcW w:w="186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80" w:type="dxa"/>
            <w:vAlign w:val="bottom"/>
          </w:tcPr>
          <w:p>
            <w:pPr>
              <w:ind w:left="380"/>
              <w:spacing w:after="0"/>
              <w:rPr>
                <w:sz w:val="20"/>
                <w:szCs w:val="20"/>
                <w:color w:val="auto"/>
              </w:rPr>
            </w:pPr>
            <w:r>
              <w:rPr>
                <w:rFonts w:ascii="Arial" w:cs="Arial" w:eastAsia="Arial" w:hAnsi="Arial"/>
                <w:sz w:val="18"/>
                <w:szCs w:val="18"/>
                <w:color w:val="auto"/>
              </w:rPr>
              <w:t>Sanher Tungsten Vietnam Co., Ltd.</w:t>
            </w:r>
          </w:p>
        </w:tc>
        <w:tc>
          <w:tcPr>
            <w:tcW w:w="2740" w:type="dxa"/>
            <w:vAlign w:val="bottom"/>
          </w:tcPr>
          <w:p>
            <w:pPr>
              <w:ind w:left="620"/>
              <w:spacing w:after="0"/>
              <w:rPr>
                <w:sz w:val="20"/>
                <w:szCs w:val="20"/>
                <w:color w:val="auto"/>
              </w:rPr>
            </w:pPr>
            <w:r>
              <w:rPr>
                <w:rFonts w:ascii="Arial" w:cs="Arial" w:eastAsia="Arial" w:hAnsi="Arial"/>
                <w:sz w:val="18"/>
                <w:szCs w:val="18"/>
                <w:color w:val="auto"/>
              </w:rPr>
              <w:t>Viet Nam</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Tejing (Vietnam) Tungsten Co., Ltd.</w:t>
            </w:r>
          </w:p>
        </w:tc>
        <w:tc>
          <w:tcPr>
            <w:tcW w:w="2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Viet Nam</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80" w:type="dxa"/>
            <w:vAlign w:val="bottom"/>
          </w:tcPr>
          <w:p>
            <w:pPr>
              <w:ind w:left="380"/>
              <w:spacing w:after="0"/>
              <w:rPr>
                <w:sz w:val="20"/>
                <w:szCs w:val="20"/>
                <w:color w:val="auto"/>
              </w:rPr>
            </w:pPr>
            <w:r>
              <w:rPr>
                <w:rFonts w:ascii="Arial" w:cs="Arial" w:eastAsia="Arial" w:hAnsi="Arial"/>
                <w:sz w:val="18"/>
                <w:szCs w:val="18"/>
                <w:color w:val="auto"/>
              </w:rPr>
              <w:t>Vietnam Youngsun Tungsten Industry Co., Ltd.</w:t>
            </w:r>
          </w:p>
        </w:tc>
        <w:tc>
          <w:tcPr>
            <w:tcW w:w="2740" w:type="dxa"/>
            <w:vAlign w:val="bottom"/>
          </w:tcPr>
          <w:p>
            <w:pPr>
              <w:ind w:left="620"/>
              <w:spacing w:after="0"/>
              <w:rPr>
                <w:sz w:val="20"/>
                <w:szCs w:val="20"/>
                <w:color w:val="auto"/>
              </w:rPr>
            </w:pPr>
            <w:r>
              <w:rPr>
                <w:rFonts w:ascii="Arial" w:cs="Arial" w:eastAsia="Arial" w:hAnsi="Arial"/>
                <w:sz w:val="18"/>
                <w:szCs w:val="18"/>
                <w:color w:val="auto"/>
              </w:rPr>
              <w:t>Viet Nam</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Wolfram Bergbau und Hütten AG</w:t>
            </w:r>
          </w:p>
        </w:tc>
        <w:tc>
          <w:tcPr>
            <w:tcW w:w="2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Austria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80" w:type="dxa"/>
            <w:vAlign w:val="bottom"/>
          </w:tcPr>
          <w:p>
            <w:pPr>
              <w:ind w:left="380"/>
              <w:spacing w:after="0"/>
              <w:rPr>
                <w:sz w:val="20"/>
                <w:szCs w:val="20"/>
                <w:color w:val="auto"/>
              </w:rPr>
            </w:pPr>
            <w:r>
              <w:rPr>
                <w:rFonts w:ascii="Arial" w:cs="Arial" w:eastAsia="Arial" w:hAnsi="Arial"/>
                <w:sz w:val="18"/>
                <w:szCs w:val="18"/>
                <w:color w:val="auto"/>
              </w:rPr>
              <w:t>Xiamen Tungsten (H.C.) Co., Ltd.</w:t>
            </w:r>
          </w:p>
        </w:tc>
        <w:tc>
          <w:tcPr>
            <w:tcW w:w="2740" w:type="dxa"/>
            <w:vAlign w:val="bottom"/>
          </w:tcPr>
          <w:p>
            <w:pPr>
              <w:ind w:left="620"/>
              <w:spacing w:after="0"/>
              <w:rPr>
                <w:sz w:val="20"/>
                <w:szCs w:val="20"/>
                <w:color w:val="auto"/>
              </w:rPr>
            </w:pPr>
            <w:r>
              <w:rPr>
                <w:rFonts w:ascii="Arial" w:cs="Arial" w:eastAsia="Arial" w:hAnsi="Arial"/>
                <w:sz w:val="18"/>
                <w:szCs w:val="18"/>
                <w:color w:val="auto"/>
              </w:rPr>
              <w:t>China</w:t>
            </w:r>
          </w:p>
        </w:tc>
        <w:tc>
          <w:tcPr>
            <w:tcW w:w="1860" w:type="dxa"/>
            <w:vAlign w:val="bottom"/>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Xiamen Tungsten Co., Ltd.</w:t>
            </w:r>
          </w:p>
        </w:tc>
        <w:tc>
          <w:tcPr>
            <w:tcW w:w="2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Tungsten</w:t>
            </w:r>
          </w:p>
        </w:tc>
        <w:tc>
          <w:tcPr>
            <w:tcW w:w="5780" w:type="dxa"/>
            <w:vAlign w:val="bottom"/>
          </w:tcPr>
          <w:p>
            <w:pPr>
              <w:ind w:left="380"/>
              <w:spacing w:after="0"/>
              <w:rPr>
                <w:sz w:val="20"/>
                <w:szCs w:val="20"/>
                <w:color w:val="auto"/>
              </w:rPr>
            </w:pPr>
            <w:r>
              <w:rPr>
                <w:rFonts w:ascii="Arial" w:cs="Arial" w:eastAsia="Arial" w:hAnsi="Arial"/>
                <w:sz w:val="18"/>
                <w:szCs w:val="18"/>
                <w:color w:val="auto"/>
              </w:rPr>
              <w:t>Xinfeng Huarui Tungsten &amp; Molybdenum New Material Co., Ltd.</w:t>
            </w:r>
          </w:p>
        </w:tc>
        <w:tc>
          <w:tcPr>
            <w:tcW w:w="2740" w:type="dxa"/>
            <w:vAlign w:val="bottom"/>
          </w:tcPr>
          <w:p>
            <w:pPr>
              <w:ind w:left="620"/>
              <w:spacing w:after="0"/>
              <w:rPr>
                <w:sz w:val="20"/>
                <w:szCs w:val="20"/>
                <w:color w:val="auto"/>
              </w:rPr>
            </w:pPr>
            <w:r>
              <w:rPr>
                <w:rFonts w:ascii="Arial" w:cs="Arial" w:eastAsia="Arial" w:hAnsi="Arial"/>
                <w:sz w:val="18"/>
                <w:szCs w:val="18"/>
                <w:color w:val="auto"/>
              </w:rPr>
              <w:t>China</w:t>
            </w:r>
          </w:p>
        </w:tc>
        <w:tc>
          <w:tcPr>
            <w:tcW w:w="1860" w:type="dxa"/>
            <w:vAlign w:val="bottom"/>
          </w:tcPr>
          <w:p>
            <w:pPr>
              <w:spacing w:after="0"/>
              <w:rPr>
                <w:sz w:val="18"/>
                <w:szCs w:val="18"/>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5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Xinhai Rendan Shaoguan Tungsten Co., Ltd.</w:t>
            </w:r>
          </w:p>
        </w:tc>
        <w:tc>
          <w:tcPr>
            <w:tcW w:w="2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China</w:t>
            </w:r>
          </w:p>
        </w:tc>
        <w:tc>
          <w:tcPr>
            <w:tcW w:w="1860" w:type="dxa"/>
            <w:vAlign w:val="bottom"/>
            <w:shd w:val="clear" w:color="auto" w:fill="CCEEFF"/>
          </w:tcPr>
          <w:p>
            <w:pPr>
              <w:ind w:left="1600"/>
              <w:spacing w:after="0"/>
              <w:rPr>
                <w:sz w:val="20"/>
                <w:szCs w:val="20"/>
                <w:color w:val="auto"/>
              </w:rPr>
            </w:pPr>
            <w:r>
              <w:rPr>
                <w:rFonts w:ascii="Arial" w:cs="Arial" w:eastAsia="Arial" w:hAnsi="Arial"/>
                <w:sz w:val="18"/>
                <w:szCs w:val="18"/>
                <w:color w:val="auto"/>
                <w:w w:val="77"/>
              </w:rPr>
              <w:t>Yes</w:t>
            </w:r>
          </w:p>
        </w:tc>
      </w:tr>
      <w:tr>
        <w:trPr>
          <w:trHeight w:val="480"/>
        </w:trPr>
        <w:tc>
          <w:tcPr>
            <w:tcW w:w="1040" w:type="dxa"/>
            <w:vAlign w:val="bottom"/>
            <w:tcBorders>
              <w:bottom w:val="single" w:sz="8" w:color="auto"/>
            </w:tcBorders>
          </w:tcPr>
          <w:p>
            <w:pPr>
              <w:spacing w:after="0"/>
              <w:rPr>
                <w:sz w:val="24"/>
                <w:szCs w:val="24"/>
                <w:color w:val="auto"/>
              </w:rPr>
            </w:pPr>
          </w:p>
        </w:tc>
        <w:tc>
          <w:tcPr>
            <w:tcW w:w="57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u w:val="single" w:color="auto"/>
          <w:color w:val="auto"/>
        </w:rPr>
        <w:t>Appendix A 2016 Countries of Origin List</w:t>
      </w:r>
    </w:p>
    <w:p>
      <w:pPr>
        <w:spacing w:after="0" w:line="279" w:lineRule="exact"/>
        <w:rPr>
          <w:sz w:val="20"/>
          <w:szCs w:val="20"/>
          <w:color w:val="auto"/>
        </w:rPr>
      </w:pPr>
    </w:p>
    <w:p>
      <w:pPr>
        <w:jc w:val="both"/>
        <w:spacing w:after="0" w:line="376" w:lineRule="auto"/>
        <w:rPr>
          <w:sz w:val="20"/>
          <w:szCs w:val="20"/>
          <w:color w:val="auto"/>
        </w:rPr>
      </w:pPr>
      <w:r>
        <w:rPr>
          <w:rFonts w:ascii="Arial" w:cs="Arial" w:eastAsia="Arial" w:hAnsi="Arial"/>
          <w:sz w:val="18"/>
          <w:szCs w:val="18"/>
          <w:b w:val="1"/>
          <w:bCs w:val="1"/>
          <w:color w:val="auto"/>
        </w:rPr>
        <w:t xml:space="preserve">Countries of origin of the conflict minerals that the facilities listed in </w:t>
      </w:r>
      <w:r>
        <w:rPr>
          <w:rFonts w:ascii="Arial" w:cs="Arial" w:eastAsia="Arial" w:hAnsi="Arial"/>
          <w:sz w:val="18"/>
          <w:szCs w:val="18"/>
          <w:b w:val="1"/>
          <w:bCs w:val="1"/>
          <w:u w:val="single" w:color="auto"/>
          <w:color w:val="auto"/>
        </w:rPr>
        <w:t>Appendix A</w:t>
      </w:r>
      <w:r>
        <w:rPr>
          <w:rFonts w:ascii="Arial" w:cs="Arial" w:eastAsia="Arial" w:hAnsi="Arial"/>
          <w:sz w:val="18"/>
          <w:szCs w:val="18"/>
          <w:b w:val="1"/>
          <w:bCs w:val="1"/>
          <w:color w:val="auto"/>
        </w:rPr>
        <w:t xml:space="preserve"> process are believed to include the following countries, based on information provided by suppliers and the CFSI, and are aggregated for confidentiality purposes:</w:t>
      </w:r>
    </w:p>
    <w:p>
      <w:pPr>
        <w:spacing w:after="0" w:line="200" w:lineRule="exact"/>
        <w:rPr>
          <w:sz w:val="20"/>
          <w:szCs w:val="20"/>
          <w:color w:val="auto"/>
        </w:rPr>
      </w:pPr>
    </w:p>
    <w:p>
      <w:pPr>
        <w:spacing w:after="0" w:line="398" w:lineRule="exact"/>
        <w:rPr>
          <w:sz w:val="20"/>
          <w:szCs w:val="20"/>
          <w:color w:val="auto"/>
        </w:rPr>
      </w:pPr>
    </w:p>
    <w:p>
      <w:pPr>
        <w:jc w:val="both"/>
        <w:spacing w:after="0" w:line="375" w:lineRule="auto"/>
        <w:rPr>
          <w:sz w:val="20"/>
          <w:szCs w:val="20"/>
          <w:color w:val="auto"/>
        </w:rPr>
      </w:pPr>
      <w:r>
        <w:rPr>
          <w:rFonts w:ascii="Arial" w:cs="Arial" w:eastAsia="Arial" w:hAnsi="Arial"/>
          <w:sz w:val="17"/>
          <w:szCs w:val="17"/>
          <w:color w:val="auto"/>
        </w:rPr>
        <w:t>Argentina, Australia, Austria, Belgium, Bolivia, Brazil, Cambodia, Canada, Chile, China, Columbia, Cote D'Ivoire, Czech Republic, Djibouti, Ecuador, Egypt, Estonia, Ethiopia, France, Germany, Guyana, Hungary, India, Indonesia, Ireland, Israel, Japan, Kazakhstan, Laos, Luxembourg, Madagascar, Malaysia, Mongolia, Myanmar, Namibia, Netherlands, Nigeria, Peru, Portugal, Russia, Sierra Leone, Singapore, Slovakia, South Korea, Spain, Suriname, Switzerland, Taiwan, Thailand, United Kingdom, United States, Vietnam, Zimbabwe, Kenya, Mozambique, South Africa, Democratic Republic of the Congo, Angola, Burundi, Central African Republic, Republic of Congo, Rwanda, South Sudan, Tanzania, Uganda, and Zambia</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2019-12-09T01:58:55Z</dcterms:created>
  <dcterms:modified xsi:type="dcterms:W3CDTF">2019-12-09T01:58:55Z</dcterms:modified>
</cp:coreProperties>
</file>