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68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8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18"/>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312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900"/>
        <w:spacing w:after="0" w:line="301" w:lineRule="exact"/>
        <w:tabs>
          <w:tab w:leader="none" w:pos="109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9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February 26, 2020, LivaNova PLC (the “Company”) issued a press release announcing financial results for full-year ended December 31, 2019. The Company will host a business update conference call and webcast today, February 26, 2020, at 1 p.m. London time (8 a.m. Eastern Time), during which the Company will discuss the financial results. The conference call will be available to interested parties through a live audio webcast and accessible through the Investor Relations section of the LivaNova corporate website at </w:t>
      </w:r>
      <w:r>
        <w:rPr>
          <w:rFonts w:ascii="Arial" w:cs="Arial" w:eastAsia="Arial" w:hAnsi="Arial"/>
          <w:sz w:val="18"/>
          <w:szCs w:val="18"/>
          <w:u w:val="single" w:color="auto"/>
          <w:color w:val="0563C1"/>
        </w:rPr>
        <w:t>www.livanova.com</w:t>
      </w:r>
      <w:r>
        <w:rPr>
          <w:rFonts w:ascii="Arial" w:cs="Arial" w:eastAsia="Arial" w:hAnsi="Arial"/>
          <w:sz w:val="18"/>
          <w:szCs w:val="18"/>
          <w:color w:val="auto"/>
        </w:rPr>
        <w:t>. A copy of the Company’s press release is furnished as Exhibit 99.1 on this Current Report on Form 8-K.</w:t>
      </w:r>
    </w:p>
    <w:p>
      <w:pPr>
        <w:spacing w:after="0" w:line="18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issued by LivaNova PLC dated February 26, 2020</w:t>
        </w:r>
      </w:hyperlink>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337"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33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8084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100"/>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Fourth Quarter and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Full-Year 2019 Results</w:t>
      </w:r>
    </w:p>
    <w:p>
      <w:pPr>
        <w:spacing w:after="0" w:line="305"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February 26, 2020 – </w:t>
      </w:r>
      <w:r>
        <w:rPr>
          <w:rFonts w:ascii="Arial" w:cs="Arial" w:eastAsia="Arial" w:hAnsi="Arial"/>
          <w:sz w:val="20"/>
          <w:szCs w:val="20"/>
          <w:color w:val="auto"/>
        </w:rPr>
        <w:t>LivaNova PLC (NASDAQ:LIVN), a market-leading medical technology and innovation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today reported results for the quarter and full-year ended December 31, 2019.</w:t>
      </w:r>
    </w:p>
    <w:p>
      <w:pPr>
        <w:spacing w:after="0" w:line="315" w:lineRule="exact"/>
        <w:rPr>
          <w:sz w:val="20"/>
          <w:szCs w:val="20"/>
          <w:color w:val="auto"/>
        </w:rPr>
      </w:pPr>
    </w:p>
    <w:p>
      <w:pPr>
        <w:jc w:val="both"/>
        <w:spacing w:after="0" w:line="389" w:lineRule="auto"/>
        <w:rPr>
          <w:sz w:val="20"/>
          <w:szCs w:val="20"/>
          <w:color w:val="auto"/>
        </w:rPr>
      </w:pPr>
      <w:r>
        <w:rPr>
          <w:rFonts w:ascii="Arial" w:cs="Arial" w:eastAsia="Arial" w:hAnsi="Arial"/>
          <w:sz w:val="19"/>
          <w:szCs w:val="19"/>
          <w:color w:val="auto"/>
        </w:rPr>
        <w:t>For the fourth quarter of 2019, worldwide sales were $287.6 million, a decrease of 3.2 percent on a reported basis and a decrease of 2.2 percent on a constant-currency basis, as compared to the same quarter of the previous year. On the basis of U.S. Generally Accepted Accounting Principles (GAAP), fourth quarter 2019 diluted loss per share from continuing operations was $2.96. Fourth quarter 2019 adjusted diluted earnings per share from continuing operations were $1.00. For full-year 2019, worldwide sales from continuing operations were $1.1 billion, a decrease of 2.1 percent on a reported basis and an increase of 0.1 percent on a constant-currency basis, as compared to the previous year. On a GAAP basis, full-year 2019 diluted loss per share from continuing operations was $3.22. Full-year 2019 adjusted diluted earnings per share from continuing operations were $3.08.</w:t>
      </w:r>
    </w:p>
    <w:p>
      <w:pPr>
        <w:spacing w:after="0" w:line="330"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“We are encouraged by several trends in our fourth quarter 2019 results, highlighted by strong sales in Advanced Circulatory Support (ACS) and continued stability in our Epilepsy business. These successes were offset by an unexpected component supplier issue for oxygenators and execution challenges in the Rest of World region relating to distribution model changes," said Damien McDonald, Chief Executive Officer of LivaNova. “Our team is focused, and I am confident that the building blocks we have put in place in 2019 will enable us to achieve our financial and operational goals in 2020.”</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2019 Results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highlights worldwide sales for the fourth quarter of 2019 and by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7"/>
        </w:trPr>
        <w:tc>
          <w:tcPr>
            <w:tcW w:w="4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rPr>
              <w:t>$ in millions</w:t>
            </w:r>
          </w:p>
        </w:tc>
        <w:tc>
          <w:tcPr>
            <w:tcW w:w="3280" w:type="dxa"/>
            <w:vAlign w:val="bottom"/>
            <w:tcBorders>
              <w:top w:val="single" w:sz="8" w:color="auto"/>
              <w:right w:val="single" w:sz="8" w:color="auto"/>
            </w:tcBorders>
            <w:gridSpan w:val="2"/>
            <w:vMerge w:val="restart"/>
          </w:tcPr>
          <w:p>
            <w:pPr>
              <w:jc w:val="right"/>
              <w:ind w:right="130"/>
              <w:spacing w:after="0"/>
              <w:rPr>
                <w:sz w:val="20"/>
                <w:szCs w:val="20"/>
                <w:color w:val="auto"/>
              </w:rPr>
            </w:pPr>
            <w:r>
              <w:rPr>
                <w:rFonts w:ascii="Arial" w:cs="Arial" w:eastAsia="Arial" w:hAnsi="Arial"/>
                <w:sz w:val="18"/>
                <w:szCs w:val="18"/>
                <w:color w:val="auto"/>
              </w:rPr>
              <w:t>Three months ended December 31,</w:t>
            </w:r>
          </w:p>
        </w:tc>
        <w:tc>
          <w:tcPr>
            <w:tcW w:w="170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As Reported %</w:t>
            </w:r>
          </w:p>
        </w:tc>
        <w:tc>
          <w:tcPr>
            <w:tcW w:w="1800" w:type="dxa"/>
            <w:vAlign w:val="bottom"/>
            <w:tcBorders>
              <w:top w:val="single" w:sz="8" w:color="auto"/>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Constant- Currency</w:t>
            </w:r>
          </w:p>
        </w:tc>
        <w:tc>
          <w:tcPr>
            <w:tcW w:w="0" w:type="dxa"/>
            <w:vAlign w:val="bottom"/>
          </w:tcPr>
          <w:p>
            <w:pPr>
              <w:spacing w:after="0"/>
              <w:rPr>
                <w:sz w:val="1"/>
                <w:szCs w:val="1"/>
                <w:color w:val="auto"/>
              </w:rPr>
            </w:pPr>
          </w:p>
        </w:tc>
      </w:tr>
      <w:tr>
        <w:trPr>
          <w:trHeight w:val="88"/>
        </w:trPr>
        <w:tc>
          <w:tcPr>
            <w:tcW w:w="4520" w:type="dxa"/>
            <w:vAlign w:val="bottom"/>
            <w:tcBorders>
              <w:left w:val="single" w:sz="8" w:color="auto"/>
              <w:right w:val="single" w:sz="8" w:color="auto"/>
            </w:tcBorders>
          </w:tcPr>
          <w:p>
            <w:pPr>
              <w:spacing w:after="0"/>
              <w:rPr>
                <w:sz w:val="7"/>
                <w:szCs w:val="7"/>
                <w:color w:val="auto"/>
              </w:rPr>
            </w:pPr>
          </w:p>
        </w:tc>
        <w:tc>
          <w:tcPr>
            <w:tcW w:w="3280" w:type="dxa"/>
            <w:vAlign w:val="bottom"/>
            <w:tcBorders>
              <w:bottom w:val="single" w:sz="8" w:color="auto"/>
              <w:right w:val="single" w:sz="8" w:color="auto"/>
            </w:tcBorders>
            <w:gridSpan w:val="2"/>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Business / Product Line:</w:t>
            </w:r>
          </w:p>
        </w:tc>
        <w:tc>
          <w:tcPr>
            <w:tcW w:w="164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64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700" w:type="dxa"/>
            <w:vAlign w:val="bottom"/>
            <w:tcBorders>
              <w:bottom w:val="single" w:sz="8" w:color="auto"/>
              <w:right w:val="single" w:sz="8" w:color="auto"/>
            </w:tcBorders>
          </w:tcPr>
          <w:p>
            <w:pPr>
              <w:jc w:val="right"/>
              <w:ind w:right="450"/>
              <w:spacing w:after="0" w:line="197" w:lineRule="exact"/>
              <w:rPr>
                <w:sz w:val="20"/>
                <w:szCs w:val="20"/>
                <w:color w:val="auto"/>
              </w:rPr>
            </w:pPr>
            <w:r>
              <w:rPr>
                <w:rFonts w:ascii="Arial" w:cs="Arial" w:eastAsia="Arial" w:hAnsi="Arial"/>
                <w:sz w:val="18"/>
                <w:szCs w:val="18"/>
                <w:color w:val="auto"/>
              </w:rPr>
              <w:t>Change</w:t>
            </w:r>
          </w:p>
        </w:tc>
        <w:tc>
          <w:tcPr>
            <w:tcW w:w="1800" w:type="dxa"/>
            <w:vAlign w:val="bottom"/>
            <w:tcBorders>
              <w:bottom w:val="single" w:sz="8" w:color="auto"/>
              <w:right w:val="single" w:sz="8" w:color="auto"/>
            </w:tcBorders>
          </w:tcPr>
          <w:p>
            <w:pPr>
              <w:jc w:val="right"/>
              <w:ind w:right="390"/>
              <w:spacing w:after="0" w:line="197"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4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1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$132.6</w:t>
            </w:r>
          </w:p>
        </w:tc>
        <w:tc>
          <w:tcPr>
            <w:tcW w:w="1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$146.7</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(9.6%)</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32.1</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28.6</w:t>
            </w: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12.4%</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14.0%</w:t>
            </w:r>
          </w:p>
        </w:tc>
        <w:tc>
          <w:tcPr>
            <w:tcW w:w="0" w:type="dxa"/>
            <w:vAlign w:val="bottom"/>
          </w:tcPr>
          <w:p>
            <w:pPr>
              <w:spacing w:after="0"/>
              <w:rPr>
                <w:sz w:val="1"/>
                <w:szCs w:val="1"/>
                <w:color w:val="auto"/>
              </w:rPr>
            </w:pPr>
          </w:p>
        </w:tc>
      </w:tr>
      <w:tr>
        <w:trPr>
          <w:trHeight w:val="250"/>
        </w:trPr>
        <w:tc>
          <w:tcPr>
            <w:tcW w:w="45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Advanced Circulatory Support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8.8</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7.4</w:t>
            </w: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19.7%</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19.8%</w:t>
            </w:r>
          </w:p>
        </w:tc>
        <w:tc>
          <w:tcPr>
            <w:tcW w:w="0" w:type="dxa"/>
            <w:vAlign w:val="bottom"/>
          </w:tcPr>
          <w:p>
            <w:pPr>
              <w:spacing w:after="0"/>
              <w:rPr>
                <w:sz w:val="1"/>
                <w:szCs w:val="1"/>
                <w:color w:val="auto"/>
              </w:rPr>
            </w:pPr>
          </w:p>
        </w:tc>
      </w:tr>
      <w:tr>
        <w:trPr>
          <w:trHeight w:val="250"/>
        </w:trPr>
        <w:tc>
          <w:tcPr>
            <w:tcW w:w="4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173.5</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182.6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4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113.1</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113.6</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0"/>
        </w:trPr>
        <w:tc>
          <w:tcPr>
            <w:tcW w:w="4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7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0"/>
        </w:trPr>
        <w:tc>
          <w:tcPr>
            <w:tcW w:w="4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Constant-currency percent change is considered a non-GAAP metric.</w:t>
      </w:r>
    </w:p>
    <w:p>
      <w:pPr>
        <w:spacing w:after="0" w:line="256"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Cardiovascular</w:t>
      </w:r>
    </w:p>
    <w:p>
      <w:pPr>
        <w:spacing w:after="0" w:line="1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Cardiovascular sales, which include cardiopulmonary products, heart valves and ACS, were $173.5 million, representing a 3.8 percent decrease versus the fourth quarter of 2018.</w:t>
      </w:r>
    </w:p>
    <w:p>
      <w:pPr>
        <w:spacing w:after="0" w:line="339" w:lineRule="exact"/>
        <w:rPr>
          <w:sz w:val="20"/>
          <w:szCs w:val="20"/>
          <w:color w:val="auto"/>
        </w:rPr>
      </w:pPr>
    </w:p>
    <w:p>
      <w:pPr>
        <w:jc w:val="both"/>
        <w:spacing w:after="0" w:line="336" w:lineRule="auto"/>
        <w:rPr>
          <w:sz w:val="20"/>
          <w:szCs w:val="20"/>
          <w:color w:val="auto"/>
        </w:rPr>
      </w:pPr>
      <w:r>
        <w:rPr>
          <w:rFonts w:ascii="Arial" w:cs="Arial" w:eastAsia="Arial" w:hAnsi="Arial"/>
          <w:sz w:val="20"/>
          <w:szCs w:val="20"/>
          <w:color w:val="auto"/>
        </w:rPr>
        <w:t>Sales in cardiopulmonary products were $132.6 million, representing an 8.4 percent decrease versus the fourth quarter of 2018. This business was negatively impacted by exiting a Canadian distribution agreement in the Rest of World region, which equated to $8.7 million in the prior-year period and the component supplier issue related to the Inspire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oxygenator.</w:t>
      </w:r>
    </w:p>
    <w:p>
      <w:pPr>
        <w:spacing w:after="0" w:line="358"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Heart valve sales, including tissue and mechanical heart valves, were $32.1 million, an increase of 14.0 percent compared to the fourth quarter of 2018.</w:t>
      </w:r>
    </w:p>
    <w:p>
      <w:pPr>
        <w:spacing w:after="0" w:line="339"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ACS sales were $8.8 million in the quarter, an increase of 19.8 percent compared to the fourth quarter of 2018, primarily related to growth in ProtekDuo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TandemHeart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kits.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727"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ind w:right="40"/>
        <w:spacing w:after="0" w:line="373" w:lineRule="auto"/>
        <w:rPr>
          <w:sz w:val="20"/>
          <w:szCs w:val="20"/>
          <w:color w:val="auto"/>
        </w:rPr>
      </w:pPr>
      <w:r>
        <w:rPr>
          <w:rFonts w:ascii="Arial" w:cs="Arial" w:eastAsia="Arial" w:hAnsi="Arial"/>
          <w:sz w:val="20"/>
          <w:szCs w:val="20"/>
          <w:color w:val="auto"/>
        </w:rPr>
        <w:t>Neuromodulation sales were $113.1 million in the fourth quarter, representing a 0.1 percent increase versus the fourth quarter of 2018. The Europe and Rest of World regions both delivered another quarter of double-digit growth.</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ind w:right="20"/>
        <w:spacing w:after="0" w:line="367" w:lineRule="auto"/>
        <w:rPr>
          <w:sz w:val="20"/>
          <w:szCs w:val="20"/>
          <w:color w:val="auto"/>
        </w:rPr>
      </w:pPr>
      <w:r>
        <w:rPr>
          <w:rFonts w:ascii="Arial" w:cs="Arial" w:eastAsia="Arial" w:hAnsi="Arial"/>
          <w:sz w:val="20"/>
          <w:szCs w:val="20"/>
          <w:color w:val="auto"/>
        </w:rPr>
        <w:t>On a GAAP basis, fourth quarter 2019 operating loss from continuing operations was $144.0 million, which includes charges of $100.4 million for the net impact of the shutdown related to the discontinuation of the Transcatheter Mitral Valve program and $33.2 million for litigation involving the Company's 3T Heater-Cooler device. Adjusted operating income from continuing operations for the fourth quarter of 2019 was $55.3 million, a decrease of 18.4 percent as compared to the fourth quarter of 2018. This was primarily driven by performance in Neuromodulation, expected investments in the Rest of World region to support commercial capabilities and R&amp;D for Strategic Portfolio Initiatives, offset somewhat by improvements in gross profit.</w:t>
      </w:r>
    </w:p>
    <w:p>
      <w:pPr>
        <w:spacing w:after="0" w:line="348"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Fourth quarter 2019 adjusted diluted earnings per share from continuing operations were $1.00, a decrease of 10.7 percent as compared to the fourth quarter of 2018.</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2019 Results</w:t>
      </w:r>
    </w:p>
    <w:p>
      <w:pPr>
        <w:spacing w:after="0" w:line="14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Worldwide sales for full-year 2019 were $1.1 billion, up 0.1 percent on a constant-currency basis compared to full-year 2018. The following table highlights worldwide sales for full-year 2019 and by business:</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rPr>
              <w:t>$ in millions</w:t>
            </w:r>
          </w:p>
        </w:tc>
        <w:tc>
          <w:tcPr>
            <w:tcW w:w="3540" w:type="dxa"/>
            <w:vAlign w:val="bottom"/>
            <w:tcBorders>
              <w:top w:val="single" w:sz="8" w:color="auto"/>
              <w:right w:val="single" w:sz="8" w:color="auto"/>
            </w:tcBorders>
            <w:gridSpan w:val="2"/>
            <w:vMerge w:val="restart"/>
          </w:tcPr>
          <w:p>
            <w:pPr>
              <w:jc w:val="right"/>
              <w:ind w:right="210"/>
              <w:spacing w:after="0"/>
              <w:rPr>
                <w:sz w:val="20"/>
                <w:szCs w:val="20"/>
                <w:color w:val="auto"/>
              </w:rPr>
            </w:pPr>
            <w:r>
              <w:rPr>
                <w:rFonts w:ascii="Arial" w:cs="Arial" w:eastAsia="Arial" w:hAnsi="Arial"/>
                <w:sz w:val="18"/>
                <w:szCs w:val="18"/>
                <w:color w:val="auto"/>
              </w:rPr>
              <w:t>Twelve months ended December 31,</w:t>
            </w:r>
          </w:p>
        </w:tc>
        <w:tc>
          <w:tcPr>
            <w:tcW w:w="1720" w:type="dxa"/>
            <w:vAlign w:val="bottom"/>
            <w:tcBorders>
              <w:top w:val="single" w:sz="8" w:color="auto"/>
              <w:right w:val="single" w:sz="8" w:color="auto"/>
            </w:tcBorders>
            <w:vMerge w:val="restart"/>
          </w:tcPr>
          <w:p>
            <w:pPr>
              <w:jc w:val="right"/>
              <w:ind w:right="170"/>
              <w:spacing w:after="0"/>
              <w:rPr>
                <w:sz w:val="20"/>
                <w:szCs w:val="20"/>
                <w:color w:val="auto"/>
              </w:rPr>
            </w:pPr>
            <w:r>
              <w:rPr>
                <w:rFonts w:ascii="Arial" w:cs="Arial" w:eastAsia="Arial" w:hAnsi="Arial"/>
                <w:sz w:val="18"/>
                <w:szCs w:val="18"/>
                <w:color w:val="auto"/>
              </w:rPr>
              <w:t>As Reported %</w:t>
            </w:r>
          </w:p>
        </w:tc>
        <w:tc>
          <w:tcPr>
            <w:tcW w:w="1720" w:type="dxa"/>
            <w:vAlign w:val="bottom"/>
            <w:tcBorders>
              <w:top w:val="single" w:sz="8" w:color="auto"/>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Constant- Currency</w:t>
            </w:r>
          </w:p>
        </w:tc>
        <w:tc>
          <w:tcPr>
            <w:tcW w:w="0" w:type="dxa"/>
            <w:vAlign w:val="bottom"/>
          </w:tcPr>
          <w:p>
            <w:pPr>
              <w:spacing w:after="0"/>
              <w:rPr>
                <w:sz w:val="1"/>
                <w:szCs w:val="1"/>
                <w:color w:val="auto"/>
              </w:rPr>
            </w:pPr>
          </w:p>
        </w:tc>
      </w:tr>
      <w:tr>
        <w:trPr>
          <w:trHeight w:val="88"/>
        </w:trPr>
        <w:tc>
          <w:tcPr>
            <w:tcW w:w="4460" w:type="dxa"/>
            <w:vAlign w:val="bottom"/>
            <w:tcBorders>
              <w:left w:val="single" w:sz="8" w:color="auto"/>
              <w:right w:val="single" w:sz="8" w:color="auto"/>
            </w:tcBorders>
          </w:tcPr>
          <w:p>
            <w:pPr>
              <w:spacing w:after="0"/>
              <w:rPr>
                <w:sz w:val="7"/>
                <w:szCs w:val="7"/>
                <w:color w:val="auto"/>
              </w:rPr>
            </w:pPr>
          </w:p>
        </w:tc>
        <w:tc>
          <w:tcPr>
            <w:tcW w:w="3540" w:type="dxa"/>
            <w:vAlign w:val="bottom"/>
            <w:tcBorders>
              <w:bottom w:val="single" w:sz="8" w:color="auto"/>
              <w:right w:val="single" w:sz="8" w:color="auto"/>
            </w:tcBorders>
            <w:gridSpan w:val="2"/>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Business / Product Line:</w:t>
            </w:r>
          </w:p>
        </w:tc>
        <w:tc>
          <w:tcPr>
            <w:tcW w:w="176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780" w:type="dxa"/>
            <w:vAlign w:val="bottom"/>
            <w:tcBorders>
              <w:bottom w:val="single" w:sz="8" w:color="auto"/>
              <w:right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c>
          <w:tcPr>
            <w:tcW w:w="1720" w:type="dxa"/>
            <w:vAlign w:val="bottom"/>
            <w:tcBorders>
              <w:bottom w:val="single" w:sz="8" w:color="auto"/>
              <w:right w:val="single" w:sz="8" w:color="auto"/>
            </w:tcBorders>
          </w:tcPr>
          <w:p>
            <w:pPr>
              <w:jc w:val="right"/>
              <w:ind w:right="470"/>
              <w:spacing w:after="0" w:line="197" w:lineRule="exact"/>
              <w:rPr>
                <w:sz w:val="20"/>
                <w:szCs w:val="20"/>
                <w:color w:val="auto"/>
              </w:rPr>
            </w:pPr>
            <w:r>
              <w:rPr>
                <w:rFonts w:ascii="Arial" w:cs="Arial" w:eastAsia="Arial" w:hAnsi="Arial"/>
                <w:sz w:val="18"/>
                <w:szCs w:val="18"/>
                <w:color w:val="auto"/>
              </w:rPr>
              <w:t>Change</w:t>
            </w:r>
          </w:p>
        </w:tc>
        <w:tc>
          <w:tcPr>
            <w:tcW w:w="1720" w:type="dxa"/>
            <w:vAlign w:val="bottom"/>
            <w:tcBorders>
              <w:bottom w:val="single" w:sz="8" w:color="auto"/>
              <w:right w:val="single" w:sz="8" w:color="auto"/>
            </w:tcBorders>
          </w:tcPr>
          <w:p>
            <w:pPr>
              <w:jc w:val="right"/>
              <w:ind w:right="370"/>
              <w:spacing w:after="0" w:line="197" w:lineRule="exact"/>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1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$504.7</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$536.4</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(5.9%)</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(3.1%)</w:t>
            </w:r>
          </w:p>
        </w:tc>
        <w:tc>
          <w:tcPr>
            <w:tcW w:w="0" w:type="dxa"/>
            <w:vAlign w:val="bottom"/>
          </w:tcPr>
          <w:p>
            <w:pPr>
              <w:spacing w:after="0"/>
              <w:rPr>
                <w:sz w:val="1"/>
                <w:szCs w:val="1"/>
                <w:color w:val="auto"/>
              </w:rPr>
            </w:pP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1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120.0</w:t>
            </w:r>
          </w:p>
        </w:tc>
        <w:tc>
          <w:tcPr>
            <w:tcW w:w="1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126.0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(4.7%)</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(0.7%)</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Advanced Circulatory Support</w:t>
            </w:r>
          </w:p>
        </w:tc>
        <w:tc>
          <w:tcPr>
            <w:tcW w:w="1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31.9</w:t>
            </w:r>
          </w:p>
        </w:tc>
        <w:tc>
          <w:tcPr>
            <w:tcW w:w="1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19.5</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64.0%</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64.1%</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656.6</w:t>
            </w:r>
          </w:p>
        </w:tc>
        <w:tc>
          <w:tcPr>
            <w:tcW w:w="1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681.8</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424.5</w:t>
            </w:r>
          </w:p>
        </w:tc>
        <w:tc>
          <w:tcPr>
            <w:tcW w:w="1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423.0</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38.7%</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$1,107.0</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Numbers may not add up precisely due to rounding. Constant-currency percent change is considered a non-GAAP metric.</w:t>
      </w:r>
    </w:p>
    <w:p>
      <w:pPr>
        <w:spacing w:after="0" w:line="283" w:lineRule="exact"/>
        <w:rPr>
          <w:sz w:val="20"/>
          <w:szCs w:val="20"/>
          <w:color w:val="auto"/>
        </w:rPr>
      </w:pPr>
    </w:p>
    <w:p>
      <w:pPr>
        <w:ind w:right="20"/>
        <w:spacing w:after="0" w:line="373" w:lineRule="auto"/>
        <w:rPr>
          <w:sz w:val="20"/>
          <w:szCs w:val="20"/>
          <w:color w:val="auto"/>
        </w:rPr>
      </w:pPr>
      <w:r>
        <w:rPr>
          <w:rFonts w:ascii="Arial" w:cs="Arial" w:eastAsia="Arial" w:hAnsi="Arial"/>
          <w:sz w:val="20"/>
          <w:szCs w:val="20"/>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40"/>
          </w:cols>
          <w:pgMar w:left="240" w:top="652" w:right="2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Cardiovascular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Cardiovascular sales were $656.6 million, representing a 0.7 percent decrease versus full-year 2018.</w:t>
      </w:r>
    </w:p>
    <w:p>
      <w:pPr>
        <w:spacing w:after="0" w:line="200" w:lineRule="exact"/>
        <w:rPr>
          <w:sz w:val="20"/>
          <w:szCs w:val="20"/>
          <w:color w:val="auto"/>
        </w:rPr>
      </w:pPr>
    </w:p>
    <w:p>
      <w:pPr>
        <w:spacing w:after="0" w:line="272"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Sales in cardiopulmonary products were $504.7 million, representing a 3.1 percent decrease versus full-year 2018. This was due to the impact of exiting a Canadian distribution agreement in the Rest of World region, which equated to $32.9 million in the prior-year period and the component supplier issue related to the Inspire oxygenator.</w:t>
      </w:r>
    </w:p>
    <w:p>
      <w:pPr>
        <w:spacing w:after="0" w:line="341"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Heart valve sales, including tissue and mechanical heart valves, were $120.0 million, a decrease of 0.7 percent compared to full-year 2018.</w:t>
      </w:r>
    </w:p>
    <w:p>
      <w:pPr>
        <w:spacing w:after="0" w:line="339"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ACS sales were $31.9 million, an increase of 64.1 percent compared to 2018, primarily related to growth in ProtekDuo and one additional quarter of sales in 2019 versus 2018 since TandemLife was acquired in April of 2018.</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color w:val="auto"/>
        </w:rPr>
        <w:t>Neuromodulation sales were $424.5 million for full-year 2019, representing a 1.2 percent increase compared to full-year 2018. Sales were driven by adoption of the SenTiva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VNS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and very strong growth in the Europe and Rest of World regions.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a GAAP basis, full-year 2019 operating loss from continuing operations was $168.9 million. Adjusted operating income from continuing operations for the full-year 2019 was $179.7 million, a decrease of 16.9 percent as compared to full-year 2018, primarily impacted by performance in Neuromodulation, investments in R&amp;D to support Strategic Portfolio Initiatives, commercial investments in ACS and the Rest of World region, offset somewhat by favorable product mix and gross margin improvements.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2020 Guidance</w:t>
      </w:r>
    </w:p>
    <w:p>
      <w:pPr>
        <w:spacing w:after="0" w:line="145"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LivaNova expects worldwide net sales from continuing operations for full-year 2020 to grow between 3 and 5 percent on a constant-currency basis. Adjusted diluted earnings per share from continuing operations for 2020 are expected to be in the range of $3.10 to $3.30.</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003" w:right="239" w:bottom="1440" w:gutter="0" w:footer="0" w:header="0"/>
        </w:sectPr>
      </w:pPr>
    </w:p>
    <w:bookmarkStart w:id="7" w:name="page8"/>
    <w:bookmarkEnd w:id="7"/>
    <w:p>
      <w:pPr>
        <w:ind w:right="440"/>
        <w:spacing w:after="0" w:line="373" w:lineRule="auto"/>
        <w:rPr>
          <w:sz w:val="20"/>
          <w:szCs w:val="20"/>
          <w:color w:val="auto"/>
        </w:rPr>
      </w:pPr>
      <w:r>
        <w:rPr>
          <w:rFonts w:ascii="Arial" w:cs="Arial" w:eastAsia="Arial" w:hAnsi="Arial"/>
          <w:sz w:val="20"/>
          <w:szCs w:val="20"/>
          <w:color w:val="auto"/>
        </w:rPr>
        <w:t>In 2020, the Company estimates that adjusted cash flow from operations, excluding litigation payments, will be in the range of $180 to $200 million. Capital expenditures are projected to range between $25 to $35 million.</w:t>
      </w:r>
    </w:p>
    <w:p>
      <w:pPr>
        <w:spacing w:after="0" w:line="339"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"We are entering 2020 with a strategy focused on delivering higher sales growth, expanding gross margins and improving cash generation,” said McDonald. “We are investing in research and development to advance our pipeline and accomplish several important milestones for patients with Difficult-to-Treat Depression, Heart Failure and Obstructive Sleep Apnea.”</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 xml:space="preserve">The Company will host a live audio webcast for interested parties commencing at 1 p.m. London time (8 a.m. Eastern Time) on Wednesday, February 26 that will be accessible through the Investor Relations section of the LivaNova website at </w:t>
      </w:r>
      <w:r>
        <w:rPr>
          <w:rFonts w:ascii="Arial" w:cs="Arial" w:eastAsia="Arial" w:hAnsi="Arial"/>
          <w:sz w:val="20"/>
          <w:szCs w:val="20"/>
          <w:u w:val="single" w:color="auto"/>
          <w:color w:val="1443BF"/>
        </w:rPr>
        <w:t>www.livanova.com</w:t>
      </w:r>
      <w:r>
        <w:rPr>
          <w:rFonts w:ascii="Arial" w:cs="Arial" w:eastAsia="Arial" w:hAnsi="Arial"/>
          <w:sz w:val="20"/>
          <w:szCs w:val="20"/>
          <w:color w:val="000000"/>
        </w:rPr>
        <w:t>. To listen to the conference call live by telephone, dial 877-272-0401 (if dialing from within the U.S.) or 706-902-4062 (if dialing from outside the U.S.). The conference ID is 6456945.</w:t>
      </w:r>
    </w:p>
    <w:p>
      <w:pPr>
        <w:spacing w:after="0" w:line="3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1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LivaNova operates as two businesses: Cardiovascular and Neuromodulation, with operating headquarters in Mirandola (Italy) and Houston (U.S.),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u w:val="single" w:color="auto"/>
          <w:color w:val="1443BF"/>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76"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8" w:lineRule="exact"/>
        <w:rPr>
          <w:sz w:val="20"/>
          <w:szCs w:val="20"/>
          <w:color w:val="auto"/>
        </w:rPr>
      </w:pPr>
    </w:p>
    <w:p>
      <w:pPr>
        <w:jc w:val="both"/>
        <w:spacing w:after="0" w:line="372"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items above and the tax impact of tax law changes or other tax matters. Accordingly, reconciliations to the most directly comparable forward-looking GAAP financial measures are not available without unreasonable effort.</w:t>
      </w:r>
    </w:p>
    <w:p>
      <w:pPr>
        <w:spacing w:after="0" w:line="324"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The Company also believes adjusted financial measures such as adjusted gross profit; adjusted selling, general and administrative expense; adjusted research and development expense; adjusted other operating expenses; adjusted operating income from continued operations; adjusted income tax expense; adjusted net income from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63" w:right="239" w:bottom="1440" w:gutter="0" w:footer="0" w:header="0"/>
        </w:sectPr>
      </w:pPr>
    </w:p>
    <w:bookmarkStart w:id="9" w:name="page10"/>
    <w:bookmarkEnd w:id="9"/>
    <w:p>
      <w:pPr>
        <w:jc w:val="both"/>
        <w:spacing w:after="0" w:line="353" w:lineRule="auto"/>
        <w:rPr>
          <w:sz w:val="20"/>
          <w:szCs w:val="20"/>
          <w:color w:val="auto"/>
        </w:rPr>
      </w:pPr>
      <w:r>
        <w:rPr>
          <w:rFonts w:ascii="Arial" w:cs="Arial" w:eastAsia="Arial" w:hAnsi="Arial"/>
          <w:sz w:val="20"/>
          <w:szCs w:val="20"/>
          <w:color w:val="auto"/>
        </w:rPr>
        <w:t>continuing operations; and adjusted diluted earnings per share,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21"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2019, advancing our growth, driving product launches and funding our equity investments, executing on our targets and retaining our focus, energy and discipline as a company, filing our Form 10-K on a timely basis, remediating any known material weaknesses or deficiencies, serving the needs of our customers and patients, and delivering strong value to our shareholders.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63" w:right="239" w:bottom="1440" w:gutter="0" w:footer="0" w:header="0"/>
        </w:sectPr>
      </w:pPr>
    </w:p>
    <w:bookmarkStart w:id="10" w:name="page11"/>
    <w:bookmarkEnd w:id="10"/>
    <w:p>
      <w:pPr>
        <w:jc w:val="both"/>
        <w:spacing w:after="0" w:line="367" w:lineRule="auto"/>
        <w:rPr>
          <w:sz w:val="20"/>
          <w:szCs w:val="20"/>
          <w:color w:val="auto"/>
        </w:rPr>
      </w:pPr>
      <w:r>
        <w:rPr>
          <w:rFonts w:ascii="Arial" w:cs="Arial" w:eastAsia="Arial" w:hAnsi="Arial"/>
          <w:sz w:val="20"/>
          <w:szCs w:val="20"/>
          <w:color w:val="auto"/>
        </w:rPr>
        <w:t>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settlement of litigation and assumptions made in connection with critical accounting estimates and legal proceedings; (xii) 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and other documents filed from time to time with the United States Securities and Exchange Commission by LivaNova.</w:t>
      </w:r>
    </w:p>
    <w:p>
      <w:pPr>
        <w:spacing w:after="0" w:line="210"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Melissa Farina</w:t>
      </w:r>
    </w:p>
    <w:p>
      <w:pPr>
        <w:ind w:left="80"/>
        <w:spacing w:after="0" w:line="236" w:lineRule="auto"/>
        <w:rPr>
          <w:sz w:val="20"/>
          <w:szCs w:val="20"/>
          <w:color w:val="auto"/>
        </w:rPr>
      </w:pPr>
      <w:r>
        <w:rPr>
          <w:rFonts w:ascii="Arial" w:cs="Arial" w:eastAsia="Arial" w:hAnsi="Arial"/>
          <w:sz w:val="20"/>
          <w:szCs w:val="20"/>
          <w:color w:val="auto"/>
        </w:rPr>
        <w:t>Vice President, Investor Relations</w:t>
      </w:r>
    </w:p>
    <w:p>
      <w:pPr>
        <w:ind w:left="80"/>
        <w:spacing w:after="0" w:line="225" w:lineRule="auto"/>
        <w:rPr>
          <w:sz w:val="20"/>
          <w:szCs w:val="20"/>
          <w:color w:val="auto"/>
        </w:rPr>
      </w:pPr>
      <w:r>
        <w:rPr>
          <w:rFonts w:ascii="Arial" w:cs="Arial" w:eastAsia="Arial" w:hAnsi="Arial"/>
          <w:sz w:val="20"/>
          <w:szCs w:val="20"/>
          <w:color w:val="auto"/>
        </w:rPr>
        <w:t>Phone: +1 (281) 228 7262</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76" w:right="239" w:bottom="1440" w:gutter="0" w:footer="0" w:header="0"/>
        </w:sectPr>
      </w:pPr>
    </w:p>
    <w:bookmarkStart w:id="11" w:name="page12"/>
    <w:bookmarkEnd w:id="11"/>
    <w:tbl>
      <w:tblPr>
        <w:tblLayout w:type="fixed"/>
        <w:tblInd w:w="5" w:type="dxa"/>
        <w:tblCellMar>
          <w:top w:w="0" w:type="dxa"/>
          <w:left w:w="0" w:type="dxa"/>
          <w:bottom w:w="0" w:type="dxa"/>
          <w:right w:w="0" w:type="dxa"/>
        </w:tblCellMar>
      </w:tblP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LIVANOVA PLC</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6"/>
                <w:szCs w:val="16"/>
                <w:b w:val="1"/>
                <w:bCs w:val="1"/>
                <w:color w:val="auto"/>
              </w:rPr>
              <w:t>(U.S. dollars in millions)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83"/>
        </w:trPr>
        <w:tc>
          <w:tcPr>
            <w:tcW w:w="49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5"/>
          </w:tcPr>
          <w:p>
            <w:pPr>
              <w:jc w:val="right"/>
              <w:ind w:right="1759"/>
              <w:spacing w:after="0"/>
              <w:rPr>
                <w:sz w:val="20"/>
                <w:szCs w:val="20"/>
                <w:color w:val="auto"/>
              </w:rPr>
            </w:pPr>
            <w:r>
              <w:rPr>
                <w:rFonts w:ascii="Arial" w:cs="Arial" w:eastAsia="Arial" w:hAnsi="Arial"/>
                <w:sz w:val="16"/>
                <w:szCs w:val="16"/>
                <w:b w:val="1"/>
                <w:bCs w:val="1"/>
                <w:color w:val="auto"/>
              </w:rPr>
              <w:t>Three Months Ended December 31,</w:t>
            </w:r>
          </w:p>
        </w:tc>
      </w:tr>
      <w:tr>
        <w:trPr>
          <w:trHeight w:val="198"/>
        </w:trPr>
        <w:tc>
          <w:tcPr>
            <w:tcW w:w="4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 Change at Actual</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Change at Constant-</w:t>
            </w:r>
          </w:p>
        </w:tc>
      </w:tr>
      <w:tr>
        <w:trPr>
          <w:trHeight w:val="234"/>
        </w:trPr>
        <w:tc>
          <w:tcPr>
            <w:tcW w:w="4980" w:type="dxa"/>
            <w:vAlign w:val="bottom"/>
          </w:tcPr>
          <w:p>
            <w:pPr>
              <w:spacing w:after="0"/>
              <w:rPr>
                <w:sz w:val="20"/>
                <w:szCs w:val="20"/>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0" w:type="dxa"/>
            <w:vAlign w:val="bottom"/>
            <w:gridSpan w:val="2"/>
          </w:tcPr>
          <w:p>
            <w:pPr>
              <w:ind w:left="260"/>
              <w:spacing w:after="0"/>
              <w:rPr>
                <w:sz w:val="20"/>
                <w:szCs w:val="20"/>
                <w:color w:val="auto"/>
              </w:rPr>
            </w:pPr>
            <w:r>
              <w:rPr>
                <w:rFonts w:ascii="Arial" w:cs="Arial" w:eastAsia="Arial" w:hAnsi="Arial"/>
                <w:sz w:val="16"/>
                <w:szCs w:val="16"/>
                <w:b w:val="1"/>
                <w:bCs w:val="1"/>
                <w:color w:val="auto"/>
              </w:rPr>
              <w:t>Currency Rates</w:t>
            </w:r>
          </w:p>
        </w:tc>
        <w:tc>
          <w:tcPr>
            <w:tcW w:w="1920" w:type="dxa"/>
            <w:vAlign w:val="bottom"/>
          </w:tcPr>
          <w:p>
            <w:pPr>
              <w:jc w:val="right"/>
              <w:ind w:right="199"/>
              <w:spacing w:after="0" w:line="234" w:lineRule="exact"/>
              <w:rPr>
                <w:sz w:val="20"/>
                <w:szCs w:val="20"/>
                <w:color w:val="auto"/>
              </w:rPr>
            </w:pPr>
            <w:r>
              <w:rPr>
                <w:rFonts w:ascii="Arial" w:cs="Arial" w:eastAsia="Arial" w:hAnsi="Arial"/>
                <w:sz w:val="16"/>
                <w:szCs w:val="16"/>
                <w:b w:val="1"/>
                <w:bCs w:val="1"/>
                <w:color w:val="auto"/>
              </w:rPr>
              <w:t xml:space="preserve">Currency Rates </w:t>
            </w:r>
            <w:r>
              <w:rPr>
                <w:rFonts w:ascii="Arial" w:cs="Arial" w:eastAsia="Arial" w:hAnsi="Arial"/>
                <w:sz w:val="21"/>
                <w:szCs w:val="21"/>
                <w:b w:val="1"/>
                <w:bCs w:val="1"/>
                <w:color w:val="auto"/>
                <w:vertAlign w:val="superscript"/>
              </w:rPr>
              <w:t>(1)</w:t>
            </w:r>
          </w:p>
        </w:tc>
      </w:tr>
      <w:tr>
        <w:trPr>
          <w:trHeight w:val="244"/>
        </w:trPr>
        <w:tc>
          <w:tcPr>
            <w:tcW w:w="498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83"/>
        </w:trPr>
        <w:tc>
          <w:tcPr>
            <w:tcW w:w="498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50"/>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132.6</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146.7</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251"/>
        </w:trPr>
        <w:tc>
          <w:tcPr>
            <w:tcW w:w="498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83"/>
        </w:trPr>
        <w:tc>
          <w:tcPr>
            <w:tcW w:w="498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50"/>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14.0%</w:t>
            </w:r>
          </w:p>
        </w:tc>
      </w:tr>
      <w:tr>
        <w:trPr>
          <w:trHeight w:val="251"/>
        </w:trPr>
        <w:tc>
          <w:tcPr>
            <w:tcW w:w="498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800" w:type="dxa"/>
            <w:vAlign w:val="bottom"/>
            <w:gridSpan w:val="2"/>
          </w:tcPr>
          <w:p>
            <w:pPr>
              <w:ind w:left="120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98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800" w:type="dxa"/>
            <w:vAlign w:val="bottom"/>
            <w:gridSpan w:val="2"/>
          </w:tcPr>
          <w:p>
            <w:pPr>
              <w:ind w:left="120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50"/>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19.7%</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19.8%</w:t>
            </w:r>
          </w:p>
        </w:tc>
      </w:tr>
      <w:tr>
        <w:trPr>
          <w:trHeight w:val="251"/>
        </w:trPr>
        <w:tc>
          <w:tcPr>
            <w:tcW w:w="498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3"/>
        </w:trPr>
        <w:tc>
          <w:tcPr>
            <w:tcW w:w="498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81.6</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50"/>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182.6</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251"/>
        </w:trPr>
        <w:tc>
          <w:tcPr>
            <w:tcW w:w="498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94.4</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83"/>
        </w:trPr>
        <w:tc>
          <w:tcPr>
            <w:tcW w:w="498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50"/>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113.6</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(0.4%)</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0.1%</w:t>
            </w:r>
          </w:p>
        </w:tc>
      </w:tr>
      <w:tr>
        <w:trPr>
          <w:trHeight w:val="251"/>
        </w:trPr>
        <w:tc>
          <w:tcPr>
            <w:tcW w:w="498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800" w:type="dxa"/>
            <w:vAlign w:val="bottom"/>
            <w:gridSpan w:val="2"/>
          </w:tcPr>
          <w:p>
            <w:pPr>
              <w:ind w:left="120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800" w:type="dxa"/>
            <w:vAlign w:val="bottom"/>
            <w:gridSpan w:val="2"/>
          </w:tcPr>
          <w:p>
            <w:pPr>
              <w:ind w:left="120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98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50"/>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18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27.9%</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31.3%</w:t>
            </w:r>
          </w:p>
        </w:tc>
      </w:tr>
      <w:tr>
        <w:trPr>
          <w:trHeight w:val="251"/>
        </w:trPr>
        <w:tc>
          <w:tcPr>
            <w:tcW w:w="498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147.6</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498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83"/>
        </w:trPr>
        <w:tc>
          <w:tcPr>
            <w:tcW w:w="498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67"/>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$287.6</w:t>
            </w:r>
          </w:p>
        </w:tc>
        <w:tc>
          <w:tcPr>
            <w:tcW w:w="120" w:type="dxa"/>
            <w:vAlign w:val="bottom"/>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$297.0</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20"/>
        </w:trPr>
        <w:tc>
          <w:tcPr>
            <w:tcW w:w="4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329" w:lineRule="exact"/>
        <w:rPr>
          <w:sz w:val="20"/>
          <w:szCs w:val="20"/>
          <w:color w:val="auto"/>
        </w:rPr>
      </w:pPr>
    </w:p>
    <w:p>
      <w:pPr>
        <w:ind w:left="325" w:right="40" w:hanging="325"/>
        <w:spacing w:after="0" w:line="258" w:lineRule="auto"/>
        <w:tabs>
          <w:tab w:leader="none" w:pos="325"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32" w:lineRule="exact"/>
        <w:rPr>
          <w:sz w:val="20"/>
          <w:szCs w:val="20"/>
          <w:color w:val="auto"/>
        </w:rPr>
      </w:pPr>
    </w:p>
    <w:p>
      <w:pPr>
        <w:ind w:left="325" w:hanging="325"/>
        <w:spacing w:after="0"/>
        <w:tabs>
          <w:tab w:leader="none" w:pos="32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200" w:lineRule="exact"/>
        <w:rPr>
          <w:sz w:val="20"/>
          <w:szCs w:val="20"/>
          <w:color w:val="auto"/>
        </w:rPr>
      </w:pPr>
    </w:p>
    <w:p>
      <w:pPr>
        <w:spacing w:after="0" w:line="263"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5"/>
          </w:cols>
          <w:pgMar w:left="275" w:top="756" w:right="239" w:bottom="1440" w:gutter="0" w:footer="0" w:header="0"/>
        </w:sectPr>
      </w:pPr>
    </w:p>
    <w:bookmarkStart w:id="12" w:name="page13"/>
    <w:bookmarkEnd w:id="12"/>
    <w:tbl>
      <w:tblPr>
        <w:tblLayout w:type="fixed"/>
        <w:tblInd w:w="5" w:type="dxa"/>
        <w:tblCellMar>
          <w:top w:w="0" w:type="dxa"/>
          <w:left w:w="0" w:type="dxa"/>
          <w:bottom w:w="0" w:type="dxa"/>
          <w:right w:w="0" w:type="dxa"/>
        </w:tblCellMar>
      </w:tblPr>
      <w:tr>
        <w:trPr>
          <w:trHeight w:val="215"/>
        </w:trPr>
        <w:tc>
          <w:tcPr>
            <w:tcW w:w="5040" w:type="dxa"/>
            <w:vAlign w:val="bottom"/>
          </w:tcPr>
          <w:p>
            <w:pPr>
              <w:spacing w:after="0"/>
              <w:rPr>
                <w:sz w:val="20"/>
                <w:szCs w:val="20"/>
                <w:color w:val="auto"/>
              </w:rPr>
            </w:pPr>
            <w:r>
              <w:rPr>
                <w:rFonts w:ascii="Arial" w:cs="Arial" w:eastAsia="Arial" w:hAnsi="Arial"/>
                <w:sz w:val="16"/>
                <w:szCs w:val="16"/>
                <w:b w:val="1"/>
                <w:bCs w:val="1"/>
                <w:color w:val="auto"/>
              </w:rPr>
              <w:t>LIVANOVA PLC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6"/>
                <w:szCs w:val="16"/>
                <w:b w:val="1"/>
                <w:bCs w:val="1"/>
                <w:color w:val="auto"/>
              </w:rPr>
              <w:t>(U.S. dollars in millions)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83"/>
        </w:trPr>
        <w:tc>
          <w:tcPr>
            <w:tcW w:w="50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5"/>
          </w:tcPr>
          <w:p>
            <w:pPr>
              <w:jc w:val="right"/>
              <w:ind w:right="1679"/>
              <w:spacing w:after="0"/>
              <w:rPr>
                <w:sz w:val="20"/>
                <w:szCs w:val="20"/>
                <w:color w:val="auto"/>
              </w:rPr>
            </w:pPr>
            <w:r>
              <w:rPr>
                <w:rFonts w:ascii="Arial" w:cs="Arial" w:eastAsia="Arial" w:hAnsi="Arial"/>
                <w:sz w:val="16"/>
                <w:szCs w:val="16"/>
                <w:b w:val="1"/>
                <w:bCs w:val="1"/>
                <w:color w:val="auto"/>
              </w:rPr>
              <w:t>Twelve Months Ended December 31,</w:t>
            </w:r>
          </w:p>
        </w:tc>
      </w:tr>
      <w:tr>
        <w:trPr>
          <w:trHeight w:val="198"/>
        </w:trPr>
        <w:tc>
          <w:tcPr>
            <w:tcW w:w="5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 at Actual</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Change at Constant-</w:t>
            </w:r>
          </w:p>
        </w:tc>
      </w:tr>
      <w:tr>
        <w:trPr>
          <w:trHeight w:val="234"/>
        </w:trPr>
        <w:tc>
          <w:tcPr>
            <w:tcW w:w="504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780" w:type="dxa"/>
            <w:vAlign w:val="bottom"/>
            <w:gridSpan w:val="2"/>
          </w:tcPr>
          <w:p>
            <w:pPr>
              <w:ind w:left="240"/>
              <w:spacing w:after="0"/>
              <w:rPr>
                <w:sz w:val="20"/>
                <w:szCs w:val="20"/>
                <w:color w:val="auto"/>
              </w:rPr>
            </w:pPr>
            <w:r>
              <w:rPr>
                <w:rFonts w:ascii="Arial" w:cs="Arial" w:eastAsia="Arial" w:hAnsi="Arial"/>
                <w:sz w:val="16"/>
                <w:szCs w:val="16"/>
                <w:b w:val="1"/>
                <w:bCs w:val="1"/>
                <w:color w:val="auto"/>
              </w:rPr>
              <w:t>Currency Rates</w:t>
            </w:r>
          </w:p>
        </w:tc>
        <w:tc>
          <w:tcPr>
            <w:tcW w:w="1900" w:type="dxa"/>
            <w:vAlign w:val="bottom"/>
          </w:tcPr>
          <w:p>
            <w:pPr>
              <w:jc w:val="right"/>
              <w:ind w:right="179"/>
              <w:spacing w:after="0" w:line="234" w:lineRule="exact"/>
              <w:rPr>
                <w:sz w:val="20"/>
                <w:szCs w:val="20"/>
                <w:color w:val="auto"/>
              </w:rPr>
            </w:pPr>
            <w:r>
              <w:rPr>
                <w:rFonts w:ascii="Arial" w:cs="Arial" w:eastAsia="Arial" w:hAnsi="Arial"/>
                <w:sz w:val="16"/>
                <w:szCs w:val="16"/>
                <w:b w:val="1"/>
                <w:bCs w:val="1"/>
                <w:color w:val="auto"/>
              </w:rPr>
              <w:t xml:space="preserve">Currency Rates </w:t>
            </w:r>
            <w:r>
              <w:rPr>
                <w:rFonts w:ascii="Arial" w:cs="Arial" w:eastAsia="Arial" w:hAnsi="Arial"/>
                <w:sz w:val="21"/>
                <w:szCs w:val="21"/>
                <w:b w:val="1"/>
                <w:bCs w:val="1"/>
                <w:color w:val="auto"/>
                <w:vertAlign w:val="superscript"/>
              </w:rPr>
              <w:t>(1)</w:t>
            </w:r>
          </w:p>
        </w:tc>
      </w:tr>
      <w:tr>
        <w:trPr>
          <w:trHeight w:val="244"/>
        </w:trPr>
        <w:tc>
          <w:tcPr>
            <w:tcW w:w="504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$161.1</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141.7</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83"/>
        </w:trPr>
        <w:tc>
          <w:tcPr>
            <w:tcW w:w="504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233.6</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50"/>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504.7</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536.4</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r>
        <w:trPr>
          <w:trHeight w:val="251"/>
        </w:trPr>
        <w:tc>
          <w:tcPr>
            <w:tcW w:w="504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44.3</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83"/>
        </w:trPr>
        <w:tc>
          <w:tcPr>
            <w:tcW w:w="504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50"/>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126.0</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(0.7%)</w:t>
            </w:r>
          </w:p>
        </w:tc>
      </w:tr>
      <w:tr>
        <w:trPr>
          <w:trHeight w:val="251"/>
        </w:trPr>
        <w:tc>
          <w:tcPr>
            <w:tcW w:w="504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178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504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78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50"/>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64.0%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64.1%</w:t>
            </w:r>
          </w:p>
        </w:tc>
      </w:tr>
      <w:tr>
        <w:trPr>
          <w:trHeight w:val="251"/>
        </w:trPr>
        <w:tc>
          <w:tcPr>
            <w:tcW w:w="504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204.4</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176.9</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186.6</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504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290.8</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0"/>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656.6</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681.8</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(0.7%)</w:t>
            </w:r>
          </w:p>
        </w:tc>
      </w:tr>
      <w:tr>
        <w:trPr>
          <w:trHeight w:val="251"/>
        </w:trPr>
        <w:tc>
          <w:tcPr>
            <w:tcW w:w="504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335.3</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349.0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83"/>
        </w:trPr>
        <w:tc>
          <w:tcPr>
            <w:tcW w:w="504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50"/>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424.5</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423.0</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0.4%</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251"/>
        </w:trPr>
        <w:tc>
          <w:tcPr>
            <w:tcW w:w="504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8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Europe</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80" w:type="dxa"/>
            <w:vAlign w:val="bottom"/>
            <w:gridSpan w:val="2"/>
          </w:tcPr>
          <w:p>
            <w:pPr>
              <w:ind w:left="1180"/>
              <w:spacing w:after="0"/>
              <w:rPr>
                <w:sz w:val="20"/>
                <w:szCs w:val="20"/>
                <w:color w:val="auto"/>
              </w:rPr>
            </w:pPr>
            <w:r>
              <w:rPr>
                <w:rFonts w:ascii="Arial" w:cs="Arial" w:eastAsia="Arial" w:hAnsi="Arial"/>
                <w:sz w:val="16"/>
                <w:szCs w:val="16"/>
                <w:color w:val="auto"/>
              </w:rPr>
              <w:t>N/A</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504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50"/>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38.7%</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46.0%</w:t>
            </w:r>
          </w:p>
        </w:tc>
      </w:tr>
      <w:tr>
        <w:trPr>
          <w:trHeight w:val="251"/>
        </w:trPr>
        <w:tc>
          <w:tcPr>
            <w:tcW w:w="504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US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553.4</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5040" w:type="dxa"/>
            <w:vAlign w:val="bottom"/>
          </w:tcPr>
          <w:p>
            <w:pPr>
              <w:spacing w:after="0"/>
              <w:rPr>
                <w:sz w:val="20"/>
                <w:szCs w:val="20"/>
                <w:color w:val="auto"/>
              </w:rPr>
            </w:pPr>
            <w:r>
              <w:rPr>
                <w:rFonts w:ascii="Arial" w:cs="Arial" w:eastAsia="Arial" w:hAnsi="Arial"/>
                <w:sz w:val="16"/>
                <w:szCs w:val="16"/>
                <w:color w:val="auto"/>
              </w:rPr>
              <w:t>Europe</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223.2</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229.0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3"/>
        </w:trPr>
        <w:tc>
          <w:tcPr>
            <w:tcW w:w="5040" w:type="dxa"/>
            <w:vAlign w:val="bottom"/>
          </w:tcPr>
          <w:p>
            <w:pPr>
              <w:spacing w:after="0"/>
              <w:rPr>
                <w:sz w:val="20"/>
                <w:szCs w:val="20"/>
                <w:color w:val="auto"/>
              </w:rPr>
            </w:pPr>
            <w:r>
              <w:rPr>
                <w:rFonts w:ascii="Arial" w:cs="Arial" w:eastAsia="Arial" w:hAnsi="Arial"/>
                <w:sz w:val="16"/>
                <w:szCs w:val="16"/>
                <w:color w:val="auto"/>
              </w:rPr>
              <w:t>Rest of World</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314.5</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67"/>
        </w:trPr>
        <w:tc>
          <w:tcPr>
            <w:tcW w:w="504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$1,084.2</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$1,107.0</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0.1%</w:t>
            </w:r>
          </w:p>
        </w:tc>
      </w:tr>
      <w:tr>
        <w:trPr>
          <w:trHeight w:val="20"/>
        </w:trPr>
        <w:tc>
          <w:tcPr>
            <w:tcW w:w="5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329" w:lineRule="exact"/>
        <w:rPr>
          <w:sz w:val="20"/>
          <w:szCs w:val="20"/>
          <w:color w:val="auto"/>
        </w:rPr>
      </w:pPr>
    </w:p>
    <w:p>
      <w:pPr>
        <w:ind w:left="245" w:right="40" w:hanging="245"/>
        <w:spacing w:after="0" w:line="258" w:lineRule="auto"/>
        <w:tabs>
          <w:tab w:leader="none" w:pos="245"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32" w:lineRule="exact"/>
        <w:rPr>
          <w:sz w:val="20"/>
          <w:szCs w:val="20"/>
          <w:color w:val="auto"/>
        </w:rPr>
      </w:pPr>
    </w:p>
    <w:p>
      <w:pPr>
        <w:ind w:left="245" w:hanging="245"/>
        <w:spacing w:after="0"/>
        <w:tabs>
          <w:tab w:leader="none" w:pos="245"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200" w:lineRule="exact"/>
        <w:rPr>
          <w:sz w:val="20"/>
          <w:szCs w:val="20"/>
          <w:color w:val="auto"/>
        </w:rPr>
      </w:pPr>
    </w:p>
    <w:p>
      <w:pPr>
        <w:spacing w:after="0" w:line="263"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5"/>
          </w:cols>
          <w:pgMar w:left="275" w:top="756" w:right="239" w:bottom="1440" w:gutter="0" w:footer="0" w:header="0"/>
        </w:sectPr>
      </w:pPr>
    </w:p>
    <w:bookmarkStart w:id="13" w:name="page14"/>
    <w:bookmarkEnd w:id="13"/>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5" w:right="260"/>
        <w:spacing w:after="0" w:line="392" w:lineRule="auto"/>
        <w:rPr>
          <w:sz w:val="20"/>
          <w:szCs w:val="20"/>
          <w:color w:val="auto"/>
        </w:rPr>
      </w:pPr>
      <w:r>
        <w:rPr>
          <w:rFonts w:ascii="Arial" w:cs="Arial" w:eastAsia="Arial" w:hAnsi="Arial"/>
          <w:sz w:val="16"/>
          <w:szCs w:val="16"/>
          <w:b w:val="1"/>
          <w:bCs w:val="1"/>
          <w:color w:val="auto"/>
        </w:rPr>
        <w:t>CONDENSED CONSOLIDATED STATEMENTS OF INCOME - UNAUDITED (U.S.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sales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Costs and expenses: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Cost of sales - exclusive of amortization</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Product remediation</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Merger and integration expenses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Restructuring expenses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Impairment of goodwill</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Impairment of intangible assets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Amortization of intangibles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Litigation provision, net</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Operating loss from continuing operations</w:t>
      </w:r>
    </w:p>
    <w:p>
      <w:pPr>
        <w:spacing w:after="0" w:line="100"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Foreign exchange and other losses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Loss from continuing operations before tax</w:t>
      </w:r>
    </w:p>
    <w:p>
      <w:pPr>
        <w:spacing w:after="0" w:line="100"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Income tax benefit</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loss from continuing operations</w:t>
      </w:r>
    </w:p>
    <w:p>
      <w:pPr>
        <w:spacing w:after="0" w:line="100"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income (loss) from discontinued operations, net of tax</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loss</w:t>
      </w:r>
    </w:p>
    <w:p>
      <w:pPr>
        <w:spacing w:after="0" w:line="397" w:lineRule="exact"/>
        <w:rPr>
          <w:sz w:val="20"/>
          <w:szCs w:val="20"/>
          <w:color w:val="auto"/>
        </w:rPr>
      </w:pPr>
    </w:p>
    <w:p>
      <w:pPr>
        <w:ind w:left="5"/>
        <w:spacing w:after="0"/>
        <w:rPr>
          <w:sz w:val="20"/>
          <w:szCs w:val="20"/>
          <w:color w:val="auto"/>
        </w:rPr>
      </w:pPr>
      <w:r>
        <w:rPr>
          <w:rFonts w:ascii="Arial" w:cs="Arial" w:eastAsia="Arial" w:hAnsi="Arial"/>
          <w:sz w:val="16"/>
          <w:szCs w:val="16"/>
          <w:color w:val="auto"/>
        </w:rPr>
        <w:t>Basic and diluted loss per share:</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Continuing operations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Discontinued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
        <w:spacing w:after="0"/>
        <w:rPr>
          <w:sz w:val="20"/>
          <w:szCs w:val="20"/>
          <w:color w:val="auto"/>
        </w:rPr>
      </w:pPr>
      <w:r>
        <w:rPr>
          <w:rFonts w:ascii="Arial" w:cs="Arial" w:eastAsia="Arial" w:hAnsi="Arial"/>
          <w:sz w:val="16"/>
          <w:szCs w:val="16"/>
          <w:color w:val="auto"/>
        </w:rPr>
        <w:t>Weighted average common shares outstanding</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Basic and diluted</w:t>
      </w:r>
    </w:p>
    <w:p>
      <w:pPr>
        <w:spacing w:after="0" w:line="359" w:lineRule="exact"/>
        <w:rPr>
          <w:sz w:val="20"/>
          <w:szCs w:val="20"/>
          <w:color w:val="auto"/>
        </w:rPr>
      </w:pPr>
    </w:p>
    <w:p>
      <w:pPr>
        <w:ind w:left="205" w:hanging="205"/>
        <w:spacing w:after="0"/>
        <w:tabs>
          <w:tab w:leader="none" w:pos="205" w:val="left"/>
        </w:tabs>
        <w:numPr>
          <w:ilvl w:val="0"/>
          <w:numId w:val="8"/>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64"/>
        </w:trPr>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Change</w:t>
            </w:r>
          </w:p>
        </w:tc>
      </w:tr>
      <w:tr>
        <w:trPr>
          <w:trHeight w:val="251"/>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$297.0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54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294.0</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(276.5)</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(47.9%)</w:t>
            </w:r>
          </w:p>
        </w:tc>
      </w:tr>
      <w:tr>
        <w:trPr>
          <w:trHeight w:val="251"/>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r>
      <w:tr>
        <w:trPr>
          <w:trHeight w:val="2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(279.4)</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(46.3%)</w:t>
            </w:r>
          </w:p>
        </w:tc>
      </w:tr>
      <w:tr>
        <w:trPr>
          <w:trHeight w:val="264"/>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spacing w:after="0"/>
              <w:rPr>
                <w:sz w:val="22"/>
                <w:szCs w:val="22"/>
                <w:color w:val="auto"/>
              </w:rPr>
            </w:pPr>
          </w:p>
        </w:tc>
      </w:tr>
      <w:tr>
        <w:trPr>
          <w:trHeight w:val="250"/>
        </w:trPr>
        <w:tc>
          <w:tcPr>
            <w:tcW w:w="1700" w:type="dxa"/>
            <w:vAlign w:val="bottom"/>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(209.5)</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(31.6%)</w:t>
            </w:r>
          </w:p>
        </w:tc>
      </w:tr>
      <w:tr>
        <w:trPr>
          <w:trHeight w:val="264"/>
        </w:trPr>
        <w:tc>
          <w:tcPr>
            <w:tcW w:w="1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spacing w:after="0"/>
              <w:rPr>
                <w:sz w:val="22"/>
                <w:szCs w:val="22"/>
                <w:color w:val="auto"/>
              </w:rPr>
            </w:pPr>
          </w:p>
        </w:tc>
      </w:tr>
      <w:tr>
        <w:trPr>
          <w:trHeight w:val="307"/>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(32.0%)</w:t>
            </w:r>
          </w:p>
        </w:tc>
      </w:tr>
      <w:tr>
        <w:trPr>
          <w:trHeight w:val="788"/>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83"/>
        </w:trPr>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4"/>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791"/>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2">
            <w:col w:w="5805" w:space="160"/>
            <w:col w:w="5420"/>
          </w:cols>
          <w:pgMar w:left="275" w:top="783" w:right="239" w:bottom="1440" w:gutter="0" w:footer="0" w:header="0"/>
        </w:sectPr>
      </w:pPr>
    </w:p>
    <w:bookmarkStart w:id="14" w:name="page15"/>
    <w:bookmarkEnd w:id="14"/>
    <w:p>
      <w:pPr>
        <w:ind w:left="5"/>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365"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70"/>
        </w:trPr>
        <w:tc>
          <w:tcPr>
            <w:tcW w:w="596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3"/>
                <w:szCs w:val="23"/>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1"/>
                <w:szCs w:val="21"/>
                <w:b w:val="1"/>
                <w:bCs w:val="1"/>
                <w:color w:val="auto"/>
                <w:vertAlign w:val="superscript"/>
              </w:rPr>
              <w:t>(1)</w:t>
            </w:r>
          </w:p>
        </w:tc>
      </w:tr>
      <w:tr>
        <w:trPr>
          <w:trHeight w:val="314"/>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70"/>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76"/>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(10.7%)</w:t>
            </w:r>
          </w:p>
        </w:tc>
      </w:tr>
    </w:tbl>
    <w:p>
      <w:pPr>
        <w:spacing w:after="0" w:line="258" w:lineRule="exact"/>
        <w:rPr>
          <w:sz w:val="20"/>
          <w:szCs w:val="20"/>
          <w:color w:val="auto"/>
        </w:rPr>
      </w:pPr>
    </w:p>
    <w:p>
      <w:pPr>
        <w:ind w:left="245" w:right="40" w:hanging="245"/>
        <w:spacing w:after="0" w:line="258" w:lineRule="auto"/>
        <w:tabs>
          <w:tab w:leader="none" w:pos="245"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35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71"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2500" w:type="dxa"/>
            <w:vAlign w:val="bottom"/>
          </w:tcPr>
          <w:p>
            <w:pPr>
              <w:spacing w:after="0"/>
              <w:rPr>
                <w:sz w:val="21"/>
                <w:szCs w:val="21"/>
                <w:color w:val="auto"/>
              </w:rPr>
            </w:pPr>
          </w:p>
        </w:tc>
        <w:tc>
          <w:tcPr>
            <w:tcW w:w="43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GAAP Three Months Ended December 31,</w:t>
            </w:r>
          </w:p>
        </w:tc>
        <w:tc>
          <w:tcPr>
            <w:tcW w:w="100" w:type="dxa"/>
            <w:vAlign w:val="bottom"/>
          </w:tcPr>
          <w:p>
            <w:pPr>
              <w:spacing w:after="0"/>
              <w:rPr>
                <w:sz w:val="21"/>
                <w:szCs w:val="21"/>
                <w:color w:val="auto"/>
              </w:rPr>
            </w:pPr>
          </w:p>
        </w:tc>
        <w:tc>
          <w:tcPr>
            <w:tcW w:w="44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Three Months Ended December 31,</w:t>
            </w:r>
          </w:p>
        </w:tc>
      </w:tr>
      <w:tr>
        <w:trPr>
          <w:trHeight w:val="257"/>
        </w:trPr>
        <w:tc>
          <w:tcPr>
            <w:tcW w:w="2500" w:type="dxa"/>
            <w:vAlign w:val="bottom"/>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2018</w:t>
            </w:r>
          </w:p>
        </w:tc>
      </w:tr>
      <w:tr>
        <w:trPr>
          <w:trHeight w:val="237"/>
        </w:trPr>
        <w:tc>
          <w:tcPr>
            <w:tcW w:w="38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4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0"/>
                <w:szCs w:val="20"/>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70"/>
        </w:trPr>
        <w:tc>
          <w:tcPr>
            <w:tcW w:w="386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3"/>
                <w:szCs w:val="23"/>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70"/>
        </w:trPr>
        <w:tc>
          <w:tcPr>
            <w:tcW w:w="3860" w:type="dxa"/>
            <w:vAlign w:val="bottom"/>
            <w:gridSpan w:val="2"/>
          </w:tcPr>
          <w:p>
            <w:pPr>
              <w:spacing w:after="0"/>
              <w:rPr>
                <w:sz w:val="20"/>
                <w:szCs w:val="20"/>
                <w:color w:val="auto"/>
              </w:rPr>
            </w:pPr>
            <w:r>
              <w:rPr>
                <w:rFonts w:ascii="Arial" w:cs="Arial" w:eastAsia="Arial" w:hAnsi="Arial"/>
                <w:sz w:val="16"/>
                <w:szCs w:val="16"/>
                <w:color w:val="auto"/>
              </w:rPr>
              <w:t>R&amp;D</w:t>
            </w: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38"/>
        </w:trPr>
        <w:tc>
          <w:tcPr>
            <w:tcW w:w="3860" w:type="dxa"/>
            <w:vAlign w:val="bottom"/>
            <w:gridSpan w:val="2"/>
          </w:tcPr>
          <w:p>
            <w:pPr>
              <w:spacing w:after="0"/>
              <w:rPr>
                <w:sz w:val="20"/>
                <w:szCs w:val="20"/>
                <w:color w:val="auto"/>
              </w:rPr>
            </w:pPr>
            <w:r>
              <w:rPr>
                <w:rFonts w:ascii="Arial" w:cs="Arial" w:eastAsia="Arial" w:hAnsi="Arial"/>
                <w:sz w:val="16"/>
                <w:szCs w:val="16"/>
                <w:color w:val="auto"/>
              </w:rPr>
              <w:t>Operating (loss) income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5"/>
        </w:trPr>
        <w:tc>
          <w:tcPr>
            <w:tcW w:w="386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38"/>
        </w:trPr>
        <w:tc>
          <w:tcPr>
            <w:tcW w:w="3860" w:type="dxa"/>
            <w:vAlign w:val="bottom"/>
            <w:gridSpan w:val="2"/>
          </w:tcPr>
          <w:p>
            <w:pPr>
              <w:spacing w:after="0"/>
              <w:rPr>
                <w:sz w:val="20"/>
                <w:szCs w:val="20"/>
                <w:color w:val="auto"/>
              </w:rPr>
            </w:pPr>
            <w:r>
              <w:rPr>
                <w:rFonts w:ascii="Arial" w:cs="Arial" w:eastAsia="Arial" w:hAnsi="Arial"/>
                <w:sz w:val="16"/>
                <w:szCs w:val="16"/>
                <w:color w:val="auto"/>
              </w:rPr>
              <w:t>Net (loss) income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5"/>
        </w:trPr>
        <w:tc>
          <w:tcPr>
            <w:tcW w:w="3860" w:type="dxa"/>
            <w:vAlign w:val="bottom"/>
            <w:gridSpan w:val="2"/>
          </w:tcPr>
          <w:p>
            <w:pPr>
              <w:spacing w:after="0"/>
              <w:rPr>
                <w:sz w:val="20"/>
                <w:szCs w:val="20"/>
                <w:color w:val="auto"/>
              </w:rPr>
            </w:pPr>
            <w:r>
              <w:rPr>
                <w:rFonts w:ascii="Arial" w:cs="Arial" w:eastAsia="Arial" w:hAnsi="Arial"/>
                <w:sz w:val="16"/>
                <w:szCs w:val="16"/>
                <w:color w:val="auto"/>
              </w:rPr>
              <w:t>continuing operations, net of tax</w:t>
            </w:r>
          </w:p>
        </w:tc>
        <w:tc>
          <w:tcPr>
            <w:tcW w:w="7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70"/>
        </w:trPr>
        <w:tc>
          <w:tcPr>
            <w:tcW w:w="386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16.0%</w:t>
            </w:r>
          </w:p>
        </w:tc>
      </w:tr>
    </w:tbl>
    <w:p>
      <w:pPr>
        <w:spacing w:after="0" w:line="348" w:lineRule="exact"/>
        <w:rPr>
          <w:sz w:val="20"/>
          <w:szCs w:val="20"/>
          <w:color w:val="auto"/>
        </w:rPr>
      </w:pPr>
    </w:p>
    <w:p>
      <w:pPr>
        <w:ind w:left="425" w:right="40" w:hanging="425"/>
        <w:spacing w:after="0" w:line="258" w:lineRule="auto"/>
        <w:tabs>
          <w:tab w:leader="none" w:pos="425"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39"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5"/>
          </w:cols>
          <w:pgMar w:left="275" w:top="751" w:right="239" w:bottom="1440" w:gutter="0" w:footer="0" w:header="0"/>
        </w:sectPr>
      </w:pPr>
    </w:p>
    <w:bookmarkStart w:id="15" w:name="page16"/>
    <w:bookmarkEnd w:id="15"/>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5" w:right="260"/>
        <w:spacing w:after="0" w:line="392" w:lineRule="auto"/>
        <w:rPr>
          <w:sz w:val="20"/>
          <w:szCs w:val="20"/>
          <w:color w:val="auto"/>
        </w:rPr>
      </w:pPr>
      <w:r>
        <w:rPr>
          <w:rFonts w:ascii="Arial" w:cs="Arial" w:eastAsia="Arial" w:hAnsi="Arial"/>
          <w:sz w:val="16"/>
          <w:szCs w:val="16"/>
          <w:b w:val="1"/>
          <w:bCs w:val="1"/>
          <w:color w:val="auto"/>
        </w:rPr>
        <w:t>CONDENSED CONSOLIDATED STATEMENTS OF INCOME - UNAUDITED (U.S.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sales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Costs and expenses: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Cost of sales - exclusive of amortization</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Product remediation</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Merger and integration expenses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Restructuring expenses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Impairment of goodwill</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Impairment of intangible assets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Amortization of intangibles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Litigation provision, net</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Operating loss from continuing operations</w:t>
      </w:r>
    </w:p>
    <w:p>
      <w:pPr>
        <w:spacing w:after="0" w:line="100"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Gain on acquisition</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Foreign exchange and other losses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Loss from continuing operations before tax</w:t>
      </w:r>
    </w:p>
    <w:p>
      <w:pPr>
        <w:spacing w:after="0" w:line="100" w:lineRule="exact"/>
        <w:rPr>
          <w:sz w:val="20"/>
          <w:szCs w:val="20"/>
          <w:color w:val="auto"/>
        </w:rPr>
      </w:pPr>
    </w:p>
    <w:p>
      <w:pPr>
        <w:ind w:left="205"/>
        <w:spacing w:after="0"/>
        <w:rPr>
          <w:sz w:val="20"/>
          <w:szCs w:val="20"/>
          <w:color w:val="auto"/>
        </w:rPr>
      </w:pPr>
      <w:r>
        <w:rPr>
          <w:rFonts w:ascii="Arial" w:cs="Arial" w:eastAsia="Arial" w:hAnsi="Arial"/>
          <w:sz w:val="16"/>
          <w:szCs w:val="16"/>
          <w:color w:val="auto"/>
        </w:rPr>
        <w:t>Income tax benefit</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Losses from equity method investments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loss from continuing operations</w:t>
      </w:r>
    </w:p>
    <w:p>
      <w:pPr>
        <w:spacing w:after="0" w:line="100"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income (loss) from discontinued operations, net of tax</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loss</w:t>
      </w:r>
    </w:p>
    <w:p>
      <w:pPr>
        <w:spacing w:after="0" w:line="397" w:lineRule="exact"/>
        <w:rPr>
          <w:sz w:val="20"/>
          <w:szCs w:val="20"/>
          <w:color w:val="auto"/>
        </w:rPr>
      </w:pPr>
    </w:p>
    <w:p>
      <w:pPr>
        <w:ind w:left="5"/>
        <w:spacing w:after="0"/>
        <w:rPr>
          <w:sz w:val="20"/>
          <w:szCs w:val="20"/>
          <w:color w:val="auto"/>
        </w:rPr>
      </w:pPr>
      <w:r>
        <w:rPr>
          <w:rFonts w:ascii="Arial" w:cs="Arial" w:eastAsia="Arial" w:hAnsi="Arial"/>
          <w:sz w:val="16"/>
          <w:szCs w:val="16"/>
          <w:color w:val="auto"/>
        </w:rPr>
        <w:t>Basic and diluted (loss) income per share:</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Continuing operations</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Discontinued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
        <w:spacing w:after="0"/>
        <w:rPr>
          <w:sz w:val="20"/>
          <w:szCs w:val="20"/>
          <w:color w:val="auto"/>
        </w:rPr>
      </w:pPr>
      <w:r>
        <w:rPr>
          <w:rFonts w:ascii="Arial" w:cs="Arial" w:eastAsia="Arial" w:hAnsi="Arial"/>
          <w:sz w:val="16"/>
          <w:szCs w:val="16"/>
          <w:color w:val="auto"/>
        </w:rPr>
        <w:t>Weighted average common shares outstanding</w:t>
      </w:r>
    </w:p>
    <w:p>
      <w:pPr>
        <w:spacing w:after="0" w:line="86" w:lineRule="exact"/>
        <w:rPr>
          <w:sz w:val="20"/>
          <w:szCs w:val="20"/>
          <w:color w:val="auto"/>
        </w:rPr>
      </w:pPr>
    </w:p>
    <w:p>
      <w:pPr>
        <w:ind w:left="205"/>
        <w:spacing w:after="0"/>
        <w:rPr>
          <w:sz w:val="20"/>
          <w:szCs w:val="20"/>
          <w:color w:val="auto"/>
        </w:rPr>
      </w:pPr>
      <w:r>
        <w:rPr>
          <w:rFonts w:ascii="Arial" w:cs="Arial" w:eastAsia="Arial" w:hAnsi="Arial"/>
          <w:sz w:val="16"/>
          <w:szCs w:val="16"/>
          <w:color w:val="auto"/>
        </w:rPr>
        <w:t>Basic and diluted</w:t>
      </w:r>
    </w:p>
    <w:p>
      <w:pPr>
        <w:spacing w:after="0" w:line="359" w:lineRule="exact"/>
        <w:rPr>
          <w:sz w:val="20"/>
          <w:szCs w:val="20"/>
          <w:color w:val="auto"/>
        </w:rPr>
      </w:pPr>
    </w:p>
    <w:p>
      <w:pPr>
        <w:ind w:left="205" w:hanging="205"/>
        <w:spacing w:after="0"/>
        <w:tabs>
          <w:tab w:leader="none" w:pos="205" w:val="left"/>
        </w:tabs>
        <w:numPr>
          <w:ilvl w:val="0"/>
          <w:numId w:val="11"/>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Twelve Months Ended December 31,</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64"/>
        </w:trPr>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8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Change</w:t>
            </w:r>
          </w:p>
        </w:tc>
      </w:tr>
      <w:tr>
        <w:trPr>
          <w:trHeight w:val="251"/>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$1,084.2</w:t>
            </w:r>
          </w:p>
        </w:tc>
        <w:tc>
          <w:tcPr>
            <w:tcW w:w="100" w:type="dxa"/>
            <w:vAlign w:val="bottom"/>
          </w:tcPr>
          <w:p>
            <w:pPr>
              <w:spacing w:after="0"/>
              <w:rPr>
                <w:sz w:val="21"/>
                <w:szCs w:val="21"/>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$1,107.0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54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323.6</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361.8</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506.5</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465.0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294.0</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(248.1)</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(31.9%)</w:t>
            </w:r>
          </w:p>
        </w:tc>
      </w:tr>
      <w:tr>
        <w:trPr>
          <w:trHeight w:val="251"/>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r>
      <w:tr>
        <w:trPr>
          <w:trHeight w:val="270"/>
        </w:trPr>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83"/>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(247.4)</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(24.9%)</w:t>
            </w:r>
          </w:p>
        </w:tc>
      </w:tr>
      <w:tr>
        <w:trPr>
          <w:trHeight w:val="251"/>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r>
      <w:tr>
        <w:trPr>
          <w:trHeight w:val="283"/>
        </w:trPr>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(178.5)</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(12.9%)</w:t>
            </w:r>
          </w:p>
        </w:tc>
      </w:tr>
      <w:tr>
        <w:trPr>
          <w:trHeight w:val="264"/>
        </w:trPr>
        <w:tc>
          <w:tcPr>
            <w:tcW w:w="1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spacing w:after="0"/>
              <w:rPr>
                <w:sz w:val="22"/>
                <w:szCs w:val="22"/>
                <w:color w:val="auto"/>
              </w:rPr>
            </w:pPr>
          </w:p>
        </w:tc>
      </w:tr>
      <w:tr>
        <w:trPr>
          <w:trHeight w:val="307"/>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(18.1%)</w:t>
            </w:r>
          </w:p>
        </w:tc>
      </w:tr>
      <w:tr>
        <w:trPr>
          <w:trHeight w:val="788"/>
        </w:trPr>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83"/>
        </w:trPr>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4"/>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791"/>
        </w:trPr>
        <w:tc>
          <w:tcPr>
            <w:tcW w:w="170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2">
            <w:col w:w="5805" w:space="160"/>
            <w:col w:w="5420"/>
          </w:cols>
          <w:pgMar w:left="275" w:top="783" w:right="239" w:bottom="1440" w:gutter="0" w:footer="0" w:header="0"/>
        </w:sectPr>
      </w:pPr>
    </w:p>
    <w:bookmarkStart w:id="16" w:name="page17"/>
    <w:bookmarkEnd w:id="16"/>
    <w:p>
      <w:pPr>
        <w:ind w:left="5"/>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365"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Twelve Months Ended December 31,</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70"/>
        </w:trPr>
        <w:tc>
          <w:tcPr>
            <w:tcW w:w="596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3"/>
                <w:szCs w:val="23"/>
                <w:color w:val="auto"/>
              </w:rPr>
            </w:pPr>
          </w:p>
        </w:tc>
        <w:tc>
          <w:tcPr>
            <w:tcW w:w="1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1"/>
                <w:szCs w:val="21"/>
                <w:b w:val="1"/>
                <w:bCs w:val="1"/>
                <w:color w:val="auto"/>
                <w:vertAlign w:val="superscript"/>
              </w:rPr>
              <w:t>(1)</w:t>
            </w:r>
          </w:p>
        </w:tc>
      </w:tr>
      <w:tr>
        <w:trPr>
          <w:trHeight w:val="314"/>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$402.5</w:t>
            </w:r>
          </w:p>
        </w:tc>
        <w:tc>
          <w:tcPr>
            <w:tcW w:w="1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70"/>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135.7</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70"/>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216.2</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70"/>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76"/>
        </w:trPr>
        <w:tc>
          <w:tcPr>
            <w:tcW w:w="702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(13.2%)</w:t>
            </w:r>
          </w:p>
        </w:tc>
      </w:tr>
    </w:tbl>
    <w:p>
      <w:pPr>
        <w:spacing w:after="0" w:line="258" w:lineRule="exact"/>
        <w:rPr>
          <w:sz w:val="20"/>
          <w:szCs w:val="20"/>
          <w:color w:val="auto"/>
        </w:rPr>
      </w:pPr>
    </w:p>
    <w:p>
      <w:pPr>
        <w:ind w:left="245" w:right="40" w:hanging="245"/>
        <w:spacing w:after="0" w:line="258" w:lineRule="auto"/>
        <w:tabs>
          <w:tab w:leader="none" w:pos="245"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35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71"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2500" w:type="dxa"/>
            <w:vAlign w:val="bottom"/>
          </w:tcPr>
          <w:p>
            <w:pPr>
              <w:spacing w:after="0"/>
              <w:rPr>
                <w:sz w:val="21"/>
                <w:szCs w:val="21"/>
                <w:color w:val="auto"/>
              </w:rPr>
            </w:pPr>
          </w:p>
        </w:tc>
        <w:tc>
          <w:tcPr>
            <w:tcW w:w="43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GAAP Twelve Months Ended December 31,</w:t>
            </w:r>
          </w:p>
        </w:tc>
        <w:tc>
          <w:tcPr>
            <w:tcW w:w="100" w:type="dxa"/>
            <w:vAlign w:val="bottom"/>
          </w:tcPr>
          <w:p>
            <w:pPr>
              <w:spacing w:after="0"/>
              <w:rPr>
                <w:sz w:val="21"/>
                <w:szCs w:val="21"/>
                <w:color w:val="auto"/>
              </w:rPr>
            </w:pPr>
          </w:p>
        </w:tc>
        <w:tc>
          <w:tcPr>
            <w:tcW w:w="44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Twelve Months Ended December 31,</w:t>
            </w:r>
          </w:p>
        </w:tc>
      </w:tr>
      <w:tr>
        <w:trPr>
          <w:trHeight w:val="257"/>
        </w:trPr>
        <w:tc>
          <w:tcPr>
            <w:tcW w:w="2500" w:type="dxa"/>
            <w:vAlign w:val="bottom"/>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2018</w:t>
            </w:r>
          </w:p>
        </w:tc>
      </w:tr>
      <w:tr>
        <w:trPr>
          <w:trHeight w:val="237"/>
        </w:trPr>
        <w:tc>
          <w:tcPr>
            <w:tcW w:w="38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4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270"/>
        </w:trPr>
        <w:tc>
          <w:tcPr>
            <w:tcW w:w="386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4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3"/>
                <w:szCs w:val="23"/>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70"/>
        </w:trPr>
        <w:tc>
          <w:tcPr>
            <w:tcW w:w="3860" w:type="dxa"/>
            <w:vAlign w:val="bottom"/>
            <w:gridSpan w:val="2"/>
          </w:tcPr>
          <w:p>
            <w:pPr>
              <w:spacing w:after="0"/>
              <w:rPr>
                <w:sz w:val="20"/>
                <w:szCs w:val="20"/>
                <w:color w:val="auto"/>
              </w:rPr>
            </w:pPr>
            <w:r>
              <w:rPr>
                <w:rFonts w:ascii="Arial" w:cs="Arial" w:eastAsia="Arial" w:hAnsi="Arial"/>
                <w:sz w:val="16"/>
                <w:szCs w:val="16"/>
                <w:color w:val="auto"/>
              </w:rPr>
              <w:t>R&amp;D</w:t>
            </w:r>
          </w:p>
        </w:tc>
        <w:tc>
          <w:tcPr>
            <w:tcW w:w="7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3"/>
                <w:szCs w:val="23"/>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8"/>
        </w:trPr>
        <w:tc>
          <w:tcPr>
            <w:tcW w:w="3860" w:type="dxa"/>
            <w:vAlign w:val="bottom"/>
            <w:gridSpan w:val="2"/>
          </w:tcPr>
          <w:p>
            <w:pPr>
              <w:spacing w:after="0"/>
              <w:rPr>
                <w:sz w:val="20"/>
                <w:szCs w:val="20"/>
                <w:color w:val="auto"/>
              </w:rPr>
            </w:pPr>
            <w:r>
              <w:rPr>
                <w:rFonts w:ascii="Arial" w:cs="Arial" w:eastAsia="Arial" w:hAnsi="Arial"/>
                <w:sz w:val="16"/>
                <w:szCs w:val="16"/>
                <w:color w:val="auto"/>
              </w:rPr>
              <w:t>Operating (loss) income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5"/>
        </w:trPr>
        <w:tc>
          <w:tcPr>
            <w:tcW w:w="386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38"/>
        </w:trPr>
        <w:tc>
          <w:tcPr>
            <w:tcW w:w="3860" w:type="dxa"/>
            <w:vAlign w:val="bottom"/>
            <w:gridSpan w:val="2"/>
          </w:tcPr>
          <w:p>
            <w:pPr>
              <w:spacing w:after="0"/>
              <w:rPr>
                <w:sz w:val="20"/>
                <w:szCs w:val="20"/>
                <w:color w:val="auto"/>
              </w:rPr>
            </w:pPr>
            <w:r>
              <w:rPr>
                <w:rFonts w:ascii="Arial" w:cs="Arial" w:eastAsia="Arial" w:hAnsi="Arial"/>
                <w:sz w:val="16"/>
                <w:szCs w:val="16"/>
                <w:color w:val="auto"/>
              </w:rPr>
              <w:t>Net (loss) income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5"/>
        </w:trPr>
        <w:tc>
          <w:tcPr>
            <w:tcW w:w="3860" w:type="dxa"/>
            <w:vAlign w:val="bottom"/>
            <w:gridSpan w:val="2"/>
          </w:tcPr>
          <w:p>
            <w:pPr>
              <w:spacing w:after="0"/>
              <w:rPr>
                <w:sz w:val="20"/>
                <w:szCs w:val="20"/>
                <w:color w:val="auto"/>
              </w:rPr>
            </w:pPr>
            <w:r>
              <w:rPr>
                <w:rFonts w:ascii="Arial" w:cs="Arial" w:eastAsia="Arial" w:hAnsi="Arial"/>
                <w:sz w:val="16"/>
                <w:szCs w:val="16"/>
                <w:color w:val="auto"/>
              </w:rPr>
              <w:t>continuing operations, net of tax</w:t>
            </w: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70"/>
        </w:trPr>
        <w:tc>
          <w:tcPr>
            <w:tcW w:w="386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3"/>
                <w:szCs w:val="23"/>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15.6%</w:t>
            </w:r>
          </w:p>
        </w:tc>
      </w:tr>
    </w:tbl>
    <w:p>
      <w:pPr>
        <w:spacing w:after="0" w:line="348" w:lineRule="exact"/>
        <w:rPr>
          <w:sz w:val="20"/>
          <w:szCs w:val="20"/>
          <w:color w:val="auto"/>
        </w:rPr>
      </w:pPr>
    </w:p>
    <w:p>
      <w:pPr>
        <w:ind w:left="425" w:right="40" w:hanging="425"/>
        <w:spacing w:after="0" w:line="258" w:lineRule="auto"/>
        <w:tabs>
          <w:tab w:leader="none" w:pos="425"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39"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5"/>
          </w:cols>
          <w:pgMar w:left="275" w:top="751" w:right="239" w:bottom="1440" w:gutter="0" w:footer="0" w:header="0"/>
        </w:sectPr>
      </w:pPr>
    </w:p>
    <w:bookmarkStart w:id="17" w:name="page18"/>
    <w:bookmarkEnd w:id="17"/>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3"/>
                <w:szCs w:val="13"/>
                <w:b w:val="1"/>
                <w:bCs w:val="1"/>
                <w:color w:val="auto"/>
              </w:rPr>
              <w:t>Specified Items</w:t>
            </w: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Legal,</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Merger and</w:t>
            </w:r>
          </w:p>
        </w:tc>
        <w:tc>
          <w:tcPr>
            <w:tcW w:w="9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Product</w:t>
            </w:r>
          </w:p>
        </w:tc>
        <w:tc>
          <w:tcPr>
            <w:tcW w:w="8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and</w:t>
            </w:r>
          </w:p>
        </w:tc>
        <w:tc>
          <w:tcPr>
            <w:tcW w:w="8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Consideration</w:t>
            </w: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80" w:type="dxa"/>
            <w:vAlign w:val="bottom"/>
            <w:vMerge w:val="continue"/>
          </w:tcPr>
          <w:p>
            <w:pPr>
              <w:spacing w:after="0"/>
              <w:rPr>
                <w:sz w:val="7"/>
                <w:szCs w:val="7"/>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w w:val="98"/>
              </w:rPr>
              <w:t>Integration</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Restructuring</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860" w:type="dxa"/>
            <w:vAlign w:val="bottom"/>
          </w:tcPr>
          <w:p>
            <w:pPr>
              <w:spacing w:after="0"/>
              <w:rPr>
                <w:sz w:val="7"/>
                <w:szCs w:val="7"/>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Acquisition</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and Other</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45"/>
        </w:trPr>
        <w:tc>
          <w:tcPr>
            <w:tcW w:w="1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7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180" w:type="dxa"/>
            <w:vAlign w:val="bottom"/>
            <w:vMerge w:val="continue"/>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740" w:type="dxa"/>
            <w:vAlign w:val="bottom"/>
          </w:tcPr>
          <w:p>
            <w:pPr>
              <w:jc w:val="right"/>
              <w:ind w:right="30"/>
              <w:spacing w:after="0" w:line="130" w:lineRule="exact"/>
              <w:rPr>
                <w:sz w:val="20"/>
                <w:szCs w:val="20"/>
                <w:color w:val="auto"/>
              </w:rPr>
            </w:pPr>
            <w:r>
              <w:rPr>
                <w:rFonts w:ascii="Arial" w:cs="Arial" w:eastAsia="Arial" w:hAnsi="Arial"/>
                <w:sz w:val="13"/>
                <w:szCs w:val="13"/>
                <w:b w:val="1"/>
                <w:bCs w:val="1"/>
                <w:color w:val="auto"/>
              </w:rPr>
              <w:t>Expenses</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6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Impairments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Reserves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8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1180" w:type="dxa"/>
            <w:vAlign w:val="bottom"/>
          </w:tcPr>
          <w:p>
            <w:pPr>
              <w:ind w:left="40"/>
              <w:spacing w:after="0"/>
              <w:rPr>
                <w:sz w:val="20"/>
                <w:szCs w:val="20"/>
                <w:color w:val="auto"/>
              </w:rPr>
            </w:pPr>
            <w:r>
              <w:rPr>
                <w:rFonts w:ascii="Arial" w:cs="Arial" w:eastAsia="Arial" w:hAnsi="Arial"/>
                <w:sz w:val="14"/>
                <w:szCs w:val="14"/>
                <w:color w:val="auto"/>
              </w:rPr>
              <w:t>Cost of sales -</w:t>
            </w: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exclusive of</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amortization</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$78.3</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($0.4)</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$9.6</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Product</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remediation</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4.6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(4.6)</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percent</w:t>
            </w:r>
          </w:p>
        </w:tc>
        <w:tc>
          <w:tcPr>
            <w:tcW w:w="700" w:type="dxa"/>
            <w:vAlign w:val="bottom"/>
          </w:tcPr>
          <w:p>
            <w:pPr>
              <w:jc w:val="right"/>
              <w:spacing w:after="0"/>
              <w:rPr>
                <w:sz w:val="20"/>
                <w:szCs w:val="20"/>
                <w:color w:val="auto"/>
              </w:rPr>
            </w:pPr>
            <w:r>
              <w:rPr>
                <w:rFonts w:ascii="Arial" w:cs="Arial" w:eastAsia="Arial" w:hAnsi="Arial"/>
                <w:sz w:val="14"/>
                <w:szCs w:val="14"/>
                <w:color w:val="auto"/>
              </w:rPr>
              <w:t>71.2 %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0.1 %</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Selling, general</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and</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administrative</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130.6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(0.4)</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(15.5)</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(7.1)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Selling, general</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and</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administrative as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a percent of net</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sales</w:t>
            </w:r>
          </w:p>
        </w:tc>
        <w:tc>
          <w:tcPr>
            <w:tcW w:w="700" w:type="dxa"/>
            <w:vAlign w:val="bottom"/>
          </w:tcPr>
          <w:p>
            <w:pPr>
              <w:jc w:val="right"/>
              <w:spacing w:after="0"/>
              <w:rPr>
                <w:sz w:val="20"/>
                <w:szCs w:val="20"/>
                <w:color w:val="auto"/>
              </w:rPr>
            </w:pPr>
            <w:r>
              <w:rPr>
                <w:rFonts w:ascii="Arial" w:cs="Arial" w:eastAsia="Arial" w:hAnsi="Arial"/>
                <w:sz w:val="14"/>
                <w:szCs w:val="14"/>
                <w:color w:val="auto"/>
              </w:rPr>
              <w:t>45.4 %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000" w:type="dxa"/>
            <w:vAlign w:val="bottom"/>
          </w:tcPr>
          <w:p>
            <w:pPr>
              <w:jc w:val="right"/>
              <w:spacing w:after="0"/>
              <w:rPr>
                <w:sz w:val="20"/>
                <w:szCs w:val="20"/>
                <w:color w:val="auto"/>
              </w:rPr>
            </w:pPr>
            <w:r>
              <w:rPr>
                <w:rFonts w:ascii="Arial" w:cs="Arial" w:eastAsia="Arial" w:hAnsi="Arial"/>
                <w:sz w:val="14"/>
                <w:szCs w:val="14"/>
                <w:color w:val="auto"/>
              </w:rPr>
              <w:t>(5.4)%</w:t>
            </w: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development</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25.9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(2.7)</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3.3</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12.2</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development as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a percent of net</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sales</w:t>
            </w:r>
          </w:p>
        </w:tc>
        <w:tc>
          <w:tcPr>
            <w:tcW w:w="700" w:type="dxa"/>
            <w:vAlign w:val="bottom"/>
          </w:tcPr>
          <w:p>
            <w:pPr>
              <w:jc w:val="right"/>
              <w:spacing w:after="0"/>
              <w:rPr>
                <w:sz w:val="20"/>
                <w:szCs w:val="20"/>
                <w:color w:val="auto"/>
              </w:rPr>
            </w:pPr>
            <w:r>
              <w:rPr>
                <w:rFonts w:ascii="Arial" w:cs="Arial" w:eastAsia="Arial" w:hAnsi="Arial"/>
                <w:sz w:val="14"/>
                <w:szCs w:val="14"/>
                <w:color w:val="auto"/>
              </w:rPr>
              <w:t>9.0 %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1.2 %</w:t>
            </w:r>
          </w:p>
        </w:tc>
        <w:tc>
          <w:tcPr>
            <w:tcW w:w="1000" w:type="dxa"/>
            <w:vAlign w:val="bottom"/>
          </w:tcPr>
          <w:p>
            <w:pPr>
              <w:jc w:val="right"/>
              <w:spacing w:after="0"/>
              <w:rPr>
                <w:sz w:val="20"/>
                <w:szCs w:val="20"/>
                <w:color w:val="auto"/>
              </w:rPr>
            </w:pPr>
            <w:r>
              <w:rPr>
                <w:rFonts w:ascii="Arial" w:cs="Arial" w:eastAsia="Arial" w:hAnsi="Arial"/>
                <w:sz w:val="14"/>
                <w:szCs w:val="14"/>
                <w:color w:val="auto"/>
              </w:rPr>
              <w:t>4.2 %</w:t>
            </w: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Litigation</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provision, net</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33.2</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(33.2)</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Other operating</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expenses</w:t>
            </w:r>
          </w:p>
        </w:tc>
        <w:tc>
          <w:tcPr>
            <w:tcW w:w="700" w:type="dxa"/>
            <w:vAlign w:val="bottom"/>
          </w:tcPr>
          <w:p>
            <w:pPr>
              <w:jc w:val="right"/>
              <w:ind w:right="150"/>
              <w:spacing w:after="0"/>
              <w:rPr>
                <w:sz w:val="20"/>
                <w:szCs w:val="20"/>
                <w:color w:val="auto"/>
              </w:rPr>
            </w:pPr>
            <w:r>
              <w:rPr>
                <w:rFonts w:ascii="Arial" w:cs="Arial" w:eastAsia="Arial" w:hAnsi="Arial"/>
                <w:sz w:val="14"/>
                <w:szCs w:val="14"/>
                <w:color w:val="auto"/>
              </w:rPr>
              <w:t>158.9</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(9.1)</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(7.7)</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(10.7)</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(131.4)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income from</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(144.0)</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9.1</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7.7</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11.2</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134.1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4.6</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27.0</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8.4</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Operating</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margin percent</w:t>
            </w:r>
          </w:p>
        </w:tc>
        <w:tc>
          <w:tcPr>
            <w:tcW w:w="700" w:type="dxa"/>
            <w:vAlign w:val="bottom"/>
          </w:tcPr>
          <w:p>
            <w:pPr>
              <w:jc w:val="right"/>
              <w:spacing w:after="0"/>
              <w:rPr>
                <w:sz w:val="20"/>
                <w:szCs w:val="20"/>
                <w:color w:val="auto"/>
              </w:rPr>
            </w:pPr>
            <w:r>
              <w:rPr>
                <w:rFonts w:ascii="Arial" w:cs="Arial" w:eastAsia="Arial" w:hAnsi="Arial"/>
                <w:sz w:val="14"/>
                <w:szCs w:val="14"/>
                <w:color w:val="auto"/>
              </w:rPr>
              <w:t>(50.1)%</w:t>
            </w: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c>
          <w:tcPr>
            <w:tcW w:w="920" w:type="dxa"/>
            <w:vAlign w:val="bottom"/>
          </w:tcPr>
          <w:p>
            <w:pPr>
              <w:jc w:val="right"/>
              <w:spacing w:after="0"/>
              <w:rPr>
                <w:sz w:val="20"/>
                <w:szCs w:val="20"/>
                <w:color w:val="auto"/>
              </w:rPr>
            </w:pPr>
            <w:r>
              <w:rPr>
                <w:rFonts w:ascii="Arial" w:cs="Arial" w:eastAsia="Arial" w:hAnsi="Arial"/>
                <w:sz w:val="14"/>
                <w:szCs w:val="14"/>
                <w:color w:val="auto"/>
              </w:rPr>
              <w:t>3.9 %</w:t>
            </w:r>
          </w:p>
        </w:tc>
        <w:tc>
          <w:tcPr>
            <w:tcW w:w="860" w:type="dxa"/>
            <w:vAlign w:val="bottom"/>
          </w:tcPr>
          <w:p>
            <w:pPr>
              <w:jc w:val="right"/>
              <w:spacing w:after="0"/>
              <w:rPr>
                <w:sz w:val="20"/>
                <w:szCs w:val="20"/>
                <w:color w:val="auto"/>
              </w:rPr>
            </w:pPr>
            <w:r>
              <w:rPr>
                <w:rFonts w:ascii="Arial" w:cs="Arial" w:eastAsia="Arial" w:hAnsi="Arial"/>
                <w:sz w:val="14"/>
                <w:szCs w:val="14"/>
                <w:color w:val="auto"/>
              </w:rPr>
              <w:t>46.6 %</w:t>
            </w: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000" w:type="dxa"/>
            <w:vAlign w:val="bottom"/>
          </w:tcPr>
          <w:p>
            <w:pPr>
              <w:jc w:val="right"/>
              <w:spacing w:after="0"/>
              <w:rPr>
                <w:sz w:val="20"/>
                <w:szCs w:val="20"/>
                <w:color w:val="auto"/>
              </w:rPr>
            </w:pPr>
            <w:r>
              <w:rPr>
                <w:rFonts w:ascii="Arial" w:cs="Arial" w:eastAsia="Arial" w:hAnsi="Arial"/>
                <w:sz w:val="14"/>
                <w:szCs w:val="14"/>
                <w:color w:val="auto"/>
              </w:rPr>
              <w:t>9.4 %</w:t>
            </w:r>
          </w:p>
        </w:tc>
        <w:tc>
          <w:tcPr>
            <w:tcW w:w="1000" w:type="dxa"/>
            <w:vAlign w:val="bottom"/>
          </w:tcPr>
          <w:p>
            <w:pPr>
              <w:jc w:val="right"/>
              <w:spacing w:after="0"/>
              <w:rPr>
                <w:sz w:val="20"/>
                <w:szCs w:val="20"/>
                <w:color w:val="auto"/>
              </w:rPr>
            </w:pPr>
            <w:r>
              <w:rPr>
                <w:rFonts w:ascii="Arial" w:cs="Arial" w:eastAsia="Arial" w:hAnsi="Arial"/>
                <w:sz w:val="14"/>
                <w:szCs w:val="14"/>
                <w:color w:val="auto"/>
              </w:rPr>
              <w:t>2.9 %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Income tax</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(benefit)</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expense</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(6.7)</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1.1</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1.1</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11.3</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1.0</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(0.6)</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0.2</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0.4</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(5.6)</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income from</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(143.4)</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8.9</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6.5</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10.2</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122.8</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3.6</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(2.3)</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26.8</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8.1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5.6</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2.1</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6"/>
        </w:trPr>
        <w:tc>
          <w:tcPr>
            <w:tcW w:w="1180" w:type="dxa"/>
            <w:vAlign w:val="bottom"/>
          </w:tcPr>
          <w:p>
            <w:pPr>
              <w:ind w:left="40"/>
              <w:spacing w:after="0"/>
              <w:rPr>
                <w:sz w:val="20"/>
                <w:szCs w:val="20"/>
                <w:color w:val="auto"/>
              </w:rPr>
            </w:pPr>
            <w:r>
              <w:rPr>
                <w:rFonts w:ascii="Arial" w:cs="Arial" w:eastAsia="Arial" w:hAnsi="Arial"/>
                <w:sz w:val="14"/>
                <w:szCs w:val="14"/>
                <w:color w:val="auto"/>
              </w:rPr>
              <w:t>Diluted EPS -</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($2.96)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$0.18</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$0.13</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$0.21</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$2.51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$0.07</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($0.05)</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$0.55</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$0.17</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$0.11</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$0.04</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GAAP results for the three months ended December 31, 2019 include:</w:t>
      </w:r>
    </w:p>
    <w:p>
      <w:pPr>
        <w:spacing w:after="0" w:line="73" w:lineRule="exact"/>
        <w:rPr>
          <w:sz w:val="20"/>
          <w:szCs w:val="20"/>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Impairment of Transcatheter Mitral Valve Replacement goodwill, intangible assets and other long-lived assets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40" w:right="60" w:hanging="285"/>
        <w:spacing w:after="0" w:line="25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 and AR reserves</w:t>
      </w:r>
    </w:p>
    <w:p>
      <w:pPr>
        <w:spacing w:after="0" w:line="32"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p>
      <w:pPr>
        <w:spacing w:after="0" w:line="55" w:lineRule="exact"/>
        <w:rPr>
          <w:sz w:val="20"/>
          <w:szCs w:val="20"/>
          <w:color w:val="auto"/>
        </w:rPr>
      </w:pPr>
    </w:p>
    <w:p>
      <w:pPr>
        <w:ind w:left="340" w:hanging="28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756" w:right="239" w:bottom="1440" w:gutter="0" w:footer="0" w:header="0"/>
          <w:type w:val="continuous"/>
        </w:sectPr>
      </w:pPr>
    </w:p>
    <w:bookmarkStart w:id="18" w:name="page19"/>
    <w:bookmarkEnd w:id="18"/>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3"/>
                <w:szCs w:val="13"/>
                <w:b w:val="1"/>
                <w:bCs w:val="1"/>
                <w:color w:val="auto"/>
              </w:rPr>
              <w:t>Specified Items</w:t>
            </w: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Depreciation</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9"/>
              </w:rPr>
              <w:t>Merger and</w:t>
            </w:r>
          </w:p>
        </w:tc>
        <w:tc>
          <w:tcPr>
            <w:tcW w:w="9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and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Product</w:t>
            </w:r>
          </w:p>
        </w:tc>
        <w:tc>
          <w:tcPr>
            <w:tcW w:w="8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CRM</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680" w:type="dxa"/>
            <w:vAlign w:val="bottom"/>
            <w:vMerge w:val="restart"/>
          </w:tcPr>
          <w:p>
            <w:pPr>
              <w:jc w:val="right"/>
              <w:ind w:right="89"/>
              <w:spacing w:after="0" w:line="135" w:lineRule="exact"/>
              <w:rPr>
                <w:sz w:val="20"/>
                <w:szCs w:val="20"/>
                <w:color w:val="auto"/>
              </w:rPr>
            </w:pPr>
            <w:r>
              <w:rPr>
                <w:rFonts w:ascii="Arial" w:cs="Arial" w:eastAsia="Arial" w:hAnsi="Arial"/>
                <w:sz w:val="13"/>
                <w:szCs w:val="13"/>
                <w:b w:val="1"/>
                <w:bCs w:val="1"/>
                <w:color w:val="auto"/>
              </w:rPr>
              <w:t>GAAP</w:t>
            </w:r>
          </w:p>
        </w:tc>
        <w:tc>
          <w:tcPr>
            <w:tcW w:w="76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rPr>
              <w:t>Integration</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Restructuring</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Acquisition</w:t>
            </w:r>
          </w:p>
        </w:tc>
        <w:tc>
          <w:tcPr>
            <w:tcW w:w="6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Disposal</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45"/>
        </w:trPr>
        <w:tc>
          <w:tcPr>
            <w:tcW w:w="1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Ended</w:t>
            </w:r>
          </w:p>
        </w:tc>
        <w:tc>
          <w:tcPr>
            <w:tcW w:w="6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380" w:type="dxa"/>
            <w:vAlign w:val="bottom"/>
            <w:vMerge w:val="continue"/>
          </w:tcPr>
          <w:p>
            <w:pPr>
              <w:spacing w:after="0"/>
              <w:rPr>
                <w:sz w:val="11"/>
                <w:szCs w:val="11"/>
                <w:color w:val="auto"/>
              </w:rPr>
            </w:pPr>
          </w:p>
        </w:tc>
        <w:tc>
          <w:tcPr>
            <w:tcW w:w="680" w:type="dxa"/>
            <w:vAlign w:val="bottom"/>
          </w:tcPr>
          <w:p>
            <w:pPr>
              <w:jc w:val="right"/>
              <w:ind w:right="9"/>
              <w:spacing w:after="0" w:line="130" w:lineRule="exact"/>
              <w:rPr>
                <w:sz w:val="20"/>
                <w:szCs w:val="20"/>
                <w:color w:val="auto"/>
              </w:rPr>
            </w:pPr>
            <w:r>
              <w:rPr>
                <w:rFonts w:ascii="Arial" w:cs="Arial" w:eastAsia="Arial" w:hAnsi="Arial"/>
                <w:sz w:val="13"/>
                <w:szCs w:val="13"/>
                <w:b w:val="1"/>
                <w:bCs w:val="1"/>
                <w:color w:val="auto"/>
              </w:rPr>
              <w:t>Financial</w:t>
            </w:r>
          </w:p>
        </w:tc>
        <w:tc>
          <w:tcPr>
            <w:tcW w:w="760" w:type="dxa"/>
            <w:vAlign w:val="bottom"/>
          </w:tcPr>
          <w:p>
            <w:pPr>
              <w:jc w:val="right"/>
              <w:ind w:right="50"/>
              <w:spacing w:after="0" w:line="130" w:lineRule="exact"/>
              <w:rPr>
                <w:sz w:val="20"/>
                <w:szCs w:val="20"/>
                <w:color w:val="auto"/>
              </w:rPr>
            </w:pPr>
            <w:r>
              <w:rPr>
                <w:rFonts w:ascii="Arial" w:cs="Arial" w:eastAsia="Arial" w:hAnsi="Arial"/>
                <w:sz w:val="13"/>
                <w:szCs w:val="13"/>
                <w:b w:val="1"/>
                <w:bCs w:val="1"/>
                <w:color w:val="auto"/>
              </w:rPr>
              <w:t>Expenses</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82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4"/>
              </w:rPr>
              <w:t>Costs</w:t>
            </w:r>
          </w:p>
        </w:tc>
        <w:tc>
          <w:tcPr>
            <w:tcW w:w="6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Costs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Consideration</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Measures</w:t>
            </w: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1380" w:type="dxa"/>
            <w:vAlign w:val="bottom"/>
          </w:tcPr>
          <w:p>
            <w:pPr>
              <w:ind w:left="40"/>
              <w:spacing w:after="0"/>
              <w:rPr>
                <w:sz w:val="20"/>
                <w:szCs w:val="20"/>
                <w:color w:val="auto"/>
              </w:rPr>
            </w:pPr>
            <w:r>
              <w:rPr>
                <w:rFonts w:ascii="Arial" w:cs="Arial" w:eastAsia="Arial" w:hAnsi="Arial"/>
                <w:sz w:val="14"/>
                <w:szCs w:val="14"/>
                <w:color w:val="auto"/>
              </w:rPr>
              <w:t>Cost of sales -</w:t>
            </w: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40"/>
              <w:spacing w:after="0"/>
              <w:rPr>
                <w:sz w:val="20"/>
                <w:szCs w:val="20"/>
                <w:color w:val="auto"/>
              </w:rPr>
            </w:pPr>
            <w:r>
              <w:rPr>
                <w:rFonts w:ascii="Arial" w:cs="Arial" w:eastAsia="Arial" w:hAnsi="Arial"/>
                <w:sz w:val="14"/>
                <w:szCs w:val="14"/>
                <w:color w:val="auto"/>
              </w:rPr>
              <w:t>exclusive of</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amortization</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$90.9</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($0.8)</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$0.2</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$2.2</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($0.2)</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4"/>
                <w:szCs w:val="14"/>
                <w:color w:val="auto"/>
              </w:rPr>
              <w:t>Product remediation</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2.0</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(2.0)</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4"/>
                <w:szCs w:val="14"/>
                <w:color w:val="auto"/>
              </w:rPr>
              <w:t>Gross profit percent</w:t>
            </w:r>
          </w:p>
        </w:tc>
        <w:tc>
          <w:tcPr>
            <w:tcW w:w="680" w:type="dxa"/>
            <w:vAlign w:val="bottom"/>
          </w:tcPr>
          <w:p>
            <w:pPr>
              <w:jc w:val="right"/>
              <w:spacing w:after="0"/>
              <w:rPr>
                <w:sz w:val="20"/>
                <w:szCs w:val="20"/>
                <w:color w:val="auto"/>
              </w:rPr>
            </w:pPr>
            <w:r>
              <w:rPr>
                <w:rFonts w:ascii="Arial" w:cs="Arial" w:eastAsia="Arial" w:hAnsi="Arial"/>
                <w:sz w:val="14"/>
                <w:szCs w:val="14"/>
                <w:color w:val="auto"/>
              </w:rPr>
              <w:t>68.7 %</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0.3 %</w:t>
            </w: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(0.7)%</w:t>
            </w: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Selling, general and</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administrative</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122.2</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110"/>
              <w:spacing w:after="0"/>
              <w:rPr>
                <w:sz w:val="20"/>
                <w:szCs w:val="20"/>
                <w:color w:val="auto"/>
              </w:rPr>
            </w:pPr>
            <w:r>
              <w:rPr>
                <w:rFonts w:ascii="Arial" w:cs="Arial" w:eastAsia="Arial" w:hAnsi="Arial"/>
                <w:sz w:val="14"/>
                <w:szCs w:val="14"/>
                <w:color w:val="auto"/>
              </w:rPr>
              <w:t>(0.6)</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(15.4)</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(4.3)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Selling, general and</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40"/>
              <w:spacing w:after="0"/>
              <w:rPr>
                <w:sz w:val="20"/>
                <w:szCs w:val="20"/>
                <w:color w:val="auto"/>
              </w:rPr>
            </w:pPr>
            <w:r>
              <w:rPr>
                <w:rFonts w:ascii="Arial" w:cs="Arial" w:eastAsia="Arial" w:hAnsi="Arial"/>
                <w:sz w:val="14"/>
                <w:szCs w:val="14"/>
                <w:color w:val="auto"/>
              </w:rPr>
              <w:t>administrative as a</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percent of net sales</w:t>
            </w:r>
          </w:p>
        </w:tc>
        <w:tc>
          <w:tcPr>
            <w:tcW w:w="680" w:type="dxa"/>
            <w:vAlign w:val="bottom"/>
          </w:tcPr>
          <w:p>
            <w:pPr>
              <w:jc w:val="right"/>
              <w:spacing w:after="0"/>
              <w:rPr>
                <w:sz w:val="20"/>
                <w:szCs w:val="20"/>
                <w:color w:val="auto"/>
              </w:rPr>
            </w:pPr>
            <w:r>
              <w:rPr>
                <w:rFonts w:ascii="Arial" w:cs="Arial" w:eastAsia="Arial" w:hAnsi="Arial"/>
                <w:sz w:val="14"/>
                <w:szCs w:val="14"/>
                <w:color w:val="auto"/>
              </w:rPr>
              <w:t>41.2 %</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1000" w:type="dxa"/>
            <w:vAlign w:val="bottom"/>
          </w:tcPr>
          <w:p>
            <w:pPr>
              <w:jc w:val="right"/>
              <w:spacing w:after="0"/>
              <w:rPr>
                <w:sz w:val="20"/>
                <w:szCs w:val="20"/>
                <w:color w:val="auto"/>
              </w:rPr>
            </w:pPr>
            <w:r>
              <w:rPr>
                <w:rFonts w:ascii="Arial" w:cs="Arial" w:eastAsia="Arial" w:hAnsi="Arial"/>
                <w:sz w:val="14"/>
                <w:szCs w:val="14"/>
                <w:color w:val="auto"/>
              </w:rPr>
              <w:t>(5.2)%</w:t>
            </w: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development</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37.6</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(0.2)</w:t>
            </w:r>
          </w:p>
        </w:tc>
        <w:tc>
          <w:tcPr>
            <w:tcW w:w="680" w:type="dxa"/>
            <w:vAlign w:val="bottom"/>
          </w:tcPr>
          <w:p>
            <w:pPr>
              <w:jc w:val="right"/>
              <w:ind w:right="110"/>
              <w:spacing w:after="0"/>
              <w:rPr>
                <w:sz w:val="20"/>
                <w:szCs w:val="20"/>
                <w:color w:val="auto"/>
              </w:rPr>
            </w:pPr>
            <w:r>
              <w:rPr>
                <w:rFonts w:ascii="Arial" w:cs="Arial" w:eastAsia="Arial" w:hAnsi="Arial"/>
                <w:sz w:val="14"/>
                <w:szCs w:val="14"/>
                <w:color w:val="auto"/>
              </w:rPr>
              <w:t>(0.3)</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0.3</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40"/>
              <w:spacing w:after="0"/>
              <w:rPr>
                <w:sz w:val="20"/>
                <w:szCs w:val="20"/>
                <w:color w:val="auto"/>
              </w:rPr>
            </w:pPr>
            <w:r>
              <w:rPr>
                <w:rFonts w:ascii="Arial" w:cs="Arial" w:eastAsia="Arial" w:hAnsi="Arial"/>
                <w:sz w:val="14"/>
                <w:szCs w:val="14"/>
                <w:color w:val="auto"/>
              </w:rPr>
              <w:t>development as a</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percent of net sales</w:t>
            </w:r>
          </w:p>
        </w:tc>
        <w:tc>
          <w:tcPr>
            <w:tcW w:w="680" w:type="dxa"/>
            <w:vAlign w:val="bottom"/>
          </w:tcPr>
          <w:p>
            <w:pPr>
              <w:jc w:val="right"/>
              <w:spacing w:after="0"/>
              <w:rPr>
                <w:sz w:val="20"/>
                <w:szCs w:val="20"/>
                <w:color w:val="auto"/>
              </w:rPr>
            </w:pPr>
            <w:r>
              <w:rPr>
                <w:rFonts w:ascii="Arial" w:cs="Arial" w:eastAsia="Arial" w:hAnsi="Arial"/>
                <w:sz w:val="14"/>
                <w:szCs w:val="14"/>
                <w:color w:val="auto"/>
              </w:rPr>
              <w:t>12.7 %</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Litigation provision</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net</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294.0</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(294.0)</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Other operating</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expenses</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26.6</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(4.4)</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(13.1)</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(9.1)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40"/>
              <w:spacing w:after="0"/>
              <w:rPr>
                <w:sz w:val="20"/>
                <w:szCs w:val="20"/>
                <w:color w:val="auto"/>
              </w:rPr>
            </w:pPr>
            <w:r>
              <w:rPr>
                <w:rFonts w:ascii="Arial" w:cs="Arial" w:eastAsia="Arial" w:hAnsi="Arial"/>
                <w:sz w:val="14"/>
                <w:szCs w:val="14"/>
                <w:color w:val="auto"/>
              </w:rPr>
              <w:t>income from</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(276.5)</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4.4</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13.1</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10.3</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2.0</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1.2</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0.9</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306.9</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5.5</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Operating margin</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percent</w:t>
            </w:r>
          </w:p>
        </w:tc>
        <w:tc>
          <w:tcPr>
            <w:tcW w:w="680" w:type="dxa"/>
            <w:vAlign w:val="bottom"/>
          </w:tcPr>
          <w:p>
            <w:pPr>
              <w:jc w:val="right"/>
              <w:spacing w:after="0"/>
              <w:rPr>
                <w:sz w:val="20"/>
                <w:szCs w:val="20"/>
                <w:color w:val="auto"/>
              </w:rPr>
            </w:pPr>
            <w:r>
              <w:rPr>
                <w:rFonts w:ascii="Arial" w:cs="Arial" w:eastAsia="Arial" w:hAnsi="Arial"/>
                <w:sz w:val="14"/>
                <w:szCs w:val="14"/>
                <w:color w:val="auto"/>
              </w:rPr>
              <w:t>(93.1)%</w:t>
            </w: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920" w:type="dxa"/>
            <w:vAlign w:val="bottom"/>
          </w:tcPr>
          <w:p>
            <w:pPr>
              <w:jc w:val="right"/>
              <w:spacing w:after="0"/>
              <w:rPr>
                <w:sz w:val="20"/>
                <w:szCs w:val="20"/>
                <w:color w:val="auto"/>
              </w:rPr>
            </w:pPr>
            <w:r>
              <w:rPr>
                <w:rFonts w:ascii="Arial" w:cs="Arial" w:eastAsia="Arial" w:hAnsi="Arial"/>
                <w:sz w:val="14"/>
                <w:szCs w:val="14"/>
                <w:color w:val="auto"/>
              </w:rPr>
              <w:t>4.4%</w:t>
            </w:r>
          </w:p>
        </w:tc>
        <w:tc>
          <w:tcPr>
            <w:tcW w:w="900" w:type="dxa"/>
            <w:vAlign w:val="bottom"/>
          </w:tcPr>
          <w:p>
            <w:pPr>
              <w:jc w:val="right"/>
              <w:spacing w:after="0"/>
              <w:rPr>
                <w:sz w:val="20"/>
                <w:szCs w:val="20"/>
                <w:color w:val="auto"/>
              </w:rPr>
            </w:pPr>
            <w:r>
              <w:rPr>
                <w:rFonts w:ascii="Arial" w:cs="Arial" w:eastAsia="Arial" w:hAnsi="Arial"/>
                <w:sz w:val="14"/>
                <w:szCs w:val="14"/>
                <w:color w:val="auto"/>
              </w:rPr>
              <w:t>3.5 %</w:t>
            </w:r>
          </w:p>
        </w:tc>
        <w:tc>
          <w:tcPr>
            <w:tcW w:w="860" w:type="dxa"/>
            <w:vAlign w:val="bottom"/>
          </w:tcPr>
          <w:p>
            <w:pPr>
              <w:jc w:val="right"/>
              <w:spacing w:after="0"/>
              <w:rPr>
                <w:sz w:val="20"/>
                <w:szCs w:val="20"/>
                <w:color w:val="auto"/>
              </w:rPr>
            </w:pPr>
            <w:r>
              <w:rPr>
                <w:rFonts w:ascii="Arial" w:cs="Arial" w:eastAsia="Arial" w:hAnsi="Arial"/>
                <w:sz w:val="14"/>
                <w:szCs w:val="14"/>
                <w:color w:val="auto"/>
              </w:rPr>
              <w:t>0.7%</w:t>
            </w:r>
          </w:p>
        </w:tc>
        <w:tc>
          <w:tcPr>
            <w:tcW w:w="820" w:type="dxa"/>
            <w:vAlign w:val="bottom"/>
          </w:tcPr>
          <w:p>
            <w:pPr>
              <w:jc w:val="right"/>
              <w:spacing w:after="0"/>
              <w:rPr>
                <w:sz w:val="20"/>
                <w:szCs w:val="20"/>
                <w:color w:val="auto"/>
              </w:rPr>
            </w:pPr>
            <w:r>
              <w:rPr>
                <w:rFonts w:ascii="Arial" w:cs="Arial" w:eastAsia="Arial" w:hAnsi="Arial"/>
                <w:sz w:val="14"/>
                <w:szCs w:val="14"/>
                <w:color w:val="auto"/>
              </w:rPr>
              <w:t>0.4 %</w:t>
            </w:r>
          </w:p>
        </w:tc>
        <w:tc>
          <w:tcPr>
            <w:tcW w:w="680" w:type="dxa"/>
            <w:vAlign w:val="bottom"/>
          </w:tcPr>
          <w:p>
            <w:pPr>
              <w:jc w:val="right"/>
              <w:spacing w:after="0"/>
              <w:rPr>
                <w:sz w:val="20"/>
                <w:szCs w:val="20"/>
                <w:color w:val="auto"/>
              </w:rPr>
            </w:pPr>
            <w:r>
              <w:rPr>
                <w:rFonts w:ascii="Arial" w:cs="Arial" w:eastAsia="Arial" w:hAnsi="Arial"/>
                <w:sz w:val="14"/>
                <w:szCs w:val="14"/>
                <w:color w:val="auto"/>
              </w:rPr>
              <w:t>0.3 %</w:t>
            </w:r>
          </w:p>
        </w:tc>
        <w:tc>
          <w:tcPr>
            <w:tcW w:w="1000" w:type="dxa"/>
            <w:vAlign w:val="bottom"/>
          </w:tcPr>
          <w:p>
            <w:pPr>
              <w:jc w:val="right"/>
              <w:spacing w:after="0"/>
              <w:rPr>
                <w:sz w:val="20"/>
                <w:szCs w:val="20"/>
                <w:color w:val="auto"/>
              </w:rPr>
            </w:pPr>
            <w:r>
              <w:rPr>
                <w:rFonts w:ascii="Arial" w:cs="Arial" w:eastAsia="Arial" w:hAnsi="Arial"/>
                <w:sz w:val="14"/>
                <w:szCs w:val="14"/>
                <w:color w:val="auto"/>
              </w:rPr>
              <w:t>103.4 %</w:t>
            </w:r>
          </w:p>
        </w:tc>
        <w:tc>
          <w:tcPr>
            <w:tcW w:w="1000" w:type="dxa"/>
            <w:vAlign w:val="bottom"/>
          </w:tcPr>
          <w:p>
            <w:pPr>
              <w:jc w:val="right"/>
              <w:spacing w:after="0"/>
              <w:rPr>
                <w:sz w:val="20"/>
                <w:szCs w:val="20"/>
                <w:color w:val="auto"/>
              </w:rPr>
            </w:pPr>
            <w:r>
              <w:rPr>
                <w:rFonts w:ascii="Arial" w:cs="Arial" w:eastAsia="Arial" w:hAnsi="Arial"/>
                <w:sz w:val="14"/>
                <w:szCs w:val="14"/>
                <w:color w:val="auto"/>
              </w:rPr>
              <w:t>1.9 %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Income tax (benefit)</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expense</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(69.8)</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0.8</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3.5</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4.0</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0.5</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0.3</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0.3</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74.5</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0.2</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Net (loss) income</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40"/>
              <w:spacing w:after="0"/>
              <w:rPr>
                <w:sz w:val="20"/>
                <w:szCs w:val="20"/>
                <w:color w:val="auto"/>
              </w:rPr>
            </w:pPr>
            <w:r>
              <w:rPr>
                <w:rFonts w:ascii="Arial" w:cs="Arial" w:eastAsia="Arial" w:hAnsi="Arial"/>
                <w:sz w:val="14"/>
                <w:szCs w:val="14"/>
                <w:color w:val="auto"/>
              </w:rPr>
              <w:t>from continuing</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(209.5)</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3.6</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9.7</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6.2</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0.9</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0.6</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232.5</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3.9</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5.2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4"/>
                <w:szCs w:val="14"/>
                <w:color w:val="auto"/>
              </w:rPr>
              <w:t>Diluted EPS -</w:t>
            </w: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($4.32)</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$0.07</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$0.20</w:t>
            </w: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$0.13</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$0.03</w:t>
            </w:r>
          </w:p>
        </w:tc>
        <w:tc>
          <w:tcPr>
            <w:tcW w:w="820" w:type="dxa"/>
            <w:vAlign w:val="bottom"/>
          </w:tcPr>
          <w:p>
            <w:pPr>
              <w:jc w:val="right"/>
              <w:ind w:right="170"/>
              <w:spacing w:after="0"/>
              <w:rPr>
                <w:sz w:val="20"/>
                <w:szCs w:val="20"/>
                <w:color w:val="auto"/>
              </w:rPr>
            </w:pPr>
            <w:r>
              <w:rPr>
                <w:rFonts w:ascii="Arial" w:cs="Arial" w:eastAsia="Arial" w:hAnsi="Arial"/>
                <w:sz w:val="14"/>
                <w:szCs w:val="14"/>
                <w:color w:val="auto"/>
              </w:rPr>
              <w:t>$0.02</w:t>
            </w:r>
          </w:p>
        </w:tc>
        <w:tc>
          <w:tcPr>
            <w:tcW w:w="680" w:type="dxa"/>
            <w:vAlign w:val="bottom"/>
          </w:tcPr>
          <w:p>
            <w:pPr>
              <w:jc w:val="right"/>
              <w:ind w:right="150"/>
              <w:spacing w:after="0"/>
              <w:rPr>
                <w:sz w:val="20"/>
                <w:szCs w:val="20"/>
                <w:color w:val="auto"/>
              </w:rPr>
            </w:pPr>
            <w:r>
              <w:rPr>
                <w:rFonts w:ascii="Arial" w:cs="Arial" w:eastAsia="Arial" w:hAnsi="Arial"/>
                <w:sz w:val="14"/>
                <w:szCs w:val="14"/>
                <w:color w:val="auto"/>
              </w:rPr>
              <w:t>$0.01</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$4.70</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$0.08</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$0.10</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$0.01</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GAAP results for the three months ended December 31, 2018 include:</w:t>
      </w:r>
    </w:p>
    <w:p>
      <w:pPr>
        <w:spacing w:after="0" w:line="73" w:lineRule="exact"/>
        <w:rPr>
          <w:sz w:val="20"/>
          <w:szCs w:val="20"/>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Corporate costs incurred to divest of the CRM business not attributable to discontinued operations</w:t>
      </w:r>
    </w:p>
    <w:p>
      <w:pPr>
        <w:spacing w:after="0" w:line="55" w:lineRule="exact"/>
        <w:rPr>
          <w:rFonts w:ascii="Arial" w:cs="Arial" w:eastAsia="Arial" w:hAnsi="Arial"/>
          <w:sz w:val="14"/>
          <w:szCs w:val="14"/>
          <w:color w:val="auto"/>
        </w:rPr>
      </w:pPr>
    </w:p>
    <w:p>
      <w:pPr>
        <w:ind w:left="340" w:right="60" w:hanging="285"/>
        <w:spacing w:after="0" w:line="25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 and AR reserves</w:t>
      </w:r>
    </w:p>
    <w:p>
      <w:pPr>
        <w:spacing w:after="0" w:line="32"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w:t>
      </w:r>
    </w:p>
    <w:p>
      <w:pPr>
        <w:spacing w:after="0" w:line="55" w:lineRule="exact"/>
        <w:rPr>
          <w:sz w:val="20"/>
          <w:szCs w:val="20"/>
          <w:color w:val="auto"/>
        </w:rPr>
      </w:pPr>
    </w:p>
    <w:p>
      <w:pPr>
        <w:ind w:left="340" w:hanging="285"/>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756" w:right="239" w:bottom="1440" w:gutter="0" w:footer="0" w:header="0"/>
        </w:sectPr>
      </w:pPr>
    </w:p>
    <w:bookmarkStart w:id="19" w:name="page20"/>
    <w:bookmarkEnd w:id="19"/>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3"/>
                <w:szCs w:val="13"/>
                <w:b w:val="1"/>
                <w:bCs w:val="1"/>
                <w:color w:val="auto"/>
              </w:rPr>
              <w:t>Specified Items</w:t>
            </w: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Legal,</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6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Twelve Months</w:t>
            </w:r>
          </w:p>
        </w:tc>
        <w:tc>
          <w:tcPr>
            <w:tcW w:w="7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Merger and</w:t>
            </w:r>
          </w:p>
        </w:tc>
        <w:tc>
          <w:tcPr>
            <w:tcW w:w="9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8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Product</w:t>
            </w:r>
          </w:p>
        </w:tc>
        <w:tc>
          <w:tcPr>
            <w:tcW w:w="8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Ended</w:t>
            </w:r>
          </w:p>
        </w:tc>
        <w:tc>
          <w:tcPr>
            <w:tcW w:w="7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and</w:t>
            </w:r>
          </w:p>
        </w:tc>
        <w:tc>
          <w:tcPr>
            <w:tcW w:w="8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Consideration</w:t>
            </w:r>
          </w:p>
        </w:tc>
        <w:tc>
          <w:tcPr>
            <w:tcW w:w="10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160" w:type="dxa"/>
            <w:vAlign w:val="bottom"/>
            <w:vMerge w:val="continue"/>
          </w:tcPr>
          <w:p>
            <w:pPr>
              <w:spacing w:after="0"/>
              <w:rPr>
                <w:sz w:val="7"/>
                <w:szCs w:val="7"/>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w w:val="98"/>
              </w:rPr>
              <w:t>Integration</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Restructuring</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8"/>
              </w:rPr>
              <w:t>Amortization</w:t>
            </w:r>
          </w:p>
        </w:tc>
        <w:tc>
          <w:tcPr>
            <w:tcW w:w="860" w:type="dxa"/>
            <w:vAlign w:val="bottom"/>
          </w:tcPr>
          <w:p>
            <w:pPr>
              <w:spacing w:after="0"/>
              <w:rPr>
                <w:sz w:val="7"/>
                <w:szCs w:val="7"/>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Acquisition</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and Other</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45"/>
        </w:trPr>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160" w:type="dxa"/>
            <w:vAlign w:val="bottom"/>
            <w:vMerge w:val="continue"/>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740" w:type="dxa"/>
            <w:vAlign w:val="bottom"/>
          </w:tcPr>
          <w:p>
            <w:pPr>
              <w:jc w:val="right"/>
              <w:ind w:right="30"/>
              <w:spacing w:after="0" w:line="130" w:lineRule="exact"/>
              <w:rPr>
                <w:sz w:val="20"/>
                <w:szCs w:val="20"/>
                <w:color w:val="auto"/>
              </w:rPr>
            </w:pPr>
            <w:r>
              <w:rPr>
                <w:rFonts w:ascii="Arial" w:cs="Arial" w:eastAsia="Arial" w:hAnsi="Arial"/>
                <w:sz w:val="13"/>
                <w:szCs w:val="13"/>
                <w:b w:val="1"/>
                <w:bCs w:val="1"/>
                <w:color w:val="auto"/>
              </w:rPr>
              <w:t>Expenses</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6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Impairments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Reserves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8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1160" w:type="dxa"/>
            <w:vAlign w:val="bottom"/>
          </w:tcPr>
          <w:p>
            <w:pPr>
              <w:ind w:left="40"/>
              <w:spacing w:after="0"/>
              <w:rPr>
                <w:sz w:val="20"/>
                <w:szCs w:val="20"/>
                <w:color w:val="auto"/>
              </w:rPr>
            </w:pPr>
            <w:r>
              <w:rPr>
                <w:rFonts w:ascii="Arial" w:cs="Arial" w:eastAsia="Arial" w:hAnsi="Arial"/>
                <w:sz w:val="14"/>
                <w:szCs w:val="14"/>
                <w:color w:val="auto"/>
              </w:rPr>
              <w:t>Cost of sales -</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exclusive of</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amortization</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$323.6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($2.4)</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$10.0</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Product</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remediation</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15.8</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(15.8)</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68.7 %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0.2 %</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(0.9)%</w:t>
            </w: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Selling, general</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and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administrative</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506.5</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(0.5)</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(57.7)</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(25.6)</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421.6</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Selling, general</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and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administrative as</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a percent of net</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sales</w:t>
            </w:r>
          </w:p>
        </w:tc>
        <w:tc>
          <w:tcPr>
            <w:tcW w:w="720" w:type="dxa"/>
            <w:vAlign w:val="bottom"/>
          </w:tcPr>
          <w:p>
            <w:pPr>
              <w:jc w:val="right"/>
              <w:spacing w:after="0"/>
              <w:rPr>
                <w:sz w:val="20"/>
                <w:szCs w:val="20"/>
                <w:color w:val="auto"/>
              </w:rPr>
            </w:pPr>
            <w:r>
              <w:rPr>
                <w:rFonts w:ascii="Arial" w:cs="Arial" w:eastAsia="Arial" w:hAnsi="Arial"/>
                <w:sz w:val="14"/>
                <w:szCs w:val="14"/>
                <w:color w:val="auto"/>
              </w:rPr>
              <w:t>46.7 %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000" w:type="dxa"/>
            <w:vAlign w:val="bottom"/>
          </w:tcPr>
          <w:p>
            <w:pPr>
              <w:jc w:val="right"/>
              <w:spacing w:after="0"/>
              <w:rPr>
                <w:sz w:val="20"/>
                <w:szCs w:val="20"/>
                <w:color w:val="auto"/>
              </w:rPr>
            </w:pPr>
            <w:r>
              <w:rPr>
                <w:rFonts w:ascii="Arial" w:cs="Arial" w:eastAsia="Arial" w:hAnsi="Arial"/>
                <w:sz w:val="14"/>
                <w:szCs w:val="14"/>
                <w:color w:val="auto"/>
              </w:rPr>
              <w:t>(5.3)%</w:t>
            </w: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149.9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(0.2)</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(3.6)</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1.9</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10.6</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(5.6)</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development as</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a percent of net</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sales</w:t>
            </w:r>
          </w:p>
        </w:tc>
        <w:tc>
          <w:tcPr>
            <w:tcW w:w="720" w:type="dxa"/>
            <w:vAlign w:val="bottom"/>
          </w:tcPr>
          <w:p>
            <w:pPr>
              <w:jc w:val="right"/>
              <w:spacing w:after="0"/>
              <w:rPr>
                <w:sz w:val="20"/>
                <w:szCs w:val="20"/>
                <w:color w:val="auto"/>
              </w:rPr>
            </w:pPr>
            <w:r>
              <w:rPr>
                <w:rFonts w:ascii="Arial" w:cs="Arial" w:eastAsia="Arial" w:hAnsi="Arial"/>
                <w:sz w:val="14"/>
                <w:szCs w:val="14"/>
                <w:color w:val="auto"/>
              </w:rPr>
              <w:t>13.8 %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0.2 %</w:t>
            </w:r>
          </w:p>
        </w:tc>
        <w:tc>
          <w:tcPr>
            <w:tcW w:w="1000" w:type="dxa"/>
            <w:vAlign w:val="bottom"/>
          </w:tcPr>
          <w:p>
            <w:pPr>
              <w:jc w:val="right"/>
              <w:spacing w:after="0"/>
              <w:rPr>
                <w:sz w:val="20"/>
                <w:szCs w:val="20"/>
                <w:color w:val="auto"/>
              </w:rPr>
            </w:pPr>
            <w:r>
              <w:rPr>
                <w:rFonts w:ascii="Arial" w:cs="Arial" w:eastAsia="Arial" w:hAnsi="Arial"/>
                <w:sz w:val="14"/>
                <w:szCs w:val="14"/>
                <w:color w:val="auto"/>
              </w:rPr>
              <w:t>1.0 %</w:t>
            </w:r>
          </w:p>
        </w:tc>
        <w:tc>
          <w:tcPr>
            <w:tcW w:w="1000" w:type="dxa"/>
            <w:vAlign w:val="bottom"/>
          </w:tcPr>
          <w:p>
            <w:pPr>
              <w:jc w:val="right"/>
              <w:spacing w:after="0"/>
              <w:rPr>
                <w:sz w:val="20"/>
                <w:szCs w:val="20"/>
                <w:color w:val="auto"/>
              </w:rPr>
            </w:pPr>
            <w:r>
              <w:rPr>
                <w:rFonts w:ascii="Arial" w:cs="Arial" w:eastAsia="Arial" w:hAnsi="Arial"/>
                <w:sz w:val="14"/>
                <w:szCs w:val="14"/>
                <w:color w:val="auto"/>
              </w:rPr>
              <w:t>(0.5)%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Litigation</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provision, net</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(0.6)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0.6</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Other operating</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expenses</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257.8</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(23.5)</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(12.3)</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(40.4)</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(181.7)</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income from</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(168.9)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23.5</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12.3</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43.5</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185.3</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15.8</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(0.7)</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36.5</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32.6</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margin 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920" w:type="dxa"/>
            <w:vAlign w:val="bottom"/>
          </w:tcPr>
          <w:p>
            <w:pPr>
              <w:jc w:val="right"/>
              <w:spacing w:after="0"/>
              <w:rPr>
                <w:sz w:val="20"/>
                <w:szCs w:val="20"/>
                <w:color w:val="auto"/>
              </w:rPr>
            </w:pPr>
            <w:r>
              <w:rPr>
                <w:rFonts w:ascii="Arial" w:cs="Arial" w:eastAsia="Arial" w:hAnsi="Arial"/>
                <w:sz w:val="14"/>
                <w:szCs w:val="14"/>
                <w:color w:val="auto"/>
              </w:rPr>
              <w:t>4.0 %</w:t>
            </w:r>
          </w:p>
        </w:tc>
        <w:tc>
          <w:tcPr>
            <w:tcW w:w="860" w:type="dxa"/>
            <w:vAlign w:val="bottom"/>
          </w:tcPr>
          <w:p>
            <w:pPr>
              <w:jc w:val="right"/>
              <w:spacing w:after="0"/>
              <w:rPr>
                <w:sz w:val="20"/>
                <w:szCs w:val="20"/>
                <w:color w:val="auto"/>
              </w:rPr>
            </w:pPr>
            <w:r>
              <w:rPr>
                <w:rFonts w:ascii="Arial" w:cs="Arial" w:eastAsia="Arial" w:hAnsi="Arial"/>
                <w:sz w:val="14"/>
                <w:szCs w:val="14"/>
                <w:color w:val="auto"/>
              </w:rPr>
              <w:t>17.1 %</w:t>
            </w: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000" w:type="dxa"/>
            <w:vAlign w:val="bottom"/>
          </w:tcPr>
          <w:p>
            <w:pPr>
              <w:jc w:val="right"/>
              <w:spacing w:after="0"/>
              <w:rPr>
                <w:sz w:val="20"/>
                <w:szCs w:val="20"/>
                <w:color w:val="auto"/>
              </w:rPr>
            </w:pPr>
            <w:r>
              <w:rPr>
                <w:rFonts w:ascii="Arial" w:cs="Arial" w:eastAsia="Arial" w:hAnsi="Arial"/>
                <w:sz w:val="14"/>
                <w:szCs w:val="14"/>
                <w:color w:val="auto"/>
              </w:rPr>
              <w:t>3.4 %</w:t>
            </w:r>
          </w:p>
        </w:tc>
        <w:tc>
          <w:tcPr>
            <w:tcW w:w="1000" w:type="dxa"/>
            <w:vAlign w:val="bottom"/>
          </w:tcPr>
          <w:p>
            <w:pPr>
              <w:jc w:val="right"/>
              <w:spacing w:after="0"/>
              <w:rPr>
                <w:sz w:val="20"/>
                <w:szCs w:val="20"/>
                <w:color w:val="auto"/>
              </w:rPr>
            </w:pPr>
            <w:r>
              <w:rPr>
                <w:rFonts w:ascii="Arial" w:cs="Arial" w:eastAsia="Arial" w:hAnsi="Arial"/>
                <w:sz w:val="14"/>
                <w:szCs w:val="14"/>
                <w:color w:val="auto"/>
              </w:rPr>
              <w:t>3.0 %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(benefit)</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(30.2)</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3.5</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2.3</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9.3</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23.7</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4.6</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5.6</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6.0</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(6.8)</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1.1</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income from</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(155.5)</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19.9</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10.0</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34.2</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161.6</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11.2</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(0.6)</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30.9</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26.6</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6.8</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5.3</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206"/>
        </w:trPr>
        <w:tc>
          <w:tcPr>
            <w:tcW w:w="1160" w:type="dxa"/>
            <w:vAlign w:val="bottom"/>
          </w:tcPr>
          <w:p>
            <w:pPr>
              <w:ind w:left="40"/>
              <w:spacing w:after="0"/>
              <w:rPr>
                <w:sz w:val="20"/>
                <w:szCs w:val="20"/>
                <w:color w:val="auto"/>
              </w:rPr>
            </w:pPr>
            <w:r>
              <w:rPr>
                <w:rFonts w:ascii="Arial" w:cs="Arial" w:eastAsia="Arial" w:hAnsi="Arial"/>
                <w:sz w:val="14"/>
                <w:szCs w:val="14"/>
                <w:color w:val="auto"/>
              </w:rPr>
              <w:t>Diluted EPS -</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($3.22)</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$0.41</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$0.20</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$0.70</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$3.31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$0.23</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($0.01)</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$0.63</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$0.54</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$0.14</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$0.11</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GAAP results for the twelve months ended December 31, 2019 include:</w:t>
      </w:r>
    </w:p>
    <w:p>
      <w:pPr>
        <w:spacing w:after="0" w:line="73" w:lineRule="exact"/>
        <w:rPr>
          <w:sz w:val="20"/>
          <w:szCs w:val="20"/>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40" w:right="60" w:hanging="285"/>
        <w:spacing w:after="0" w:line="25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Impairment of Transcatheter Mitral Valve Replacement goodwill, intangible assets and other long-lived assets and Obstructive Sleep Apnea intangible assets and other long-lived assets</w:t>
      </w:r>
    </w:p>
    <w:p>
      <w:pPr>
        <w:spacing w:after="0" w:line="32" w:lineRule="exact"/>
        <w:rPr>
          <w:rFonts w:ascii="Arial" w:cs="Arial" w:eastAsia="Arial" w:hAnsi="Arial"/>
          <w:sz w:val="14"/>
          <w:szCs w:val="14"/>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40" w:right="60" w:hanging="285"/>
        <w:spacing w:after="0" w:line="25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3T Heater-Cooler litigation provision, 3T insurance recovery, legal expenses primarily related to 3T Heater-Cooler defense, settlements and other matters, remeasurement of contingent consideration related to acquisitions and AR reserves</w:t>
      </w:r>
    </w:p>
    <w:p>
      <w:pPr>
        <w:spacing w:after="0" w:line="32" w:lineRule="exact"/>
        <w:rPr>
          <w:rFonts w:ascii="Arial" w:cs="Arial" w:eastAsia="Arial" w:hAnsi="Arial"/>
          <w:sz w:val="14"/>
          <w:szCs w:val="14"/>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p>
      <w:pPr>
        <w:spacing w:after="0" w:line="55" w:lineRule="exact"/>
        <w:rPr>
          <w:sz w:val="20"/>
          <w:szCs w:val="20"/>
          <w:color w:val="auto"/>
        </w:rPr>
      </w:pPr>
    </w:p>
    <w:p>
      <w:pPr>
        <w:ind w:left="340" w:hanging="285"/>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420"/>
          </w:cols>
          <w:pgMar w:left="240" w:top="756" w:right="239" w:bottom="1440" w:gutter="0" w:footer="0" w:header="0"/>
          <w:type w:val="continuous"/>
        </w:sectPr>
      </w:pPr>
    </w:p>
    <w:bookmarkStart w:id="20" w:name="page21"/>
    <w:bookmarkEnd w:id="20"/>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3"/>
                <w:szCs w:val="13"/>
                <w:b w:val="1"/>
                <w:bCs w:val="1"/>
                <w:color w:val="auto"/>
              </w:rPr>
              <w:t>Specified Items</w:t>
            </w: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Depreciation</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Twelve Months</w:t>
            </w:r>
          </w:p>
        </w:tc>
        <w:tc>
          <w:tcPr>
            <w:tcW w:w="7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6"/>
              </w:rPr>
              <w:t>Merger and</w:t>
            </w:r>
          </w:p>
        </w:tc>
        <w:tc>
          <w:tcPr>
            <w:tcW w:w="94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90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7"/>
              </w:rPr>
              <w:t>Product</w:t>
            </w:r>
          </w:p>
        </w:tc>
        <w:tc>
          <w:tcPr>
            <w:tcW w:w="7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CRM</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400" w:type="dxa"/>
            <w:vAlign w:val="bottom"/>
            <w:vMerge w:val="continue"/>
          </w:tcPr>
          <w:p>
            <w:pPr>
              <w:spacing w:after="0"/>
              <w:rPr>
                <w:sz w:val="7"/>
                <w:szCs w:val="7"/>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rPr>
              <w:t>Integration</w:t>
            </w:r>
          </w:p>
        </w:tc>
        <w:tc>
          <w:tcPr>
            <w:tcW w:w="4140" w:type="dxa"/>
            <w:vAlign w:val="bottom"/>
            <w:gridSpan w:val="5"/>
            <w:vMerge w:val="restart"/>
          </w:tcPr>
          <w:p>
            <w:pPr>
              <w:jc w:val="right"/>
              <w:spacing w:after="0" w:line="135" w:lineRule="exact"/>
              <w:rPr>
                <w:sz w:val="20"/>
                <w:szCs w:val="20"/>
                <w:color w:val="auto"/>
              </w:rPr>
            </w:pPr>
            <w:r>
              <w:rPr>
                <w:rFonts w:ascii="Arial" w:cs="Arial" w:eastAsia="Arial" w:hAnsi="Arial"/>
                <w:sz w:val="13"/>
                <w:szCs w:val="13"/>
                <w:b w:val="1"/>
                <w:bCs w:val="1"/>
                <w:color w:val="auto"/>
              </w:rPr>
              <w:t>Restructuring  Amortization  Remediation  Acquisition  Disposal</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45"/>
        </w:trPr>
        <w:tc>
          <w:tcPr>
            <w:tcW w:w="1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Ended</w:t>
            </w:r>
          </w:p>
        </w:tc>
        <w:tc>
          <w:tcPr>
            <w:tcW w:w="7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140" w:type="dxa"/>
            <w:vAlign w:val="bottom"/>
            <w:gridSpan w:val="5"/>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400" w:type="dxa"/>
            <w:vAlign w:val="bottom"/>
            <w:vMerge w:val="continue"/>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740" w:type="dxa"/>
            <w:vAlign w:val="bottom"/>
          </w:tcPr>
          <w:p>
            <w:pPr>
              <w:jc w:val="right"/>
              <w:ind w:right="30"/>
              <w:spacing w:after="0" w:line="130" w:lineRule="exact"/>
              <w:rPr>
                <w:sz w:val="20"/>
                <w:szCs w:val="20"/>
                <w:color w:val="auto"/>
              </w:rPr>
            </w:pPr>
            <w:r>
              <w:rPr>
                <w:rFonts w:ascii="Arial" w:cs="Arial" w:eastAsia="Arial" w:hAnsi="Arial"/>
                <w:sz w:val="13"/>
                <w:szCs w:val="13"/>
                <w:b w:val="1"/>
                <w:bCs w:val="1"/>
                <w:color w:val="auto"/>
              </w:rPr>
              <w:t>Expenses</w:t>
            </w:r>
          </w:p>
        </w:tc>
        <w:tc>
          <w:tcPr>
            <w:tcW w:w="940" w:type="dxa"/>
            <w:vAlign w:val="bottom"/>
          </w:tcPr>
          <w:p>
            <w:pPr>
              <w:jc w:val="right"/>
              <w:ind w:right="130"/>
              <w:spacing w:after="0" w:line="130" w:lineRule="exact"/>
              <w:rPr>
                <w:sz w:val="20"/>
                <w:szCs w:val="20"/>
                <w:color w:val="auto"/>
              </w:rPr>
            </w:pPr>
            <w:r>
              <w:rPr>
                <w:rFonts w:ascii="Arial" w:cs="Arial" w:eastAsia="Arial" w:hAnsi="Arial"/>
                <w:sz w:val="13"/>
                <w:szCs w:val="13"/>
                <w:b w:val="1"/>
                <w:bCs w:val="1"/>
                <w:color w:val="auto"/>
              </w:rPr>
              <w:t>Expenses</w:t>
            </w:r>
          </w:p>
        </w:tc>
        <w:tc>
          <w:tcPr>
            <w:tcW w:w="92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8"/>
              </w:rPr>
              <w:t>Expenses</w:t>
            </w:r>
          </w:p>
        </w:tc>
        <w:tc>
          <w:tcPr>
            <w:tcW w:w="900" w:type="dxa"/>
            <w:vAlign w:val="bottom"/>
          </w:tcPr>
          <w:p>
            <w:pPr>
              <w:jc w:val="center"/>
              <w:ind w:right="90"/>
              <w:spacing w:after="0" w:line="130" w:lineRule="exact"/>
              <w:rPr>
                <w:sz w:val="20"/>
                <w:szCs w:val="20"/>
                <w:color w:val="auto"/>
              </w:rPr>
            </w:pPr>
            <w:r>
              <w:rPr>
                <w:rFonts w:ascii="Arial" w:cs="Arial" w:eastAsia="Arial" w:hAnsi="Arial"/>
                <w:sz w:val="13"/>
                <w:szCs w:val="13"/>
                <w:b w:val="1"/>
                <w:bCs w:val="1"/>
                <w:color w:val="auto"/>
                <w:w w:val="95"/>
              </w:rPr>
              <w:t>Expenses</w:t>
            </w:r>
          </w:p>
        </w:tc>
        <w:tc>
          <w:tcPr>
            <w:tcW w:w="740" w:type="dxa"/>
            <w:vAlign w:val="bottom"/>
          </w:tcPr>
          <w:p>
            <w:pPr>
              <w:jc w:val="right"/>
              <w:ind w:right="190"/>
              <w:spacing w:after="0" w:line="130" w:lineRule="exact"/>
              <w:rPr>
                <w:sz w:val="20"/>
                <w:szCs w:val="20"/>
                <w:color w:val="auto"/>
              </w:rPr>
            </w:pPr>
            <w:r>
              <w:rPr>
                <w:rFonts w:ascii="Arial" w:cs="Arial" w:eastAsia="Arial" w:hAnsi="Arial"/>
                <w:sz w:val="13"/>
                <w:szCs w:val="13"/>
                <w:b w:val="1"/>
                <w:bCs w:val="1"/>
                <w:color w:val="auto"/>
              </w:rPr>
              <w:t>Costs</w:t>
            </w:r>
          </w:p>
        </w:tc>
        <w:tc>
          <w:tcPr>
            <w:tcW w:w="6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Consideration</w:t>
            </w:r>
          </w:p>
        </w:tc>
        <w:tc>
          <w:tcPr>
            <w:tcW w:w="10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ind w:left="80"/>
              <w:spacing w:after="0" w:line="130"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89"/>
        </w:trPr>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2018</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w:t>
            </w: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9"/>
              </w:rPr>
              <w:t>(D)</w:t>
            </w: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7"/>
        </w:trPr>
        <w:tc>
          <w:tcPr>
            <w:tcW w:w="1400" w:type="dxa"/>
            <w:vAlign w:val="bottom"/>
          </w:tcPr>
          <w:p>
            <w:pPr>
              <w:ind w:left="40"/>
              <w:spacing w:after="0"/>
              <w:rPr>
                <w:sz w:val="20"/>
                <w:szCs w:val="20"/>
                <w:color w:val="auto"/>
              </w:rPr>
            </w:pPr>
            <w:r>
              <w:rPr>
                <w:rFonts w:ascii="Arial" w:cs="Arial" w:eastAsia="Arial" w:hAnsi="Arial"/>
                <w:sz w:val="14"/>
                <w:szCs w:val="14"/>
                <w:color w:val="auto"/>
              </w:rPr>
              <w:t>Cost of sales -</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4"/>
                <w:szCs w:val="14"/>
                <w:color w:val="auto"/>
              </w:rPr>
              <w:t>exclusive of</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amortization</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$361.8</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($11.6)</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$3.5</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$352.6</w:t>
            </w: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Arial" w:cs="Arial" w:eastAsia="Arial" w:hAnsi="Arial"/>
                <w:sz w:val="14"/>
                <w:szCs w:val="14"/>
                <w:color w:val="auto"/>
              </w:rPr>
              <w:t>Product remediation</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10.7</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(10.7)</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Arial" w:cs="Arial" w:eastAsia="Arial" w:hAnsi="Arial"/>
                <w:sz w:val="14"/>
                <w:szCs w:val="14"/>
                <w:color w:val="auto"/>
              </w:rPr>
              <w:t>Gross profit 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66.4 %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1.0 %</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1.0%</w:t>
            </w:r>
          </w:p>
        </w:tc>
        <w:tc>
          <w:tcPr>
            <w:tcW w:w="740" w:type="dxa"/>
            <w:vAlign w:val="bottom"/>
          </w:tcPr>
          <w:p>
            <w:pPr>
              <w:jc w:val="right"/>
              <w:spacing w:after="0"/>
              <w:rPr>
                <w:sz w:val="20"/>
                <w:szCs w:val="20"/>
                <w:color w:val="auto"/>
              </w:rPr>
            </w:pPr>
            <w:r>
              <w:rPr>
                <w:rFonts w:ascii="Arial" w:cs="Arial" w:eastAsia="Arial" w:hAnsi="Arial"/>
                <w:sz w:val="14"/>
                <w:szCs w:val="14"/>
                <w:color w:val="auto"/>
              </w:rPr>
              <w:t>— %</w:t>
            </w: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000" w:type="dxa"/>
            <w:vAlign w:val="bottom"/>
          </w:tcPr>
          <w:p>
            <w:pPr>
              <w:jc w:val="right"/>
              <w:spacing w:after="0"/>
              <w:rPr>
                <w:sz w:val="20"/>
                <w:szCs w:val="20"/>
                <w:color w:val="auto"/>
              </w:rPr>
            </w:pPr>
            <w:r>
              <w:rPr>
                <w:rFonts w:ascii="Arial" w:cs="Arial" w:eastAsia="Arial" w:hAnsi="Arial"/>
                <w:sz w:val="14"/>
                <w:szCs w:val="14"/>
                <w:color w:val="auto"/>
              </w:rPr>
              <w:t>0.1 %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administrative</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465.0</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(0.9)</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(5.5)</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(3.8)</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(32.9)</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(19.4)</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402.5</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4"/>
                <w:szCs w:val="14"/>
                <w:color w:val="auto"/>
              </w:rPr>
              <w:t>administrative as a</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percent of net sales</w:t>
            </w:r>
          </w:p>
        </w:tc>
        <w:tc>
          <w:tcPr>
            <w:tcW w:w="720" w:type="dxa"/>
            <w:vAlign w:val="bottom"/>
          </w:tcPr>
          <w:p>
            <w:pPr>
              <w:jc w:val="right"/>
              <w:spacing w:after="0"/>
              <w:rPr>
                <w:sz w:val="20"/>
                <w:szCs w:val="20"/>
                <w:color w:val="auto"/>
              </w:rPr>
            </w:pPr>
            <w:r>
              <w:rPr>
                <w:rFonts w:ascii="Arial" w:cs="Arial" w:eastAsia="Arial" w:hAnsi="Arial"/>
                <w:sz w:val="14"/>
                <w:szCs w:val="14"/>
                <w:color w:val="auto"/>
              </w:rPr>
              <w:t>42.0 %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146.0</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(0.3)</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(5.4)</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(0.3)</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0.2</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(4.5)</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4"/>
                <w:szCs w:val="14"/>
                <w:color w:val="auto"/>
              </w:rPr>
              <w:t>development as a</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percent of net sales</w:t>
            </w:r>
          </w:p>
        </w:tc>
        <w:tc>
          <w:tcPr>
            <w:tcW w:w="720" w:type="dxa"/>
            <w:vAlign w:val="bottom"/>
          </w:tcPr>
          <w:p>
            <w:pPr>
              <w:jc w:val="right"/>
              <w:spacing w:after="0"/>
              <w:rPr>
                <w:sz w:val="20"/>
                <w:szCs w:val="20"/>
                <w:color w:val="auto"/>
              </w:rPr>
            </w:pPr>
            <w:r>
              <w:rPr>
                <w:rFonts w:ascii="Arial" w:cs="Arial" w:eastAsia="Arial" w:hAnsi="Arial"/>
                <w:sz w:val="14"/>
                <w:szCs w:val="14"/>
                <w:color w:val="auto"/>
              </w:rPr>
              <w:t>13.2 %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(0.5)%</w:t>
            </w: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Litigation provision,</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net</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294.0</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(294.0)</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Other operating</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expenses</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77.5</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(24.4)</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(15.9)</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(37.2)</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4"/>
                <w:szCs w:val="14"/>
                <w:color w:val="auto"/>
              </w:rPr>
              <w:t>income from</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(248.1)</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24.4</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15.9</w:t>
            </w:r>
          </w:p>
        </w:tc>
        <w:tc>
          <w:tcPr>
            <w:tcW w:w="920" w:type="dxa"/>
            <w:vAlign w:val="bottom"/>
          </w:tcPr>
          <w:p>
            <w:pPr>
              <w:jc w:val="right"/>
              <w:ind w:right="170"/>
              <w:spacing w:after="0"/>
              <w:rPr>
                <w:sz w:val="20"/>
                <w:szCs w:val="20"/>
                <w:color w:val="auto"/>
              </w:rPr>
            </w:pPr>
            <w:r>
              <w:rPr>
                <w:rFonts w:ascii="Arial" w:cs="Arial" w:eastAsia="Arial" w:hAnsi="Arial"/>
                <w:sz w:val="14"/>
                <w:szCs w:val="14"/>
                <w:color w:val="auto"/>
              </w:rPr>
              <w:t>49.9</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10.7</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10.9</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4.2</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323.3</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25.0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Operating margin</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(22.4)%</w:t>
            </w: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4.5 %</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1.0%</w:t>
            </w:r>
          </w:p>
        </w:tc>
        <w:tc>
          <w:tcPr>
            <w:tcW w:w="740" w:type="dxa"/>
            <w:vAlign w:val="bottom"/>
          </w:tcPr>
          <w:p>
            <w:pPr>
              <w:jc w:val="right"/>
              <w:spacing w:after="0"/>
              <w:rPr>
                <w:sz w:val="20"/>
                <w:szCs w:val="20"/>
                <w:color w:val="auto"/>
              </w:rPr>
            </w:pPr>
            <w:r>
              <w:rPr>
                <w:rFonts w:ascii="Arial" w:cs="Arial" w:eastAsia="Arial" w:hAnsi="Arial"/>
                <w:sz w:val="14"/>
                <w:szCs w:val="14"/>
                <w:color w:val="auto"/>
              </w:rPr>
              <w:t>1.0 %</w:t>
            </w:r>
          </w:p>
        </w:tc>
        <w:tc>
          <w:tcPr>
            <w:tcW w:w="640" w:type="dxa"/>
            <w:vAlign w:val="bottom"/>
          </w:tcPr>
          <w:p>
            <w:pPr>
              <w:jc w:val="right"/>
              <w:spacing w:after="0"/>
              <w:rPr>
                <w:sz w:val="20"/>
                <w:szCs w:val="20"/>
                <w:color w:val="auto"/>
              </w:rPr>
            </w:pPr>
            <w:r>
              <w:rPr>
                <w:rFonts w:ascii="Arial" w:cs="Arial" w:eastAsia="Arial" w:hAnsi="Arial"/>
                <w:sz w:val="14"/>
                <w:szCs w:val="14"/>
                <w:color w:val="auto"/>
              </w:rPr>
              <w:t>0.4 %</w:t>
            </w:r>
          </w:p>
        </w:tc>
        <w:tc>
          <w:tcPr>
            <w:tcW w:w="1000" w:type="dxa"/>
            <w:vAlign w:val="bottom"/>
          </w:tcPr>
          <w:p>
            <w:pPr>
              <w:jc w:val="right"/>
              <w:spacing w:after="0"/>
              <w:rPr>
                <w:sz w:val="20"/>
                <w:szCs w:val="20"/>
                <w:color w:val="auto"/>
              </w:rPr>
            </w:pPr>
            <w:r>
              <w:rPr>
                <w:rFonts w:ascii="Arial" w:cs="Arial" w:eastAsia="Arial" w:hAnsi="Arial"/>
                <w:sz w:val="14"/>
                <w:szCs w:val="14"/>
                <w:color w:val="auto"/>
              </w:rPr>
              <w:t>29.2 %</w:t>
            </w:r>
          </w:p>
        </w:tc>
        <w:tc>
          <w:tcPr>
            <w:tcW w:w="1000" w:type="dxa"/>
            <w:vAlign w:val="bottom"/>
          </w:tcPr>
          <w:p>
            <w:pPr>
              <w:jc w:val="right"/>
              <w:spacing w:after="0"/>
              <w:rPr>
                <w:sz w:val="20"/>
                <w:szCs w:val="20"/>
                <w:color w:val="auto"/>
              </w:rPr>
            </w:pPr>
            <w:r>
              <w:rPr>
                <w:rFonts w:ascii="Arial" w:cs="Arial" w:eastAsia="Arial" w:hAnsi="Arial"/>
                <w:sz w:val="14"/>
                <w:szCs w:val="14"/>
                <w:color w:val="auto"/>
              </w:rPr>
              <w:t>2.3 %</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16"/>
        </w:trPr>
        <w:tc>
          <w:tcPr>
            <w:tcW w:w="1400" w:type="dxa"/>
            <w:vAlign w:val="bottom"/>
          </w:tcPr>
          <w:p>
            <w:pPr>
              <w:ind w:left="40"/>
              <w:spacing w:after="0"/>
              <w:rPr>
                <w:sz w:val="20"/>
                <w:szCs w:val="20"/>
                <w:color w:val="auto"/>
              </w:rPr>
            </w:pPr>
            <w:r>
              <w:rPr>
                <w:rFonts w:ascii="Arial" w:cs="Arial" w:eastAsia="Arial" w:hAnsi="Arial"/>
                <w:sz w:val="14"/>
                <w:szCs w:val="14"/>
                <w:color w:val="auto"/>
              </w:rPr>
              <w:t>Gain on acquisition</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11.5</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(11.5)</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Income tax (benefit)</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(69.6)</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5.1</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4.0</w:t>
            </w:r>
          </w:p>
        </w:tc>
        <w:tc>
          <w:tcPr>
            <w:tcW w:w="920" w:type="dxa"/>
            <w:vAlign w:val="bottom"/>
          </w:tcPr>
          <w:p>
            <w:pPr>
              <w:jc w:val="right"/>
              <w:ind w:right="170"/>
              <w:spacing w:after="0"/>
              <w:rPr>
                <w:sz w:val="20"/>
                <w:szCs w:val="20"/>
                <w:color w:val="auto"/>
              </w:rPr>
            </w:pPr>
            <w:r>
              <w:rPr>
                <w:rFonts w:ascii="Arial" w:cs="Arial" w:eastAsia="Arial" w:hAnsi="Arial"/>
                <w:sz w:val="14"/>
                <w:szCs w:val="14"/>
                <w:color w:val="auto"/>
              </w:rPr>
              <w:t>12.3</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2.5</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2.5</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1.4</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78.2</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6.3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(11.0)</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0.8</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Net (loss) income</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4"/>
                <w:szCs w:val="14"/>
                <w:color w:val="auto"/>
              </w:rPr>
              <w:t>from 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(178.5)</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19.3</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11.9</w:t>
            </w:r>
          </w:p>
        </w:tc>
        <w:tc>
          <w:tcPr>
            <w:tcW w:w="920" w:type="dxa"/>
            <w:vAlign w:val="bottom"/>
          </w:tcPr>
          <w:p>
            <w:pPr>
              <w:jc w:val="right"/>
              <w:ind w:right="170"/>
              <w:spacing w:after="0"/>
              <w:rPr>
                <w:sz w:val="20"/>
                <w:szCs w:val="20"/>
                <w:color w:val="auto"/>
              </w:rPr>
            </w:pPr>
            <w:r>
              <w:rPr>
                <w:rFonts w:ascii="Arial" w:cs="Arial" w:eastAsia="Arial" w:hAnsi="Arial"/>
                <w:sz w:val="14"/>
                <w:szCs w:val="14"/>
                <w:color w:val="auto"/>
              </w:rPr>
              <w:t>37.6</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8.2</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(3.1)</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2.8</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245.0</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18.6</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11.0</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2.4</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175.3</w:t>
            </w:r>
          </w:p>
        </w:tc>
        <w:tc>
          <w:tcPr>
            <w:tcW w:w="0" w:type="dxa"/>
            <w:vAlign w:val="bottom"/>
          </w:tcPr>
          <w:p>
            <w:pPr>
              <w:spacing w:after="0"/>
              <w:rPr>
                <w:sz w:val="1"/>
                <w:szCs w:val="1"/>
                <w:color w:val="auto"/>
              </w:rPr>
            </w:pPr>
          </w:p>
        </w:tc>
      </w:tr>
      <w:tr>
        <w:trPr>
          <w:trHeight w:val="206"/>
        </w:trPr>
        <w:tc>
          <w:tcPr>
            <w:tcW w:w="1400" w:type="dxa"/>
            <w:vAlign w:val="bottom"/>
          </w:tcPr>
          <w:p>
            <w:pPr>
              <w:ind w:left="40"/>
              <w:spacing w:after="0"/>
              <w:rPr>
                <w:sz w:val="20"/>
                <w:szCs w:val="20"/>
                <w:color w:val="auto"/>
              </w:rPr>
            </w:pPr>
            <w:r>
              <w:rPr>
                <w:rFonts w:ascii="Arial" w:cs="Arial" w:eastAsia="Arial" w:hAnsi="Arial"/>
                <w:sz w:val="14"/>
                <w:szCs w:val="14"/>
                <w:color w:val="auto"/>
              </w:rPr>
              <w:t>Diluted EPS -</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4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0" w:type="dxa"/>
            <w:vAlign w:val="bottom"/>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($3.68)</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$0.39</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$0.24</w:t>
            </w:r>
          </w:p>
        </w:tc>
        <w:tc>
          <w:tcPr>
            <w:tcW w:w="920" w:type="dxa"/>
            <w:vAlign w:val="bottom"/>
          </w:tcPr>
          <w:p>
            <w:pPr>
              <w:jc w:val="right"/>
              <w:ind w:right="170"/>
              <w:spacing w:after="0"/>
              <w:rPr>
                <w:sz w:val="20"/>
                <w:szCs w:val="20"/>
                <w:color w:val="auto"/>
              </w:rPr>
            </w:pPr>
            <w:r>
              <w:rPr>
                <w:rFonts w:ascii="Arial" w:cs="Arial" w:eastAsia="Arial" w:hAnsi="Arial"/>
                <w:sz w:val="14"/>
                <w:szCs w:val="14"/>
                <w:color w:val="auto"/>
              </w:rPr>
              <w:t>$0.76</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$0.17</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($0.06)</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$0.06</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$4.96</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$0.38</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$0.22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$0.05</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GAAP results for the twelve months ended December 31, 2018 include:</w:t>
      </w:r>
    </w:p>
    <w:p>
      <w:pPr>
        <w:spacing w:after="0" w:line="73" w:lineRule="exact"/>
        <w:rPr>
          <w:sz w:val="20"/>
          <w:szCs w:val="20"/>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Corporate costs incurred to divest of the CRM business not attributable to discontinued operations</w:t>
      </w:r>
    </w:p>
    <w:p>
      <w:pPr>
        <w:spacing w:after="0" w:line="55" w:lineRule="exact"/>
        <w:rPr>
          <w:rFonts w:ascii="Arial" w:cs="Arial" w:eastAsia="Arial" w:hAnsi="Arial"/>
          <w:sz w:val="14"/>
          <w:szCs w:val="14"/>
          <w:color w:val="auto"/>
        </w:rPr>
      </w:pPr>
    </w:p>
    <w:p>
      <w:pPr>
        <w:ind w:left="340" w:right="60" w:hanging="285"/>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 and AR reserves</w:t>
      </w:r>
    </w:p>
    <w:p>
      <w:pPr>
        <w:spacing w:after="0" w:line="32"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40" w:hanging="28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w:t>
      </w:r>
    </w:p>
    <w:p>
      <w:pPr>
        <w:spacing w:after="0" w:line="55" w:lineRule="exact"/>
        <w:rPr>
          <w:sz w:val="20"/>
          <w:szCs w:val="20"/>
          <w:color w:val="auto"/>
        </w:rPr>
      </w:pPr>
    </w:p>
    <w:p>
      <w:pPr>
        <w:ind w:left="340" w:hanging="285"/>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756" w:right="239" w:bottom="1440" w:gutter="0" w:footer="0" w:header="0"/>
        </w:sectPr>
      </w:pPr>
    </w:p>
    <w:bookmarkStart w:id="21" w:name="page22"/>
    <w:bookmarkEnd w:id="21"/>
    <w:p>
      <w:pPr>
        <w:ind w:left="7"/>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CONDENSED CONSOLIDATED BALANCE SHEETS - UNAUDITED</w:t>
      </w:r>
    </w:p>
    <w:p>
      <w:pPr>
        <w:spacing w:after="0" w:line="5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(U.S. dollars in millions)</w:t>
      </w:r>
    </w:p>
    <w:p>
      <w:pPr>
        <w:spacing w:after="0" w:line="383" w:lineRule="exact"/>
        <w:rPr>
          <w:sz w:val="20"/>
          <w:szCs w:val="20"/>
          <w:color w:val="auto"/>
        </w:rPr>
      </w:pPr>
    </w:p>
    <w:tbl>
      <w:tblPr>
        <w:tblLayout w:type="fixed"/>
        <w:tblInd w:w="7" w:type="dxa"/>
        <w:tblCellMar>
          <w:top w:w="0" w:type="dxa"/>
          <w:left w:w="0" w:type="dxa"/>
          <w:bottom w:w="0" w:type="dxa"/>
          <w:right w:w="0" w:type="dxa"/>
        </w:tblCellMar>
      </w:tblPr>
      <w:tr>
        <w:trPr>
          <w:trHeight w:val="228"/>
        </w:trPr>
        <w:tc>
          <w:tcPr>
            <w:tcW w:w="6940" w:type="dxa"/>
            <w:vAlign w:val="bottom"/>
          </w:tcPr>
          <w:p>
            <w:pPr>
              <w:spacing w:after="0"/>
              <w:rPr>
                <w:sz w:val="19"/>
                <w:szCs w:val="19"/>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17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51"/>
        </w:trPr>
        <w:tc>
          <w:tcPr>
            <w:tcW w:w="6940" w:type="dxa"/>
            <w:vAlign w:val="bottom"/>
          </w:tcPr>
          <w:p>
            <w:pPr>
              <w:ind w:left="540"/>
              <w:spacing w:after="0"/>
              <w:rPr>
                <w:sz w:val="20"/>
                <w:szCs w:val="20"/>
                <w:color w:val="auto"/>
              </w:rPr>
            </w:pPr>
            <w:r>
              <w:rPr>
                <w:rFonts w:ascii="Arial" w:cs="Arial" w:eastAsia="Arial" w:hAnsi="Arial"/>
                <w:sz w:val="16"/>
                <w:szCs w:val="16"/>
                <w:b w:val="1"/>
                <w:bCs w:val="1"/>
                <w:color w:val="auto"/>
              </w:rPr>
              <w:t>ASSETS</w:t>
            </w:r>
          </w:p>
        </w:tc>
        <w:tc>
          <w:tcPr>
            <w:tcW w:w="1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Cash and cash equivalents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Accounts receivable, net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257.8</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Inventories, net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Prepaid and refundable taxes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83"/>
        </w:trPr>
        <w:tc>
          <w:tcPr>
            <w:tcW w:w="694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4"/>
                <w:szCs w:val="24"/>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0"/>
                <w:szCs w:val="20"/>
                <w:color w:val="auto"/>
              </w:rPr>
            </w:pPr>
            <w:r>
              <w:rPr>
                <w:rFonts w:ascii="Arial" w:cs="Arial" w:eastAsia="Arial" w:hAnsi="Arial"/>
                <w:sz w:val="16"/>
                <w:szCs w:val="16"/>
                <w:color w:val="auto"/>
              </w:rPr>
              <w:t>Total Current Assets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549.4</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533.3</w:t>
            </w:r>
          </w:p>
        </w:tc>
        <w:tc>
          <w:tcPr>
            <w:tcW w:w="0" w:type="dxa"/>
            <w:vAlign w:val="bottom"/>
          </w:tcPr>
          <w:p>
            <w:pPr>
              <w:spacing w:after="0"/>
              <w:rPr>
                <w:sz w:val="1"/>
                <w:szCs w:val="1"/>
                <w:color w:val="auto"/>
              </w:rPr>
            </w:pPr>
          </w:p>
        </w:tc>
      </w:tr>
      <w:tr>
        <w:trPr>
          <w:trHeight w:val="237"/>
        </w:trPr>
        <w:tc>
          <w:tcPr>
            <w:tcW w:w="6940" w:type="dxa"/>
            <w:vAlign w:val="bottom"/>
          </w:tcPr>
          <w:p>
            <w:pPr>
              <w:ind w:left="540"/>
              <w:spacing w:after="0"/>
              <w:rPr>
                <w:sz w:val="20"/>
                <w:szCs w:val="20"/>
                <w:color w:val="auto"/>
              </w:rPr>
            </w:pPr>
            <w:r>
              <w:rPr>
                <w:rFonts w:ascii="Arial" w:cs="Arial" w:eastAsia="Arial" w:hAnsi="Arial"/>
                <w:sz w:val="16"/>
                <w:szCs w:val="16"/>
                <w:color w:val="auto"/>
              </w:rPr>
              <w:t>Property, plant and equipment, net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Goodwill</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915.8</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Intangible assets, net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607.5</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Operating lease assets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Investments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Deferred tax assets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83"/>
        </w:trPr>
        <w:tc>
          <w:tcPr>
            <w:tcW w:w="6940" w:type="dxa"/>
            <w:vAlign w:val="bottom"/>
          </w:tcPr>
          <w:p>
            <w:pPr>
              <w:ind w:left="540"/>
              <w:spacing w:after="0"/>
              <w:rPr>
                <w:sz w:val="20"/>
                <w:szCs w:val="20"/>
                <w:color w:val="auto"/>
              </w:rPr>
            </w:pPr>
            <w:r>
              <w:rPr>
                <w:rFonts w:ascii="Arial" w:cs="Arial" w:eastAsia="Arial" w:hAnsi="Arial"/>
                <w:sz w:val="16"/>
                <w:szCs w:val="16"/>
                <w:color w:val="auto"/>
              </w:rPr>
              <w:t>Other assets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4"/>
                <w:szCs w:val="24"/>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4"/>
        </w:trPr>
        <w:tc>
          <w:tcPr>
            <w:tcW w:w="6940" w:type="dxa"/>
            <w:vAlign w:val="bottom"/>
          </w:tcPr>
          <w:p>
            <w:pPr>
              <w:spacing w:after="0"/>
              <w:rPr>
                <w:sz w:val="20"/>
                <w:szCs w:val="20"/>
                <w:color w:val="auto"/>
              </w:rPr>
            </w:pPr>
            <w:r>
              <w:rPr>
                <w:rFonts w:ascii="Arial" w:cs="Arial" w:eastAsia="Arial" w:hAnsi="Arial"/>
                <w:sz w:val="16"/>
                <w:szCs w:val="16"/>
                <w:color w:val="auto"/>
              </w:rPr>
              <w:t>Total Assets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$2,411.8</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$2,549.7</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LIABILITIES AND STOCKHOLDERS' EQUITY</w:t>
            </w: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Current debt obligations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Accrued liabilities and other</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Current litigation provision liability</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Taxes payable</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83"/>
        </w:trPr>
        <w:tc>
          <w:tcPr>
            <w:tcW w:w="6940" w:type="dxa"/>
            <w:vAlign w:val="bottom"/>
          </w:tcPr>
          <w:p>
            <w:pPr>
              <w:ind w:left="540"/>
              <w:spacing w:after="0"/>
              <w:rPr>
                <w:sz w:val="20"/>
                <w:szCs w:val="20"/>
                <w:color w:val="auto"/>
              </w:rPr>
            </w:pPr>
            <w:r>
              <w:rPr>
                <w:rFonts w:ascii="Arial" w:cs="Arial" w:eastAsia="Arial" w:hAnsi="Arial"/>
                <w:sz w:val="16"/>
                <w:szCs w:val="16"/>
                <w:color w:val="auto"/>
              </w:rPr>
              <w:t>Accrued employee compensation and related benefits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4"/>
                <w:szCs w:val="24"/>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512.6</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496.7</w:t>
            </w:r>
          </w:p>
        </w:tc>
        <w:tc>
          <w:tcPr>
            <w:tcW w:w="0" w:type="dxa"/>
            <w:vAlign w:val="bottom"/>
          </w:tcPr>
          <w:p>
            <w:pPr>
              <w:spacing w:after="0"/>
              <w:rPr>
                <w:sz w:val="1"/>
                <w:szCs w:val="1"/>
                <w:color w:val="auto"/>
              </w:rPr>
            </w:pPr>
          </w:p>
        </w:tc>
      </w:tr>
      <w:tr>
        <w:trPr>
          <w:trHeight w:val="237"/>
        </w:trPr>
        <w:tc>
          <w:tcPr>
            <w:tcW w:w="6940" w:type="dxa"/>
            <w:vAlign w:val="bottom"/>
          </w:tcPr>
          <w:p>
            <w:pPr>
              <w:ind w:left="540"/>
              <w:spacing w:after="0"/>
              <w:rPr>
                <w:sz w:val="20"/>
                <w:szCs w:val="20"/>
                <w:color w:val="auto"/>
              </w:rPr>
            </w:pPr>
            <w:r>
              <w:rPr>
                <w:rFonts w:ascii="Arial" w:cs="Arial" w:eastAsia="Arial" w:hAnsi="Arial"/>
                <w:sz w:val="16"/>
                <w:szCs w:val="16"/>
                <w:color w:val="auto"/>
              </w:rPr>
              <w:t>Long-term debt obligations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260.3</w:t>
            </w:r>
          </w:p>
        </w:tc>
        <w:tc>
          <w:tcPr>
            <w:tcW w:w="12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Contingent consideration</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Litigation provision liability</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Deferred tax liabilities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Long-term operating lease liabilities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940" w:type="dxa"/>
            <w:vAlign w:val="bottom"/>
          </w:tcPr>
          <w:p>
            <w:pPr>
              <w:ind w:left="540"/>
              <w:spacing w:after="0"/>
              <w:rPr>
                <w:sz w:val="20"/>
                <w:szCs w:val="20"/>
                <w:color w:val="auto"/>
              </w:rPr>
            </w:pPr>
            <w:r>
              <w:rPr>
                <w:rFonts w:ascii="Arial" w:cs="Arial" w:eastAsia="Arial" w:hAnsi="Arial"/>
                <w:sz w:val="16"/>
                <w:szCs w:val="16"/>
                <w:color w:val="auto"/>
              </w:rPr>
              <w:t>Long-term employee compensation and related benefits</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3"/>
                <w:szCs w:val="23"/>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83"/>
        </w:trPr>
        <w:tc>
          <w:tcPr>
            <w:tcW w:w="6940" w:type="dxa"/>
            <w:vAlign w:val="bottom"/>
          </w:tcPr>
          <w:p>
            <w:pPr>
              <w:ind w:left="540"/>
              <w:spacing w:after="0"/>
              <w:rPr>
                <w:sz w:val="20"/>
                <w:szCs w:val="20"/>
                <w:color w:val="auto"/>
              </w:rPr>
            </w:pPr>
            <w:r>
              <w:rPr>
                <w:rFonts w:ascii="Arial" w:cs="Arial" w:eastAsia="Arial" w:hAnsi="Arial"/>
                <w:sz w:val="16"/>
                <w:szCs w:val="16"/>
                <w:color w:val="auto"/>
              </w:rPr>
              <w:t>Other long-term liabilities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4"/>
                <w:szCs w:val="24"/>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0"/>
                <w:szCs w:val="20"/>
                <w:color w:val="auto"/>
              </w:rPr>
            </w:pPr>
            <w:r>
              <w:rPr>
                <w:rFonts w:ascii="Arial" w:cs="Arial" w:eastAsia="Arial" w:hAnsi="Arial"/>
                <w:sz w:val="16"/>
                <w:szCs w:val="16"/>
                <w:color w:val="auto"/>
              </w:rPr>
              <w:t>Total Liabilities</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1,028.1</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1,046.0</w:t>
            </w: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1,383.7</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1,503.7</w:t>
            </w:r>
          </w:p>
        </w:tc>
        <w:tc>
          <w:tcPr>
            <w:tcW w:w="0" w:type="dxa"/>
            <w:vAlign w:val="bottom"/>
          </w:tcPr>
          <w:p>
            <w:pPr>
              <w:spacing w:after="0"/>
              <w:rPr>
                <w:sz w:val="1"/>
                <w:szCs w:val="1"/>
                <w:color w:val="auto"/>
              </w:rPr>
            </w:pPr>
          </w:p>
        </w:tc>
      </w:tr>
      <w:tr>
        <w:trPr>
          <w:trHeight w:val="267"/>
        </w:trPr>
        <w:tc>
          <w:tcPr>
            <w:tcW w:w="69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$2,411.8</w:t>
            </w:r>
          </w:p>
        </w:tc>
        <w:tc>
          <w:tcPr>
            <w:tcW w:w="120" w:type="dxa"/>
            <w:vAlign w:val="bottom"/>
          </w:tcPr>
          <w:p>
            <w:pPr>
              <w:spacing w:after="0"/>
              <w:rPr>
                <w:sz w:val="23"/>
                <w:szCs w:val="23"/>
                <w:color w:val="auto"/>
              </w:rPr>
            </w:pPr>
          </w:p>
        </w:tc>
        <w:tc>
          <w:tcPr>
            <w:tcW w:w="1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$2,549.7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547" w:hanging="547"/>
        <w:spacing w:after="0"/>
        <w:tabs>
          <w:tab w:leader="none" w:pos="5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ectPr>
          <w:pgSz w:w="11900" w:h="16838" w:orient="portrait"/>
          <w:cols w:equalWidth="0" w:num="1">
            <w:col w:w="10667"/>
          </w:cols>
          <w:pgMar w:left="673" w:top="756"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3"/>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0667"/>
          </w:cols>
          <w:pgMar w:left="673" w:top="756" w:right="55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LIVANOVA PLC AND SUBSIDIARIES</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CONDENSED CONSOLIDATED STATEMENTS OF CASH FLOWS - UNAUDITED (U.S. dollars in millions)</w:t>
            </w: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35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263"/>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Operating Activities:</w:t>
            </w:r>
          </w:p>
        </w:tc>
        <w:tc>
          <w:tcPr>
            <w:tcW w:w="17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8"/>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Net loss</w:t>
            </w:r>
          </w:p>
        </w:tc>
        <w:tc>
          <w:tcPr>
            <w:tcW w:w="1720" w:type="dxa"/>
            <w:vAlign w:val="bottom"/>
          </w:tcPr>
          <w:p>
            <w:pPr>
              <w:jc w:val="right"/>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($189.4)</w:t>
            </w:r>
          </w:p>
        </w:tc>
        <w:tc>
          <w:tcPr>
            <w:tcW w:w="0" w:type="dxa"/>
            <w:vAlign w:val="bottom"/>
          </w:tcPr>
          <w:p>
            <w:pPr>
              <w:spacing w:after="0"/>
              <w:rPr>
                <w:sz w:val="1"/>
                <w:szCs w:val="1"/>
                <w:color w:val="auto"/>
              </w:rPr>
            </w:pPr>
          </w:p>
        </w:tc>
      </w:tr>
      <w:tr>
        <w:trPr>
          <w:trHeight w:val="270"/>
        </w:trPr>
        <w:tc>
          <w:tcPr>
            <w:tcW w:w="7860" w:type="dxa"/>
            <w:vAlign w:val="bottom"/>
            <w:gridSpan w:val="2"/>
          </w:tcPr>
          <w:p>
            <w:pPr>
              <w:spacing w:after="0"/>
              <w:rPr>
                <w:sz w:val="20"/>
                <w:szCs w:val="20"/>
                <w:color w:val="auto"/>
              </w:rPr>
            </w:pPr>
            <w:r>
              <w:rPr>
                <w:rFonts w:ascii="Arial" w:cs="Arial" w:eastAsia="Arial" w:hAnsi="Arial"/>
                <w:sz w:val="14"/>
                <w:szCs w:val="14"/>
                <w:color w:val="auto"/>
              </w:rPr>
              <w:t>Non-cash items included in net loss:</w:t>
            </w: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Impairment of intangible assets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Impairment of goodwill</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Depreciation</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Remeasurement of contingent consideration to fair value</w:t>
            </w:r>
          </w:p>
        </w:tc>
        <w:tc>
          <w:tcPr>
            <w:tcW w:w="172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Deferred tax benefit</w:t>
            </w:r>
          </w:p>
        </w:tc>
        <w:tc>
          <w:tcPr>
            <w:tcW w:w="172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Amortization of operating lease assets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Impairment of property, plant and equipment</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Amortization of income taxes payable on inter-company transfers of property</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Losses from equity method investments</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Gain on acquisitions</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Other</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0"/>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7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17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Other current and non-current assets</w:t>
            </w:r>
          </w:p>
        </w:tc>
        <w:tc>
          <w:tcPr>
            <w:tcW w:w="17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Accounts payable and accrued current and non-current liabilities</w:t>
            </w:r>
          </w:p>
        </w:tc>
        <w:tc>
          <w:tcPr>
            <w:tcW w:w="1720" w:type="dxa"/>
            <w:vAlign w:val="bottom"/>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Taxes payable</w:t>
            </w:r>
          </w:p>
        </w:tc>
        <w:tc>
          <w:tcPr>
            <w:tcW w:w="172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Litigation provision liability, net</w:t>
            </w:r>
          </w:p>
        </w:tc>
        <w:tc>
          <w:tcPr>
            <w:tcW w:w="1720" w:type="dxa"/>
            <w:vAlign w:val="bottom"/>
          </w:tcPr>
          <w:p>
            <w:pPr>
              <w:jc w:val="right"/>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294.1</w:t>
            </w: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Restructuring reserve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7660" w:type="dxa"/>
            <w:vAlign w:val="bottom"/>
          </w:tcPr>
          <w:p>
            <w:pPr>
              <w:ind w:left="36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(91.1)</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120.5</w:t>
            </w:r>
          </w:p>
        </w:tc>
        <w:tc>
          <w:tcPr>
            <w:tcW w:w="0" w:type="dxa"/>
            <w:vAlign w:val="bottom"/>
          </w:tcPr>
          <w:p>
            <w:pPr>
              <w:spacing w:after="0"/>
              <w:rPr>
                <w:sz w:val="1"/>
                <w:szCs w:val="1"/>
                <w:color w:val="auto"/>
              </w:rPr>
            </w:pPr>
          </w:p>
        </w:tc>
      </w:tr>
      <w:tr>
        <w:trPr>
          <w:trHeight w:val="258"/>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1720" w:type="dxa"/>
            <w:vAlign w:val="bottom"/>
          </w:tcPr>
          <w:p>
            <w:pPr>
              <w:jc w:val="right"/>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Acquisitions, net of cash acquired</w:t>
            </w:r>
          </w:p>
        </w:tc>
        <w:tc>
          <w:tcPr>
            <w:tcW w:w="17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Purchases of intangible assets</w:t>
            </w:r>
          </w:p>
        </w:tc>
        <w:tc>
          <w:tcPr>
            <w:tcW w:w="17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Purchases of investments</w:t>
            </w:r>
          </w:p>
        </w:tc>
        <w:tc>
          <w:tcPr>
            <w:tcW w:w="17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Proceeds from asset sales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Proceeds from the sale of CRM business franchise, net of cash disposed</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Other</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7660" w:type="dxa"/>
            <w:vAlign w:val="bottom"/>
          </w:tcPr>
          <w:p>
            <w:pPr>
              <w:ind w:left="360"/>
              <w:spacing w:after="0"/>
              <w:rPr>
                <w:sz w:val="20"/>
                <w:szCs w:val="20"/>
                <w:color w:val="auto"/>
              </w:rPr>
            </w:pPr>
            <w:r>
              <w:rPr>
                <w:rFonts w:ascii="Arial" w:cs="Arial" w:eastAsia="Arial" w:hAnsi="Arial"/>
                <w:sz w:val="14"/>
                <w:szCs w:val="14"/>
                <w:b w:val="1"/>
                <w:bCs w:val="1"/>
                <w:color w:val="auto"/>
              </w:rPr>
              <w:t>Net cash used in investing activities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(120.6)</w:t>
            </w:r>
          </w:p>
        </w:tc>
        <w:tc>
          <w:tcPr>
            <w:tcW w:w="0" w:type="dxa"/>
            <w:vAlign w:val="bottom"/>
          </w:tcPr>
          <w:p>
            <w:pPr>
              <w:spacing w:after="0"/>
              <w:rPr>
                <w:sz w:val="1"/>
                <w:szCs w:val="1"/>
                <w:color w:val="auto"/>
              </w:rPr>
            </w:pPr>
          </w:p>
        </w:tc>
      </w:tr>
      <w:tr>
        <w:trPr>
          <w:trHeight w:val="258"/>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Proceeds from long-term debt obligations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Repayment of long-term debt obligations</w:t>
            </w:r>
          </w:p>
        </w:tc>
        <w:tc>
          <w:tcPr>
            <w:tcW w:w="172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Payment of contingent consideration</w:t>
            </w:r>
          </w:p>
        </w:tc>
        <w:tc>
          <w:tcPr>
            <w:tcW w:w="172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Shares repurchased from employees for minimum tax withholding</w:t>
            </w:r>
          </w:p>
        </w:tc>
        <w:tc>
          <w:tcPr>
            <w:tcW w:w="172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Proceeds from share issuances under ESPP</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17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Change in short-term borrowing, net</w:t>
            </w:r>
          </w:p>
        </w:tc>
        <w:tc>
          <w:tcPr>
            <w:tcW w:w="17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Proceeds from short-term borrowing (maturities greater than 90 days)</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Repayment of short-term borrowing (maturities greater than 90 days)</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Share repurchases under share repurchase program</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Payment of deferred consideration - acquisition of Caisson Interventional, LLC</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4"/>
                <w:szCs w:val="14"/>
                <w:color w:val="auto"/>
              </w:rPr>
              <w:t>Other</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7660" w:type="dxa"/>
            <w:vAlign w:val="bottom"/>
          </w:tcPr>
          <w:p>
            <w:pPr>
              <w:ind w:left="36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146.6</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(42.3)</w:t>
            </w:r>
          </w:p>
        </w:tc>
        <w:tc>
          <w:tcPr>
            <w:tcW w:w="0" w:type="dxa"/>
            <w:vAlign w:val="bottom"/>
          </w:tcPr>
          <w:p>
            <w:pPr>
              <w:spacing w:after="0"/>
              <w:rPr>
                <w:sz w:val="1"/>
                <w:szCs w:val="1"/>
                <w:color w:val="auto"/>
              </w:rPr>
            </w:pPr>
          </w:p>
        </w:tc>
      </w:tr>
      <w:tr>
        <w:trPr>
          <w:trHeight w:val="250"/>
        </w:trPr>
        <w:tc>
          <w:tcPr>
            <w:tcW w:w="786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7660" w:type="dxa"/>
            <w:vAlign w:val="bottom"/>
          </w:tcPr>
          <w:p>
            <w:pPr>
              <w:ind w:left="36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720" w:type="dxa"/>
            <w:vAlign w:val="bottom"/>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(46.4)</w:t>
            </w:r>
          </w:p>
        </w:tc>
        <w:tc>
          <w:tcPr>
            <w:tcW w:w="0" w:type="dxa"/>
            <w:vAlign w:val="bottom"/>
          </w:tcPr>
          <w:p>
            <w:pPr>
              <w:spacing w:after="0"/>
              <w:rPr>
                <w:sz w:val="1"/>
                <w:szCs w:val="1"/>
                <w:color w:val="auto"/>
              </w:rPr>
            </w:pPr>
          </w:p>
        </w:tc>
      </w:tr>
      <w:tr>
        <w:trPr>
          <w:trHeight w:val="276"/>
        </w:trPr>
        <w:tc>
          <w:tcPr>
            <w:tcW w:w="786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4"/>
                <w:szCs w:val="24"/>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70"/>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$61.1</w:t>
            </w:r>
          </w:p>
        </w:tc>
        <w:tc>
          <w:tcPr>
            <w:tcW w:w="120" w:type="dxa"/>
            <w:vAlign w:val="bottom"/>
          </w:tcPr>
          <w:p>
            <w:pPr>
              <w:spacing w:after="0"/>
              <w:rPr>
                <w:sz w:val="23"/>
                <w:szCs w:val="23"/>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$47.2</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7660" w:type="dxa"/>
            <w:vAlign w:val="bottom"/>
            <w:vMerge w:val="restart"/>
          </w:tcPr>
          <w:p>
            <w:pPr>
              <w:ind w:left="260"/>
              <w:spacing w:after="0"/>
              <w:rPr>
                <w:sz w:val="20"/>
                <w:szCs w:val="20"/>
                <w:color w:val="auto"/>
              </w:rPr>
            </w:pPr>
            <w:r>
              <w:rPr>
                <w:rFonts w:ascii="Arial" w:cs="Arial" w:eastAsia="Arial" w:hAnsi="Arial"/>
                <w:sz w:val="14"/>
                <w:szCs w:val="14"/>
                <w:color w:val="auto"/>
              </w:rPr>
              <w:t>Numbers may not add up precisely due to rounding.</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0" w:type="dxa"/>
            <w:vAlign w:val="bottom"/>
            <w:vMerge w:val="continue"/>
          </w:tcPr>
          <w:p>
            <w:pPr>
              <w:spacing w:after="0"/>
              <w:rPr>
                <w:sz w:val="24"/>
                <w:szCs w:val="24"/>
                <w:color w:val="auto"/>
              </w:rPr>
            </w:pPr>
          </w:p>
        </w:tc>
        <w:tc>
          <w:tcPr>
            <w:tcW w:w="76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815" w:right="239" w:bottom="0" w:gutter="0" w:footer="0" w:header="0"/>
        </w:sectPr>
      </w:pPr>
    </w:p>
    <w:bookmarkStart w:id="23" w:name="page24"/>
    <w:bookmarkEnd w:id="23"/>
    <w:p>
      <w:pPr>
        <w:jc w:val="center"/>
        <w:ind w:right="-20"/>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9019"/>
          </w:cols>
          <w:pgMar w:left="1440" w:top="147" w:right="1440" w:bottom="1440" w:gutter="0" w:footer="0" w:header="0"/>
        </w:sectPr>
      </w:pPr>
    </w:p>
    <w:bookmarkStart w:id="24" w:name="page25"/>
    <w:bookmarkEnd w:id="24"/>
    <w:p>
      <w:pPr>
        <w:jc w:val="both"/>
        <w:ind w:right="300"/>
        <w:spacing w:after="0" w:line="271" w:lineRule="auto"/>
        <w:rPr>
          <w:sz w:val="20"/>
          <w:szCs w:val="20"/>
          <w:color w:val="auto"/>
        </w:rPr>
      </w:pPr>
      <w:r>
        <w:rPr>
          <w:rFonts w:ascii="Arial" w:cs="Arial" w:eastAsia="Arial" w:hAnsi="Arial"/>
          <w:sz w:val="16"/>
          <w:szCs w:val="16"/>
          <w:color w:val="auto"/>
        </w:rPr>
        <w:t>The following table presents the reconciliation of GAAP diluted weighted average shares outstanding, used in the computation of GAAP diluted net loss per share from continuing operations, to Adjusted diluted weighted average shares outstanding, used in the computation of Adjusted diluted earnings per share from continuing operations (in millions of shares):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58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w w:val="99"/>
              </w:rPr>
              <w:t>Twelve Months Ended</w:t>
            </w:r>
          </w:p>
        </w:tc>
        <w:tc>
          <w:tcPr>
            <w:tcW w:w="500" w:type="dxa"/>
            <w:vAlign w:val="bottom"/>
          </w:tcPr>
          <w:p>
            <w:pPr>
              <w:spacing w:after="0"/>
              <w:rPr>
                <w:sz w:val="16"/>
                <w:szCs w:val="16"/>
                <w:color w:val="auto"/>
              </w:rPr>
            </w:pPr>
          </w:p>
        </w:tc>
      </w:tr>
      <w:tr>
        <w:trPr>
          <w:trHeight w:val="228"/>
        </w:trPr>
        <w:tc>
          <w:tcPr>
            <w:tcW w:w="50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w w:val="99"/>
              </w:rPr>
              <w:t>December 31,</w:t>
            </w:r>
          </w:p>
        </w:tc>
        <w:tc>
          <w:tcPr>
            <w:tcW w:w="500" w:type="dxa"/>
            <w:vAlign w:val="bottom"/>
            <w:tcBorders>
              <w:bottom w:val="single" w:sz="8" w:color="auto"/>
            </w:tcBorders>
          </w:tcPr>
          <w:p>
            <w:pPr>
              <w:spacing w:after="0"/>
              <w:rPr>
                <w:sz w:val="19"/>
                <w:szCs w:val="19"/>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37"/>
        </w:trPr>
        <w:tc>
          <w:tcPr>
            <w:tcW w:w="6060" w:type="dxa"/>
            <w:vAlign w:val="bottom"/>
            <w:gridSpan w:val="2"/>
          </w:tcPr>
          <w:p>
            <w:pPr>
              <w:spacing w:after="0"/>
              <w:rPr>
                <w:sz w:val="20"/>
                <w:szCs w:val="20"/>
                <w:color w:val="auto"/>
              </w:rPr>
            </w:pPr>
            <w:r>
              <w:rPr>
                <w:rFonts w:ascii="Arial" w:cs="Arial" w:eastAsia="Arial" w:hAnsi="Arial"/>
                <w:sz w:val="16"/>
                <w:szCs w:val="16"/>
                <w:color w:val="auto"/>
              </w:rPr>
              <w:t>GAAP diluted weighted average shares outstanding</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48.5</w:t>
            </w:r>
          </w:p>
        </w:tc>
      </w:tr>
      <w:tr>
        <w:trPr>
          <w:trHeight w:val="283"/>
        </w:trPr>
        <w:tc>
          <w:tcPr>
            <w:tcW w:w="5080" w:type="dxa"/>
            <w:vAlign w:val="bottom"/>
          </w:tcPr>
          <w:p>
            <w:pPr>
              <w:spacing w:after="0"/>
              <w:rPr>
                <w:sz w:val="20"/>
                <w:szCs w:val="20"/>
                <w:color w:val="auto"/>
              </w:rPr>
            </w:pPr>
            <w:r>
              <w:rPr>
                <w:rFonts w:ascii="Arial" w:cs="Arial" w:eastAsia="Arial" w:hAnsi="Arial"/>
                <w:sz w:val="16"/>
                <w:szCs w:val="16"/>
                <w:color w:val="auto"/>
              </w:rPr>
              <w:t>Add effects of stock-based compensation instruments</w:t>
            </w: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r>
      <w:tr>
        <w:trPr>
          <w:trHeight w:val="243"/>
        </w:trPr>
        <w:tc>
          <w:tcPr>
            <w:tcW w:w="6060" w:type="dxa"/>
            <w:vAlign w:val="bottom"/>
            <w:gridSpan w:val="2"/>
          </w:tcPr>
          <w:p>
            <w:pPr>
              <w:spacing w:after="0"/>
              <w:rPr>
                <w:sz w:val="20"/>
                <w:szCs w:val="20"/>
                <w:color w:val="auto"/>
              </w:rPr>
            </w:pPr>
            <w:r>
              <w:rPr>
                <w:rFonts w:ascii="Arial" w:cs="Arial" w:eastAsia="Arial" w:hAnsi="Arial"/>
                <w:sz w:val="16"/>
                <w:szCs w:val="16"/>
                <w:color w:val="auto"/>
              </w:rPr>
              <w:t xml:space="preserve">Adjusted diluted weighted average shares outstanding </w:t>
            </w:r>
            <w:r>
              <w:rPr>
                <w:rFonts w:ascii="Arial" w:cs="Arial" w:eastAsia="Arial" w:hAnsi="Arial"/>
                <w:sz w:val="21"/>
                <w:szCs w:val="21"/>
                <w:color w:val="auto"/>
                <w:vertAlign w:val="superscript"/>
              </w:rPr>
              <w:t>(1)</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20"/>
        </w:trPr>
        <w:tc>
          <w:tcPr>
            <w:tcW w:w="5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840" w:right="40" w:hanging="805"/>
        <w:spacing w:after="0" w:line="258" w:lineRule="auto"/>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diluted weighted average shares outstanding is a non-GAAP measure and includes the effects of stock-based compensation instruments, as reconciled in the above table.</w:t>
      </w:r>
    </w:p>
    <w:p>
      <w:pPr>
        <w:spacing w:after="0" w:line="32" w:lineRule="exact"/>
        <w:rPr>
          <w:sz w:val="20"/>
          <w:szCs w:val="20"/>
          <w:color w:val="auto"/>
        </w:rPr>
      </w:pPr>
    </w:p>
    <w:p>
      <w:pPr>
        <w:ind w:left="840" w:hanging="805"/>
        <w:spacing w:after="0"/>
        <w:tabs>
          <w:tab w:leader="none" w:pos="8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sectPr>
      <w:pgSz w:w="11900" w:h="16838" w:orient="portrait"/>
      <w:cols w:equalWidth="0" w:num="1">
        <w:col w:w="11420"/>
      </w:cols>
      <w:pgMar w:left="240" w:top="6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upperLetter"/>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upperLetter"/>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upp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upperLetter"/>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2020-02-26T05:08:11Z</dcterms:created>
  <dcterms:modified xsi:type="dcterms:W3CDTF">2020-02-26T05:08:11Z</dcterms:modified>
</cp:coreProperties>
</file>