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6226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6226175"/>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Makatsaria Vladimir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80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5" w:lineRule="exact"/>
        <w:rPr>
          <w:sz w:val="24"/>
          <w:szCs w:val="24"/>
          <w:color w:val="auto"/>
        </w:rPr>
      </w:pPr>
    </w:p>
    <w:p>
      <w:pPr>
        <w:sectPr>
          <w:pgSz w:w="11900" w:h="16838" w:orient="portrait"/>
          <w:cols w:equalWidth="0" w:num="3">
            <w:col w:w="3180" w:space="720"/>
            <w:col w:w="3112" w:space="720"/>
            <w:col w:w="3348"/>
          </w:cols>
          <w:pgMar w:left="460" w:top="215" w:right="35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6"/>
            <w:vMerge w:val="continue"/>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X0</w:t>
            </w:r>
          </w:p>
        </w:tc>
        <w:tc>
          <w:tcPr>
            <w:tcW w:w="98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W2 6LA</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720" w:type="dxa"/>
            <w:vAlign w:val="bottom"/>
            <w:tcBorders>
              <w:top w:val="single" w:sz="8" w:color="EEEEEE"/>
            </w:tcBorders>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44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7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61"/>
              <w:spacing w:after="0"/>
              <w:rPr>
                <w:sz w:val="20"/>
                <w:szCs w:val="20"/>
                <w:color w:val="auto"/>
              </w:rPr>
            </w:pPr>
            <w:r>
              <w:rPr>
                <w:rFonts w:ascii="Times New Roman" w:cs="Times New Roman" w:eastAsia="Times New Roman" w:hAnsi="Times New Roman"/>
                <w:sz w:val="16"/>
                <w:szCs w:val="16"/>
                <w:color w:val="0000FF"/>
              </w:rPr>
              <w:t>9,330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6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0000FF"/>
              </w:rPr>
              <w:t>9,330</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5,046</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39.13</w:t>
            </w:r>
          </w:p>
        </w:tc>
        <w:tc>
          <w:tcPr>
            <w:tcW w:w="12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6"/>
                <w:szCs w:val="16"/>
                <w:color w:val="0000FF"/>
              </w:rPr>
              <w:t>4,284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jc w:val="center"/>
              <w:ind w:right="499"/>
              <w:spacing w:after="0"/>
              <w:rPr>
                <w:sz w:val="20"/>
                <w:szCs w:val="20"/>
                <w:color w:val="auto"/>
              </w:rPr>
            </w:pPr>
            <w:r>
              <w:rPr>
                <w:rFonts w:ascii="Arial" w:cs="Arial" w:eastAsia="Arial" w:hAnsi="Arial"/>
                <w:sz w:val="11"/>
                <w:szCs w:val="11"/>
                <w:b w:val="1"/>
                <w:bCs w:val="1"/>
                <w:color w:val="auto"/>
                <w:w w:val="86"/>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Execution Date,</w:t>
            </w:r>
          </w:p>
        </w:tc>
        <w:tc>
          <w:tcPr>
            <w:tcW w:w="640" w:type="dxa"/>
            <w:vAlign w:val="bottom"/>
          </w:tcPr>
          <w:p>
            <w:pPr>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jc w:val="center"/>
              <w:ind w:right="47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3,352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6"/>
                <w:szCs w:val="16"/>
                <w:color w:val="0000FF"/>
                <w:w w:val="99"/>
              </w:rPr>
              <w:t>3,352</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10,055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5,978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6"/>
                <w:szCs w:val="16"/>
                <w:color w:val="0000FF"/>
                <w:w w:val="99"/>
              </w:rPr>
              <w:t>5,978</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17,931</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35,139</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35,139</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35,139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17,569</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17,569</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17,569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17,569</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17,569</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17,569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35,139</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35,139</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35,139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76,927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39.13</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76,927</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03/30/2035</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3"/>
                <w:szCs w:val="13"/>
                <w:color w:val="0000FF"/>
              </w:rPr>
              <w:t>76,927</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-3348990</wp:posOffset>
            </wp:positionV>
            <wp:extent cx="28575" cy="335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547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2022 Incentive Award Plan (the Plan) and the award agreement.</w:t>
      </w:r>
    </w:p>
    <w:p>
      <w:pPr>
        <w:spacing w:after="0" w:line="4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Plan and the award agreement.</w:t>
      </w:r>
    </w:p>
    <w:p>
      <w:pPr>
        <w:spacing w:after="0" w:line="20"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Plan and the award agreement.</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Plan and the award agreement.</w:t>
      </w:r>
    </w:p>
    <w:p>
      <w:pPr>
        <w:spacing w:after="0" w:line="40" w:lineRule="exact"/>
        <w:rPr>
          <w:rFonts w:ascii="Times New Roman" w:cs="Times New Roman" w:eastAsia="Times New Roman" w:hAnsi="Times New Roman"/>
          <w:sz w:val="13"/>
          <w:szCs w:val="13"/>
          <w:color w:val="008000"/>
        </w:rPr>
      </w:pPr>
    </w:p>
    <w:p>
      <w:pPr>
        <w:ind w:left="40" w:right="260" w:hanging="1"/>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2025, reporting person was granted PSUs to vest or lapse on March 30, 2028 based on how the Company's free cash flow (FCF) for performance period 2025-2027 compares to a target determined by the Plan Administrator. The number included in column 5 of Table II reflects the target number of PSUs eligible for vesting subject to continued service during the vesting period and the award agreement.</w:t>
      </w:r>
    </w:p>
    <w:p>
      <w:pPr>
        <w:ind w:left="40" w:right="26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how the Company's Return on Investment Capital (ROIC) calculated for the performance period 2025-2027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18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the Company's total shareholder return (TSR) for the three-year period beginning on January 1, 2025 and ending December 31, 2027 relative to the TSR of an index of companies, as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180" w:hanging="1"/>
        <w:spacing w:after="0" w:line="247"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stock appreciation rights (SARs) subject to a four-year vesting in equal annual installments, the first vesting occurring on March 30, 2026. The SARs are subject to forfeiture prior to vesting in accordance with the terms of the Plan and the award agreement.</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Sarah K. Mohr, Attorney-in-  04/01/2025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-3810</wp:posOffset>
            </wp:positionV>
            <wp:extent cx="1870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sectPr>
          <w:pgSz w:w="11900" w:h="16838" w:orient="portrait"/>
          <w:cols w:equalWidth="0" w:num="1">
            <w:col w:w="11080"/>
          </w:cols>
          <w:pgMar w:left="460" w:top="215" w:right="359" w:bottom="0" w:gutter="0" w:footer="0" w:header="0"/>
          <w:type w:val="continuous"/>
        </w:sectPr>
      </w:pPr>
    </w:p>
    <w:bookmarkStart w:id="1" w:name="page2"/>
    <w:bookmarkEnd w:id="1"/>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7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49"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2645"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2025-04-01T20:08:48Z</dcterms:created>
  <dcterms:modified xsi:type="dcterms:W3CDTF">2025-04-01T20:08:48Z</dcterms:modified>
</cp:coreProperties>
</file>