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15</w:t>
      </w:r>
    </w:p>
    <w:p>
      <w:pPr>
        <w:sectPr>
          <w:pgSz w:w="11900" w:h="16838" w:orient="portrait"/>
          <w:cols w:equalWidth="0" w:num="1">
            <w:col w:w="9719"/>
          </w:cols>
          <w:pgMar w:left="740" w:top="94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ind w:left="27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0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3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LivaNova PLC</w:t>
      </w:r>
    </w:p>
    <w:p>
      <w:pPr>
        <w:ind w:left="35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 £1.00 par value per share</w:t>
      </w:r>
    </w:p>
    <w:p>
      <w:pPr>
        <w:ind w:left="2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G5509L101</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April 30, 2017</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1" w:lineRule="exact"/>
        <w:rPr>
          <w:sz w:val="24"/>
          <w:szCs w:val="24"/>
          <w:color w:val="auto"/>
        </w:rPr>
      </w:pPr>
    </w:p>
    <w:p>
      <w:pPr>
        <w:ind w:left="160" w:right="69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49" w:lineRule="exact"/>
        <w:rPr>
          <w:sz w:val="24"/>
          <w:szCs w:val="24"/>
          <w:color w:val="auto"/>
        </w:rPr>
      </w:pPr>
    </w:p>
    <w:p>
      <w:pPr>
        <w:jc w:val="both"/>
        <w:ind w:left="160" w:right="7719" w:hanging="2"/>
        <w:spacing w:after="0" w:line="216" w:lineRule="exact"/>
        <w:tabs>
          <w:tab w:leader="none" w:pos="5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23" w:lineRule="exact"/>
        <w:rPr>
          <w:sz w:val="24"/>
          <w:szCs w:val="24"/>
          <w:color w:val="auto"/>
        </w:rPr>
      </w:pPr>
    </w:p>
    <w:p>
      <w:pPr>
        <w:ind w:left="160" w:right="91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60" w:right="59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1226185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946" w:right="1440" w:bottom="1440" w:gutter="0" w:footer="0" w:header="0"/>
          <w:type w:val="continuous"/>
        </w:sectPr>
      </w:pPr>
    </w:p>
    <w:bookmarkStart w:id="1" w:name="page2"/>
    <w:bookmarkEnd w:id="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15</w:t>
      </w:r>
    </w:p>
    <w:p>
      <w:pPr>
        <w:spacing w:after="0" w:line="244" w:lineRule="exact"/>
        <w:rPr>
          <w:sz w:val="20"/>
          <w:szCs w:val="20"/>
          <w:color w:val="auto"/>
        </w:rPr>
      </w:pPr>
    </w:p>
    <w:p>
      <w:pPr>
        <w:ind w:left="600" w:right="6139" w:hanging="592"/>
        <w:spacing w:after="0" w:line="379"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22"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300" w:right="6519" w:hanging="692"/>
        <w:spacing w:after="0" w:line="379" w:lineRule="auto"/>
        <w:tabs>
          <w:tab w:leader="none" w:pos="13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28"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(See Item 4)</w:t>
      </w:r>
    </w:p>
    <w:p>
      <w:pPr>
        <w:spacing w:after="0" w:line="122" w:lineRule="exact"/>
        <w:rPr>
          <w:sz w:val="20"/>
          <w:szCs w:val="20"/>
          <w:color w:val="auto"/>
        </w:rPr>
      </w:pPr>
    </w:p>
    <w:p>
      <w:pPr>
        <w:ind w:left="1300" w:right="597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300" w:right="575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660" w:right="2579" w:hanging="652"/>
        <w:spacing w:after="0" w:line="445" w:lineRule="auto"/>
        <w:tabs>
          <w:tab w:leader="none" w:pos="65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4,870,440</w:t>
      </w: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ind w:left="600"/>
        <w:spacing w:after="0" w:line="238" w:lineRule="auto"/>
        <w:rPr>
          <w:sz w:val="20"/>
          <w:szCs w:val="20"/>
          <w:color w:val="auto"/>
        </w:rPr>
      </w:pPr>
      <w:r>
        <w:rPr>
          <w:rFonts w:ascii="Courier New" w:cs="Courier New" w:eastAsia="Courier New" w:hAnsi="Courier New"/>
          <w:sz w:val="18"/>
          <w:szCs w:val="18"/>
          <w:color w:val="auto"/>
        </w:rPr>
        <w:t>CERTAIN SHARES [ ]</w:t>
      </w:r>
    </w:p>
    <w:p>
      <w:pPr>
        <w:spacing w:after="0" w:line="258" w:lineRule="exact"/>
        <w:rPr>
          <w:sz w:val="20"/>
          <w:szCs w:val="20"/>
          <w:color w:val="auto"/>
        </w:rPr>
      </w:pPr>
    </w:p>
    <w:p>
      <w:pPr>
        <w:ind w:left="600" w:right="3779" w:hanging="592"/>
        <w:spacing w:after="0" w:line="381" w:lineRule="auto"/>
        <w:tabs>
          <w:tab w:leader="none" w:pos="6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ind w:left="660" w:hanging="652"/>
        <w:spacing w:after="0"/>
        <w:tabs>
          <w:tab w:leader="none" w:pos="6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1379855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2" w:name="page3"/>
    <w:bookmarkEnd w:id="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15</w:t>
      </w:r>
    </w:p>
    <w:p>
      <w:pPr>
        <w:spacing w:after="0" w:line="244" w:lineRule="exact"/>
        <w:rPr>
          <w:sz w:val="20"/>
          <w:szCs w:val="20"/>
          <w:color w:val="auto"/>
        </w:rPr>
      </w:pPr>
    </w:p>
    <w:p>
      <w:pPr>
        <w:ind w:left="600" w:right="6139" w:hanging="592"/>
        <w:spacing w:after="0" w:line="460"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35"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160" w:right="6619" w:hanging="552"/>
        <w:spacing w:after="0" w:line="410" w:lineRule="auto"/>
        <w:tabs>
          <w:tab w:leader="none" w:pos="125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87" w:lineRule="exact"/>
        <w:rPr>
          <w:sz w:val="20"/>
          <w:szCs w:val="20"/>
          <w:color w:val="auto"/>
        </w:rPr>
      </w:pPr>
    </w:p>
    <w:p>
      <w:pPr>
        <w:ind w:left="1160" w:right="5879" w:hanging="552"/>
        <w:spacing w:after="0" w:line="410" w:lineRule="auto"/>
        <w:tabs>
          <w:tab w:leader="none" w:pos="125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620" w:right="2579" w:hanging="612"/>
        <w:spacing w:after="0" w:line="373" w:lineRule="auto"/>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4,870,440</w:t>
      </w: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9" w:lineRule="exact"/>
        <w:rPr>
          <w:sz w:val="20"/>
          <w:szCs w:val="20"/>
          <w:color w:val="auto"/>
        </w:rPr>
      </w:pPr>
    </w:p>
    <w:p>
      <w:pPr>
        <w:ind w:left="560" w:right="3779" w:hanging="552"/>
        <w:spacing w:after="0" w:line="421" w:lineRule="auto"/>
        <w:tabs>
          <w:tab w:leader="none" w:pos="65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47"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1208405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3" w:name="page4"/>
    <w:bookmarkEnd w:id="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15</w:t>
      </w:r>
    </w:p>
    <w:p>
      <w:pPr>
        <w:spacing w:after="0" w:line="230" w:lineRule="exact"/>
        <w:rPr>
          <w:sz w:val="20"/>
          <w:szCs w:val="20"/>
          <w:color w:val="auto"/>
        </w:rPr>
      </w:pPr>
    </w:p>
    <w:p>
      <w:pPr>
        <w:ind w:left="600" w:right="6139" w:hanging="592"/>
        <w:spacing w:after="0" w:line="460" w:lineRule="auto"/>
        <w:tabs>
          <w:tab w:leader="none" w:pos="6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4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9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600" w:right="5179" w:hanging="592"/>
        <w:spacing w:after="0" w:line="405" w:lineRule="auto"/>
        <w:tabs>
          <w:tab w:leader="none" w:pos="6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3" w:lineRule="exact"/>
        <w:rPr>
          <w:sz w:val="20"/>
          <w:szCs w:val="20"/>
          <w:color w:val="auto"/>
        </w:rPr>
      </w:pPr>
    </w:p>
    <w:p>
      <w:pPr>
        <w:ind w:left="1260" w:hanging="652"/>
        <w:spacing w:after="0"/>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98" w:lineRule="exact"/>
        <w:rPr>
          <w:sz w:val="20"/>
          <w:szCs w:val="20"/>
          <w:color w:val="auto"/>
        </w:rPr>
      </w:pPr>
    </w:p>
    <w:p>
      <w:pPr>
        <w:ind w:left="1260" w:hanging="652"/>
        <w:spacing w:after="0"/>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300" w:lineRule="exact"/>
        <w:rPr>
          <w:sz w:val="20"/>
          <w:szCs w:val="20"/>
          <w:color w:val="auto"/>
        </w:rPr>
      </w:pPr>
    </w:p>
    <w:p>
      <w:pPr>
        <w:ind w:left="1200" w:right="5879" w:hanging="592"/>
        <w:spacing w:after="0" w:line="426" w:lineRule="auto"/>
        <w:tabs>
          <w:tab w:leader="none" w:pos="12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8" w:lineRule="exact"/>
        <w:rPr>
          <w:rFonts w:ascii="Courier New" w:cs="Courier New" w:eastAsia="Courier New" w:hAnsi="Courier New"/>
          <w:sz w:val="18"/>
          <w:szCs w:val="18"/>
          <w:color w:val="auto"/>
        </w:rPr>
      </w:pPr>
    </w:p>
    <w:p>
      <w:pPr>
        <w:ind w:left="660" w:right="2579" w:hanging="652"/>
        <w:spacing w:after="0" w:line="395" w:lineRule="auto"/>
        <w:tabs>
          <w:tab w:leader="none" w:pos="65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4,870,440</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10.1%</w:t>
      </w:r>
    </w:p>
    <w:p>
      <w:pPr>
        <w:spacing w:after="0" w:line="136" w:lineRule="exact"/>
        <w:rPr>
          <w:sz w:val="20"/>
          <w:szCs w:val="20"/>
          <w:color w:val="auto"/>
        </w:rPr>
      </w:pPr>
    </w:p>
    <w:p>
      <w:pPr>
        <w:ind w:left="600" w:right="6479" w:hanging="592"/>
        <w:spacing w:after="0" w:line="415" w:lineRule="auto"/>
        <w:tabs>
          <w:tab w:leader="none" w:pos="64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991235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4" w:name="page5"/>
    <w:bookmarkEnd w:id="4"/>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15</w:t>
      </w:r>
    </w:p>
    <w:p>
      <w:pPr>
        <w:spacing w:after="0" w:line="352" w:lineRule="exact"/>
        <w:rPr>
          <w:sz w:val="20"/>
          <w:szCs w:val="20"/>
          <w:color w:val="auto"/>
        </w:rPr>
      </w:pPr>
    </w:p>
    <w:p>
      <w:pPr>
        <w:ind w:left="600" w:right="5539" w:hanging="592"/>
        <w:spacing w:after="0" w:line="379" w:lineRule="auto"/>
        <w:tabs>
          <w:tab w:leader="none" w:pos="6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Templeton Investment Counsel, LLC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3,092,694</w:t>
      </w:r>
    </w:p>
    <w:p>
      <w:pPr>
        <w:spacing w:after="0" w:line="4" w:lineRule="exact"/>
        <w:rPr>
          <w:rFonts w:ascii="Courier New" w:cs="Courier New" w:eastAsia="Courier New" w:hAnsi="Courier New"/>
          <w:sz w:val="18"/>
          <w:szCs w:val="18"/>
          <w:color w:val="auto"/>
        </w:rPr>
      </w:pPr>
    </w:p>
    <w:p>
      <w:pPr>
        <w:ind w:left="1260" w:right="6419" w:hanging="652"/>
        <w:spacing w:after="0" w:line="445"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1200" w:right="607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3,577,464</w:t>
      </w:r>
    </w:p>
    <w:p>
      <w:pPr>
        <w:spacing w:after="0" w:line="4" w:lineRule="exact"/>
        <w:rPr>
          <w:rFonts w:ascii="Courier New" w:cs="Courier New" w:eastAsia="Courier New" w:hAnsi="Courier New"/>
          <w:sz w:val="18"/>
          <w:szCs w:val="18"/>
          <w:color w:val="auto"/>
        </w:rPr>
      </w:pPr>
    </w:p>
    <w:p>
      <w:pPr>
        <w:ind w:left="1260" w:right="5879" w:hanging="652"/>
        <w:spacing w:after="0" w:line="506"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24,700</w:t>
      </w:r>
    </w:p>
    <w:p>
      <w:pPr>
        <w:spacing w:after="0" w:line="4" w:lineRule="exact"/>
        <w:rPr>
          <w:rFonts w:ascii="Courier New" w:cs="Courier New" w:eastAsia="Courier New" w:hAnsi="Courier New"/>
          <w:sz w:val="18"/>
          <w:szCs w:val="18"/>
          <w:color w:val="auto"/>
        </w:rPr>
      </w:pPr>
    </w:p>
    <w:p>
      <w:pPr>
        <w:ind w:left="660" w:right="2579" w:hanging="652"/>
        <w:spacing w:after="0" w:line="379" w:lineRule="auto"/>
        <w:tabs>
          <w:tab w:leader="none" w:pos="65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3,602,164</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1465580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5" w:name="page6"/>
    <w:bookmarkEnd w:id="5"/>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15</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0" w:lineRule="exact"/>
        <w:rPr>
          <w:sz w:val="20"/>
          <w:szCs w:val="20"/>
          <w:color w:val="auto"/>
        </w:rPr>
      </w:pP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LivaNova PLC</w:t>
      </w:r>
    </w:p>
    <w:p>
      <w:pPr>
        <w:spacing w:after="0" w:line="80" w:lineRule="exact"/>
        <w:rPr>
          <w:sz w:val="20"/>
          <w:szCs w:val="20"/>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20 Eastbourne Terrace</w:t>
      </w:r>
    </w:p>
    <w:p>
      <w:pPr>
        <w:ind w:left="700"/>
        <w:spacing w:after="0" w:line="237"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Templeton Investment Counsel, LLC</w:t>
      </w:r>
    </w:p>
    <w:p>
      <w:pPr>
        <w:spacing w:after="0" w:line="255" w:lineRule="exact"/>
        <w:rPr>
          <w:sz w:val="20"/>
          <w:szCs w:val="20"/>
          <w:color w:val="auto"/>
        </w:rPr>
      </w:pPr>
    </w:p>
    <w:p>
      <w:pPr>
        <w:ind w:left="660" w:hanging="652"/>
        <w:spacing w:after="0"/>
        <w:tabs>
          <w:tab w:leader="none" w:pos="6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tab/>
        <w:t>500 E. Broward Boulevard, Suite 2100</w:t>
      </w:r>
    </w:p>
    <w:p>
      <w:pPr>
        <w:spacing w:after="0" w:line="21" w:lineRule="exact"/>
        <w:rPr>
          <w:sz w:val="20"/>
          <w:szCs w:val="20"/>
          <w:color w:val="auto"/>
        </w:rPr>
      </w:pPr>
    </w:p>
    <w:p>
      <w:pPr>
        <w:ind w:left="1300"/>
        <w:spacing w:after="0" w:line="209" w:lineRule="exact"/>
        <w:tabs>
          <w:tab w:leader="none" w:pos="3560" w:val="left"/>
        </w:tabs>
        <w:rPr>
          <w:sz w:val="20"/>
          <w:szCs w:val="20"/>
          <w:color w:val="auto"/>
        </w:rPr>
      </w:pPr>
      <w:r>
        <w:rPr>
          <w:rFonts w:ascii="Courier New" w:cs="Courier New" w:eastAsia="Courier New" w:hAnsi="Courier New"/>
          <w:sz w:val="18"/>
          <w:szCs w:val="18"/>
          <w:color w:val="auto"/>
        </w:rPr>
        <w:t>Fort Lauderdale, FL</w:t>
        <w:tab/>
        <w:t>33394</w:t>
      </w:r>
      <w:r>
        <w:rPr>
          <w:rFonts w:ascii="MS Gothic" w:cs="MS Gothic" w:eastAsia="MS Gothic" w:hAnsi="MS Gothic"/>
          <w:sz w:val="18"/>
          <w:szCs w:val="18"/>
          <w:color w:val="auto"/>
        </w:rPr>
        <w:t>‑</w:t>
      </w:r>
      <w:r>
        <w:rPr>
          <w:rFonts w:ascii="Courier New" w:cs="Courier New" w:eastAsia="Courier New" w:hAnsi="Courier New"/>
          <w:sz w:val="18"/>
          <w:szCs w:val="18"/>
          <w:color w:val="auto"/>
        </w:rPr>
        <w:t>3091</w:t>
      </w:r>
    </w:p>
    <w:p>
      <w:pPr>
        <w:spacing w:after="0" w:line="147" w:lineRule="exact"/>
        <w:rPr>
          <w:sz w:val="20"/>
          <w:szCs w:val="20"/>
          <w:color w:val="auto"/>
        </w:rPr>
      </w:pPr>
    </w:p>
    <w:p>
      <w:pPr>
        <w:ind w:left="660" w:hanging="652"/>
        <w:spacing w:after="0"/>
        <w:tabs>
          <w:tab w:leader="none" w:pos="6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20" w:lineRule="exact"/>
        <w:rPr>
          <w:sz w:val="20"/>
          <w:szCs w:val="20"/>
          <w:color w:val="auto"/>
        </w:rPr>
      </w:pPr>
    </w:p>
    <w:p>
      <w:pPr>
        <w:ind w:left="1140" w:hanging="532"/>
        <w:spacing w:after="0"/>
        <w:tabs>
          <w:tab w:leader="none" w:pos="11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39"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17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00" w:lineRule="exact"/>
        <w:rPr>
          <w:sz w:val="20"/>
          <w:szCs w:val="20"/>
          <w:color w:val="auto"/>
        </w:rPr>
      </w:pPr>
    </w:p>
    <w:p>
      <w:pPr>
        <w:spacing w:after="0" w:line="206" w:lineRule="exact"/>
        <w:rPr>
          <w:sz w:val="20"/>
          <w:szCs w:val="20"/>
          <w:color w:val="auto"/>
        </w:rPr>
      </w:pPr>
    </w:p>
    <w:p>
      <w:pPr>
        <w:ind w:left="600" w:right="7759" w:hanging="592"/>
        <w:spacing w:after="0" w:line="379" w:lineRule="auto"/>
        <w:tabs>
          <w:tab w:leader="none" w:pos="6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284480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6" w:name="page7"/>
    <w:bookmarkEnd w:id="6"/>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15</w:t>
      </w:r>
    </w:p>
    <w:p>
      <w:pPr>
        <w:spacing w:after="0" w:line="230" w:lineRule="exact"/>
        <w:rPr>
          <w:sz w:val="20"/>
          <w:szCs w:val="20"/>
          <w:color w:val="auto"/>
        </w:rPr>
      </w:pPr>
    </w:p>
    <w:p>
      <w:pPr>
        <w:ind w:left="800" w:right="539" w:hanging="799"/>
        <w:spacing w:after="0" w:line="203"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47"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500" w:right="579" w:hanging="792"/>
        <w:spacing w:after="0" w:line="238" w:lineRule="auto"/>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500" w:right="47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5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500" w:right="1559" w:hanging="792"/>
        <w:spacing w:after="0" w:line="203" w:lineRule="exact"/>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500" w:right="379" w:hanging="792"/>
        <w:spacing w:after="0" w:line="238" w:lineRule="auto"/>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39" w:hanging="792"/>
        <w:spacing w:after="0" w:line="203" w:lineRule="exact"/>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15"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ind w:left="700"/>
        <w:spacing w:after="0" w:line="238" w:lineRule="auto"/>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94"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7" w:name="page8"/>
    <w:bookmarkEnd w:id="7"/>
    <w:p>
      <w:pPr>
        <w:ind w:left="500"/>
        <w:spacing w:after="0"/>
        <w:tabs>
          <w:tab w:leader="none" w:pos="5020" w:val="left"/>
          <w:tab w:leader="none" w:pos="84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15</w:t>
      </w:r>
    </w:p>
    <w:p>
      <w:pPr>
        <w:spacing w:after="0" w:line="136" w:lineRule="exact"/>
        <w:rPr>
          <w:sz w:val="20"/>
          <w:szCs w:val="20"/>
          <w:color w:val="auto"/>
        </w:rPr>
      </w:pPr>
    </w:p>
    <w:p>
      <w:pPr>
        <w:jc w:val="both"/>
        <w:ind w:left="500" w:right="1420"/>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500" w:right="1320"/>
        <w:spacing w:after="0" w:line="20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17"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FRI, the Principal Shareholders, and each of the Investment Management Subsidiaries</w:t>
      </w:r>
    </w:p>
    <w:p>
      <w:pPr>
        <w:spacing w:after="0" w:line="28" w:lineRule="exact"/>
        <w:rPr>
          <w:sz w:val="20"/>
          <w:szCs w:val="20"/>
          <w:color w:val="auto"/>
        </w:rPr>
      </w:pPr>
    </w:p>
    <w:p>
      <w:pPr>
        <w:ind w:left="500" w:right="1320"/>
        <w:spacing w:after="0" w:line="202" w:lineRule="exact"/>
        <w:rPr>
          <w:sz w:val="20"/>
          <w:szCs w:val="20"/>
          <w:color w:val="auto"/>
        </w:rPr>
      </w:pPr>
      <w:r>
        <w:rPr>
          <w:rFonts w:ascii="Courier New" w:cs="Courier New" w:eastAsia="Courier New" w:hAnsi="Courier New"/>
          <w:sz w:val="18"/>
          <w:szCs w:val="18"/>
          <w:color w:val="auto"/>
        </w:rPr>
        <w:t>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95" w:lineRule="exact"/>
        <w:rPr>
          <w:sz w:val="20"/>
          <w:szCs w:val="20"/>
          <w:color w:val="auto"/>
        </w:rPr>
      </w:pPr>
    </w:p>
    <w:p>
      <w:pPr>
        <w:ind w:left="1860" w:right="6760" w:hanging="852"/>
        <w:spacing w:after="0" w:line="379" w:lineRule="auto"/>
        <w:tabs>
          <w:tab w:leader="none" w:pos="186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4,870,440</w:t>
      </w:r>
    </w:p>
    <w:p>
      <w:pPr>
        <w:spacing w:after="0" w:line="2" w:lineRule="exact"/>
        <w:rPr>
          <w:rFonts w:ascii="Courier New" w:cs="Courier New" w:eastAsia="Courier New" w:hAnsi="Courier New"/>
          <w:sz w:val="18"/>
          <w:szCs w:val="18"/>
          <w:color w:val="auto"/>
        </w:rPr>
      </w:pPr>
    </w:p>
    <w:p>
      <w:pPr>
        <w:ind w:left="1880" w:hanging="872"/>
        <w:spacing w:after="0"/>
        <w:tabs>
          <w:tab w:leader="none" w:pos="18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10.1%</w:t>
      </w: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620" w:type="dxa"/>
            <w:vAlign w:val="bottom"/>
          </w:tcPr>
          <w:p>
            <w:pPr>
              <w:ind w:left="40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680" w:type="dxa"/>
            <w:vAlign w:val="bottom"/>
          </w:tcPr>
          <w:p>
            <w:pPr>
              <w:spacing w:after="0"/>
              <w:rPr>
                <w:sz w:val="17"/>
                <w:szCs w:val="17"/>
                <w:color w:val="auto"/>
              </w:rPr>
            </w:pPr>
          </w:p>
        </w:tc>
      </w:tr>
      <w:tr>
        <w:trPr>
          <w:trHeight w:val="324"/>
        </w:trPr>
        <w:tc>
          <w:tcPr>
            <w:tcW w:w="480" w:type="dxa"/>
            <w:vAlign w:val="bottom"/>
          </w:tcPr>
          <w:p>
            <w:pPr>
              <w:spacing w:after="0"/>
              <w:rPr>
                <w:sz w:val="24"/>
                <w:szCs w:val="24"/>
                <w:color w:val="auto"/>
              </w:rPr>
            </w:pPr>
          </w:p>
        </w:tc>
        <w:tc>
          <w:tcPr>
            <w:tcW w:w="6620" w:type="dxa"/>
            <w:vAlign w:val="bottom"/>
          </w:tcPr>
          <w:p>
            <w:pPr>
              <w:ind w:left="12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680" w:type="dxa"/>
            <w:vAlign w:val="bottom"/>
          </w:tcPr>
          <w:p>
            <w:pPr>
              <w:spacing w:after="0"/>
              <w:rPr>
                <w:sz w:val="24"/>
                <w:szCs w:val="24"/>
                <w:color w:val="auto"/>
              </w:rPr>
            </w:pPr>
          </w:p>
        </w:tc>
      </w:tr>
      <w:tr>
        <w:trPr>
          <w:trHeight w:val="324"/>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Franklin Resources, Inc.:</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Charles B. Johnson:</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Rupert H. Johnson, Jr.:</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Templeton Investment Counsel, LLC:</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3,092,694</w:t>
            </w:r>
          </w:p>
        </w:tc>
      </w:tr>
      <w:tr>
        <w:trPr>
          <w:trHeight w:val="338"/>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Franklin Templeton Investments Corp.:</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527,499</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371,630</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Templeton Global Advisors Limited:</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280,450</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Franklin Templeton Investments (Asia) Ltd.:</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30,827</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Franklin Advisers, Inc.:</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2,380</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Templeton Asset Management Ltd.:</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1,440</w:t>
            </w:r>
          </w:p>
        </w:tc>
      </w:tr>
      <w:tr>
        <w:trPr>
          <w:trHeight w:val="311"/>
        </w:trPr>
        <w:tc>
          <w:tcPr>
            <w:tcW w:w="48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8"/>
                <w:szCs w:val="18"/>
                <w:color w:val="auto"/>
              </w:rPr>
              <w:t>Fiduciary Trust Company International:</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790</w:t>
            </w:r>
          </w:p>
        </w:tc>
      </w:tr>
    </w:tbl>
    <w:p>
      <w:pPr>
        <w:spacing w:after="0" w:line="257" w:lineRule="exact"/>
        <w:rPr>
          <w:sz w:val="20"/>
          <w:szCs w:val="20"/>
          <w:color w:val="auto"/>
        </w:rPr>
      </w:pPr>
    </w:p>
    <w:p>
      <w:pPr>
        <w:ind w:left="2260" w:right="4740" w:hanging="752"/>
        <w:spacing w:after="0" w:line="395" w:lineRule="auto"/>
        <w:tabs>
          <w:tab w:leader="none" w:pos="215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7" w:lineRule="exact"/>
        <w:rPr>
          <w:rFonts w:ascii="Courier New" w:cs="Courier New" w:eastAsia="Courier New" w:hAnsi="Courier New"/>
          <w:sz w:val="18"/>
          <w:szCs w:val="18"/>
          <w:color w:val="auto"/>
        </w:rPr>
      </w:pPr>
    </w:p>
    <w:p>
      <w:pPr>
        <w:ind w:left="2160" w:hanging="752"/>
        <w:spacing w:after="0"/>
        <w:tabs>
          <w:tab w:leader="none" w:pos="21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40" w:type="dxa"/>
            <w:vAlign w:val="bottom"/>
          </w:tcPr>
          <w:p>
            <w:pPr>
              <w:ind w:left="2100"/>
              <w:spacing w:after="0"/>
              <w:rPr>
                <w:sz w:val="20"/>
                <w:szCs w:val="20"/>
                <w:color w:val="auto"/>
              </w:rPr>
            </w:pPr>
            <w:r>
              <w:rPr>
                <w:rFonts w:ascii="Courier New" w:cs="Courier New" w:eastAsia="Courier New" w:hAnsi="Courier New"/>
                <w:sz w:val="18"/>
                <w:szCs w:val="18"/>
                <w:color w:val="auto"/>
              </w:rPr>
              <w:t>Franklin Resources, Inc.:</w:t>
            </w:r>
          </w:p>
        </w:tc>
        <w:tc>
          <w:tcPr>
            <w:tcW w:w="4200" w:type="dxa"/>
            <w:vAlign w:val="bottom"/>
          </w:tcPr>
          <w:p>
            <w:pPr>
              <w:jc w:val="right"/>
              <w:ind w:right="1570"/>
              <w:spacing w:after="0"/>
              <w:rPr>
                <w:sz w:val="20"/>
                <w:szCs w:val="20"/>
                <w:color w:val="auto"/>
              </w:rPr>
            </w:pPr>
            <w:r>
              <w:rPr>
                <w:rFonts w:ascii="Courier New" w:cs="Courier New" w:eastAsia="Courier New" w:hAnsi="Courier New"/>
                <w:sz w:val="18"/>
                <w:szCs w:val="18"/>
                <w:color w:val="auto"/>
              </w:rPr>
              <w:t>0</w:t>
            </w:r>
          </w:p>
        </w:tc>
      </w:tr>
      <w:tr>
        <w:trPr>
          <w:trHeight w:val="324"/>
        </w:trPr>
        <w:tc>
          <w:tcPr>
            <w:tcW w:w="7240" w:type="dxa"/>
            <w:vAlign w:val="bottom"/>
          </w:tcPr>
          <w:p>
            <w:pPr>
              <w:ind w:left="2100"/>
              <w:spacing w:after="0"/>
              <w:rPr>
                <w:sz w:val="20"/>
                <w:szCs w:val="20"/>
                <w:color w:val="auto"/>
              </w:rPr>
            </w:pPr>
            <w:r>
              <w:rPr>
                <w:rFonts w:ascii="Courier New" w:cs="Courier New" w:eastAsia="Courier New" w:hAnsi="Courier New"/>
                <w:sz w:val="18"/>
                <w:szCs w:val="18"/>
                <w:color w:val="auto"/>
              </w:rPr>
              <w:t>Charles B. Johnson:</w:t>
            </w:r>
          </w:p>
        </w:tc>
        <w:tc>
          <w:tcPr>
            <w:tcW w:w="4200" w:type="dxa"/>
            <w:vAlign w:val="bottom"/>
          </w:tcPr>
          <w:p>
            <w:pPr>
              <w:jc w:val="right"/>
              <w:ind w:right="1570"/>
              <w:spacing w:after="0"/>
              <w:rPr>
                <w:sz w:val="20"/>
                <w:szCs w:val="20"/>
                <w:color w:val="auto"/>
              </w:rPr>
            </w:pPr>
            <w:r>
              <w:rPr>
                <w:rFonts w:ascii="Courier New" w:cs="Courier New" w:eastAsia="Courier New" w:hAnsi="Courier New"/>
                <w:sz w:val="18"/>
                <w:szCs w:val="18"/>
                <w:color w:val="auto"/>
              </w:rPr>
              <w:t>0</w:t>
            </w:r>
          </w:p>
        </w:tc>
      </w:tr>
      <w:tr>
        <w:trPr>
          <w:trHeight w:val="324"/>
        </w:trPr>
        <w:tc>
          <w:tcPr>
            <w:tcW w:w="7240" w:type="dxa"/>
            <w:vAlign w:val="bottom"/>
          </w:tcPr>
          <w:p>
            <w:pPr>
              <w:ind w:left="2100"/>
              <w:spacing w:after="0"/>
              <w:rPr>
                <w:sz w:val="20"/>
                <w:szCs w:val="20"/>
                <w:color w:val="auto"/>
              </w:rPr>
            </w:pPr>
            <w:r>
              <w:rPr>
                <w:rFonts w:ascii="Courier New" w:cs="Courier New" w:eastAsia="Courier New" w:hAnsi="Courier New"/>
                <w:sz w:val="18"/>
                <w:szCs w:val="18"/>
                <w:color w:val="auto"/>
              </w:rPr>
              <w:t>Rupert H. Johnson, Jr.:</w:t>
            </w:r>
          </w:p>
        </w:tc>
        <w:tc>
          <w:tcPr>
            <w:tcW w:w="4200" w:type="dxa"/>
            <w:vAlign w:val="bottom"/>
          </w:tcPr>
          <w:p>
            <w:pPr>
              <w:jc w:val="right"/>
              <w:ind w:right="1570"/>
              <w:spacing w:after="0"/>
              <w:rPr>
                <w:sz w:val="20"/>
                <w:szCs w:val="20"/>
                <w:color w:val="auto"/>
              </w:rPr>
            </w:pPr>
            <w:r>
              <w:rPr>
                <w:rFonts w:ascii="Courier New" w:cs="Courier New" w:eastAsia="Courier New" w:hAnsi="Courier New"/>
                <w:sz w:val="18"/>
                <w:szCs w:val="18"/>
                <w:color w:val="auto"/>
              </w:rPr>
              <w:t>0</w:t>
            </w:r>
          </w:p>
        </w:tc>
      </w:tr>
      <w:tr>
        <w:trPr>
          <w:trHeight w:val="431"/>
        </w:trPr>
        <w:tc>
          <w:tcPr>
            <w:tcW w:w="724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09" w:right="219" w:bottom="1440" w:gutter="0" w:footer="0" w:header="0"/>
        </w:sectPr>
      </w:pPr>
    </w:p>
    <w:bookmarkStart w:id="8" w:name="page9"/>
    <w:bookmarkEnd w:id="8"/>
    <w:tbl>
      <w:tblPr>
        <w:tblLayout w:type="fixed"/>
        <w:tblInd w:w="492"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30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Page 9 of 15</w:t>
            </w:r>
          </w:p>
        </w:tc>
      </w:tr>
      <w:tr>
        <w:trPr>
          <w:trHeight w:val="365"/>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Investment Counsel, LLC:</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3,577,464</w:t>
            </w:r>
          </w:p>
        </w:tc>
      </w:tr>
      <w:tr>
        <w:trPr>
          <w:trHeight w:val="365"/>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Corp.:</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527,499</w:t>
            </w:r>
          </w:p>
        </w:tc>
      </w:tr>
      <w:tr>
        <w:trPr>
          <w:trHeight w:val="338"/>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424,890</w:t>
            </w:r>
          </w:p>
        </w:tc>
      </w:tr>
      <w:tr>
        <w:trPr>
          <w:trHeight w:val="338"/>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Global Advisors Limited: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280,450</w:t>
            </w:r>
          </w:p>
        </w:tc>
      </w:tr>
      <w:tr>
        <w:trPr>
          <w:trHeight w:val="338"/>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(Asia) Ltd.: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30,827</w:t>
            </w:r>
          </w:p>
        </w:tc>
      </w:tr>
      <w:tr>
        <w:trPr>
          <w:trHeight w:val="338"/>
        </w:trPr>
        <w:tc>
          <w:tcPr>
            <w:tcW w:w="4380" w:type="dxa"/>
            <w:vAlign w:val="bottom"/>
          </w:tcPr>
          <w:p>
            <w:pPr>
              <w:ind w:left="1600"/>
              <w:spacing w:after="0"/>
              <w:rPr>
                <w:sz w:val="20"/>
                <w:szCs w:val="20"/>
                <w:color w:val="auto"/>
              </w:rPr>
            </w:pPr>
            <w:r>
              <w:rPr>
                <w:rFonts w:ascii="Courier New" w:cs="Courier New" w:eastAsia="Courier New" w:hAnsi="Courier New"/>
                <w:sz w:val="18"/>
                <w:szCs w:val="18"/>
                <w:color w:val="auto"/>
              </w:rPr>
              <w:t>Franklin Advisers, Inc.:</w:t>
            </w:r>
          </w:p>
        </w:tc>
        <w:tc>
          <w:tcPr>
            <w:tcW w:w="30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2,380</w:t>
            </w:r>
          </w:p>
        </w:tc>
      </w:tr>
      <w:tr>
        <w:trPr>
          <w:trHeight w:val="338"/>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Asset Management Ltd.: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1,440</w:t>
            </w:r>
          </w:p>
        </w:tc>
      </w:tr>
      <w:tr>
        <w:trPr>
          <w:trHeight w:val="338"/>
        </w:trPr>
        <w:tc>
          <w:tcPr>
            <w:tcW w:w="74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Fiduciary Trust Company International:</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790</w:t>
            </w:r>
          </w:p>
        </w:tc>
      </w:tr>
    </w:tbl>
    <w:p>
      <w:pPr>
        <w:spacing w:after="0" w:line="215" w:lineRule="exact"/>
        <w:rPr>
          <w:sz w:val="20"/>
          <w:szCs w:val="20"/>
          <w:color w:val="auto"/>
        </w:rPr>
      </w:pPr>
    </w:p>
    <w:p>
      <w:pPr>
        <w:ind w:left="2192" w:hanging="642"/>
        <w:spacing w:after="0"/>
        <w:tabs>
          <w:tab w:leader="none" w:pos="219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Shared power to dispose or to direct the disposition of </w:t>
      </w:r>
      <w:hyperlink w:anchor="page9">
        <w:r>
          <w:rPr>
            <w:rFonts w:ascii="Courier New" w:cs="Courier New" w:eastAsia="Courier New" w:hAnsi="Courier New"/>
            <w:sz w:val="30"/>
            <w:szCs w:val="30"/>
            <w:u w:val="single" w:color="auto"/>
            <w:color w:val="0000EE"/>
            <w:vertAlign w:val="superscript"/>
          </w:rPr>
          <w:t>[1]</w:t>
        </w:r>
      </w:hyperlink>
    </w:p>
    <w:p>
      <w:pPr>
        <w:spacing w:after="0" w:line="92" w:lineRule="exact"/>
        <w:rPr>
          <w:sz w:val="20"/>
          <w:szCs w:val="20"/>
          <w:color w:val="auto"/>
        </w:rPr>
      </w:pPr>
    </w:p>
    <w:tbl>
      <w:tblPr>
        <w:tblLayout w:type="fixed"/>
        <w:tblInd w:w="2152"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24,700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242252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92" w:right="539" w:hanging="492"/>
        <w:spacing w:after="0" w:line="214" w:lineRule="exact"/>
        <w:tabs>
          <w:tab w:leader="none" w:pos="492" w:val="left"/>
        </w:tabs>
        <w:numPr>
          <w:ilvl w:val="0"/>
          <w:numId w:val="46"/>
        </w:numPr>
        <w:rPr>
          <w:rFonts w:ascii="Arial" w:cs="Arial" w:eastAsia="Arial" w:hAnsi="Arial"/>
          <w:sz w:val="36"/>
          <w:szCs w:val="36"/>
          <w:u w:val="single" w:color="auto"/>
          <w:color w:val="0000EE"/>
          <w:vertAlign w:val="superscript"/>
        </w:rPr>
      </w:pPr>
      <w:r>
        <w:rPr>
          <w:rFonts w:ascii="Courier New" w:cs="Courier New" w:eastAsia="Courier New" w:hAnsi="Courier New"/>
          <w:sz w:val="18"/>
          <w:szCs w:val="18"/>
          <w:color w:val="auto"/>
        </w:rPr>
        <w:t>One of the investment management contracts that relates to these securities provides that the applicable FRI affiliate share investment power over the securities held in the client’s account with another unaffiliated entity. The issuer's securities held in such account are less than 5% of the outstanding shares of the class. In addition, FRI does not believe that such contract causes such client or unaffiliated entity to be part of a group with FRI or any FRI affiliate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1122" w:right="1440" w:bottom="1440" w:gutter="0" w:footer="0" w:header="0"/>
        </w:sectPr>
      </w:pPr>
    </w:p>
    <w:bookmarkStart w:id="9" w:name="page10"/>
    <w:bookmarkEnd w:id="9"/>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15</w:t>
      </w:r>
    </w:p>
    <w:p>
      <w:pPr>
        <w:spacing w:after="0" w:line="22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ind w:left="860"/>
        <w:spacing w:after="0"/>
        <w:rPr>
          <w:sz w:val="20"/>
          <w:szCs w:val="20"/>
          <w:color w:val="auto"/>
        </w:rPr>
      </w:pPr>
      <w:r>
        <w:rPr>
          <w:rFonts w:ascii="Courier New" w:cs="Courier New" w:eastAsia="Courier New" w:hAnsi="Courier New"/>
          <w:sz w:val="18"/>
          <w:szCs w:val="18"/>
          <w:color w:val="auto"/>
        </w:rPr>
        <w:t>percent of the class of securities,</w:t>
      </w:r>
    </w:p>
    <w:p>
      <w:pPr>
        <w:ind w:left="860"/>
        <w:spacing w:after="0" w:line="237" w:lineRule="auto"/>
        <w:tabs>
          <w:tab w:leader="none" w:pos="3640" w:val="left"/>
        </w:tabs>
        <w:rPr>
          <w:sz w:val="20"/>
          <w:szCs w:val="20"/>
          <w:color w:val="auto"/>
        </w:rPr>
      </w:pPr>
      <w:r>
        <w:rPr>
          <w:rFonts w:ascii="Courier New" w:cs="Courier New" w:eastAsia="Courier New" w:hAnsi="Courier New"/>
          <w:sz w:val="18"/>
          <w:szCs w:val="18"/>
          <w:color w:val="auto"/>
        </w:rPr>
        <w:t>check the following [ ].</w:t>
        <w:tab/>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63" w:lineRule="exact"/>
        <w:rPr>
          <w:sz w:val="20"/>
          <w:szCs w:val="20"/>
          <w:color w:val="auto"/>
        </w:rPr>
      </w:pPr>
    </w:p>
    <w:p>
      <w:pPr>
        <w:ind w:left="860" w:right="31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34" w:lineRule="exact"/>
        <w:rPr>
          <w:sz w:val="20"/>
          <w:szCs w:val="20"/>
          <w:color w:val="auto"/>
        </w:rPr>
      </w:pPr>
    </w:p>
    <w:p>
      <w:pPr>
        <w:ind w:left="860" w:right="319" w:hanging="84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0" w:name="page11"/>
    <w:bookmarkEnd w:id="1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15</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8"/>
          <w:szCs w:val="18"/>
          <w:color w:val="auto"/>
        </w:rPr>
        <w:t>Item 10.</w:t>
        <w:tab/>
        <w:t>Certification</w:t>
      </w:r>
    </w:p>
    <w:p>
      <w:pPr>
        <w:spacing w:after="0" w:line="163" w:lineRule="exact"/>
        <w:rPr>
          <w:sz w:val="20"/>
          <w:szCs w:val="20"/>
          <w:color w:val="auto"/>
        </w:rPr>
      </w:pPr>
    </w:p>
    <w:p>
      <w:pPr>
        <w:ind w:right="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ind w:right="199"/>
        <w:spacing w:after="0" w:line="238"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900"/>
        <w:spacing w:after="0" w:line="238" w:lineRule="auto"/>
        <w:rPr>
          <w:sz w:val="20"/>
          <w:szCs w:val="20"/>
          <w:color w:val="auto"/>
        </w:rPr>
      </w:pPr>
      <w:r>
        <w:rPr>
          <w:rFonts w:ascii="Courier New" w:cs="Courier New" w:eastAsia="Courier New" w:hAnsi="Courier New"/>
          <w:sz w:val="18"/>
          <w:szCs w:val="18"/>
          <w:color w:val="auto"/>
        </w:rPr>
        <w:t>Exhibit A Joint Filing Agreement</w:t>
      </w:r>
    </w:p>
    <w:p>
      <w:pPr>
        <w:spacing w:after="0" w:line="1" w:lineRule="exact"/>
        <w:rPr>
          <w:sz w:val="20"/>
          <w:szCs w:val="20"/>
          <w:color w:val="auto"/>
        </w:rPr>
      </w:pPr>
    </w:p>
    <w:p>
      <w:pPr>
        <w:ind w:left="900" w:right="919"/>
        <w:spacing w:after="0" w:line="238"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May 9, 2017</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5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377" w:lineRule="exact"/>
        <w:rPr>
          <w:sz w:val="20"/>
          <w:szCs w:val="20"/>
          <w:color w:val="auto"/>
        </w:rPr>
      </w:pPr>
    </w:p>
    <w:p>
      <w:pPr>
        <w:ind w:left="4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/s/KIMBERLY H. NOVOTNY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Kimberly H. Novotny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Assistant Secretary of Templeton Investment Counsel,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625475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11" w:name="page12"/>
    <w:bookmarkEnd w:id="1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15</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22"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May 9, 2017.</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5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377" w:lineRule="exact"/>
        <w:rPr>
          <w:sz w:val="20"/>
          <w:szCs w:val="20"/>
          <w:color w:val="auto"/>
        </w:rPr>
      </w:pPr>
    </w:p>
    <w:p>
      <w:pPr>
        <w:ind w:left="4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/s/KIMBERLY H. NOVOTNY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Kimberly H. Novotny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Assistant Secretary of Templeton Investment Counsel,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496570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2" w:name="page13"/>
    <w:bookmarkEnd w:id="12"/>
    <w:p>
      <w:pPr>
        <w:ind w:left="500"/>
        <w:spacing w:after="0"/>
        <w:rPr>
          <w:sz w:val="20"/>
          <w:szCs w:val="20"/>
          <w:color w:val="auto"/>
        </w:rPr>
      </w:pPr>
      <w:r>
        <w:rPr>
          <w:rFonts w:ascii="Courier New" w:cs="Courier New" w:eastAsia="Courier New" w:hAnsi="Courier New"/>
          <w:sz w:val="18"/>
          <w:szCs w:val="18"/>
          <w:color w:val="auto"/>
        </w:rPr>
        <w:t>CUSIP NO. G5509L101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13 of 15</w:t>
      </w:r>
    </w:p>
    <w:p>
      <w:pPr>
        <w:spacing w:after="0" w:line="170" w:lineRule="exact"/>
        <w:rPr>
          <w:sz w:val="20"/>
          <w:szCs w:val="20"/>
          <w:color w:val="auto"/>
        </w:rPr>
      </w:pPr>
    </w:p>
    <w:p>
      <w:pPr>
        <w:sectPr>
          <w:pgSz w:w="11900" w:h="16838" w:orient="portrait"/>
          <w:cols w:equalWidth="0" w:num="3">
            <w:col w:w="4320" w:space="720"/>
            <w:col w:w="2740" w:space="720"/>
            <w:col w:w="2840"/>
          </w:cols>
          <w:pgMar w:left="240" w:top="1109" w:right="319" w:bottom="0" w:gutter="0" w:footer="0" w:header="0"/>
        </w:sectPr>
      </w:pPr>
    </w:p>
    <w:p>
      <w:pPr>
        <w:ind w:left="4760"/>
        <w:spacing w:after="0"/>
        <w:rPr>
          <w:sz w:val="20"/>
          <w:szCs w:val="20"/>
          <w:color w:val="auto"/>
        </w:rPr>
      </w:pPr>
      <w:r>
        <w:rPr>
          <w:rFonts w:ascii="Courier New" w:cs="Courier New" w:eastAsia="Courier New" w:hAnsi="Courier New"/>
          <w:sz w:val="18"/>
          <w:szCs w:val="18"/>
          <w:color w:val="auto"/>
        </w:rPr>
        <w:t>EXHIBIT B</w:t>
      </w:r>
    </w:p>
    <w:p>
      <w:pPr>
        <w:ind w:left="3800"/>
        <w:spacing w:after="0" w:line="190" w:lineRule="auto"/>
        <w:rPr>
          <w:sz w:val="20"/>
          <w:szCs w:val="20"/>
          <w:color w:val="auto"/>
        </w:rPr>
      </w:pPr>
      <w:r>
        <w:rPr>
          <w:rFonts w:ascii="Courier New" w:cs="Courier New" w:eastAsia="Courier New" w:hAnsi="Courier New"/>
          <w:sz w:val="15"/>
          <w:szCs w:val="15"/>
          <w:color w:val="auto"/>
        </w:rPr>
        <w:t>LIMITED POWER OF ATTORNEY</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340"/>
          </w:cols>
          <w:pgMar w:left="240" w:top="1109" w:right="319" w:bottom="0" w:gutter="0" w:footer="0" w:header="0"/>
          <w:type w:val="continuous"/>
        </w:sectPr>
      </w:pPr>
    </w:p>
    <w:p>
      <w:pPr>
        <w:spacing w:after="0" w:line="238"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w:t>
      </w:r>
    </w:p>
    <w:p>
      <w:pPr>
        <w:spacing w:after="0" w:line="14" w:lineRule="exact"/>
        <w:rPr>
          <w:sz w:val="20"/>
          <w:szCs w:val="20"/>
          <w:color w:val="auto"/>
        </w:rPr>
      </w:pPr>
    </w:p>
    <w:p>
      <w:pPr>
        <w:jc w:val="both"/>
        <w:ind w:right="200"/>
        <w:spacing w:after="0" w:line="253" w:lineRule="auto"/>
        <w:rPr>
          <w:sz w:val="20"/>
          <w:szCs w:val="20"/>
          <w:color w:val="auto"/>
        </w:rPr>
      </w:pPr>
      <w:r>
        <w:rPr>
          <w:rFonts w:ascii="Courier New" w:cs="Courier New" w:eastAsia="Courier New" w:hAnsi="Courier New"/>
          <w:sz w:val="18"/>
          <w:szCs w:val="18"/>
          <w:color w:val="auto"/>
        </w:rPr>
        <w:t>of Alison E. Baur, Maria Gray, Steven J. Gray, Kimberly H. Novotny, Karen L. Skidmore, Navid J. Tofigh and Lori A. Weber each acting individually, as the undersigned’s true and lawful attorney-in-fact, with full power and authority as hereinafter described on behalf of and in the name, place and stead of the undersigned to:</w:t>
      </w:r>
    </w:p>
    <w:p>
      <w:pPr>
        <w:spacing w:after="0" w:line="221" w:lineRule="exact"/>
        <w:rPr>
          <w:sz w:val="20"/>
          <w:szCs w:val="20"/>
          <w:color w:val="auto"/>
        </w:rPr>
      </w:pPr>
    </w:p>
    <w:p>
      <w:pPr>
        <w:ind w:right="100" w:firstLine="548"/>
        <w:spacing w:after="0" w:line="253" w:lineRule="auto"/>
        <w:tabs>
          <w:tab w:leader="none" w:pos="8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(“FRI”)</w:t>
      </w:r>
    </w:p>
    <w:p>
      <w:pPr>
        <w:spacing w:after="0" w:line="14" w:lineRule="exact"/>
        <w:rPr>
          <w:rFonts w:ascii="Courier New" w:cs="Courier New" w:eastAsia="Courier New" w:hAnsi="Courier New"/>
          <w:sz w:val="18"/>
          <w:szCs w:val="18"/>
          <w:color w:val="auto"/>
        </w:rPr>
      </w:pPr>
    </w:p>
    <w:p>
      <w:pPr>
        <w:ind w:right="540"/>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and/or any registered closed-end company to which an affiliate of FRI is an investment adviser (each, a “Reporting Entity”), as considered necessary or advisable under Regulation S-T and Sections 13(d)</w:t>
      </w:r>
    </w:p>
    <w:p>
      <w:pPr>
        <w:spacing w:after="0" w:line="3" w:lineRule="exact"/>
        <w:rPr>
          <w:rFonts w:ascii="Courier New" w:cs="Courier New" w:eastAsia="Courier New" w:hAnsi="Courier New"/>
          <w:sz w:val="18"/>
          <w:szCs w:val="18"/>
          <w:color w:val="auto"/>
        </w:rPr>
      </w:pPr>
    </w:p>
    <w:p>
      <w:pPr>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16(a) of the Securities Exchange Act of 1934 and the rules and regulations promulgated thereunder, as amended from time to time (the “Exchange Act”); and</w:t>
      </w:r>
    </w:p>
    <w:p>
      <w:pPr>
        <w:spacing w:after="0" w:line="218"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w:t>
      </w:r>
    </w:p>
    <w:p>
      <w:pPr>
        <w:spacing w:after="0" w:line="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w:t>
      </w:r>
    </w:p>
    <w:p>
      <w:pPr>
        <w:spacing w:after="0" w:line="14" w:lineRule="exact"/>
        <w:rPr>
          <w:rFonts w:ascii="Courier New" w:cs="Courier New" w:eastAsia="Courier New" w:hAnsi="Courier New"/>
          <w:sz w:val="18"/>
          <w:szCs w:val="18"/>
          <w:color w:val="auto"/>
        </w:rPr>
      </w:pPr>
    </w:p>
    <w:p>
      <w:pPr>
        <w:ind w:right="64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in the securities of any Reporting Entity from any person, including brokers, employee benefit</w:t>
      </w:r>
    </w:p>
    <w:p>
      <w:pPr>
        <w:spacing w:after="0" w:line="3" w:lineRule="exact"/>
        <w:rPr>
          <w:rFonts w:ascii="Courier New" w:cs="Courier New" w:eastAsia="Courier New" w:hAnsi="Courier New"/>
          <w:sz w:val="18"/>
          <w:szCs w:val="18"/>
          <w:color w:val="auto"/>
        </w:rPr>
      </w:pPr>
    </w:p>
    <w:p>
      <w:pPr>
        <w:ind w:right="32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administrators and trustees, and the undersigned hereby authorizes any such person to release any such</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30" w:lineRule="exact"/>
        <w:rPr>
          <w:rFonts w:ascii="Courier New" w:cs="Courier New" w:eastAsia="Courier New" w:hAnsi="Courier New"/>
          <w:sz w:val="18"/>
          <w:szCs w:val="18"/>
          <w:color w:val="auto"/>
        </w:rPr>
      </w:pPr>
    </w:p>
    <w:p>
      <w:pPr>
        <w:ind w:right="100" w:firstLine="548"/>
        <w:spacing w:after="0" w:line="252" w:lineRule="auto"/>
        <w:tabs>
          <w:tab w:leader="none" w:pos="8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28" w:lineRule="exact"/>
        <w:rPr>
          <w:sz w:val="20"/>
          <w:szCs w:val="20"/>
          <w:color w:val="auto"/>
        </w:rPr>
      </w:pPr>
    </w:p>
    <w:p>
      <w:pPr>
        <w:ind w:left="880" w:hanging="332"/>
        <w:spacing w:after="0"/>
        <w:tabs>
          <w:tab w:leader="none" w:pos="8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w:t>
      </w:r>
    </w:p>
    <w:p>
      <w:pPr>
        <w:spacing w:after="0" w:line="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act in</w:t>
      </w:r>
    </w:p>
    <w:p>
      <w:pPr>
        <w:spacing w:after="0" w:line="14" w:lineRule="exact"/>
        <w:rPr>
          <w:rFonts w:ascii="Courier New" w:cs="Courier New" w:eastAsia="Courier New" w:hAnsi="Courier New"/>
          <w:sz w:val="18"/>
          <w:szCs w:val="18"/>
          <w:color w:val="auto"/>
        </w:rPr>
      </w:pPr>
    </w:p>
    <w:p>
      <w:pPr>
        <w:ind w:right="42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discretion on information provided to such attorney-in-fact without independent verification of such information;</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w:t>
      </w:r>
    </w:p>
    <w:p>
      <w:pPr>
        <w:spacing w:after="0" w:line="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pursuant</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this Limited Power of Attorney will be in such form and will contain such information and disclosure as such</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attorney-in-fact, in his or her discretion, deems necessary or desirable;</w:t>
      </w:r>
    </w:p>
    <w:p>
      <w:pPr>
        <w:spacing w:after="0" w:line="14"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FRI, any Reporting Entity nor any of such attorneys-in-fact assumes (i) any liability for</w:t>
      </w:r>
    </w:p>
    <w:p>
      <w:pPr>
        <w:spacing w:after="0" w:line="2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w:t>
      </w:r>
    </w:p>
    <w:p>
      <w:pPr>
        <w:spacing w:after="0" w:line="14" w:lineRule="exact"/>
        <w:rPr>
          <w:rFonts w:ascii="Courier New" w:cs="Courier New" w:eastAsia="Courier New" w:hAnsi="Courier New"/>
          <w:sz w:val="17"/>
          <w:szCs w:val="17"/>
          <w:color w:val="auto"/>
        </w:rPr>
      </w:pPr>
    </w:p>
    <w:p>
      <w:pPr>
        <w:ind w:right="200"/>
        <w:spacing w:after="0" w:line="252"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undersigned’s responsibility to comply with the requirements of the Exchange Act, (ii) any liability of the</w:t>
      </w:r>
    </w:p>
    <w:p>
      <w:pPr>
        <w:spacing w:after="0" w:line="3" w:lineRule="exact"/>
        <w:rPr>
          <w:rFonts w:ascii="Courier New" w:cs="Courier New" w:eastAsia="Courier New" w:hAnsi="Courier New"/>
          <w:sz w:val="17"/>
          <w:szCs w:val="17"/>
          <w:color w:val="auto"/>
        </w:rPr>
      </w:pPr>
    </w:p>
    <w:p>
      <w:pPr>
        <w:spacing w:after="0" w:line="252"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7"/>
          <w:szCs w:val="17"/>
          <w:color w:val="auto"/>
        </w:rPr>
      </w:pPr>
    </w:p>
    <w:p>
      <w:pPr>
        <w:ind w:right="1080" w:firstLine="548"/>
        <w:spacing w:after="0" w:line="252" w:lineRule="auto"/>
        <w:tabs>
          <w:tab w:leader="none" w:pos="8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w:t>
      </w:r>
    </w:p>
    <w:p>
      <w:pPr>
        <w:spacing w:after="0" w:line="3" w:lineRule="exact"/>
        <w:rPr>
          <w:rFonts w:ascii="Courier New" w:cs="Courier New" w:eastAsia="Courier New" w:hAnsi="Courier New"/>
          <w:sz w:val="18"/>
          <w:szCs w:val="18"/>
          <w:color w:val="auto"/>
        </w:rPr>
      </w:pPr>
    </w:p>
    <w:p>
      <w:pPr>
        <w:ind w:right="86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undersigned’s obligations under the Exchange Act, including without limitation, the reporting requirements</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16 of the Exchange Act.</w:t>
      </w:r>
    </w:p>
    <w:p>
      <w:pPr>
        <w:spacing w:after="0" w:line="230" w:lineRule="exact"/>
        <w:rPr>
          <w:sz w:val="20"/>
          <w:szCs w:val="20"/>
          <w:color w:val="auto"/>
        </w:rPr>
      </w:pPr>
    </w:p>
    <w:p>
      <w:pPr>
        <w:ind w:right="640" w:firstLine="540"/>
        <w:spacing w:after="0" w:line="252"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w:t>
      </w:r>
    </w:p>
    <w:p>
      <w:pPr>
        <w:spacing w:after="0" w:line="4" w:lineRule="exact"/>
        <w:rPr>
          <w:sz w:val="20"/>
          <w:szCs w:val="20"/>
          <w:color w:val="auto"/>
        </w:rPr>
      </w:pPr>
    </w:p>
    <w:p>
      <w:pPr>
        <w:ind w:right="200"/>
        <w:spacing w:after="0" w:line="252" w:lineRule="auto"/>
        <w:rPr>
          <w:sz w:val="20"/>
          <w:szCs w:val="20"/>
          <w:color w:val="auto"/>
        </w:rPr>
      </w:pPr>
      <w:r>
        <w:rPr>
          <w:rFonts w:ascii="Courier New" w:cs="Courier New" w:eastAsia="Courier New" w:hAnsi="Courier New"/>
          <w:sz w:val="18"/>
          <w:szCs w:val="18"/>
          <w:color w:val="auto"/>
        </w:rPr>
        <w:t>do and perform all and every act and thing whatsoever requisite, necessary or appropriate to be done in and about</w:t>
      </w:r>
    </w:p>
    <w:p>
      <w:pPr>
        <w:spacing w:after="0" w:line="4" w:lineRule="exact"/>
        <w:rPr>
          <w:sz w:val="20"/>
          <w:szCs w:val="20"/>
          <w:color w:val="auto"/>
        </w:rPr>
      </w:pPr>
    </w:p>
    <w:p>
      <w:pPr>
        <w:ind w:right="740"/>
        <w:spacing w:after="0" w:line="252" w:lineRule="auto"/>
        <w:rPr>
          <w:sz w:val="20"/>
          <w:szCs w:val="20"/>
          <w:color w:val="auto"/>
        </w:rPr>
      </w:pPr>
      <w:r>
        <w:rPr>
          <w:rFonts w:ascii="Courier New" w:cs="Courier New" w:eastAsia="Courier New" w:hAnsi="Courier New"/>
          <w:sz w:val="18"/>
          <w:szCs w:val="18"/>
          <w:color w:val="auto"/>
        </w:rPr>
        <w:t>the foregoing matters as fully to all intents and purposes as the undersigned might or could do if present, hereby</w:t>
      </w:r>
    </w:p>
    <w:p>
      <w:pPr>
        <w:spacing w:after="0" w:line="4" w:lineRule="exact"/>
        <w:rPr>
          <w:sz w:val="20"/>
          <w:szCs w:val="20"/>
          <w:color w:val="auto"/>
        </w:rPr>
      </w:pPr>
    </w:p>
    <w:p>
      <w:pPr>
        <w:spacing w:after="0" w:line="252" w:lineRule="auto"/>
        <w:rPr>
          <w:sz w:val="20"/>
          <w:szCs w:val="20"/>
          <w:color w:val="auto"/>
        </w:rPr>
      </w:pPr>
      <w:r>
        <w:rPr>
          <w:rFonts w:ascii="Courier New" w:cs="Courier New" w:eastAsia="Courier New" w:hAnsi="Courier New"/>
          <w:sz w:val="18"/>
          <w:szCs w:val="18"/>
          <w:color w:val="auto"/>
        </w:rPr>
        <w:t>ratifying all that each such attorney-in-fact of, for and on behalf of the undersigned, shall lawfully do or cause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done by virtue of this Limited Power of Attorney.</w:t>
      </w:r>
    </w:p>
    <w:p>
      <w:pPr>
        <w:spacing w:after="0" w:line="14"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writing delivered to each such attorney-in-fact.</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27th day of February, 2017.</w:t>
      </w:r>
    </w:p>
    <w:p>
      <w:pPr>
        <w:spacing w:after="0" w:line="26"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/s/Charles B. Johnson</w:t>
      </w:r>
    </w:p>
    <w:p>
      <w:pPr>
        <w:sectPr>
          <w:pgSz w:w="11900" w:h="16838" w:orient="portrait"/>
          <w:cols w:equalWidth="0" w:num="1">
            <w:col w:w="11340"/>
          </w:cols>
          <w:pgMar w:left="240" w:top="1109" w:right="319" w:bottom="0" w:gutter="0" w:footer="0" w:header="0"/>
          <w:type w:val="continuous"/>
        </w:sectPr>
      </w:pPr>
    </w:p>
    <w:bookmarkStart w:id="13" w:name="page14"/>
    <w:bookmarkEnd w:id="13"/>
    <w:p>
      <w:pPr>
        <w:ind w:left="51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u w:val="single" w:color="auto"/>
          <w:color w:val="auto"/>
        </w:rPr>
        <w:t>Charles B. Johnson</w:t>
      </w:r>
    </w:p>
    <w:p>
      <w:pPr>
        <w:spacing w:after="0" w:line="35" w:lineRule="exact"/>
        <w:rPr>
          <w:sz w:val="20"/>
          <w:szCs w:val="20"/>
          <w:color w:val="auto"/>
        </w:rPr>
      </w:pPr>
    </w:p>
    <w:p>
      <w:pPr>
        <w:ind w:left="51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230505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84920Y106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LIMITED POWER OF ATTORNEY</w:t>
      </w:r>
    </w:p>
    <w:p>
      <w:pPr>
        <w:spacing w:after="0" w:line="3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17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w:t>
      </w:r>
    </w:p>
    <w:p>
      <w:pPr>
        <w:spacing w:after="0" w:line="14" w:lineRule="exact"/>
        <w:rPr>
          <w:sz w:val="20"/>
          <w:szCs w:val="20"/>
          <w:color w:val="auto"/>
        </w:rPr>
      </w:pPr>
    </w:p>
    <w:p>
      <w:pPr>
        <w:jc w:val="both"/>
        <w:ind w:right="200"/>
        <w:spacing w:after="0" w:line="253" w:lineRule="auto"/>
        <w:rPr>
          <w:sz w:val="20"/>
          <w:szCs w:val="20"/>
          <w:color w:val="auto"/>
        </w:rPr>
      </w:pPr>
      <w:r>
        <w:rPr>
          <w:rFonts w:ascii="Courier New" w:cs="Courier New" w:eastAsia="Courier New" w:hAnsi="Courier New"/>
          <w:sz w:val="18"/>
          <w:szCs w:val="18"/>
          <w:color w:val="auto"/>
        </w:rPr>
        <w:t>of Alison E. Baur, Maria Gray, Steven J. Gray, Kimberly H. Novotny, Karen L. Skidmore, Navid J. Tofigh and Lori A. Weber each acting individually, as the undersigned’s true and lawful attorney-in-fact, with full power and authority as hereinafter described on behalf of and in the name, place and stead of the undersigned to:</w:t>
      </w:r>
    </w:p>
    <w:p>
      <w:pPr>
        <w:spacing w:after="0" w:line="2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prepare, execute, acknowledge, deliver and file Forms ID, Schedules 13D and 13G, and Forms 3, 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5</w:t>
      </w:r>
    </w:p>
    <w:p>
      <w:pPr>
        <w:spacing w:after="0" w:line="14" w:lineRule="exact"/>
        <w:rPr>
          <w:sz w:val="20"/>
          <w:szCs w:val="20"/>
          <w:color w:val="auto"/>
        </w:rPr>
      </w:pPr>
    </w:p>
    <w:p>
      <w:pPr>
        <w:ind w:right="320"/>
        <w:spacing w:after="0" w:line="252" w:lineRule="auto"/>
        <w:rPr>
          <w:sz w:val="20"/>
          <w:szCs w:val="20"/>
          <w:color w:val="auto"/>
        </w:rPr>
      </w:pPr>
      <w:r>
        <w:rPr>
          <w:rFonts w:ascii="Courier New" w:cs="Courier New" w:eastAsia="Courier New" w:hAnsi="Courier New"/>
          <w:sz w:val="18"/>
          <w:szCs w:val="18"/>
          <w:color w:val="auto"/>
        </w:rPr>
        <w:t>(including any amendments thereto and any related documentation) with the United States Securities and Exchange</w:t>
      </w:r>
    </w:p>
    <w:p>
      <w:pPr>
        <w:spacing w:after="0" w:line="4" w:lineRule="exact"/>
        <w:rPr>
          <w:sz w:val="20"/>
          <w:szCs w:val="20"/>
          <w:color w:val="auto"/>
        </w:rPr>
      </w:pPr>
    </w:p>
    <w:p>
      <w:pPr>
        <w:jc w:val="both"/>
        <w:ind w:right="100"/>
        <w:spacing w:after="0" w:line="253" w:lineRule="auto"/>
        <w:rPr>
          <w:sz w:val="20"/>
          <w:szCs w:val="20"/>
          <w:color w:val="auto"/>
        </w:rPr>
      </w:pPr>
      <w:r>
        <w:rPr>
          <w:rFonts w:ascii="Courier New" w:cs="Courier New" w:eastAsia="Courier New" w:hAnsi="Courier New"/>
          <w:sz w:val="18"/>
          <w:szCs w:val="18"/>
          <w:color w:val="auto"/>
        </w:rPr>
        <w:t>Commission and any national securities exchanges relating to Franklin Resources, Inc. (“FRI”) and/or any registered closed-end company to which an affiliate of FRI is an investment adviser (each, a “Reporting Entity”),</w:t>
      </w:r>
    </w:p>
    <w:p>
      <w:pPr>
        <w:spacing w:after="0" w:line="3" w:lineRule="exact"/>
        <w:rPr>
          <w:sz w:val="20"/>
          <w:szCs w:val="20"/>
          <w:color w:val="auto"/>
        </w:rPr>
      </w:pPr>
    </w:p>
    <w:p>
      <w:pPr>
        <w:jc w:val="both"/>
        <w:ind w:right="100"/>
        <w:spacing w:after="0" w:line="252" w:lineRule="auto"/>
        <w:rPr>
          <w:sz w:val="20"/>
          <w:szCs w:val="20"/>
          <w:color w:val="auto"/>
        </w:rPr>
      </w:pPr>
      <w:r>
        <w:rPr>
          <w:rFonts w:ascii="Courier New" w:cs="Courier New" w:eastAsia="Courier New" w:hAnsi="Courier New"/>
          <w:sz w:val="18"/>
          <w:szCs w:val="18"/>
          <w:color w:val="auto"/>
        </w:rPr>
        <w:t>as considered necessary or advisable under Regulation S-T and Sections 13(d) and 16(a) of the Securities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 of 1934 and the rules and regulations promulgated thereunder, as amended from time to time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2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seek or obtain, as the undersigned’s representative and on the undersigned’s behalf, information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w:t>
      </w:r>
    </w:p>
    <w:p>
      <w:pPr>
        <w:spacing w:after="0" w:line="14" w:lineRule="exact"/>
        <w:rPr>
          <w:sz w:val="20"/>
          <w:szCs w:val="20"/>
          <w:color w:val="auto"/>
        </w:rPr>
      </w:pPr>
    </w:p>
    <w:p>
      <w:pPr>
        <w:ind w:right="640"/>
        <w:spacing w:after="0" w:line="252" w:lineRule="auto"/>
        <w:rPr>
          <w:sz w:val="20"/>
          <w:szCs w:val="20"/>
          <w:color w:val="auto"/>
        </w:rPr>
      </w:pPr>
      <w:r>
        <w:rPr>
          <w:rFonts w:ascii="Courier New" w:cs="Courier New" w:eastAsia="Courier New" w:hAnsi="Courier New"/>
          <w:sz w:val="18"/>
          <w:szCs w:val="18"/>
          <w:color w:val="auto"/>
        </w:rPr>
        <w:t>transactions in the securities of any Reporting Entity from any person, including brokers, employee benefit</w:t>
      </w:r>
    </w:p>
    <w:p>
      <w:pPr>
        <w:spacing w:after="0" w:line="4" w:lineRule="exact"/>
        <w:rPr>
          <w:sz w:val="20"/>
          <w:szCs w:val="20"/>
          <w:color w:val="auto"/>
        </w:rPr>
      </w:pPr>
    </w:p>
    <w:p>
      <w:pPr>
        <w:ind w:right="320"/>
        <w:spacing w:after="0" w:line="252" w:lineRule="auto"/>
        <w:rPr>
          <w:sz w:val="20"/>
          <w:szCs w:val="20"/>
          <w:color w:val="auto"/>
        </w:rPr>
      </w:pPr>
      <w:r>
        <w:rPr>
          <w:rFonts w:ascii="Courier New" w:cs="Courier New" w:eastAsia="Courier New" w:hAnsi="Courier New"/>
          <w:sz w:val="18"/>
          <w:szCs w:val="18"/>
          <w:color w:val="auto"/>
        </w:rPr>
        <w:t>plan administrators and trustees, and the undersigned hereby authorizes any such person to release any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30" w:lineRule="exact"/>
        <w:rPr>
          <w:sz w:val="20"/>
          <w:szCs w:val="20"/>
          <w:color w:val="auto"/>
        </w:rPr>
      </w:pPr>
    </w:p>
    <w:p>
      <w:pPr>
        <w:ind w:right="100" w:firstLine="548"/>
        <w:spacing w:after="0" w:line="252" w:lineRule="auto"/>
        <w:tabs>
          <w:tab w:leader="none" w:pos="864"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28" w:lineRule="exact"/>
        <w:rPr>
          <w:sz w:val="20"/>
          <w:szCs w:val="20"/>
          <w:color w:val="auto"/>
        </w:rPr>
      </w:pPr>
    </w:p>
    <w:p>
      <w:pPr>
        <w:ind w:left="880" w:hanging="332"/>
        <w:spacing w:after="0"/>
        <w:tabs>
          <w:tab w:leader="none" w:pos="8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w:t>
      </w:r>
    </w:p>
    <w:p>
      <w:pPr>
        <w:spacing w:after="0" w:line="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act in</w:t>
      </w:r>
    </w:p>
    <w:p>
      <w:pPr>
        <w:spacing w:after="0" w:line="14" w:lineRule="exact"/>
        <w:rPr>
          <w:rFonts w:ascii="Courier New" w:cs="Courier New" w:eastAsia="Courier New" w:hAnsi="Courier New"/>
          <w:sz w:val="18"/>
          <w:szCs w:val="18"/>
          <w:color w:val="auto"/>
        </w:rPr>
      </w:pPr>
    </w:p>
    <w:p>
      <w:pPr>
        <w:ind w:right="42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discretion on information provided to such attorney-in-fact without independent verification of such information;</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w:t>
      </w:r>
    </w:p>
    <w:p>
      <w:pPr>
        <w:spacing w:after="0" w:line="1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pursuant</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this Limited Power of Attorney will be in such form and will contain such information and disclosure as such</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attorney-in-fact, in his or her discretion, deems necessary or desirable;</w:t>
      </w:r>
    </w:p>
    <w:p>
      <w:pPr>
        <w:spacing w:after="0" w:line="14"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FRI, any Reporting Entity nor any of such attorneys-in-fact assumes (i) any liability for</w:t>
      </w:r>
    </w:p>
    <w:p>
      <w:pPr>
        <w:spacing w:after="0" w:line="2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w:t>
      </w:r>
    </w:p>
    <w:p>
      <w:pPr>
        <w:spacing w:after="0" w:line="14" w:lineRule="exact"/>
        <w:rPr>
          <w:rFonts w:ascii="Courier New" w:cs="Courier New" w:eastAsia="Courier New" w:hAnsi="Courier New"/>
          <w:sz w:val="17"/>
          <w:szCs w:val="17"/>
          <w:color w:val="auto"/>
        </w:rPr>
      </w:pPr>
    </w:p>
    <w:p>
      <w:pPr>
        <w:ind w:right="200"/>
        <w:spacing w:after="0" w:line="252"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undersigned’s responsibility to comply with the requirements of the Exchange Act, (ii) any liability of the</w:t>
      </w:r>
    </w:p>
    <w:p>
      <w:pPr>
        <w:spacing w:after="0" w:line="3" w:lineRule="exact"/>
        <w:rPr>
          <w:rFonts w:ascii="Courier New" w:cs="Courier New" w:eastAsia="Courier New" w:hAnsi="Courier New"/>
          <w:sz w:val="17"/>
          <w:szCs w:val="17"/>
          <w:color w:val="auto"/>
        </w:rPr>
      </w:pPr>
    </w:p>
    <w:p>
      <w:pPr>
        <w:spacing w:after="0" w:line="252"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7"/>
          <w:szCs w:val="17"/>
          <w:color w:val="auto"/>
        </w:rPr>
      </w:pPr>
    </w:p>
    <w:p>
      <w:pPr>
        <w:ind w:right="1080" w:firstLine="548"/>
        <w:spacing w:after="0" w:line="252" w:lineRule="auto"/>
        <w:tabs>
          <w:tab w:leader="none" w:pos="8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w:t>
      </w:r>
    </w:p>
    <w:p>
      <w:pPr>
        <w:spacing w:after="0" w:line="3" w:lineRule="exact"/>
        <w:rPr>
          <w:rFonts w:ascii="Courier New" w:cs="Courier New" w:eastAsia="Courier New" w:hAnsi="Courier New"/>
          <w:sz w:val="18"/>
          <w:szCs w:val="18"/>
          <w:color w:val="auto"/>
        </w:rPr>
      </w:pPr>
    </w:p>
    <w:p>
      <w:pPr>
        <w:ind w:right="128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undersigned’s obligations under the Exchange Act, including without limitation, the reporting requirements under</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 of the Exchange Act.</w:t>
      </w:r>
    </w:p>
    <w:p>
      <w:pPr>
        <w:spacing w:after="0" w:line="230" w:lineRule="exact"/>
        <w:rPr>
          <w:sz w:val="20"/>
          <w:szCs w:val="20"/>
          <w:color w:val="auto"/>
        </w:rPr>
      </w:pPr>
    </w:p>
    <w:p>
      <w:pPr>
        <w:ind w:right="640" w:firstLine="540"/>
        <w:spacing w:after="0" w:line="252"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w:t>
      </w:r>
    </w:p>
    <w:p>
      <w:pPr>
        <w:spacing w:after="0" w:line="4" w:lineRule="exact"/>
        <w:rPr>
          <w:sz w:val="20"/>
          <w:szCs w:val="20"/>
          <w:color w:val="auto"/>
        </w:rPr>
      </w:pPr>
    </w:p>
    <w:p>
      <w:pPr>
        <w:ind w:right="100"/>
        <w:spacing w:after="0" w:line="252" w:lineRule="auto"/>
        <w:rPr>
          <w:sz w:val="20"/>
          <w:szCs w:val="20"/>
          <w:color w:val="auto"/>
        </w:rPr>
      </w:pPr>
      <w:r>
        <w:rPr>
          <w:rFonts w:ascii="Courier New" w:cs="Courier New" w:eastAsia="Courier New" w:hAnsi="Courier New"/>
          <w:sz w:val="18"/>
          <w:szCs w:val="18"/>
          <w:color w:val="auto"/>
        </w:rPr>
        <w:t>and perform all and every act and thing whatsoever requisite, necessary or appropriate to be done in and about the</w:t>
      </w:r>
    </w:p>
    <w:p>
      <w:pPr>
        <w:spacing w:after="0" w:line="4" w:lineRule="exact"/>
        <w:rPr>
          <w:sz w:val="20"/>
          <w:szCs w:val="20"/>
          <w:color w:val="auto"/>
        </w:rPr>
      </w:pPr>
    </w:p>
    <w:p>
      <w:pPr>
        <w:ind w:right="200"/>
        <w:spacing w:after="0" w:line="252" w:lineRule="auto"/>
        <w:rPr>
          <w:sz w:val="20"/>
          <w:szCs w:val="20"/>
          <w:color w:val="auto"/>
        </w:rPr>
      </w:pPr>
      <w:r>
        <w:rPr>
          <w:rFonts w:ascii="Courier New" w:cs="Courier New" w:eastAsia="Courier New" w:hAnsi="Courier New"/>
          <w:sz w:val="18"/>
          <w:szCs w:val="18"/>
          <w:color w:val="auto"/>
        </w:rPr>
        <w:t>foregoing matters as fully to all intents and purposes as the undersigned might or could do if present, hereby</w:t>
      </w:r>
    </w:p>
    <w:p>
      <w:pPr>
        <w:spacing w:after="0" w:line="4" w:lineRule="exact"/>
        <w:rPr>
          <w:sz w:val="20"/>
          <w:szCs w:val="20"/>
          <w:color w:val="auto"/>
        </w:rPr>
      </w:pPr>
    </w:p>
    <w:p>
      <w:pPr>
        <w:spacing w:after="0" w:line="252" w:lineRule="auto"/>
        <w:rPr>
          <w:sz w:val="20"/>
          <w:szCs w:val="20"/>
          <w:color w:val="auto"/>
        </w:rPr>
      </w:pPr>
      <w:r>
        <w:rPr>
          <w:rFonts w:ascii="Courier New" w:cs="Courier New" w:eastAsia="Courier New" w:hAnsi="Courier New"/>
          <w:sz w:val="18"/>
          <w:szCs w:val="18"/>
          <w:color w:val="auto"/>
        </w:rPr>
        <w:t>ratifying all that each such attorney-in-fact of, for and on behalf of the undersigned, shall lawfully do or cause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done by virtue of this Limited Power of Attorney.</w:t>
      </w:r>
    </w:p>
    <w:p>
      <w:pPr>
        <w:spacing w:after="0" w:line="14"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writing delivered to each such attorney-in-fact.</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27th day of February, 2017.</w:t>
      </w:r>
    </w:p>
    <w:p>
      <w:pPr>
        <w:sectPr>
          <w:pgSz w:w="11900" w:h="16838" w:orient="portrait"/>
          <w:cols w:equalWidth="0" w:num="1">
            <w:col w:w="11340"/>
          </w:cols>
          <w:pgMar w:left="240" w:top="906" w:right="319" w:bottom="0" w:gutter="0" w:footer="0" w:header="0"/>
        </w:sectPr>
      </w:pPr>
    </w:p>
    <w:bookmarkStart w:id="16" w:name="page17"/>
    <w:bookmarkEnd w:id="16"/>
    <w:p>
      <w:pPr>
        <w:ind w:left="48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67945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98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1020" w:type="dxa"/>
            <w:vAlign w:val="bottom"/>
          </w:tcPr>
          <w:p>
            <w:pPr>
              <w:spacing w:after="0"/>
              <w:rPr>
                <w:sz w:val="17"/>
                <w:szCs w:val="17"/>
                <w:color w:val="auto"/>
              </w:rPr>
            </w:pPr>
          </w:p>
        </w:tc>
        <w:tc>
          <w:tcPr>
            <w:tcW w:w="2860" w:type="dxa"/>
            <w:vAlign w:val="bottom"/>
          </w:tcPr>
          <w:p>
            <w:pPr>
              <w:ind w:left="1460"/>
              <w:spacing w:after="0"/>
              <w:rPr>
                <w:sz w:val="20"/>
                <w:szCs w:val="20"/>
                <w:color w:val="auto"/>
              </w:rPr>
            </w:pPr>
            <w:r>
              <w:rPr>
                <w:rFonts w:ascii="Courier New" w:cs="Courier New" w:eastAsia="Courier New" w:hAnsi="Courier New"/>
                <w:sz w:val="18"/>
                <w:szCs w:val="18"/>
                <w:color w:val="auto"/>
                <w:w w:val="98"/>
              </w:rPr>
              <w:t>Page 15 of 15</w:t>
            </w:r>
          </w:p>
        </w:tc>
      </w:tr>
      <w:tr>
        <w:trPr>
          <w:trHeight w:val="473"/>
        </w:trPr>
        <w:tc>
          <w:tcPr>
            <w:tcW w:w="454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980" w:type="dxa"/>
            <w:vAlign w:val="bottom"/>
          </w:tcPr>
          <w:p>
            <w:pPr>
              <w:spacing w:after="0"/>
              <w:rPr>
                <w:sz w:val="24"/>
                <w:szCs w:val="2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5520" w:type="dxa"/>
            <w:vAlign w:val="bottom"/>
            <w:gridSpan w:val="2"/>
          </w:tcPr>
          <w:p>
            <w:pPr>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8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Franklin Templeton Investments (Asia) Ltd.</w:t>
            </w:r>
          </w:p>
        </w:tc>
        <w:tc>
          <w:tcPr>
            <w:tcW w:w="980" w:type="dxa"/>
            <w:vAlign w:val="bottom"/>
          </w:tcPr>
          <w:p>
            <w:pPr>
              <w:spacing w:after="0"/>
              <w:rPr>
                <w:sz w:val="24"/>
                <w:szCs w:val="2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9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rPr>
              <w:t>Templeton Asset Management Ltd.</w:t>
            </w:r>
          </w:p>
        </w:tc>
        <w:tc>
          <w:tcPr>
            <w:tcW w:w="9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9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54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9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4540" w:type="dxa"/>
            <w:vAlign w:val="bottom"/>
          </w:tcPr>
          <w:p>
            <w:pPr>
              <w:ind w:left="40"/>
              <w:spacing w:after="0"/>
              <w:rPr>
                <w:sz w:val="20"/>
                <w:szCs w:val="20"/>
                <w:color w:val="auto"/>
              </w:rPr>
            </w:pPr>
            <w:r>
              <w:rPr>
                <w:rFonts w:ascii="Courier New" w:cs="Courier New" w:eastAsia="Courier New" w:hAnsi="Courier New"/>
                <w:sz w:val="18"/>
                <w:szCs w:val="18"/>
                <w:color w:val="auto"/>
              </w:rPr>
              <w:t>Fiduciary Trust Company International</w:t>
            </w:r>
          </w:p>
        </w:tc>
        <w:tc>
          <w:tcPr>
            <w:tcW w:w="980" w:type="dxa"/>
            <w:vAlign w:val="bottom"/>
          </w:tcPr>
          <w:p>
            <w:pPr>
              <w:spacing w:after="0"/>
              <w:rPr>
                <w:sz w:val="24"/>
                <w:szCs w:val="24"/>
                <w:color w:val="auto"/>
              </w:rPr>
            </w:pPr>
          </w:p>
        </w:tc>
        <w:tc>
          <w:tcPr>
            <w:tcW w:w="38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719"/>
      </w:cols>
      <w:pgMar w:left="740" w:top="10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24"/>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lvl w:ilvl="1">
      <w:lvlJc w:val="left"/>
      <w:lvlText w:val="(%2)"/>
      <w:numFmt w:val="lowerLetter"/>
      <w:start w:val="2"/>
    </w:lvl>
  </w:abstractNum>
  <w:abstractNum w:abstractNumId="3">
    <w:nsid w:val="54E49EB4"/>
    <w:multiLevelType w:val="hybridMultilevel"/>
    <w:lvl w:ilvl="0">
      <w:lvlJc w:val="left"/>
      <w:lvlText w:val="%1."/>
      <w:numFmt w:val="decimal"/>
      <w:start w:val="3"/>
    </w:lvl>
    <w:lvl w:ilvl="1">
      <w:lvlJc w:val="left"/>
      <w:lvlText w:val="%2"/>
      <w:numFmt w:val="lowerLetter"/>
      <w:start w:val="1"/>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1"/>
      <w:numFmt w:val="decimal"/>
      <w:start w:val="1"/>
    </w:lvl>
    <w:lvl w:ilvl="1">
      <w:lvlJc w:val="left"/>
      <w:lvlText w:val="%2."/>
      <w:numFmt w:val="decimal"/>
      <w:start w:val="7"/>
    </w:lvl>
  </w:abstractNum>
  <w:abstractNum w:abstractNumId="6">
    <w:nsid w:val="836C40E"/>
    <w:multiLevelType w:val="hybridMultilevel"/>
    <w:lvl w:ilvl="0">
      <w:lvlJc w:val="left"/>
      <w:lvlText w:val="%1."/>
      <w:numFmt w:val="decimal"/>
      <w:start w:val="9"/>
    </w:lvl>
    <w:lvl w:ilvl="1">
      <w:lvlJc w:val="left"/>
      <w:lvlText w:val="%2"/>
      <w:numFmt w:val="decimal"/>
      <w:start w:val="1"/>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lvl w:ilvl="1">
      <w:lvlJc w:val="left"/>
      <w:lvlText w:val="(%2)"/>
      <w:numFmt w:val="lowerLetter"/>
      <w:start w:val="2"/>
    </w:lvl>
  </w:abstractNum>
  <w:abstractNum w:abstractNumId="10">
    <w:nsid w:val="1E7FF521"/>
    <w:multiLevelType w:val="hybridMultilevel"/>
    <w:lvl w:ilvl="0">
      <w:lvlJc w:val="left"/>
      <w:lvlText w:val="%1."/>
      <w:numFmt w:val="decimal"/>
      <w:start w:val="3"/>
    </w:lvl>
    <w:lvl w:ilvl="1">
      <w:lvlJc w:val="left"/>
      <w:lvlText w:val="%2"/>
      <w:numFmt w:val="lowerLetter"/>
      <w:start w:val="1"/>
    </w:lvl>
  </w:abstractNum>
  <w:abstractNum w:abstractNumId="11">
    <w:nsid w:val="7C3DBD3D"/>
    <w:multiLevelType w:val="hybridMultilevel"/>
    <w:lvl w:ilvl="0">
      <w:lvlJc w:val="left"/>
      <w:lvlText w:val="%1."/>
      <w:numFmt w:val="decimal"/>
      <w:start w:val="5"/>
    </w:lvl>
  </w:abstractNum>
  <w:abstractNum w:abstractNumId="12">
    <w:nsid w:val="737B8DDC"/>
    <w:multiLevelType w:val="hybridMultilevel"/>
    <w:lvl w:ilvl="0">
      <w:lvlJc w:val="left"/>
      <w:lvlText w:val="%1."/>
      <w:numFmt w:val="decimal"/>
      <w:start w:val="7"/>
    </w:lvl>
  </w:abstractNum>
  <w:abstractNum w:abstractNumId="13">
    <w:nsid w:val="6CEAF087"/>
    <w:multiLevelType w:val="hybridMultilevel"/>
    <w:lvl w:ilvl="0">
      <w:lvlJc w:val="left"/>
      <w:lvlText w:val="%1"/>
      <w:numFmt w:val="decimal"/>
      <w:start w:val="1"/>
    </w:lvl>
    <w:lvl w:ilvl="1">
      <w:lvlJc w:val="left"/>
      <w:lvlText w:val="%2."/>
      <w:numFmt w:val="decimal"/>
      <w:start w:val="8"/>
    </w:lvl>
  </w:abstractNum>
  <w:abstractNum w:abstractNumId="14">
    <w:nsid w:val="22221A70"/>
    <w:multiLevelType w:val="hybridMultilevel"/>
    <w:lvl w:ilvl="0">
      <w:lvlJc w:val="left"/>
      <w:lvlText w:val="%1."/>
      <w:numFmt w:val="decimal"/>
      <w:start w:val="9"/>
    </w:lvl>
    <w:lvl w:ilvl="1">
      <w:lvlJc w:val="left"/>
      <w:lvlText w:val="%2"/>
      <w:numFmt w:val="decimal"/>
      <w:start w:val="1"/>
    </w:lvl>
  </w:abstractNum>
  <w:abstractNum w:abstractNumId="15">
    <w:nsid w:val="4516DDE9"/>
    <w:multiLevelType w:val="hybridMultilevel"/>
    <w:lvl w:ilvl="0">
      <w:lvlJc w:val="left"/>
      <w:lvlText w:val="%1."/>
      <w:numFmt w:val="decimal"/>
      <w:start w:val="1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lvl w:ilvl="1">
      <w:lvlJc w:val="left"/>
      <w:lvlText w:val="(%2)"/>
      <w:numFmt w:val="lowerLetter"/>
      <w:start w:val="2"/>
    </w:lvl>
  </w:abstractNum>
  <w:abstractNum w:abstractNumId="18">
    <w:nsid w:val="419AC241"/>
    <w:multiLevelType w:val="hybridMultilevel"/>
    <w:lvl w:ilvl="0">
      <w:lvlJc w:val="left"/>
      <w:lvlText w:val="%1."/>
      <w:numFmt w:val="decimal"/>
      <w:start w:val="3"/>
    </w:lvl>
    <w:lvl w:ilvl="1">
      <w:lvlJc w:val="left"/>
      <w:lvlText w:val="%2"/>
      <w:numFmt w:val="lowerLetter"/>
      <w:start w:val="1"/>
    </w:lvl>
  </w:abstractNum>
  <w:abstractNum w:abstractNumId="19">
    <w:nsid w:val="5577F8E1"/>
    <w:multiLevelType w:val="hybridMultilevel"/>
    <w:lvl w:ilvl="0">
      <w:lvlJc w:val="left"/>
      <w:lvlText w:val="%1."/>
      <w:numFmt w:val="decimal"/>
      <w:start w:val="5"/>
    </w:lvl>
  </w:abstractNum>
  <w:abstractNum w:abstractNumId="20">
    <w:nsid w:val="440BADFC"/>
    <w:multiLevelType w:val="hybridMultilevel"/>
    <w:lvl w:ilvl="0">
      <w:lvlJc w:val="left"/>
      <w:lvlText w:val="%1."/>
      <w:numFmt w:val="decimal"/>
      <w:start w:val="6"/>
    </w:lvl>
  </w:abstractNum>
  <w:abstractNum w:abstractNumId="21">
    <w:nsid w:val="5072367"/>
    <w:multiLevelType w:val="hybridMultilevel"/>
    <w:lvl w:ilvl="0">
      <w:lvlJc w:val="left"/>
      <w:lvlText w:val="%1."/>
      <w:numFmt w:val="decimal"/>
      <w:start w:val="7"/>
    </w:lvl>
  </w:abstractNum>
  <w:abstractNum w:abstractNumId="22">
    <w:nsid w:val="3804823E"/>
    <w:multiLevelType w:val="hybridMultilevel"/>
    <w:lvl w:ilvl="0">
      <w:lvlJc w:val="left"/>
      <w:lvlText w:val="%1"/>
      <w:numFmt w:val="decimal"/>
      <w:start w:val="1"/>
    </w:lvl>
    <w:lvl w:ilvl="1">
      <w:lvlJc w:val="left"/>
      <w:lvlText w:val="%2."/>
      <w:numFmt w:val="decimal"/>
      <w:start w:val="8"/>
    </w:lvl>
  </w:abstractNum>
  <w:abstractNum w:abstractNumId="23">
    <w:nsid w:val="77465F01"/>
    <w:multiLevelType w:val="hybridMultilevel"/>
    <w:lvl w:ilvl="0">
      <w:lvlJc w:val="left"/>
      <w:lvlText w:val="%1."/>
      <w:numFmt w:val="decimal"/>
      <w:start w:val="9"/>
    </w:lvl>
    <w:lvl w:ilvl="1">
      <w:lvlJc w:val="left"/>
      <w:lvlText w:val="%2"/>
      <w:numFmt w:val="decimal"/>
      <w:start w:val="1"/>
    </w:lvl>
  </w:abstractNum>
  <w:abstractNum w:abstractNumId="24">
    <w:nsid w:val="7724C67E"/>
    <w:multiLevelType w:val="hybridMultilevel"/>
    <w:lvl w:ilvl="0">
      <w:lvlJc w:val="left"/>
      <w:lvlText w:val="%1."/>
      <w:numFmt w:val="decimal"/>
      <w:start w:val="11"/>
    </w:lvl>
  </w:abstractNum>
  <w:abstractNum w:abstractNumId="25">
    <w:nsid w:val="5C482A97"/>
    <w:multiLevelType w:val="hybridMultilevel"/>
    <w:lvl w:ilvl="0">
      <w:lvlJc w:val="left"/>
      <w:lvlText w:val="%1."/>
      <w:numFmt w:val="decimal"/>
      <w:start w:val="12"/>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lvl w:ilvl="1">
      <w:lvlJc w:val="left"/>
      <w:lvlText w:val="(%2)"/>
      <w:numFmt w:val="lowerLetter"/>
      <w:start w:val="2"/>
    </w:lvl>
  </w:abstractNum>
  <w:abstractNum w:abstractNumId="28">
    <w:nsid w:val="51EAD36B"/>
    <w:multiLevelType w:val="hybridMultilevel"/>
    <w:lvl w:ilvl="0">
      <w:lvlJc w:val="left"/>
      <w:lvlText w:val="%1."/>
      <w:numFmt w:val="decimal"/>
      <w:start w:val="3"/>
    </w:lvl>
    <w:lvl w:ilvl="1">
      <w:lvlJc w:val="left"/>
      <w:lvlText w:val="%2"/>
      <w:numFmt w:val="lowerLetter"/>
      <w:start w:val="1"/>
    </w:lvl>
  </w:abstractNum>
  <w:abstractNum w:abstractNumId="29">
    <w:nsid w:val="2D517796"/>
    <w:multiLevelType w:val="hybridMultilevel"/>
    <w:lvl w:ilvl="0">
      <w:lvlJc w:val="left"/>
      <w:lvlText w:val="%1"/>
      <w:numFmt w:val="decimal"/>
      <w:start w:val="1"/>
    </w:lvl>
    <w:lvl w:ilvl="1">
      <w:lvlJc w:val="left"/>
      <w:lvlText w:val="%2."/>
      <w:numFmt w:val="decimal"/>
      <w:start w:val="5"/>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3"/>
    </w:lvl>
  </w:abstractNum>
  <w:abstractNum w:abstractNumId="37">
    <w:nsid w:val="725A06FB"/>
    <w:multiLevelType w:val="hybridMultilevel"/>
    <w:lvl w:ilvl="0">
      <w:lvlJc w:val="left"/>
      <w:lvlText w:val="%1"/>
      <w:numFmt w:val="lowerLetter"/>
      <w:start w:val="1"/>
    </w:lvl>
    <w:lvl w:ilvl="1">
      <w:lvlJc w:val="left"/>
      <w:lvlText w:val="(%2)"/>
      <w:numFmt w:val="lowerLetter"/>
      <w:start w:val="35"/>
    </w:lvl>
  </w:abstractNum>
  <w:abstractNum w:abstractNumId="38">
    <w:nsid w:val="2CD89A32"/>
    <w:multiLevelType w:val="hybridMultilevel"/>
    <w:lvl w:ilvl="0">
      <w:lvlJc w:val="left"/>
      <w:lvlText w:val="(%1)"/>
      <w:numFmt w:val="lowerLetter"/>
      <w:start w:val="4"/>
    </w:lvl>
    <w:lvl w:ilvl="1">
      <w:lvlJc w:val="left"/>
      <w:lvlText w:val="%2"/>
      <w:numFmt w:val="lowerLetter"/>
      <w:start w:val="1"/>
    </w:lvl>
  </w:abstractNum>
  <w:abstractNum w:abstractNumId="39">
    <w:nsid w:val="57E4CCAF"/>
    <w:multiLevelType w:val="hybridMultilevel"/>
    <w:lvl w:ilvl="0">
      <w:lvlJc w:val="left"/>
      <w:lvlText w:val="(%1)"/>
      <w:numFmt w:val="lowerLetter"/>
      <w:start w:val="5"/>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7"/>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Roman"/>
      <w:start w:val="2"/>
    </w:lvl>
  </w:abstractNum>
  <w:abstractNum w:abstractNumId="44">
    <w:nsid w:val="38437FDB"/>
    <w:multiLevelType w:val="hybridMultilevel"/>
    <w:lvl w:ilvl="0">
      <w:lvlJc w:val="left"/>
      <w:lvlText w:val="(%1)"/>
      <w:numFmt w:val="lowerRoman"/>
      <w:start w:val="4"/>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2019-12-08T02:55:42Z</dcterms:created>
  <dcterms:modified xsi:type="dcterms:W3CDTF">2019-12-08T02:55:42Z</dcterms:modified>
</cp:coreProperties>
</file>