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7375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3755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Skeffington Keyna Pidcock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16"/>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01" w:lineRule="exact"/>
        <w:rPr>
          <w:sz w:val="24"/>
          <w:szCs w:val="24"/>
          <w:color w:val="auto"/>
        </w:rPr>
      </w:pPr>
    </w:p>
    <w:p>
      <w:pPr>
        <w:sectPr>
          <w:pgSz w:w="11900" w:h="16838" w:orient="portrait"/>
          <w:cols w:equalWidth="0" w:num="3">
            <w:col w:w="3200" w:space="720"/>
            <w:col w:w="3104" w:space="720"/>
            <w:col w:w="3336"/>
          </w:cols>
          <w:pgMar w:left="460" w:top="216" w:right="359" w:bottom="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38"/>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2"/>
          </w:tcPr>
          <w:p>
            <w:pPr>
              <w:jc w:val="center"/>
              <w:ind w:left="51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93"/>
              </w:rPr>
              <w:t>578</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6,963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85"/>
              </w:rPr>
              <w:t>272</w:t>
            </w:r>
            <w:r>
              <w:rPr>
                <w:rFonts w:ascii="Times New Roman" w:cs="Times New Roman" w:eastAsia="Times New Roman" w:hAnsi="Times New Roman"/>
                <w:sz w:val="21"/>
                <w:szCs w:val="21"/>
                <w:color w:val="008000"/>
                <w:w w:val="85"/>
                <w:vertAlign w:val="superscript"/>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6,691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93"/>
              </w:rPr>
              <w:t>1,434</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8,125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85"/>
              </w:rPr>
              <w:t>674</w:t>
            </w:r>
            <w:r>
              <w:rPr>
                <w:rFonts w:ascii="Times New Roman" w:cs="Times New Roman" w:eastAsia="Times New Roman" w:hAnsi="Times New Roman"/>
                <w:sz w:val="21"/>
                <w:szCs w:val="21"/>
                <w:color w:val="008000"/>
                <w:w w:val="85"/>
                <w:vertAlign w:val="superscript"/>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7,451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7"/>
                <w:szCs w:val="17"/>
                <w:color w:val="0000FF"/>
                <w:w w:val="93"/>
              </w:rPr>
              <w:t>853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8,304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03/30/2022</w:t>
            </w: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center"/>
              <w:ind w:left="138"/>
              <w:spacing w:after="0" w:line="306" w:lineRule="exact"/>
              <w:rPr>
                <w:sz w:val="20"/>
                <w:szCs w:val="20"/>
                <w:color w:val="auto"/>
              </w:rPr>
            </w:pPr>
            <w:r>
              <w:rPr>
                <w:rFonts w:ascii="Times New Roman" w:cs="Times New Roman" w:eastAsia="Times New Roman" w:hAnsi="Times New Roman"/>
                <w:sz w:val="33"/>
                <w:szCs w:val="33"/>
                <w:color w:val="0000FF"/>
                <w:w w:val="78"/>
                <w:vertAlign w:val="subscript"/>
              </w:rPr>
              <w:t>401</w:t>
            </w:r>
            <w:r>
              <w:rPr>
                <w:rFonts w:ascii="Times New Roman" w:cs="Times New Roman" w:eastAsia="Times New Roman" w:hAnsi="Times New Roman"/>
                <w:sz w:val="11"/>
                <w:szCs w:val="11"/>
                <w:color w:val="008000"/>
                <w:w w:val="78"/>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7,903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9"/>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578</w:t>
            </w: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3"/>
              </w:rPr>
              <w:t>578</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89"/>
              </w:rPr>
              <w:t>578</w:t>
            </w:r>
            <w:r>
              <w:rPr>
                <w:rFonts w:ascii="Times New Roman" w:cs="Times New Roman" w:eastAsia="Times New Roman" w:hAnsi="Times New Roman"/>
                <w:sz w:val="21"/>
                <w:szCs w:val="21"/>
                <w:color w:val="008000"/>
                <w:w w:val="89"/>
                <w:vertAlign w:val="superscript"/>
              </w:rPr>
              <w:t>(5)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1,434</w:t>
            </w: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1,434</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7"/>
              </w:rPr>
              <w:t>2,868</w:t>
            </w:r>
            <w:r>
              <w:rPr>
                <w:rFonts w:ascii="Times New Roman" w:cs="Times New Roman" w:eastAsia="Times New Roman" w:hAnsi="Times New Roman"/>
                <w:sz w:val="21"/>
                <w:szCs w:val="21"/>
                <w:color w:val="008000"/>
                <w:w w:val="87"/>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853</w:t>
            </w: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3"/>
              </w:rPr>
              <w:t>853</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87"/>
              </w:rPr>
              <w:t>2,559</w:t>
            </w:r>
            <w:r>
              <w:rPr>
                <w:rFonts w:ascii="Times New Roman" w:cs="Times New Roman" w:eastAsia="Times New Roman" w:hAnsi="Times New Roman"/>
                <w:sz w:val="21"/>
                <w:szCs w:val="21"/>
                <w:color w:val="008000"/>
                <w:w w:val="87"/>
                <w:vertAlign w:val="superscript"/>
              </w:rPr>
              <w:t>(5)</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3,047</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3,047</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3,047</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1,523</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1,523</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1,523</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3,047</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3,047</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3,047</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15"/>
                <w:szCs w:val="15"/>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1,523</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1,523</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1,523</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7"/>
              </w:rPr>
              <w:t>(13)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7,096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82.04</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03/30/2022</w:t>
            </w:r>
          </w:p>
        </w:tc>
        <w:tc>
          <w:tcPr>
            <w:tcW w:w="1080" w:type="dxa"/>
            <w:vAlign w:val="bottom"/>
          </w:tcPr>
          <w:p>
            <w:pPr>
              <w:spacing w:after="0"/>
              <w:rPr>
                <w:sz w:val="5"/>
                <w:szCs w:val="5"/>
                <w:color w:val="auto"/>
              </w:rPr>
            </w:pPr>
          </w:p>
        </w:tc>
        <w:tc>
          <w:tcPr>
            <w:tcW w:w="70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7,096</w:t>
            </w: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00"/>
              <w:spacing w:after="0" w:line="140" w:lineRule="exact"/>
              <w:rPr>
                <w:sz w:val="20"/>
                <w:szCs w:val="20"/>
                <w:color w:val="auto"/>
              </w:rPr>
            </w:pPr>
            <w:r>
              <w:rPr>
                <w:rFonts w:ascii="Times New Roman" w:cs="Times New Roman" w:eastAsia="Times New Roman" w:hAnsi="Times New Roman"/>
                <w:sz w:val="13"/>
                <w:szCs w:val="13"/>
                <w:color w:val="0000FF"/>
                <w:w w:val="95"/>
              </w:rPr>
              <w:t>7,096</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-3634740</wp:posOffset>
            </wp:positionV>
            <wp:extent cx="28575" cy="363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63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1" w:lineRule="exact"/>
        <w:rPr>
          <w:rFonts w:ascii="Times New Roman" w:cs="Times New Roman" w:eastAsia="Times New Roman" w:hAnsi="Times New Roman"/>
          <w:sz w:val="13"/>
          <w:szCs w:val="13"/>
          <w:color w:val="008000"/>
        </w:rPr>
      </w:pPr>
    </w:p>
    <w:p>
      <w:pPr>
        <w:ind w:left="40" w:right="4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9"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2019, reporting person was granted RSUs subject to a four-year vesting schedule, the first vesting for which occurred on March 30, 2020.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1"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2020, reporting person was granted RSUs subject to a four-year vesting schedule, the first vesting for which occurred on March 30, 2021.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schedule, the first vesting for which occurred on March 30, 2022.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schedule, the first vesting occurring on March 30, 2023.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Plan and the award agreement.</w:t>
      </w:r>
    </w:p>
    <w:p>
      <w:pPr>
        <w:spacing w:after="0" w:line="41" w:lineRule="exact"/>
        <w:rPr>
          <w:rFonts w:ascii="Times New Roman" w:cs="Times New Roman" w:eastAsia="Times New Roman" w:hAnsi="Times New Roman"/>
          <w:sz w:val="13"/>
          <w:szCs w:val="13"/>
          <w:color w:val="008000"/>
        </w:rPr>
      </w:pPr>
    </w:p>
    <w:p>
      <w:pPr>
        <w:ind w:left="40" w:right="720"/>
        <w:spacing w:after="0" w:line="250" w:lineRule="auto"/>
        <w:tabs>
          <w:tab w:leader="none" w:pos="23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how the Company's free cash flow (FCF) for performance period 2022-2024 compares to a target determined by the Plan Administrator. The number included in column 5 of Table II reflects the target number of PSUs eligible for vesting.</w:t>
      </w:r>
    </w:p>
    <w:p>
      <w:pPr>
        <w:spacing w:after="0" w:line="19" w:lineRule="exact"/>
        <w:rPr>
          <w:rFonts w:ascii="Times New Roman" w:cs="Times New Roman" w:eastAsia="Times New Roman" w:hAnsi="Times New Roman"/>
          <w:sz w:val="13"/>
          <w:szCs w:val="13"/>
          <w:color w:val="008000"/>
        </w:rPr>
      </w:pPr>
    </w:p>
    <w:p>
      <w:pPr>
        <w:ind w:left="220" w:hanging="180"/>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2022, reporting person was granted PSUs to vest or lapse on March 30, 2025 based on the the Company's total shareholder return (TSR) for the three-year period beginning on January 1, 2022 and</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100"/>
        <w:spacing w:after="0" w:line="250" w:lineRule="auto"/>
        <w:rPr>
          <w:sz w:val="20"/>
          <w:szCs w:val="20"/>
          <w:color w:val="auto"/>
        </w:rPr>
      </w:pPr>
      <w:r>
        <w:rPr>
          <w:rFonts w:ascii="Times New Roman" w:cs="Times New Roman" w:eastAsia="Times New Roman" w:hAnsi="Times New Roman"/>
          <w:sz w:val="13"/>
          <w:szCs w:val="13"/>
          <w:color w:val="008000"/>
        </w:rPr>
        <w:t>ending December 31, 2024 relative to the total shareholder return of a peer group of companies, as determined by the Plan Administrator. The number included in column 5 of Table II reflects the target number of PSUs eligible for vesting subject to continued service during the vesting period and the award agreement.</w:t>
      </w:r>
    </w:p>
    <w:p>
      <w:pPr>
        <w:spacing w:after="0" w:line="20" w:lineRule="exact"/>
        <w:rPr>
          <w:sz w:val="20"/>
          <w:szCs w:val="20"/>
          <w:color w:val="auto"/>
        </w:rPr>
      </w:pPr>
    </w:p>
    <w:p>
      <w:pPr>
        <w:jc w:val="both"/>
        <w:ind w:right="20"/>
        <w:spacing w:after="0" w:line="23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how the Company's Return on Investment Capital (ROIC) calculated for the performance period 2022-2024 compares to a target determined by the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spacing w:after="0" w:line="250"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stock appreciation rights (SARs) subject to a four-year vesting schedule, the first vesting occurring on March 30, 2023. The SARs are subject to forfeiture prior to vesting in accordance with the terms of the Plan and the award agreement.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Sarah K. Mohr, POA</w:t>
            </w:r>
          </w:p>
        </w:tc>
        <w:tc>
          <w:tcPr>
            <w:tcW w:w="6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04/01/2022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6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2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206" w:lineRule="exact"/>
        <w:rPr>
          <w:sz w:val="20"/>
          <w:szCs w:val="20"/>
          <w:color w:val="auto"/>
        </w:rPr>
      </w:pPr>
    </w:p>
    <w:p>
      <w:pPr>
        <w:ind w:right="240" w:firstLine="611"/>
        <w:spacing w:after="0" w:line="305"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24" w:lineRule="exact"/>
        <w:rPr>
          <w:sz w:val="20"/>
          <w:szCs w:val="20"/>
          <w:color w:val="auto"/>
        </w:rPr>
      </w:pPr>
    </w:p>
    <w:p>
      <w:pPr>
        <w:ind w:left="1220" w:right="40" w:hanging="607"/>
        <w:spacing w:after="0" w:line="292"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32" w:lineRule="exact"/>
        <w:rPr>
          <w:rFonts w:ascii="Times New Roman" w:cs="Times New Roman" w:eastAsia="Times New Roman" w:hAnsi="Times New Roman"/>
          <w:sz w:val="19"/>
          <w:szCs w:val="19"/>
          <w:color w:val="auto"/>
        </w:rPr>
      </w:pPr>
    </w:p>
    <w:p>
      <w:pPr>
        <w:ind w:left="1220" w:right="180" w:hanging="607"/>
        <w:spacing w:after="0" w:line="292"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32" w:lineRule="exact"/>
        <w:rPr>
          <w:rFonts w:ascii="Times New Roman" w:cs="Times New Roman" w:eastAsia="Times New Roman" w:hAnsi="Times New Roman"/>
          <w:sz w:val="19"/>
          <w:szCs w:val="19"/>
          <w:color w:val="auto"/>
        </w:rPr>
      </w:pPr>
    </w:p>
    <w:p>
      <w:pPr>
        <w:jc w:val="both"/>
        <w:ind w:left="1220" w:right="40" w:hanging="607"/>
        <w:spacing w:after="0" w:line="288"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6" w:lineRule="exact"/>
        <w:rPr>
          <w:sz w:val="20"/>
          <w:szCs w:val="20"/>
          <w:color w:val="auto"/>
        </w:rPr>
      </w:pPr>
    </w:p>
    <w:p>
      <w:pPr>
        <w:ind w:right="20" w:firstLine="611"/>
        <w:spacing w:after="0" w:line="284"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9" w:lineRule="exact"/>
        <w:rPr>
          <w:sz w:val="20"/>
          <w:szCs w:val="20"/>
          <w:color w:val="auto"/>
        </w:rPr>
      </w:pPr>
    </w:p>
    <w:p>
      <w:pPr>
        <w:ind w:firstLine="611"/>
        <w:spacing w:after="0" w:line="303" w:lineRule="auto"/>
        <w:rPr>
          <w:sz w:val="20"/>
          <w:szCs w:val="20"/>
          <w:color w:val="auto"/>
        </w:rPr>
      </w:pPr>
      <w:r>
        <w:rPr>
          <w:rFonts w:ascii="Times New Roman" w:cs="Times New Roman" w:eastAsia="Times New Roman" w:hAnsi="Times New Roman"/>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26" w:lineRule="exact"/>
        <w:rPr>
          <w:sz w:val="20"/>
          <w:szCs w:val="20"/>
          <w:color w:val="auto"/>
        </w:rPr>
      </w:pPr>
    </w:p>
    <w:p>
      <w:pPr>
        <w:ind w:right="160" w:firstLine="611"/>
        <w:spacing w:after="0" w:line="305" w:lineRule="auto"/>
        <w:rPr>
          <w:sz w:val="20"/>
          <w:szCs w:val="20"/>
          <w:color w:val="auto"/>
        </w:rPr>
      </w:pPr>
      <w:r>
        <w:rPr>
          <w:rFonts w:ascii="Times New Roman" w:cs="Times New Roman" w:eastAsia="Times New Roman" w:hAnsi="Times New Roman"/>
          <w:sz w:val="19"/>
          <w:szCs w:val="19"/>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20" w:lineRule="exact"/>
        <w:rPr>
          <w:sz w:val="20"/>
          <w:szCs w:val="20"/>
          <w:color w:val="auto"/>
        </w:rPr>
      </w:pPr>
    </w:p>
    <w:p>
      <w:pPr>
        <w:ind w:right="40" w:firstLine="611"/>
        <w:spacing w:after="0" w:line="288"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-11430</wp:posOffset>
            </wp:positionV>
            <wp:extent cx="13931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93190" cy="825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19"/>
          <w:szCs w:val="19"/>
          <w:color w:val="auto"/>
        </w:rPr>
        <w:t>Keyna Skeffington</w:t>
      </w:r>
    </w:p>
    <w:sectPr>
      <w:pgSz w:w="11900" w:h="16838" w:orient="portrait"/>
      <w:cols w:equalWidth="0" w:num="1">
        <w:col w:w="10960"/>
      </w:cols>
      <w:pgMar w:left="460" w:top="34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2022-04-01T09:16:52Z</dcterms:created>
  <dcterms:modified xsi:type="dcterms:W3CDTF">2022-04-01T09:16:52Z</dcterms:modified>
</cp:coreProperties>
</file>