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208280</wp:posOffset>
            </wp:positionV>
            <wp:extent cx="219075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075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321945</wp:posOffset>
            </wp:positionV>
            <wp:extent cx="21907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075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83820</wp:posOffset>
            </wp:positionV>
            <wp:extent cx="21907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0750" cy="215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480695</wp:posOffset>
            </wp:positionV>
            <wp:extent cx="147510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2533015</wp:posOffset>
            </wp:positionH>
            <wp:positionV relativeFrom="paragraph">
              <wp:posOffset>71120</wp:posOffset>
            </wp:positionV>
            <wp:extent cx="21907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075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England and Wales</w:t>
            </w:r>
          </w:p>
        </w:tc>
        <w:tc>
          <w:tcPr>
            <w:tcW w:w="5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001-37599</w:t>
            </w:r>
          </w:p>
        </w:tc>
        <w:tc>
          <w:tcPr>
            <w:tcW w:w="17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90"/>
              <w:spacing w:after="0"/>
              <w:rPr>
                <w:sz w:val="20"/>
                <w:szCs w:val="20"/>
                <w:color w:val="auto"/>
              </w:rPr>
            </w:pPr>
            <w:r>
              <w:rPr>
                <w:rFonts w:ascii="Arial" w:cs="Arial" w:eastAsia="Arial" w:hAnsi="Arial"/>
                <w:sz w:val="18"/>
                <w:szCs w:val="18"/>
                <w:color w:val="auto"/>
                <w:w w:val="90"/>
              </w:rPr>
              <w:t>(State or Other Jurisdiction</w:t>
            </w: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3"/>
              </w:rPr>
              <w:t>(Commission</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4"/>
              </w:rPr>
              <w:t>File Number)</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684"/>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 Merchant Square</w:t>
            </w:r>
          </w:p>
        </w:tc>
        <w:tc>
          <w:tcPr>
            <w:tcW w:w="174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North Wharf Road</w:t>
            </w:r>
          </w:p>
        </w:tc>
        <w:tc>
          <w:tcPr>
            <w:tcW w:w="17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London, W2 1AY</w:t>
            </w:r>
          </w:p>
        </w:tc>
        <w:tc>
          <w:tcPr>
            <w:tcW w:w="174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4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40" w:type="dxa"/>
            <w:vAlign w:val="bottom"/>
          </w:tcPr>
          <w:p>
            <w:pPr>
              <w:spacing w:after="0"/>
              <w:rPr>
                <w:sz w:val="20"/>
                <w:szCs w:val="20"/>
                <w:color w:val="auto"/>
              </w:rPr>
            </w:pPr>
          </w:p>
        </w:tc>
      </w:tr>
      <w:tr>
        <w:trPr>
          <w:trHeight w:val="445"/>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+44 20 37865275</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740" w:type="dxa"/>
            <w:vAlign w:val="bottom"/>
          </w:tcPr>
          <w:p>
            <w:pPr>
              <w:spacing w:after="0"/>
              <w:rPr>
                <w:sz w:val="20"/>
                <w:szCs w:val="20"/>
                <w:color w:val="auto"/>
              </w:rPr>
            </w:pPr>
          </w:p>
        </w:tc>
      </w:tr>
      <w:tr>
        <w:trPr>
          <w:trHeight w:val="445"/>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40" w:type="dxa"/>
            <w:vAlign w:val="bottom"/>
          </w:tcPr>
          <w:p>
            <w:pPr>
              <w:spacing w:after="0"/>
              <w:rPr>
                <w:sz w:val="20"/>
                <w:szCs w:val="20"/>
                <w:color w:val="auto"/>
              </w:rPr>
            </w:pPr>
          </w:p>
        </w:tc>
      </w:tr>
    </w:tbl>
    <w:p>
      <w:pPr>
        <w:spacing w:after="0" w:line="200" w:lineRule="exact"/>
        <w:rPr>
          <w:sz w:val="24"/>
          <w:szCs w:val="24"/>
          <w:color w:val="auto"/>
        </w:rPr>
      </w:pPr>
    </w:p>
    <w:p>
      <w:pPr>
        <w:spacing w:after="0" w:line="27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387" w:lineRule="exact"/>
        <w:rPr>
          <w:sz w:val="24"/>
          <w:szCs w:val="24"/>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1111"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10, 2016, LivaNova PLC (the "Company") announced a reorganization plan for its Cardiac Rhythm Management Business Unit intended to strengthen its operational effectiveness and efficiency in response to changes in the global marketplace. The Company's Cardiac Surgery and Neuromodulation Business Units are unaffected by the reorganization plan, which forms part of the wider integration program of Cyberonics, Inc. and Sorin Group organizations.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estimates that, net of new positions created, the reorganization plan will result in a reduction of around 140 in the workforce, primarily based at the Company's facility in Clamart, France. The plan also contemplates the closure of the Company's research and development facility in Meylan, France, and the consolidation of the Business Unit's research and development capabilities into the Clamart facility. In addition, the research and development team of the Company's New Ventures organization will be combined with those of the Cardiac Rhythm Management Business Unit. These actions are part of the Company's ongoing optimization efforts and result from an analysis of the Company's manufacturing and research and development operations worldwide.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commenced consultations with employee representatives regarding the plan. Although terms are not likely to be finalized until the second quarter of 2016, the Company believes that the reduction in force should be accomplished primarily through voluntary separation packages. The Company is also engaged in efforts to help those affected secure alternative employment.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estimates that these actions will result in total pre-tax charges of approximately $16 million to $21 million in 2016, relating to non-recurring cash employee-related costs, including costs for severance and other employee-related assistance and other exit costs associated with the plan. The impact of the reorganization plan has already been included in financial performance disclosures provided in the Company's press release furnished pursuant to a Form 8-K dated February 24,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This Current Report on Form 8-K contains forward-looking statements, including those related to the expected nature, scope, costs, timing and benefits of the reorganization plan. Statements regarding future events are based on the Company's current expectations and are necessarily subject to associated risks related to the completion of the plan in the manner anticipated by the Company. These statements are subject to known and unknown risks and uncertainties that could cause actual results to differ materially from those expressed or implied by such statements, including, but not limited to, uncertain economic and industry conditions, the Company's ability and timing to implement the changes described above, the Company's ability to achieve the anticipated benefits and other risks described in the Company's filings from time to time with the United States Securities and Exchange Commission (the "SEC"), including under the caption "Risk Factors" in the Company's Transition Report on Form 10-K/T for the transitional period ended December 31, 2015, the Registration Statement on Form S-4, previous or future Quarterly Reports on Form 10-Q and Annual Reports on Form 10-K as well as other documents that have been or will be filed with the SEC by the Company. Such statements are not guarantees of future performance, and stockholders should not place undue reliance on forward-looking statements. Forward-looking statements speak only as of the date they are made, and the Company does not undertake or assume any obligation to update publicly any of these forward-looking statements to reflect results, new information or future events, changes in assumptions or changes in other factors affecting forward-looking statements, except to the extent required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6640" w:type="dxa"/>
            <w:vAlign w:val="bottom"/>
            <w:gridSpan w:val="2"/>
          </w:tcPr>
          <w:p>
            <w:pPr>
              <w:ind w:left="2280"/>
              <w:spacing w:after="0"/>
              <w:rPr>
                <w:sz w:val="20"/>
                <w:szCs w:val="20"/>
                <w:color w:val="auto"/>
              </w:rPr>
            </w:pPr>
            <w:r>
              <w:rPr>
                <w:rFonts w:ascii="Arial" w:cs="Arial" w:eastAsia="Arial" w:hAnsi="Arial"/>
                <w:sz w:val="18"/>
                <w:szCs w:val="18"/>
                <w:color w:val="auto"/>
              </w:rPr>
              <w:t>LivaNova PLC</w:t>
            </w:r>
          </w:p>
        </w:tc>
      </w:tr>
      <w:tr>
        <w:trPr>
          <w:trHeight w:val="392"/>
        </w:trPr>
        <w:tc>
          <w:tcPr>
            <w:tcW w:w="3920" w:type="dxa"/>
            <w:vAlign w:val="bottom"/>
          </w:tcPr>
          <w:p>
            <w:pPr>
              <w:spacing w:after="0"/>
              <w:rPr>
                <w:sz w:val="20"/>
                <w:szCs w:val="20"/>
                <w:color w:val="auto"/>
              </w:rPr>
            </w:pPr>
            <w:r>
              <w:rPr>
                <w:rFonts w:ascii="Arial" w:cs="Arial" w:eastAsia="Arial" w:hAnsi="Arial"/>
                <w:sz w:val="18"/>
                <w:szCs w:val="18"/>
                <w:color w:val="auto"/>
              </w:rPr>
              <w:t>Date: March 10, 2016</w:t>
            </w:r>
          </w:p>
        </w:tc>
        <w:tc>
          <w:tcPr>
            <w:tcW w:w="3140" w:type="dxa"/>
            <w:vAlign w:val="bottom"/>
          </w:tcPr>
          <w:p>
            <w:pPr>
              <w:ind w:left="2400"/>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r>
      <w:tr>
        <w:trPr>
          <w:trHeight w:val="222"/>
        </w:trPr>
        <w:tc>
          <w:tcPr>
            <w:tcW w:w="3920" w:type="dxa"/>
            <w:vAlign w:val="bottom"/>
          </w:tcPr>
          <w:p>
            <w:pPr>
              <w:spacing w:after="0"/>
              <w:rPr>
                <w:sz w:val="19"/>
                <w:szCs w:val="19"/>
                <w:color w:val="auto"/>
              </w:rPr>
            </w:pPr>
          </w:p>
        </w:tc>
        <w:tc>
          <w:tcPr>
            <w:tcW w:w="3140" w:type="dxa"/>
            <w:vAlign w:val="bottom"/>
          </w:tcPr>
          <w:p>
            <w:pPr>
              <w:ind w:left="2400"/>
              <w:spacing w:after="0"/>
              <w:rPr>
                <w:sz w:val="20"/>
                <w:szCs w:val="20"/>
                <w:color w:val="auto"/>
              </w:rPr>
            </w:pPr>
            <w:r>
              <w:rPr>
                <w:rFonts w:ascii="Arial" w:cs="Arial" w:eastAsia="Arial" w:hAnsi="Arial"/>
                <w:sz w:val="18"/>
                <w:szCs w:val="18"/>
                <w:color w:val="auto"/>
              </w:rPr>
              <w:t>Name:</w:t>
            </w:r>
          </w:p>
        </w:tc>
        <w:tc>
          <w:tcPr>
            <w:tcW w:w="3500" w:type="dxa"/>
            <w:vAlign w:val="bottom"/>
          </w:tcPr>
          <w:p>
            <w:pPr>
              <w:spacing w:after="0"/>
              <w:rPr>
                <w:sz w:val="20"/>
                <w:szCs w:val="20"/>
                <w:color w:val="auto"/>
              </w:rPr>
            </w:pPr>
            <w:r>
              <w:rPr>
                <w:rFonts w:ascii="Arial" w:cs="Arial" w:eastAsia="Arial" w:hAnsi="Arial"/>
                <w:sz w:val="18"/>
                <w:szCs w:val="18"/>
                <w:color w:val="auto"/>
              </w:rPr>
              <w:t>Brian Sheridan</w:t>
            </w:r>
          </w:p>
        </w:tc>
      </w:tr>
      <w:tr>
        <w:trPr>
          <w:trHeight w:val="230"/>
        </w:trPr>
        <w:tc>
          <w:tcPr>
            <w:tcW w:w="3920" w:type="dxa"/>
            <w:vAlign w:val="bottom"/>
          </w:tcPr>
          <w:p>
            <w:pPr>
              <w:spacing w:after="0"/>
              <w:rPr>
                <w:sz w:val="20"/>
                <w:szCs w:val="20"/>
                <w:color w:val="auto"/>
              </w:rPr>
            </w:pPr>
          </w:p>
        </w:tc>
        <w:tc>
          <w:tcPr>
            <w:tcW w:w="3140" w:type="dxa"/>
            <w:vAlign w:val="bottom"/>
          </w:tcPr>
          <w:p>
            <w:pPr>
              <w:ind w:left="2400"/>
              <w:spacing w:after="0"/>
              <w:rPr>
                <w:sz w:val="20"/>
                <w:szCs w:val="20"/>
                <w:color w:val="auto"/>
              </w:rPr>
            </w:pPr>
            <w:r>
              <w:rPr>
                <w:rFonts w:ascii="Arial" w:cs="Arial" w:eastAsia="Arial" w:hAnsi="Arial"/>
                <w:sz w:val="18"/>
                <w:szCs w:val="18"/>
                <w:color w:val="auto"/>
              </w:rPr>
              <w:t>Title</w:t>
            </w:r>
          </w:p>
        </w:tc>
        <w:tc>
          <w:tcPr>
            <w:tcW w:w="3500" w:type="dxa"/>
            <w:vAlign w:val="bottom"/>
          </w:tcPr>
          <w:p>
            <w:pPr>
              <w:spacing w:after="0"/>
              <w:rPr>
                <w:sz w:val="20"/>
                <w:szCs w:val="20"/>
                <w:color w:val="auto"/>
              </w:rPr>
            </w:pPr>
            <w:r>
              <w:rPr>
                <w:rFonts w:ascii="Arial" w:cs="Arial" w:eastAsia="Arial" w:hAnsi="Arial"/>
                <w:sz w:val="18"/>
                <w:szCs w:val="18"/>
                <w:color w:val="auto"/>
              </w:rPr>
              <w:t>Company Secretary</w:t>
            </w:r>
          </w:p>
        </w:tc>
      </w:tr>
    </w:tbl>
    <w:p>
      <w:pPr>
        <w:spacing w:after="0" w:line="1" w:lineRule="exact"/>
        <w:rPr>
          <w:sz w:val="20"/>
          <w:szCs w:val="20"/>
          <w:color w:val="auto"/>
        </w:rPr>
      </w:pPr>
    </w:p>
    <w:sectPr>
      <w:pgSz w:w="11900" w:h="16838" w:orient="portrait"/>
      <w:cols w:equalWidth="0" w:num="1">
        <w:col w:w="11000"/>
      </w:cols>
      <w:pgMar w:left="240"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2019-12-09T02:22:44Z</dcterms:created>
  <dcterms:modified xsi:type="dcterms:W3CDTF">2019-12-09T02:22:44Z</dcterms:modified>
</cp:coreProperties>
</file>