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5777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777865"/>
                    </a:xfrm>
                    <a:prstGeom prst="rect">
                      <a:avLst/>
                    </a:prstGeom>
                    <a:noFill/>
                  </pic:spPr>
                </pic:pic>
              </a:graphicData>
            </a:graphic>
          </wp:anchor>
        </w:drawing>
      </w:r>
    </w:p>
    <w:p>
      <w:pPr>
        <w:spacing w:after="0" w:line="1212" w:lineRule="exact"/>
        <w:rPr>
          <w:sz w:val="24"/>
          <w:szCs w:val="24"/>
          <w:color w:val="auto"/>
        </w:rPr>
      </w:pPr>
    </w:p>
    <w:p>
      <w:pPr>
        <w:sectPr>
          <w:pgSz w:w="11900" w:h="16870"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Kozmina Natalia</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306" w:lineRule="exact"/>
        <w:rPr>
          <w:sz w:val="24"/>
          <w:szCs w:val="24"/>
          <w:color w:val="auto"/>
        </w:rPr>
      </w:pPr>
    </w:p>
    <w:p>
      <w:pPr>
        <w:sectPr>
          <w:pgSz w:w="11900" w:h="16870" w:orient="portrait"/>
          <w:cols w:equalWidth="0" w:num="3">
            <w:col w:w="3180" w:space="720"/>
            <w:col w:w="3100" w:space="720"/>
            <w:col w:w="3360"/>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72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720" w:type="dxa"/>
            <w:vAlign w:val="bottom"/>
            <w:gridSpan w:val="8"/>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X0</w:t>
            </w:r>
          </w:p>
        </w:tc>
        <w:tc>
          <w:tcPr>
            <w:tcW w:w="880" w:type="dxa"/>
            <w:vAlign w:val="bottom"/>
          </w:tcPr>
          <w:p>
            <w:pPr>
              <w:spacing w:after="0"/>
              <w:rPr>
                <w:sz w:val="19"/>
                <w:szCs w:val="19"/>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W26LG</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6"/>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21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jc w:val="center"/>
              <w:ind w:right="2"/>
              <w:spacing w:after="0"/>
              <w:rPr>
                <w:sz w:val="20"/>
                <w:szCs w:val="20"/>
                <w:color w:val="auto"/>
              </w:rPr>
            </w:pPr>
            <w:r>
              <w:rPr>
                <w:rFonts w:ascii="Times New Roman" w:cs="Times New Roman" w:eastAsia="Times New Roman" w:hAnsi="Times New Roman"/>
                <w:sz w:val="11"/>
                <w:szCs w:val="11"/>
                <w:color w:val="008000"/>
                <w:w w:val="93"/>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03/30/2025</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12,777</w:t>
            </w:r>
          </w:p>
        </w:tc>
        <w:tc>
          <w:tcPr>
            <w:tcW w:w="280" w:type="dxa"/>
            <w:vAlign w:val="bottom"/>
          </w:tcPr>
          <w:p>
            <w:pPr>
              <w:spacing w:after="0"/>
              <w:rPr>
                <w:sz w:val="19"/>
                <w:szCs w:val="19"/>
                <w:color w:val="auto"/>
              </w:rPr>
            </w:pPr>
          </w:p>
        </w:tc>
        <w:tc>
          <w:tcPr>
            <w:tcW w:w="780" w:type="dxa"/>
            <w:vAlign w:val="bottom"/>
            <w:gridSpan w:val="2"/>
          </w:tcPr>
          <w:p>
            <w:pPr>
              <w:jc w:val="right"/>
              <w:ind w:right="32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12,777</w:t>
            </w:r>
          </w:p>
        </w:tc>
        <w:tc>
          <w:tcPr>
            <w:tcW w:w="40" w:type="dxa"/>
            <w:vAlign w:val="bottom"/>
          </w:tcPr>
          <w:p>
            <w:pPr>
              <w:spacing w:after="0"/>
              <w:rPr>
                <w:sz w:val="19"/>
                <w:szCs w:val="19"/>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12,777</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(1)</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03/30/2025</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6,388</w:t>
            </w:r>
          </w:p>
        </w:tc>
        <w:tc>
          <w:tcPr>
            <w:tcW w:w="280" w:type="dxa"/>
            <w:vAlign w:val="bottom"/>
          </w:tcPr>
          <w:p>
            <w:pPr>
              <w:spacing w:after="0"/>
              <w:rPr>
                <w:sz w:val="15"/>
                <w:szCs w:val="15"/>
                <w:color w:val="auto"/>
              </w:rPr>
            </w:pP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6,388</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6,388</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03/30/2025</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3,194</w:t>
            </w:r>
          </w:p>
        </w:tc>
        <w:tc>
          <w:tcPr>
            <w:tcW w:w="280" w:type="dxa"/>
            <w:vAlign w:val="bottom"/>
          </w:tcPr>
          <w:p>
            <w:pPr>
              <w:spacing w:after="0"/>
              <w:rPr>
                <w:sz w:val="15"/>
                <w:szCs w:val="15"/>
                <w:color w:val="auto"/>
              </w:rPr>
            </w:pP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3,194</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3,194</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03/30/2025</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3,194</w:t>
            </w:r>
          </w:p>
        </w:tc>
        <w:tc>
          <w:tcPr>
            <w:tcW w:w="280" w:type="dxa"/>
            <w:vAlign w:val="bottom"/>
          </w:tcPr>
          <w:p>
            <w:pPr>
              <w:spacing w:after="0"/>
              <w:rPr>
                <w:sz w:val="15"/>
                <w:szCs w:val="15"/>
                <w:color w:val="auto"/>
              </w:rPr>
            </w:pP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3,194</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3,194</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03/30/2025</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6,388</w:t>
            </w:r>
          </w:p>
        </w:tc>
        <w:tc>
          <w:tcPr>
            <w:tcW w:w="280" w:type="dxa"/>
            <w:vAlign w:val="bottom"/>
          </w:tcPr>
          <w:p>
            <w:pPr>
              <w:spacing w:after="0"/>
              <w:rPr>
                <w:sz w:val="15"/>
                <w:szCs w:val="15"/>
                <w:color w:val="auto"/>
              </w:rPr>
            </w:pP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6,388</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6,388</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13,986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Appreciation</w:t>
            </w:r>
          </w:p>
        </w:tc>
        <w:tc>
          <w:tcPr>
            <w:tcW w:w="740" w:type="dxa"/>
            <w:vAlign w:val="bottom"/>
          </w:tcPr>
          <w:p>
            <w:pPr>
              <w:jc w:val="center"/>
              <w:ind w:right="2"/>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39.13</w:t>
            </w: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0000FF"/>
              </w:rPr>
              <w:t>03/30/2025</w:t>
            </w: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rPr>
              <w:t>13,986</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tcPr>
          <w:p>
            <w:pPr>
              <w:jc w:val="center"/>
              <w:ind w:right="4"/>
              <w:spacing w:after="0" w:line="128" w:lineRule="exact"/>
              <w:rPr>
                <w:sz w:val="20"/>
                <w:szCs w:val="20"/>
                <w:color w:val="auto"/>
              </w:rPr>
            </w:pPr>
            <w:r>
              <w:rPr>
                <w:rFonts w:ascii="Times New Roman" w:cs="Times New Roman" w:eastAsia="Times New Roman" w:hAnsi="Times New Roman"/>
                <w:sz w:val="13"/>
                <w:szCs w:val="13"/>
                <w:color w:val="0000FF"/>
                <w:w w:val="97"/>
              </w:rPr>
              <w:t>03/30/2035</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1"/>
              <w:spacing w:after="0" w:line="128"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13,986</w:t>
            </w: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-3289935</wp:posOffset>
            </wp:positionV>
            <wp:extent cx="29210" cy="3295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2950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40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ordinary share of the Company in accordance with the terms of the LivaNova PLC 2022 Incentive Award Plan (the Plan) and the award agreement.</w:t>
      </w:r>
    </w:p>
    <w:p>
      <w:pPr>
        <w:spacing w:after="0" w:line="19" w:lineRule="exact"/>
        <w:rPr>
          <w:rFonts w:ascii="Times New Roman" w:cs="Times New Roman" w:eastAsia="Times New Roman" w:hAnsi="Times New Roman"/>
          <w:sz w:val="13"/>
          <w:szCs w:val="13"/>
          <w:color w:val="008000"/>
        </w:rPr>
      </w:pPr>
    </w:p>
    <w:p>
      <w:pPr>
        <w:ind w:left="40" w:right="38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RSUs subject to a three-year vesting in equal annual installments, the first vesting occurring on March 30, 2026.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Plan and the award agreement.</w:t>
      </w:r>
    </w:p>
    <w:p>
      <w:pPr>
        <w:spacing w:after="0" w:line="42" w:lineRule="exact"/>
        <w:rPr>
          <w:rFonts w:ascii="Times New Roman" w:cs="Times New Roman" w:eastAsia="Times New Roman" w:hAnsi="Times New Roman"/>
          <w:sz w:val="13"/>
          <w:szCs w:val="13"/>
          <w:color w:val="008000"/>
        </w:rPr>
      </w:pPr>
    </w:p>
    <w:p>
      <w:pPr>
        <w:ind w:left="40" w:right="140" w:firstLine="1"/>
        <w:spacing w:after="0" w:line="28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30, 2025, reporting person was granted PSUs to vest or lapse on March 30, 2028 based on how the Company's free cash flow (FCF) for performance period 2025-2027 compares to a target determined by the Plan Administrator. The number included in column 5 of Table II reflects the target number of PSUs eligible for vesting subject to continued service during the vesting period and the award agreement.</w:t>
      </w:r>
    </w:p>
    <w:p>
      <w:pPr>
        <w:spacing w:after="0" w:line="1" w:lineRule="exact"/>
        <w:rPr>
          <w:rFonts w:ascii="Times New Roman" w:cs="Times New Roman" w:eastAsia="Times New Roman" w:hAnsi="Times New Roman"/>
          <w:sz w:val="12"/>
          <w:szCs w:val="12"/>
          <w:color w:val="008000"/>
        </w:rPr>
      </w:pPr>
    </w:p>
    <w:p>
      <w:pPr>
        <w:ind w:left="40" w:right="2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PSUs to vest or lapse on March 30, 2028 based on how the Company's Return on Investment Capital (ROIC) calculated for the performance period 2025-2027 compares to a target determined by the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40" w:right="34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PSUs to vest or lapse on March 30, 2028 based on the Company's total shareholder return (TSR) for the three-year period beginning on January 1, 2025 and ending December 31, 2027 relative to the TSR of an index of companies, as determined by the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40" w:right="50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stock appreciation rights (SARs) subject to a four-year vesting in equal annual installments, the first vesting occurring on March 30, 2026. The SARs are subject to forfeiture prior to vesting in accordance with the terms of the Plan and the award agreement.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04/01/2025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70" w:orient="portrait"/>
          <w:cols w:equalWidth="0" w:num="1">
            <w:col w:w="11080"/>
          </w:cols>
          <w:pgMar w:left="460" w:top="216"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2336"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2025-04-01T20:10:08Z</dcterms:created>
  <dcterms:modified xsi:type="dcterms:W3CDTF">2025-04-01T20:10:08Z</dcterms:modified>
</cp:coreProperties>
</file>