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199"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line="200" w:lineRule="auto"/>
        <w:rPr>
          <w:sz w:val="20"/>
          <w:szCs w:val="20"/>
          <w:color w:val="auto"/>
        </w:rPr>
      </w:pPr>
      <w:r>
        <w:rPr>
          <w:rFonts w:ascii="Arial" w:cs="Arial" w:eastAsia="Arial" w:hAnsi="Arial"/>
          <w:sz w:val="18"/>
          <w:szCs w:val="18"/>
          <w:b w:val="1"/>
          <w:bCs w:val="1"/>
          <w:color w:val="auto"/>
        </w:rPr>
        <w:t>Washington, D.C. 20549</w:t>
      </w:r>
    </w:p>
    <w:p>
      <w:pPr>
        <w:ind w:left="4940"/>
        <w:spacing w:after="0"/>
        <w:rPr>
          <w:sz w:val="20"/>
          <w:szCs w:val="20"/>
          <w:color w:val="auto"/>
        </w:rPr>
      </w:pPr>
      <w:r>
        <w:rPr>
          <w:rFonts w:ascii="Arial" w:cs="Arial" w:eastAsia="Arial" w:hAnsi="Arial"/>
          <w:sz w:val="11"/>
          <w:szCs w:val="11"/>
          <w:color w:val="auto"/>
        </w:rPr>
        <w:t>_________________________</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(Mark One)</w:t>
      </w:r>
    </w:p>
    <w:p>
      <w:pPr>
        <w:spacing w:after="0" w:line="10"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March 31, 2020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jc w:val="center"/>
        <w:ind w:left="3060" w:right="940" w:hanging="2119"/>
        <w:spacing w:after="0" w:line="266" w:lineRule="auto"/>
        <w:tabs>
          <w:tab w:leader="none" w:pos="114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 to _______________</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20320</wp:posOffset>
            </wp:positionV>
            <wp:extent cx="207454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454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LivaNova PLC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 xml:space="preserve">England and Wales </w:t>
            </w:r>
            <w:r>
              <w:rPr>
                <w:rFonts w:ascii="Arial" w:cs="Arial" w:eastAsia="Arial" w:hAnsi="Arial"/>
                <w:sz w:val="14"/>
                <w:szCs w:val="14"/>
                <w:i w:val="1"/>
                <w:iCs w:val="1"/>
                <w:color w:val="FFFFFF"/>
                <w:w w:val="91"/>
              </w:rPr>
              <w:t>...................</w:t>
            </w: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98-1268150</w:t>
            </w:r>
          </w:p>
        </w:tc>
        <w:tc>
          <w:tcPr>
            <w:tcW w:w="25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0" w:type="dxa"/>
            <w:vAlign w:val="bottom"/>
            <w:gridSpan w:val="3"/>
          </w:tcPr>
          <w:p>
            <w:pPr>
              <w:ind w:left="520"/>
              <w:spacing w:after="0"/>
              <w:rPr>
                <w:sz w:val="20"/>
                <w:szCs w:val="20"/>
                <w:color w:val="auto"/>
              </w:rPr>
            </w:pPr>
            <w:r>
              <w:rPr>
                <w:rFonts w:ascii="Arial" w:cs="Arial" w:eastAsia="Arial" w:hAnsi="Arial"/>
                <w:sz w:val="14"/>
                <w:szCs w:val="14"/>
                <w:i w:val="1"/>
                <w:iCs w:val="1"/>
                <w:color w:val="auto"/>
                <w:w w:val="94"/>
              </w:rPr>
              <w:t xml:space="preserve">(State or other jurisdiction of </w:t>
            </w:r>
            <w:r>
              <w:rPr>
                <w:rFonts w:ascii="Arial" w:cs="Arial" w:eastAsia="Arial" w:hAnsi="Arial"/>
                <w:sz w:val="14"/>
                <w:szCs w:val="14"/>
                <w:i w:val="1"/>
                <w:iCs w:val="1"/>
                <w:color w:val="FFFFFF"/>
                <w:w w:val="94"/>
              </w:rPr>
              <w:t>..........</w:t>
            </w:r>
          </w:p>
        </w:tc>
        <w:tc>
          <w:tcPr>
            <w:tcW w:w="5080" w:type="dxa"/>
            <w:vAlign w:val="bottom"/>
            <w:gridSpan w:val="5"/>
          </w:tcPr>
          <w:p>
            <w:pPr>
              <w:jc w:val="center"/>
              <w:ind w:right="4040"/>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2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0" w:type="dxa"/>
            <w:vAlign w:val="bottom"/>
            <w:gridSpan w:val="3"/>
          </w:tcPr>
          <w:p>
            <w:pPr>
              <w:ind w:left="460"/>
              <w:spacing w:after="0"/>
              <w:rPr>
                <w:sz w:val="20"/>
                <w:szCs w:val="20"/>
                <w:color w:val="auto"/>
              </w:rPr>
            </w:pPr>
            <w:r>
              <w:rPr>
                <w:rFonts w:ascii="Arial" w:cs="Arial" w:eastAsia="Arial" w:hAnsi="Arial"/>
                <w:sz w:val="14"/>
                <w:szCs w:val="14"/>
                <w:i w:val="1"/>
                <w:iCs w:val="1"/>
                <w:color w:val="auto"/>
                <w:w w:val="97"/>
              </w:rPr>
              <w:t xml:space="preserve">incorporation or organization) </w:t>
            </w:r>
            <w:r>
              <w:rPr>
                <w:rFonts w:ascii="Arial" w:cs="Arial" w:eastAsia="Arial" w:hAnsi="Arial"/>
                <w:sz w:val="14"/>
                <w:szCs w:val="14"/>
                <w:i w:val="1"/>
                <w:iCs w:val="1"/>
                <w:color w:val="FFFFFF"/>
                <w:w w:val="97"/>
              </w:rPr>
              <w:t>........</w:t>
            </w:r>
          </w:p>
        </w:tc>
        <w:tc>
          <w:tcPr>
            <w:tcW w:w="5080" w:type="dxa"/>
            <w:vAlign w:val="bottom"/>
            <w:gridSpan w:val="5"/>
          </w:tcPr>
          <w:p>
            <w:pPr>
              <w:jc w:val="center"/>
              <w:ind w:right="4020"/>
              <w:spacing w:after="0"/>
              <w:rPr>
                <w:sz w:val="20"/>
                <w:szCs w:val="20"/>
                <w:color w:val="auto"/>
              </w:rPr>
            </w:pPr>
            <w:r>
              <w:rPr>
                <w:rFonts w:ascii="Arial" w:cs="Arial" w:eastAsia="Arial" w:hAnsi="Arial"/>
                <w:sz w:val="14"/>
                <w:szCs w:val="14"/>
                <w:i w:val="1"/>
                <w:iCs w:val="1"/>
                <w:color w:val="auto"/>
                <w:w w:val="97"/>
              </w:rPr>
              <w:t>Identification No.)</w:t>
            </w:r>
          </w:p>
        </w:tc>
      </w:tr>
      <w:tr>
        <w:trPr>
          <w:trHeight w:val="371"/>
        </w:trPr>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80" w:type="dxa"/>
            <w:vAlign w:val="bottom"/>
            <w:gridSpan w:val="8"/>
          </w:tcPr>
          <w:p>
            <w:pPr>
              <w:jc w:val="center"/>
              <w:ind w:right="3560"/>
              <w:spacing w:after="0"/>
              <w:rPr>
                <w:sz w:val="20"/>
                <w:szCs w:val="20"/>
                <w:color w:val="auto"/>
              </w:rPr>
            </w:pPr>
            <w:r>
              <w:rPr>
                <w:rFonts w:ascii="Arial" w:cs="Arial" w:eastAsia="Arial" w:hAnsi="Arial"/>
                <w:sz w:val="14"/>
                <w:szCs w:val="14"/>
                <w:b w:val="1"/>
                <w:bCs w:val="1"/>
                <w:color w:val="auto"/>
                <w:w w:val="95"/>
              </w:rPr>
              <w:t>20 Eastbourne Terrace, London, United Kingdom</w:t>
            </w:r>
            <w:r>
              <w:rPr>
                <w:rFonts w:ascii="Arial" w:cs="Arial" w:eastAsia="Arial" w:hAnsi="Arial"/>
                <w:sz w:val="17"/>
                <w:szCs w:val="17"/>
                <w:color w:val="auto"/>
                <w:w w:val="95"/>
              </w:rPr>
              <w:t>,</w:t>
            </w:r>
            <w:r>
              <w:rPr>
                <w:rFonts w:ascii="Arial" w:cs="Arial" w:eastAsia="Arial" w:hAnsi="Arial"/>
                <w:sz w:val="14"/>
                <w:szCs w:val="14"/>
                <w:b w:val="1"/>
                <w:bCs w:val="1"/>
                <w:color w:val="auto"/>
                <w:w w:val="95"/>
              </w:rPr>
              <w:t xml:space="preserve"> W2 6LG</w:t>
            </w:r>
          </w:p>
        </w:tc>
      </w:tr>
      <w:tr>
        <w:trPr>
          <w:trHeight w:val="182"/>
        </w:trPr>
        <w:tc>
          <w:tcPr>
            <w:tcW w:w="2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i w:val="1"/>
                <w:iCs w:val="1"/>
                <w:color w:val="auto"/>
                <w:w w:val="79"/>
              </w:rPr>
              <w:t xml:space="preserve">(Address of principal executive offices) </w:t>
            </w:r>
            <w:r>
              <w:rPr>
                <w:rFonts w:ascii="Arial" w:cs="Arial" w:eastAsia="Arial" w:hAnsi="Arial"/>
                <w:sz w:val="14"/>
                <w:szCs w:val="14"/>
                <w:i w:val="1"/>
                <w:iCs w:val="1"/>
                <w:color w:val="FFFFFF"/>
                <w:w w:val="79"/>
              </w:rPr>
              <w:t>.......................</w:t>
            </w:r>
          </w:p>
        </w:tc>
        <w:tc>
          <w:tcPr>
            <w:tcW w:w="40" w:type="dxa"/>
            <w:vAlign w:val="bottom"/>
          </w:tcPr>
          <w:p>
            <w:pPr>
              <w:spacing w:after="0"/>
              <w:rPr>
                <w:sz w:val="15"/>
                <w:szCs w:val="15"/>
                <w:color w:val="auto"/>
              </w:rPr>
            </w:pPr>
          </w:p>
        </w:tc>
        <w:tc>
          <w:tcPr>
            <w:tcW w:w="4960" w:type="dxa"/>
            <w:vAlign w:val="bottom"/>
            <w:gridSpan w:val="3"/>
          </w:tcPr>
          <w:p>
            <w:pPr>
              <w:ind w:left="600"/>
              <w:spacing w:after="0"/>
              <w:rPr>
                <w:sz w:val="20"/>
                <w:szCs w:val="20"/>
                <w:color w:val="auto"/>
              </w:rPr>
            </w:pPr>
            <w:r>
              <w:rPr>
                <w:rFonts w:ascii="Arial" w:cs="Arial" w:eastAsia="Arial" w:hAnsi="Arial"/>
                <w:sz w:val="14"/>
                <w:szCs w:val="14"/>
                <w:i w:val="1"/>
                <w:iCs w:val="1"/>
                <w:color w:val="auto"/>
              </w:rPr>
              <w:t>(Zip Code)</w:t>
            </w:r>
          </w:p>
        </w:tc>
      </w:tr>
      <w:tr>
        <w:trPr>
          <w:trHeight w:val="338"/>
        </w:trPr>
        <w:tc>
          <w:tcPr>
            <w:tcW w:w="2520" w:type="dxa"/>
            <w:vAlign w:val="bottom"/>
          </w:tcPr>
          <w:p>
            <w:pPr>
              <w:spacing w:after="0"/>
              <w:rPr>
                <w:sz w:val="24"/>
                <w:szCs w:val="24"/>
                <w:color w:val="auto"/>
              </w:rPr>
            </w:pPr>
          </w:p>
        </w:tc>
        <w:tc>
          <w:tcPr>
            <w:tcW w:w="8720" w:type="dxa"/>
            <w:vAlign w:val="bottom"/>
            <w:gridSpan w:val="9"/>
          </w:tcPr>
          <w:p>
            <w:pPr>
              <w:jc w:val="center"/>
              <w:ind w:right="2520"/>
              <w:spacing w:after="0"/>
              <w:rPr>
                <w:sz w:val="20"/>
                <w:szCs w:val="20"/>
                <w:color w:val="auto"/>
              </w:rPr>
            </w:pPr>
            <w:r>
              <w:rPr>
                <w:rFonts w:ascii="Arial" w:cs="Arial" w:eastAsia="Arial" w:hAnsi="Arial"/>
                <w:sz w:val="14"/>
                <w:szCs w:val="14"/>
                <w:i w:val="1"/>
                <w:iCs w:val="1"/>
                <w:color w:val="auto"/>
                <w:w w:val="93"/>
              </w:rPr>
              <w:t xml:space="preserve">Registrant’s telephone number, including area code: </w:t>
            </w:r>
            <w:r>
              <w:rPr>
                <w:rFonts w:ascii="Arial" w:cs="Arial" w:eastAsia="Arial" w:hAnsi="Arial"/>
                <w:sz w:val="14"/>
                <w:szCs w:val="14"/>
                <w:b w:val="1"/>
                <w:bCs w:val="1"/>
                <w:color w:val="auto"/>
                <w:w w:val="93"/>
              </w:rPr>
              <w:t>(44) (0) 203 325-0660</w:t>
            </w:r>
          </w:p>
        </w:tc>
      </w:tr>
      <w:tr>
        <w:trPr>
          <w:trHeight w:val="208"/>
        </w:trPr>
        <w:tc>
          <w:tcPr>
            <w:tcW w:w="25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gridSpan w:val="2"/>
          </w:tcPr>
          <w:p>
            <w:pPr>
              <w:spacing w:after="0"/>
              <w:rPr>
                <w:sz w:val="18"/>
                <w:szCs w:val="18"/>
                <w:color w:val="auto"/>
              </w:rPr>
            </w:pPr>
          </w:p>
        </w:tc>
        <w:tc>
          <w:tcPr>
            <w:tcW w:w="254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r>
      <w:tr>
        <w:trPr>
          <w:trHeight w:val="380"/>
        </w:trPr>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80" w:type="dxa"/>
            <w:vAlign w:val="bottom"/>
            <w:gridSpan w:val="8"/>
          </w:tcPr>
          <w:p>
            <w:pPr>
              <w:jc w:val="center"/>
              <w:ind w:right="3560"/>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390"/>
        </w:trPr>
        <w:tc>
          <w:tcPr>
            <w:tcW w:w="2520" w:type="dxa"/>
            <w:vAlign w:val="bottom"/>
          </w:tcPr>
          <w:p>
            <w:pPr>
              <w:spacing w:after="0"/>
              <w:rPr>
                <w:sz w:val="24"/>
                <w:szCs w:val="24"/>
                <w:color w:val="auto"/>
              </w:rPr>
            </w:pPr>
          </w:p>
        </w:tc>
        <w:tc>
          <w:tcPr>
            <w:tcW w:w="1820" w:type="dxa"/>
            <w:vAlign w:val="bottom"/>
            <w:gridSpan w:val="2"/>
          </w:tcPr>
          <w:p>
            <w:pPr>
              <w:jc w:val="center"/>
              <w:ind w:right="708"/>
              <w:spacing w:after="0"/>
              <w:rPr>
                <w:sz w:val="20"/>
                <w:szCs w:val="20"/>
                <w:color w:val="auto"/>
              </w:rPr>
            </w:pPr>
            <w:r>
              <w:rPr>
                <w:rFonts w:ascii="Arial" w:cs="Arial" w:eastAsia="Arial" w:hAnsi="Arial"/>
                <w:sz w:val="14"/>
                <w:szCs w:val="14"/>
                <w:color w:val="auto"/>
                <w:w w:val="92"/>
              </w:rPr>
              <w:t>Title of each class</w:t>
            </w:r>
          </w:p>
        </w:tc>
        <w:tc>
          <w:tcPr>
            <w:tcW w:w="1940" w:type="dxa"/>
            <w:vAlign w:val="bottom"/>
            <w:gridSpan w:val="4"/>
          </w:tcPr>
          <w:p>
            <w:pPr>
              <w:jc w:val="right"/>
              <w:ind w:right="40"/>
              <w:spacing w:after="0"/>
              <w:rPr>
                <w:sz w:val="20"/>
                <w:szCs w:val="20"/>
                <w:color w:val="auto"/>
              </w:rPr>
            </w:pPr>
            <w:r>
              <w:rPr>
                <w:rFonts w:ascii="Arial" w:cs="Arial" w:eastAsia="Arial" w:hAnsi="Arial"/>
                <w:sz w:val="14"/>
                <w:szCs w:val="14"/>
                <w:color w:val="auto"/>
              </w:rPr>
              <w:t>Trading Symbol(s)</w:t>
            </w:r>
          </w:p>
        </w:tc>
        <w:tc>
          <w:tcPr>
            <w:tcW w:w="800" w:type="dxa"/>
            <w:vAlign w:val="bottom"/>
          </w:tcPr>
          <w:p>
            <w:pPr>
              <w:spacing w:after="0"/>
              <w:rPr>
                <w:sz w:val="24"/>
                <w:szCs w:val="24"/>
                <w:color w:val="auto"/>
              </w:rPr>
            </w:pPr>
          </w:p>
        </w:tc>
        <w:tc>
          <w:tcPr>
            <w:tcW w:w="4160" w:type="dxa"/>
            <w:vAlign w:val="bottom"/>
            <w:gridSpan w:val="2"/>
          </w:tcPr>
          <w:p>
            <w:pPr>
              <w:jc w:val="center"/>
              <w:ind w:right="1620"/>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2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79"/>
        </w:trPr>
        <w:tc>
          <w:tcPr>
            <w:tcW w:w="4340" w:type="dxa"/>
            <w:vAlign w:val="bottom"/>
            <w:gridSpan w:val="3"/>
          </w:tcPr>
          <w:p>
            <w:pPr>
              <w:jc w:val="center"/>
              <w:ind w:left="1688"/>
              <w:spacing w:after="0"/>
              <w:rPr>
                <w:sz w:val="20"/>
                <w:szCs w:val="20"/>
                <w:color w:val="auto"/>
              </w:rPr>
            </w:pPr>
            <w:r>
              <w:rPr>
                <w:rFonts w:ascii="Arial" w:cs="Arial" w:eastAsia="Arial" w:hAnsi="Arial"/>
                <w:sz w:val="14"/>
                <w:szCs w:val="14"/>
                <w:color w:val="auto"/>
                <w:w w:val="91"/>
              </w:rPr>
              <w:t>Ordinary Shares - £1.00 par value per share</w:t>
            </w:r>
          </w:p>
        </w:tc>
        <w:tc>
          <w:tcPr>
            <w:tcW w:w="82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14"/>
                <w:szCs w:val="14"/>
                <w:color w:val="auto"/>
              </w:rPr>
              <w:t>LIVN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60" w:type="dxa"/>
            <w:vAlign w:val="bottom"/>
            <w:gridSpan w:val="2"/>
          </w:tcPr>
          <w:p>
            <w:pPr>
              <w:jc w:val="center"/>
              <w:ind w:right="1640"/>
              <w:spacing w:after="0"/>
              <w:rPr>
                <w:sz w:val="20"/>
                <w:szCs w:val="20"/>
                <w:color w:val="auto"/>
              </w:rPr>
            </w:pPr>
            <w:r>
              <w:rPr>
                <w:rFonts w:ascii="Arial" w:cs="Arial" w:eastAsia="Arial" w:hAnsi="Arial"/>
                <w:sz w:val="14"/>
                <w:szCs w:val="14"/>
                <w:color w:val="auto"/>
                <w:w w:val="98"/>
              </w:rPr>
              <w:t>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-686435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95" w:lineRule="exact"/>
        <w:rPr>
          <w:sz w:val="24"/>
          <w:szCs w:val="24"/>
          <w:color w:val="auto"/>
        </w:rPr>
      </w:pPr>
    </w:p>
    <w:p>
      <w:pPr>
        <w:ind w:right="6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44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30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32" w:right="339" w:bottom="1440" w:gutter="0" w:footer="0" w:header="0"/>
        </w:sectPr>
      </w:pPr>
    </w:p>
    <w:p>
      <w:pPr>
        <w:spacing w:after="0" w:line="348"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800"/>
              <w:spacing w:after="0"/>
              <w:rPr>
                <w:sz w:val="20"/>
                <w:szCs w:val="20"/>
                <w:color w:val="auto"/>
              </w:rPr>
            </w:pPr>
            <w:r>
              <w:rPr>
                <w:rFonts w:ascii="Arial" w:cs="Arial" w:eastAsia="Arial" w:hAnsi="Arial"/>
                <w:sz w:val="16"/>
                <w:szCs w:val="16"/>
                <w:color w:val="auto"/>
              </w:rPr>
              <w:t>Accelerated filer</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800"/>
              <w:spacing w:after="0"/>
              <w:rPr>
                <w:sz w:val="20"/>
                <w:szCs w:val="20"/>
                <w:color w:val="auto"/>
              </w:rPr>
            </w:pPr>
            <w:r>
              <w:rPr>
                <w:rFonts w:ascii="Arial" w:cs="Arial" w:eastAsia="Arial" w:hAnsi="Arial"/>
                <w:sz w:val="16"/>
                <w:szCs w:val="16"/>
                <w:color w:val="auto"/>
                <w:w w:val="90"/>
              </w:rPr>
              <w:t>Smaller reporting company</w:t>
            </w:r>
          </w:p>
        </w:tc>
      </w:tr>
      <w:tr>
        <w:trPr>
          <w:trHeight w:val="283"/>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spacing w:after="0"/>
              <w:rPr>
                <w:sz w:val="24"/>
                <w:szCs w:val="24"/>
                <w:color w:val="auto"/>
              </w:rPr>
            </w:pPr>
          </w:p>
        </w:tc>
      </w:tr>
    </w:tbl>
    <w:p>
      <w:pPr>
        <w:spacing w:after="0" w:line="105" w:lineRule="exact"/>
        <w:rPr>
          <w:sz w:val="24"/>
          <w:szCs w:val="24"/>
          <w:color w:val="auto"/>
        </w:rPr>
      </w:pPr>
    </w:p>
    <w:p>
      <w:pPr>
        <w:ind w:left="4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8" w:lineRule="exact"/>
        <w:rPr>
          <w:sz w:val="24"/>
          <w:szCs w:val="24"/>
          <w:color w:val="auto"/>
        </w:rPr>
      </w:pPr>
    </w:p>
    <w:p>
      <w:pPr>
        <w:ind w:left="180"/>
        <w:spacing w:after="0" w:line="184" w:lineRule="exact"/>
        <w:tabs>
          <w:tab w:leader="none" w:pos="67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5"/>
          <w:szCs w:val="15"/>
          <w:color w:val="auto"/>
        </w:rPr>
        <w:t>☑</w:t>
      </w:r>
    </w:p>
    <w:p>
      <w:pPr>
        <w:spacing w:after="0" w:line="224" w:lineRule="exact"/>
        <w:rPr>
          <w:sz w:val="24"/>
          <w:szCs w:val="24"/>
          <w:color w:val="auto"/>
        </w:rPr>
      </w:pPr>
    </w:p>
    <w:p>
      <w:pPr>
        <w:ind w:left="2640"/>
        <w:spacing w:after="0"/>
        <w:tabs>
          <w:tab w:leader="none" w:pos="7440" w:val="left"/>
        </w:tabs>
        <w:rPr>
          <w:sz w:val="20"/>
          <w:szCs w:val="20"/>
          <w:color w:val="auto"/>
        </w:rPr>
      </w:pPr>
      <w:r>
        <w:rPr>
          <w:rFonts w:ascii="Arial" w:cs="Arial" w:eastAsia="Arial" w:hAnsi="Arial"/>
          <w:sz w:val="16"/>
          <w:szCs w:val="16"/>
          <w:i w:val="1"/>
          <w:iCs w:val="1"/>
          <w:color w:val="auto"/>
        </w:rPr>
        <w:t>Class</w:t>
      </w:r>
      <w:r>
        <w:rPr>
          <w:sz w:val="20"/>
          <w:szCs w:val="20"/>
          <w:color w:val="auto"/>
        </w:rPr>
        <w:tab/>
      </w:r>
      <w:r>
        <w:rPr>
          <w:rFonts w:ascii="Arial" w:cs="Arial" w:eastAsia="Arial" w:hAnsi="Arial"/>
          <w:sz w:val="16"/>
          <w:szCs w:val="16"/>
          <w:i w:val="1"/>
          <w:iCs w:val="1"/>
          <w:color w:val="auto"/>
        </w:rPr>
        <w:t>Outstanding at April 27, 2020</w:t>
      </w:r>
    </w:p>
    <w:p>
      <w:pPr>
        <w:spacing w:after="0" w:line="64" w:lineRule="exact"/>
        <w:rPr>
          <w:sz w:val="24"/>
          <w:szCs w:val="24"/>
          <w:color w:val="auto"/>
        </w:rPr>
      </w:pPr>
    </w:p>
    <w:p>
      <w:pPr>
        <w:ind w:left="1560"/>
        <w:spacing w:after="0"/>
        <w:tabs>
          <w:tab w:leader="none" w:pos="8080" w:val="left"/>
        </w:tabs>
        <w:rPr>
          <w:sz w:val="20"/>
          <w:szCs w:val="20"/>
          <w:color w:val="auto"/>
        </w:rPr>
      </w:pPr>
      <w:r>
        <w:rPr>
          <w:rFonts w:ascii="Arial" w:cs="Arial" w:eastAsia="Arial" w:hAnsi="Arial"/>
          <w:sz w:val="14"/>
          <w:szCs w:val="14"/>
          <w:color w:val="auto"/>
        </w:rPr>
        <w:t>Ordinary Shares - £1.00 par value per share</w:t>
      </w:r>
      <w:r>
        <w:rPr>
          <w:sz w:val="20"/>
          <w:szCs w:val="20"/>
          <w:color w:val="auto"/>
        </w:rPr>
        <w:tab/>
      </w:r>
      <w:r>
        <w:rPr>
          <w:rFonts w:ascii="Arial" w:cs="Arial" w:eastAsia="Arial" w:hAnsi="Arial"/>
          <w:sz w:val="13"/>
          <w:szCs w:val="13"/>
          <w:color w:val="auto"/>
        </w:rPr>
        <w:t>48,579,023</w:t>
      </w:r>
    </w:p>
    <w:p>
      <w:pPr>
        <w:spacing w:after="0" w:line="235" w:lineRule="exact"/>
        <w:rPr>
          <w:sz w:val="24"/>
          <w:szCs w:val="24"/>
          <w:color w:val="auto"/>
        </w:rPr>
      </w:pPr>
    </w:p>
    <w:p>
      <w:pPr>
        <w:jc w:val="center"/>
        <w:ind w:left="7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br w:type="column"/>
      </w:r>
    </w:p>
    <w:p>
      <w:pPr>
        <w:spacing w:after="0" w:line="3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680" w:space="260"/>
            <w:col w:w="300"/>
          </w:cols>
          <w:pgMar w:left="320" w:top="73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LIVANOVA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100" w:type="dxa"/>
            <w:vAlign w:val="bottom"/>
          </w:tcPr>
          <w:p>
            <w:pPr>
              <w:ind w:left="302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PAGE NO.</w:t>
            </w:r>
          </w:p>
        </w:tc>
      </w:tr>
      <w:tr>
        <w:trPr>
          <w:trHeight w:val="34"/>
        </w:trPr>
        <w:tc>
          <w:tcPr>
            <w:tcW w:w="1040" w:type="dxa"/>
            <w:vAlign w:val="bottom"/>
            <w:tcBorders>
              <w:bottom w:val="single" w:sz="8" w:color="CCEEFF"/>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Note About Forward Looking Statements</w:t>
              </w:r>
            </w:hyperlink>
          </w:p>
        </w:tc>
        <w:tc>
          <w:tcPr>
            <w:tcW w:w="1100" w:type="dxa"/>
            <w:vAlign w:val="bottom"/>
            <w:tcBorders>
              <w:bottom w:val="single" w:sz="8" w:color="CCEEFF"/>
            </w:tcBorders>
            <w:gridSpan w:val="2"/>
            <w:shd w:val="clear" w:color="auto" w:fill="CCEEFF"/>
          </w:tcPr>
          <w:p>
            <w:pPr>
              <w:jc w:val="center"/>
              <w:ind w:left="10"/>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3</w:t>
              </w:r>
            </w:hyperlink>
          </w:p>
        </w:tc>
      </w:tr>
      <w:tr>
        <w:trPr>
          <w:trHeight w:val="243"/>
        </w:trPr>
        <w:tc>
          <w:tcPr>
            <w:tcW w:w="1040" w:type="dxa"/>
            <w:vAlign w:val="bottom"/>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9100" w:type="dxa"/>
            <w:vAlign w:val="bottom"/>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Financial Statements</w:t>
              </w:r>
            </w:hyperlink>
          </w:p>
        </w:tc>
        <w:tc>
          <w:tcPr>
            <w:tcW w:w="1100" w:type="dxa"/>
            <w:vAlign w:val="bottom"/>
            <w:gridSpan w:val="2"/>
          </w:tcPr>
          <w:p>
            <w:pPr>
              <w:jc w:val="center"/>
              <w:ind w:left="10"/>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5</w:t>
              </w:r>
            </w:hyperlink>
          </w:p>
        </w:tc>
      </w:tr>
      <w:tr>
        <w:trPr>
          <w:trHeight w:val="27"/>
        </w:trPr>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Income (Loss)</w:t>
              </w:r>
            </w:hyperlink>
          </w:p>
        </w:tc>
        <w:tc>
          <w:tcPr>
            <w:tcW w:w="1100" w:type="dxa"/>
            <w:vAlign w:val="bottom"/>
            <w:tcBorders>
              <w:bottom w:val="single" w:sz="8" w:color="CCEEFF"/>
            </w:tcBorders>
            <w:gridSpan w:val="2"/>
            <w:shd w:val="clear" w:color="auto" w:fill="CCEEFF"/>
          </w:tcPr>
          <w:p>
            <w:pPr>
              <w:jc w:val="center"/>
              <w:ind w:left="10"/>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5</w:t>
              </w:r>
            </w:hyperlink>
          </w:p>
        </w:tc>
      </w:tr>
      <w:tr>
        <w:trPr>
          <w:trHeight w:val="243"/>
        </w:trPr>
        <w:tc>
          <w:tcPr>
            <w:tcW w:w="1040" w:type="dxa"/>
            <w:vAlign w:val="bottom"/>
          </w:tcPr>
          <w:p>
            <w:pPr>
              <w:spacing w:after="0"/>
              <w:rPr>
                <w:sz w:val="21"/>
                <w:szCs w:val="21"/>
                <w:color w:val="auto"/>
              </w:rPr>
            </w:pPr>
          </w:p>
        </w:tc>
        <w:tc>
          <w:tcPr>
            <w:tcW w:w="9100" w:type="dxa"/>
            <w:vAlign w:val="bottom"/>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Income (Loss)</w:t>
              </w:r>
            </w:hyperlink>
          </w:p>
        </w:tc>
        <w:tc>
          <w:tcPr>
            <w:tcW w:w="1100" w:type="dxa"/>
            <w:vAlign w:val="bottom"/>
            <w:gridSpan w:val="2"/>
          </w:tcPr>
          <w:p>
            <w:pPr>
              <w:jc w:val="center"/>
              <w:ind w:left="10"/>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6</w:t>
              </w:r>
            </w:hyperlink>
          </w:p>
        </w:tc>
      </w:tr>
      <w:tr>
        <w:trPr>
          <w:trHeight w:val="27"/>
        </w:trPr>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Balance Sheets</w:t>
              </w:r>
            </w:hyperlink>
          </w:p>
        </w:tc>
        <w:tc>
          <w:tcPr>
            <w:tcW w:w="1100" w:type="dxa"/>
            <w:vAlign w:val="bottom"/>
            <w:tcBorders>
              <w:bottom w:val="single" w:sz="8" w:color="CCEEFF"/>
            </w:tcBorders>
            <w:gridSpan w:val="2"/>
            <w:shd w:val="clear" w:color="auto" w:fill="CCEEFF"/>
          </w:tcPr>
          <w:p>
            <w:pPr>
              <w:jc w:val="center"/>
              <w:ind w:left="10"/>
              <w:spacing w:after="0"/>
              <w:rPr>
                <w:rFonts w:ascii="Arial" w:cs="Arial" w:eastAsia="Arial" w:hAnsi="Arial"/>
                <w:sz w:val="18"/>
                <w:szCs w:val="18"/>
                <w:u w:val="single" w:color="auto"/>
                <w:color w:val="0000EE"/>
                <w:w w:val="79"/>
              </w:rPr>
            </w:pPr>
            <w:hyperlink w:anchor="page7">
              <w:r>
                <w:rPr>
                  <w:rFonts w:ascii="Arial" w:cs="Arial" w:eastAsia="Arial" w:hAnsi="Arial"/>
                  <w:sz w:val="18"/>
                  <w:szCs w:val="18"/>
                  <w:u w:val="single" w:color="auto"/>
                  <w:color w:val="0000EE"/>
                  <w:w w:val="79"/>
                </w:rPr>
                <w:t>7</w:t>
              </w:r>
            </w:hyperlink>
          </w:p>
        </w:tc>
      </w:tr>
      <w:tr>
        <w:trPr>
          <w:trHeight w:val="243"/>
        </w:trPr>
        <w:tc>
          <w:tcPr>
            <w:tcW w:w="1040" w:type="dxa"/>
            <w:vAlign w:val="bottom"/>
          </w:tcPr>
          <w:p>
            <w:pPr>
              <w:spacing w:after="0"/>
              <w:rPr>
                <w:sz w:val="21"/>
                <w:szCs w:val="21"/>
                <w:color w:val="auto"/>
              </w:rPr>
            </w:pPr>
          </w:p>
        </w:tc>
        <w:tc>
          <w:tcPr>
            <w:tcW w:w="9100" w:type="dxa"/>
            <w:vAlign w:val="bottom"/>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1100" w:type="dxa"/>
            <w:vAlign w:val="bottom"/>
            <w:gridSpan w:val="2"/>
          </w:tcPr>
          <w:p>
            <w:pPr>
              <w:jc w:val="center"/>
              <w:ind w:left="10"/>
              <w:spacing w:after="0"/>
              <w:rPr>
                <w:rFonts w:ascii="Arial" w:cs="Arial" w:eastAsia="Arial" w:hAnsi="Arial"/>
                <w:sz w:val="18"/>
                <w:szCs w:val="18"/>
                <w:u w:val="single" w:color="auto"/>
                <w:color w:val="0000EE"/>
                <w:w w:val="79"/>
              </w:rPr>
            </w:pPr>
            <w:hyperlink w:anchor="page8">
              <w:r>
                <w:rPr>
                  <w:rFonts w:ascii="Arial" w:cs="Arial" w:eastAsia="Arial" w:hAnsi="Arial"/>
                  <w:sz w:val="18"/>
                  <w:szCs w:val="18"/>
                  <w:u w:val="single" w:color="auto"/>
                  <w:color w:val="0000EE"/>
                  <w:w w:val="79"/>
                </w:rPr>
                <w:t>8</w:t>
              </w:r>
            </w:hyperlink>
          </w:p>
        </w:tc>
      </w:tr>
      <w:tr>
        <w:trPr>
          <w:trHeight w:val="27"/>
        </w:trPr>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the Condensed Consolidated Financial Statements</w:t>
              </w:r>
            </w:hyperlink>
          </w:p>
        </w:tc>
        <w:tc>
          <w:tcPr>
            <w:tcW w:w="1100" w:type="dxa"/>
            <w:vAlign w:val="bottom"/>
            <w:tcBorders>
              <w:bottom w:val="single" w:sz="8" w:color="CCEEFF"/>
            </w:tcBorders>
            <w:gridSpan w:val="2"/>
            <w:shd w:val="clear" w:color="auto" w:fill="CCEEFF"/>
          </w:tcPr>
          <w:p>
            <w:pPr>
              <w:jc w:val="center"/>
              <w:ind w:left="10"/>
              <w:spacing w:after="0"/>
              <w:rPr>
                <w:rFonts w:ascii="Arial" w:cs="Arial" w:eastAsia="Arial" w:hAnsi="Arial"/>
                <w:sz w:val="18"/>
                <w:szCs w:val="18"/>
                <w:u w:val="single" w:color="auto"/>
                <w:color w:val="0000EE"/>
                <w:w w:val="79"/>
              </w:rPr>
            </w:pPr>
            <w:hyperlink w:anchor="page9">
              <w:r>
                <w:rPr>
                  <w:rFonts w:ascii="Arial" w:cs="Arial" w:eastAsia="Arial" w:hAnsi="Arial"/>
                  <w:sz w:val="18"/>
                  <w:szCs w:val="18"/>
                  <w:u w:val="single" w:color="auto"/>
                  <w:color w:val="0000EE"/>
                  <w:w w:val="79"/>
                </w:rPr>
                <w:t>9</w:t>
              </w:r>
            </w:hyperlink>
          </w:p>
        </w:tc>
      </w:tr>
      <w:tr>
        <w:trPr>
          <w:trHeight w:val="243"/>
        </w:trPr>
        <w:tc>
          <w:tcPr>
            <w:tcW w:w="1040" w:type="dxa"/>
            <w:vAlign w:val="bottom"/>
          </w:tcPr>
          <w:p>
            <w:pPr>
              <w:ind w:left="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2</w:t>
              </w:r>
            </w:hyperlink>
          </w:p>
        </w:tc>
        <w:tc>
          <w:tcPr>
            <w:tcW w:w="9100" w:type="dxa"/>
            <w:vAlign w:val="bottom"/>
          </w:tcPr>
          <w:p>
            <w:pPr>
              <w:ind w:left="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p>
        </w:tc>
        <w:tc>
          <w:tcPr>
            <w:tcW w:w="1100" w:type="dxa"/>
            <w:vAlign w:val="bottom"/>
            <w:gridSpan w:val="2"/>
          </w:tcPr>
          <w:p>
            <w:pPr>
              <w:jc w:val="center"/>
              <w:ind w:left="30"/>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31</w:t>
              </w:r>
            </w:hyperlink>
          </w:p>
        </w:tc>
      </w:tr>
      <w:tr>
        <w:trPr>
          <w:trHeight w:val="27"/>
        </w:trPr>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3</w:t>
              </w:r>
            </w:hyperlink>
          </w:p>
        </w:tc>
        <w:tc>
          <w:tcPr>
            <w:tcW w:w="91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Quantitative and Qualitative Disclosures About Market Risk</w:t>
              </w:r>
            </w:hyperlink>
          </w:p>
        </w:tc>
        <w:tc>
          <w:tcPr>
            <w:tcW w:w="1100" w:type="dxa"/>
            <w:vAlign w:val="bottom"/>
            <w:tcBorders>
              <w:bottom w:val="single" w:sz="8" w:color="CCEEFF"/>
            </w:tcBorders>
            <w:gridSpan w:val="2"/>
            <w:shd w:val="clear" w:color="auto" w:fill="CCEEFF"/>
          </w:tcPr>
          <w:p>
            <w:pPr>
              <w:jc w:val="center"/>
              <w:ind w:left="30"/>
              <w:spacing w:after="0"/>
              <w:rPr>
                <w:rFonts w:ascii="Arial" w:cs="Arial" w:eastAsia="Arial" w:hAnsi="Arial"/>
                <w:sz w:val="18"/>
                <w:szCs w:val="18"/>
                <w:u w:val="single" w:color="auto"/>
                <w:color w:val="0000EE"/>
                <w:w w:val="89"/>
              </w:rPr>
            </w:pPr>
            <w:hyperlink w:anchor="page39">
              <w:r>
                <w:rPr>
                  <w:rFonts w:ascii="Arial" w:cs="Arial" w:eastAsia="Arial" w:hAnsi="Arial"/>
                  <w:sz w:val="18"/>
                  <w:szCs w:val="18"/>
                  <w:u w:val="single" w:color="auto"/>
                  <w:color w:val="0000EE"/>
                  <w:w w:val="89"/>
                </w:rPr>
                <w:t>39</w:t>
              </w:r>
            </w:hyperlink>
          </w:p>
        </w:tc>
      </w:tr>
      <w:tr>
        <w:trPr>
          <w:trHeight w:val="243"/>
        </w:trPr>
        <w:tc>
          <w:tcPr>
            <w:tcW w:w="1040" w:type="dxa"/>
            <w:vAlign w:val="bottom"/>
          </w:tcPr>
          <w:p>
            <w:pPr>
              <w:ind w:left="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4</w:t>
              </w:r>
            </w:hyperlink>
          </w:p>
        </w:tc>
        <w:tc>
          <w:tcPr>
            <w:tcW w:w="9100" w:type="dxa"/>
            <w:vAlign w:val="bottom"/>
          </w:tcPr>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Controls and Procedures</w:t>
              </w:r>
            </w:hyperlink>
          </w:p>
        </w:tc>
        <w:tc>
          <w:tcPr>
            <w:tcW w:w="1100" w:type="dxa"/>
            <w:vAlign w:val="bottom"/>
            <w:gridSpan w:val="2"/>
          </w:tcPr>
          <w:p>
            <w:pPr>
              <w:jc w:val="center"/>
              <w:ind w:left="30"/>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40</w:t>
              </w:r>
            </w:hyperlink>
          </w:p>
        </w:tc>
      </w:tr>
      <w:tr>
        <w:trPr>
          <w:trHeight w:val="27"/>
        </w:trPr>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5"/>
        </w:trPr>
        <w:tc>
          <w:tcPr>
            <w:tcW w:w="1040" w:type="dxa"/>
            <w:vAlign w:val="bottom"/>
            <w:tcBorders>
              <w:bottom w:val="single" w:sz="8" w:color="CCEEFF"/>
            </w:tcBorders>
            <w:shd w:val="clear" w:color="auto" w:fill="CCEEFF"/>
          </w:tcPr>
          <w:p>
            <w:pPr>
              <w:spacing w:after="0"/>
              <w:rPr>
                <w:sz w:val="24"/>
                <w:szCs w:val="24"/>
                <w:color w:val="auto"/>
              </w:rPr>
            </w:pPr>
          </w:p>
        </w:tc>
        <w:tc>
          <w:tcPr>
            <w:tcW w:w="9100" w:type="dxa"/>
            <w:vAlign w:val="bottom"/>
            <w:tcBorders>
              <w:bottom w:val="single" w:sz="8" w:color="CCEEFF"/>
            </w:tcBorders>
            <w:shd w:val="clear" w:color="auto" w:fill="CCEEFF"/>
          </w:tcPr>
          <w:p>
            <w:pPr>
              <w:ind w:left="3160"/>
              <w:spacing w:after="0"/>
              <w:rPr>
                <w:sz w:val="20"/>
                <w:szCs w:val="20"/>
                <w:color w:val="auto"/>
              </w:rPr>
            </w:pPr>
            <w:r>
              <w:rPr>
                <w:rFonts w:ascii="Arial" w:cs="Arial" w:eastAsia="Arial" w:hAnsi="Arial"/>
                <w:sz w:val="18"/>
                <w:szCs w:val="18"/>
                <w:b w:val="1"/>
                <w:bCs w:val="1"/>
                <w:color w:val="auto"/>
              </w:rPr>
              <w:t>PART II. OTHER INFORMATION</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r>
      <w:tr>
        <w:trPr>
          <w:trHeight w:val="230"/>
        </w:trPr>
        <w:tc>
          <w:tcPr>
            <w:tcW w:w="1040" w:type="dxa"/>
            <w:vAlign w:val="bottom"/>
            <w:tcBorders>
              <w:top w:val="single" w:sz="8" w:color="CCEEFF"/>
            </w:tcBorders>
          </w:tcPr>
          <w:p>
            <w:pPr>
              <w:ind w:left="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1</w:t>
              </w:r>
            </w:hyperlink>
          </w:p>
        </w:tc>
        <w:tc>
          <w:tcPr>
            <w:tcW w:w="9100" w:type="dxa"/>
            <w:vAlign w:val="bottom"/>
            <w:tcBorders>
              <w:top w:val="single" w:sz="8" w:color="auto"/>
            </w:tcBorders>
          </w:tcPr>
          <w:p>
            <w:pPr>
              <w:ind w:lef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Legal Proceedings</w:t>
              </w:r>
            </w:hyperlink>
          </w:p>
        </w:tc>
        <w:tc>
          <w:tcPr>
            <w:tcW w:w="1100" w:type="dxa"/>
            <w:vAlign w:val="bottom"/>
            <w:tcBorders>
              <w:top w:val="single" w:sz="8" w:color="CCEEFF"/>
            </w:tcBorders>
            <w:gridSpan w:val="2"/>
          </w:tcPr>
          <w:p>
            <w:pPr>
              <w:jc w:val="center"/>
              <w:ind w:left="30"/>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41</w:t>
              </w:r>
            </w:hyperlink>
          </w:p>
        </w:tc>
      </w:tr>
      <w:tr>
        <w:trPr>
          <w:trHeight w:val="27"/>
        </w:trPr>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1A</w:t>
              </w:r>
            </w:hyperlink>
          </w:p>
        </w:tc>
        <w:tc>
          <w:tcPr>
            <w:tcW w:w="91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Risk Factors</w:t>
              </w:r>
            </w:hyperlink>
          </w:p>
        </w:tc>
        <w:tc>
          <w:tcPr>
            <w:tcW w:w="1100" w:type="dxa"/>
            <w:vAlign w:val="bottom"/>
            <w:tcBorders>
              <w:bottom w:val="single" w:sz="8" w:color="CCEEFF"/>
            </w:tcBorders>
            <w:gridSpan w:val="2"/>
            <w:shd w:val="clear" w:color="auto" w:fill="CCEEFF"/>
          </w:tcPr>
          <w:p>
            <w:pPr>
              <w:jc w:val="center"/>
              <w:ind w:left="30"/>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41</w:t>
              </w:r>
            </w:hyperlink>
          </w:p>
        </w:tc>
      </w:tr>
      <w:tr>
        <w:trPr>
          <w:trHeight w:val="243"/>
        </w:trPr>
        <w:tc>
          <w:tcPr>
            <w:tcW w:w="1040" w:type="dxa"/>
            <w:vAlign w:val="bottom"/>
          </w:tcPr>
          <w:p>
            <w:pPr>
              <w:ind w:left="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2</w:t>
              </w:r>
            </w:hyperlink>
          </w:p>
        </w:tc>
        <w:tc>
          <w:tcPr>
            <w:tcW w:w="9100" w:type="dxa"/>
            <w:vAlign w:val="bottom"/>
          </w:tcPr>
          <w:p>
            <w:pPr>
              <w:ind w:left="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Unregistered Sales of Equity Securities and Use of Proceeds</w:t>
              </w:r>
            </w:hyperlink>
          </w:p>
        </w:tc>
        <w:tc>
          <w:tcPr>
            <w:tcW w:w="1100" w:type="dxa"/>
            <w:vAlign w:val="bottom"/>
            <w:gridSpan w:val="2"/>
          </w:tcPr>
          <w:p>
            <w:pPr>
              <w:jc w:val="center"/>
              <w:ind w:left="30"/>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42</w:t>
              </w:r>
            </w:hyperlink>
          </w:p>
        </w:tc>
      </w:tr>
      <w:tr>
        <w:trPr>
          <w:trHeight w:val="27"/>
        </w:trPr>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3</w:t>
              </w:r>
            </w:hyperlink>
          </w:p>
        </w:tc>
        <w:tc>
          <w:tcPr>
            <w:tcW w:w="91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Defaults Upon Senior Securities</w:t>
              </w:r>
            </w:hyperlink>
          </w:p>
        </w:tc>
        <w:tc>
          <w:tcPr>
            <w:tcW w:w="1100" w:type="dxa"/>
            <w:vAlign w:val="bottom"/>
            <w:tcBorders>
              <w:bottom w:val="single" w:sz="8" w:color="CCEEFF"/>
            </w:tcBorders>
            <w:gridSpan w:val="2"/>
            <w:shd w:val="clear" w:color="auto" w:fill="CCEEFF"/>
          </w:tcPr>
          <w:p>
            <w:pPr>
              <w:jc w:val="center"/>
              <w:ind w:left="30"/>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42</w:t>
              </w:r>
            </w:hyperlink>
          </w:p>
        </w:tc>
      </w:tr>
      <w:tr>
        <w:trPr>
          <w:trHeight w:val="243"/>
        </w:trPr>
        <w:tc>
          <w:tcPr>
            <w:tcW w:w="1040" w:type="dxa"/>
            <w:vAlign w:val="bottom"/>
          </w:tcPr>
          <w:p>
            <w:pPr>
              <w:ind w:left="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4</w:t>
              </w:r>
            </w:hyperlink>
          </w:p>
        </w:tc>
        <w:tc>
          <w:tcPr>
            <w:tcW w:w="9100" w:type="dxa"/>
            <w:vAlign w:val="bottom"/>
          </w:tcPr>
          <w:p>
            <w:pPr>
              <w:ind w:left="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Mine Safety Disclosures</w:t>
              </w:r>
            </w:hyperlink>
          </w:p>
        </w:tc>
        <w:tc>
          <w:tcPr>
            <w:tcW w:w="1100" w:type="dxa"/>
            <w:vAlign w:val="bottom"/>
            <w:gridSpan w:val="2"/>
          </w:tcPr>
          <w:p>
            <w:pPr>
              <w:jc w:val="center"/>
              <w:ind w:left="30"/>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42</w:t>
              </w:r>
            </w:hyperlink>
          </w:p>
        </w:tc>
      </w:tr>
      <w:tr>
        <w:trPr>
          <w:trHeight w:val="27"/>
        </w:trPr>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5</w:t>
              </w:r>
            </w:hyperlink>
          </w:p>
        </w:tc>
        <w:tc>
          <w:tcPr>
            <w:tcW w:w="91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Other Information</w:t>
              </w:r>
            </w:hyperlink>
          </w:p>
        </w:tc>
        <w:tc>
          <w:tcPr>
            <w:tcW w:w="1100" w:type="dxa"/>
            <w:vAlign w:val="bottom"/>
            <w:tcBorders>
              <w:bottom w:val="single" w:sz="8" w:color="CCEEFF"/>
            </w:tcBorders>
            <w:gridSpan w:val="2"/>
            <w:shd w:val="clear" w:color="auto" w:fill="CCEEFF"/>
          </w:tcPr>
          <w:p>
            <w:pPr>
              <w:jc w:val="center"/>
              <w:ind w:left="30"/>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42</w:t>
              </w:r>
            </w:hyperlink>
          </w:p>
        </w:tc>
      </w:tr>
      <w:tr>
        <w:trPr>
          <w:trHeight w:val="243"/>
        </w:trPr>
        <w:tc>
          <w:tcPr>
            <w:tcW w:w="1040" w:type="dxa"/>
            <w:vAlign w:val="bottom"/>
          </w:tcPr>
          <w:p>
            <w:pPr>
              <w:ind w:left="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6</w:t>
              </w:r>
            </w:hyperlink>
          </w:p>
        </w:tc>
        <w:tc>
          <w:tcPr>
            <w:tcW w:w="9100" w:type="dxa"/>
            <w:vAlign w:val="bottom"/>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Exhibits</w:t>
              </w:r>
            </w:hyperlink>
          </w:p>
        </w:tc>
        <w:tc>
          <w:tcPr>
            <w:tcW w:w="1100" w:type="dxa"/>
            <w:vAlign w:val="bottom"/>
            <w:gridSpan w:val="2"/>
          </w:tcPr>
          <w:p>
            <w:pPr>
              <w:jc w:val="center"/>
              <w:ind w:left="30"/>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43</w:t>
              </w:r>
            </w:hyperlink>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Quarterly Report on Form 10-Q,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59" w:lineRule="exact"/>
        <w:rPr>
          <w:sz w:val="20"/>
          <w:szCs w:val="20"/>
          <w:color w:val="auto"/>
        </w:rPr>
      </w:pPr>
    </w:p>
    <w:p>
      <w:pPr>
        <w:ind w:left="660" w:right="20" w:hanging="328"/>
        <w:spacing w:after="0" w:line="1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the VITARIA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and our proprietary pulse generator products: Model 102 (Pulse™), Model 102R (Pulse Duo™), Model 103 (Demipulse</w:t>
      </w:r>
      <w:r>
        <w:rPr>
          <w:rFonts w:ascii="Arial" w:cs="Arial" w:eastAsia="Arial" w:hAnsi="Arial"/>
          <w:sz w:val="28"/>
          <w:szCs w:val="28"/>
          <w:color w:val="auto"/>
          <w:vertAlign w:val="superscript"/>
        </w:rPr>
        <w:t>®</w:t>
      </w:r>
      <w:r>
        <w:rPr>
          <w:rFonts w:ascii="Arial" w:cs="Arial" w:eastAsia="Arial" w:hAnsi="Arial"/>
          <w:sz w:val="18"/>
          <w:szCs w:val="18"/>
          <w:color w:val="auto"/>
        </w:rPr>
        <w:t>), Model 104 (Demipulse Duo</w:t>
      </w:r>
      <w:r>
        <w:rPr>
          <w:rFonts w:ascii="Arial" w:cs="Arial" w:eastAsia="Arial" w:hAnsi="Arial"/>
          <w:sz w:val="28"/>
          <w:szCs w:val="28"/>
          <w:color w:val="auto"/>
          <w:vertAlign w:val="superscript"/>
        </w:rPr>
        <w:t>®</w:t>
      </w:r>
      <w:r>
        <w:rPr>
          <w:rFonts w:ascii="Arial" w:cs="Arial" w:eastAsia="Arial" w:hAnsi="Arial"/>
          <w:sz w:val="18"/>
          <w:szCs w:val="18"/>
          <w:color w:val="auto"/>
        </w:rPr>
        <w:t>), Model 105 (AspireHC</w:t>
      </w:r>
      <w:r>
        <w:rPr>
          <w:rFonts w:ascii="Arial" w:cs="Arial" w:eastAsia="Arial" w:hAnsi="Arial"/>
          <w:sz w:val="28"/>
          <w:szCs w:val="28"/>
          <w:color w:val="auto"/>
          <w:vertAlign w:val="superscript"/>
        </w:rPr>
        <w:t>®</w:t>
      </w:r>
      <w:r>
        <w:rPr>
          <w:rFonts w:ascii="Arial" w:cs="Arial" w:eastAsia="Arial" w:hAnsi="Arial"/>
          <w:sz w:val="18"/>
          <w:szCs w:val="18"/>
          <w:color w:val="auto"/>
        </w:rPr>
        <w:t>), Model 106 (AspireSR</w:t>
      </w:r>
      <w:r>
        <w:rPr>
          <w:rFonts w:ascii="Arial" w:cs="Arial" w:eastAsia="Arial" w:hAnsi="Arial"/>
          <w:sz w:val="28"/>
          <w:szCs w:val="28"/>
          <w:color w:val="auto"/>
          <w:vertAlign w:val="superscript"/>
        </w:rPr>
        <w:t>®</w:t>
      </w:r>
      <w:r>
        <w:rPr>
          <w:rFonts w:ascii="Arial" w:cs="Arial" w:eastAsia="Arial" w:hAnsi="Arial"/>
          <w:sz w:val="18"/>
          <w:szCs w:val="18"/>
          <w:color w:val="auto"/>
        </w:rPr>
        <w:t>), Model 1000 (SenTiva™) and Model 8103 (Symmetry</w:t>
      </w:r>
      <w:r>
        <w:rPr>
          <w:rFonts w:ascii="Arial" w:cs="Arial" w:eastAsia="Arial" w:hAnsi="Arial"/>
          <w:sz w:val="28"/>
          <w:szCs w:val="28"/>
          <w:color w:val="auto"/>
          <w:vertAlign w:val="superscript"/>
        </w:rPr>
        <w:t>®)</w:t>
      </w:r>
      <w:r>
        <w:rPr>
          <w:rFonts w:ascii="Arial" w:cs="Arial" w:eastAsia="Arial" w:hAnsi="Arial"/>
          <w:sz w:val="18"/>
          <w:szCs w:val="18"/>
          <w:color w:val="auto"/>
        </w:rPr>
        <w:t>.</w:t>
      </w:r>
    </w:p>
    <w:p>
      <w:pPr>
        <w:spacing w:after="0" w:line="3" w:lineRule="exact"/>
        <w:rPr>
          <w:rFonts w:ascii="Arial" w:cs="Arial" w:eastAsia="Arial" w:hAnsi="Arial"/>
          <w:sz w:val="18"/>
          <w:szCs w:val="18"/>
          <w:color w:val="auto"/>
        </w:rPr>
      </w:pPr>
    </w:p>
    <w:p>
      <w:pPr>
        <w:ind w:left="660" w:right="54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Cardiopulmonary product systems: S5</w:t>
      </w:r>
      <w:r>
        <w:rPr>
          <w:rFonts w:ascii="Arial" w:cs="Arial" w:eastAsia="Arial" w:hAnsi="Arial"/>
          <w:sz w:val="28"/>
          <w:szCs w:val="28"/>
          <w:color w:val="auto"/>
          <w:vertAlign w:val="superscript"/>
        </w:rPr>
        <w:t>®</w:t>
      </w:r>
      <w:r>
        <w:rPr>
          <w:rFonts w:ascii="Arial" w:cs="Arial" w:eastAsia="Arial" w:hAnsi="Arial"/>
          <w:sz w:val="18"/>
          <w:szCs w:val="18"/>
          <w:color w:val="auto"/>
        </w:rPr>
        <w:t xml:space="preserve"> heart-lung machine, S3™ heart-lung machine, Inspire™, Heartlink™, XTRA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Autotransfusion System, 3T Heater-Cooler™, Connect™ and Revolution</w:t>
      </w:r>
      <w:r>
        <w:rPr>
          <w:rFonts w:ascii="Arial" w:cs="Arial" w:eastAsia="Arial" w:hAnsi="Arial"/>
          <w:sz w:val="28"/>
          <w:szCs w:val="28"/>
          <w:color w:val="auto"/>
          <w:vertAlign w:val="superscript"/>
        </w:rPr>
        <w:t>®</w:t>
      </w:r>
      <w:r>
        <w:rPr>
          <w:rFonts w:ascii="Arial" w:cs="Arial" w:eastAsia="Arial" w:hAnsi="Arial"/>
          <w:sz w:val="21"/>
          <w:szCs w:val="21"/>
          <w:color w:val="auto"/>
        </w:rPr>
        <w:t>.</w:t>
      </w:r>
    </w:p>
    <w:p>
      <w:pPr>
        <w:ind w:left="660" w:right="200" w:hanging="328"/>
        <w:spacing w:after="0" w:line="1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line of surgical tissue and mechanical valve replacements and repair products: Mitroflow</w:t>
      </w:r>
      <w:r>
        <w:rPr>
          <w:rFonts w:ascii="Arial" w:cs="Arial" w:eastAsia="Arial" w:hAnsi="Arial"/>
          <w:sz w:val="28"/>
          <w:szCs w:val="28"/>
          <w:color w:val="auto"/>
          <w:vertAlign w:val="superscript"/>
        </w:rPr>
        <w:t>®</w:t>
      </w:r>
      <w:r>
        <w:rPr>
          <w:rFonts w:ascii="Arial" w:cs="Arial" w:eastAsia="Arial" w:hAnsi="Arial"/>
          <w:sz w:val="18"/>
          <w:szCs w:val="18"/>
          <w:color w:val="auto"/>
        </w:rPr>
        <w:t>, Crown PRT</w:t>
      </w:r>
      <w:r>
        <w:rPr>
          <w:rFonts w:ascii="Arial" w:cs="Arial" w:eastAsia="Arial" w:hAnsi="Arial"/>
          <w:sz w:val="28"/>
          <w:szCs w:val="28"/>
          <w:color w:val="auto"/>
          <w:vertAlign w:val="superscript"/>
        </w:rPr>
        <w:t>®</w:t>
      </w:r>
      <w:r>
        <w:rPr>
          <w:rFonts w:ascii="Arial" w:cs="Arial" w:eastAsia="Arial" w:hAnsi="Arial"/>
          <w:sz w:val="18"/>
          <w:szCs w:val="18"/>
          <w:color w:val="auto"/>
        </w:rPr>
        <w:t>, Solo Smart™, Perceval</w:t>
      </w:r>
      <w:r>
        <w:rPr>
          <w:rFonts w:ascii="Arial" w:cs="Arial" w:eastAsia="Arial" w:hAnsi="Arial"/>
          <w:sz w:val="28"/>
          <w:szCs w:val="28"/>
          <w:color w:val="auto"/>
          <w:vertAlign w:val="superscript"/>
        </w:rPr>
        <w:t>®</w:t>
      </w:r>
      <w:r>
        <w:rPr>
          <w:rFonts w:ascii="Arial" w:cs="Arial" w:eastAsia="Arial" w:hAnsi="Arial"/>
          <w:sz w:val="18"/>
          <w:szCs w:val="18"/>
          <w:color w:val="auto"/>
        </w:rPr>
        <w:t>, Miami Instruments™, Top Hat</w:t>
      </w:r>
      <w:r>
        <w:rPr>
          <w:rFonts w:ascii="Arial" w:cs="Arial" w:eastAsia="Arial" w:hAnsi="Arial"/>
          <w:sz w:val="28"/>
          <w:szCs w:val="28"/>
          <w:color w:val="auto"/>
          <w:vertAlign w:val="superscript"/>
        </w:rPr>
        <w:t>®</w:t>
      </w:r>
      <w:r>
        <w:rPr>
          <w:rFonts w:ascii="Arial" w:cs="Arial" w:eastAsia="Arial" w:hAnsi="Arial"/>
          <w:sz w:val="18"/>
          <w:szCs w:val="18"/>
          <w:color w:val="auto"/>
        </w:rPr>
        <w:t>, Reduced Series Aortic Valves™, Carbomedics</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Carbo-Seal</w:t>
      </w:r>
      <w:r>
        <w:rPr>
          <w:rFonts w:ascii="Arial" w:cs="Arial" w:eastAsia="Arial" w:hAnsi="Arial"/>
          <w:sz w:val="28"/>
          <w:szCs w:val="28"/>
          <w:color w:val="auto"/>
          <w:vertAlign w:val="superscript"/>
        </w:rPr>
        <w:t>®</w:t>
      </w:r>
      <w:r>
        <w:rPr>
          <w:rFonts w:ascii="Arial" w:cs="Arial" w:eastAsia="Arial" w:hAnsi="Arial"/>
          <w:sz w:val="18"/>
          <w:szCs w:val="18"/>
          <w:color w:val="auto"/>
        </w:rPr>
        <w:t>, Carbo-Seal Valsalva</w:t>
      </w:r>
      <w:r>
        <w:rPr>
          <w:rFonts w:ascii="Arial" w:cs="Arial" w:eastAsia="Arial" w:hAnsi="Arial"/>
          <w:sz w:val="28"/>
          <w:szCs w:val="28"/>
          <w:color w:val="auto"/>
          <w:vertAlign w:val="superscript"/>
        </w:rPr>
        <w:t>®</w:t>
      </w:r>
      <w:r>
        <w:rPr>
          <w:rFonts w:ascii="Arial" w:cs="Arial" w:eastAsia="Arial" w:hAnsi="Arial"/>
          <w:sz w:val="18"/>
          <w:szCs w:val="18"/>
          <w:color w:val="auto"/>
        </w:rPr>
        <w:t>, Carbomedics Standard™, Orbis™ and Optiform</w:t>
      </w:r>
      <w:r>
        <w:rPr>
          <w:rFonts w:ascii="Arial" w:cs="Arial" w:eastAsia="Arial" w:hAnsi="Arial"/>
          <w:sz w:val="28"/>
          <w:szCs w:val="28"/>
          <w:color w:val="auto"/>
          <w:vertAlign w:val="superscript"/>
        </w:rPr>
        <w:t>®</w:t>
      </w:r>
      <w:r>
        <w:rPr>
          <w:rFonts w:ascii="Arial" w:cs="Arial" w:eastAsia="Arial" w:hAnsi="Arial"/>
          <w:sz w:val="18"/>
          <w:szCs w:val="18"/>
          <w:color w:val="auto"/>
        </w:rPr>
        <w:t>, Memo 3D</w:t>
      </w:r>
      <w:r>
        <w:rPr>
          <w:rFonts w:ascii="Arial" w:cs="Arial" w:eastAsia="Arial" w:hAnsi="Arial"/>
          <w:sz w:val="28"/>
          <w:szCs w:val="28"/>
          <w:color w:val="auto"/>
          <w:vertAlign w:val="superscript"/>
        </w:rPr>
        <w:t>®</w:t>
      </w:r>
      <w:r>
        <w:rPr>
          <w:rFonts w:ascii="Arial" w:cs="Arial" w:eastAsia="Arial" w:hAnsi="Arial"/>
          <w:sz w:val="18"/>
          <w:szCs w:val="18"/>
          <w:color w:val="auto"/>
        </w:rPr>
        <w:t>, Memo 3D ReChord™, MEMO 4D</w:t>
      </w:r>
      <w:r>
        <w:rPr>
          <w:rFonts w:ascii="Arial" w:cs="Arial" w:eastAsia="Arial" w:hAnsi="Arial"/>
          <w:sz w:val="28"/>
          <w:szCs w:val="28"/>
          <w:color w:val="auto"/>
          <w:vertAlign w:val="superscript"/>
        </w:rPr>
        <w:t>®</w:t>
      </w:r>
      <w:r>
        <w:rPr>
          <w:rFonts w:ascii="Arial" w:cs="Arial" w:eastAsia="Arial" w:hAnsi="Arial"/>
          <w:sz w:val="18"/>
          <w:szCs w:val="18"/>
          <w:color w:val="auto"/>
        </w:rPr>
        <w:t>, MEMO 4D</w:t>
      </w:r>
      <w:r>
        <w:rPr>
          <w:rFonts w:ascii="Arial" w:cs="Arial" w:eastAsia="Arial" w:hAnsi="Arial"/>
          <w:sz w:val="28"/>
          <w:szCs w:val="28"/>
          <w:color w:val="auto"/>
          <w:vertAlign w:val="superscript"/>
        </w:rPr>
        <w:t>®</w:t>
      </w:r>
      <w:r>
        <w:rPr>
          <w:rFonts w:ascii="Arial" w:cs="Arial" w:eastAsia="Arial" w:hAnsi="Arial"/>
          <w:sz w:val="18"/>
          <w:szCs w:val="18"/>
          <w:color w:val="auto"/>
        </w:rPr>
        <w:t xml:space="preserve"> ReChord™, AnnuloFlo</w:t>
      </w:r>
      <w:r>
        <w:rPr>
          <w:rFonts w:ascii="Arial" w:cs="Arial" w:eastAsia="Arial" w:hAnsi="Arial"/>
          <w:sz w:val="28"/>
          <w:szCs w:val="28"/>
          <w:color w:val="auto"/>
          <w:vertAlign w:val="superscript"/>
        </w:rPr>
        <w:t>®</w:t>
      </w:r>
      <w:r>
        <w:rPr>
          <w:rFonts w:ascii="Arial" w:cs="Arial" w:eastAsia="Arial" w:hAnsi="Arial"/>
          <w:sz w:val="18"/>
          <w:szCs w:val="18"/>
          <w:color w:val="auto"/>
        </w:rPr>
        <w:t>, AnnuloFlex</w:t>
      </w:r>
      <w:r>
        <w:rPr>
          <w:rFonts w:ascii="Arial" w:cs="Arial" w:eastAsia="Arial" w:hAnsi="Arial"/>
          <w:sz w:val="28"/>
          <w:szCs w:val="28"/>
          <w:color w:val="auto"/>
          <w:vertAlign w:val="superscript"/>
        </w:rPr>
        <w:t>®</w:t>
      </w:r>
      <w:r>
        <w:rPr>
          <w:rFonts w:ascii="Arial" w:cs="Arial" w:eastAsia="Arial" w:hAnsi="Arial"/>
          <w:sz w:val="18"/>
          <w:szCs w:val="18"/>
          <w:color w:val="auto"/>
        </w:rPr>
        <w:t>, Bicarbon Slimline™, Bicarbon Filtline™ and Bicarbon Overline</w:t>
      </w:r>
      <w:r>
        <w:rPr>
          <w:rFonts w:ascii="Arial" w:cs="Arial" w:eastAsia="Arial" w:hAnsi="Arial"/>
          <w:sz w:val="28"/>
          <w:szCs w:val="28"/>
          <w:color w:val="auto"/>
          <w:vertAlign w:val="superscript"/>
        </w:rPr>
        <w:t>®</w:t>
      </w:r>
      <w:r>
        <w:rPr>
          <w:rFonts w:ascii="Arial" w:cs="Arial" w:eastAsia="Arial" w:hAnsi="Arial"/>
          <w:sz w:val="18"/>
          <w:szCs w:val="18"/>
          <w:color w:val="auto"/>
        </w:rPr>
        <w:t>.</w:t>
      </w:r>
    </w:p>
    <w:p>
      <w:pPr>
        <w:ind w:left="660" w:hanging="328"/>
        <w:spacing w:after="0" w:line="21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Trademarks for our advanced circulatory support systems: TandemLife</w:t>
      </w:r>
      <w:r>
        <w:rPr>
          <w:rFonts w:ascii="Arial" w:cs="Arial" w:eastAsia="Arial" w:hAnsi="Arial"/>
          <w:sz w:val="27"/>
          <w:szCs w:val="27"/>
          <w:color w:val="auto"/>
          <w:vertAlign w:val="superscript"/>
        </w:rPr>
        <w:t>®</w:t>
      </w:r>
      <w:r>
        <w:rPr>
          <w:rFonts w:ascii="Arial" w:cs="Arial" w:eastAsia="Arial" w:hAnsi="Arial"/>
          <w:sz w:val="17"/>
          <w:szCs w:val="17"/>
          <w:color w:val="auto"/>
        </w:rPr>
        <w:t>, TandemHeart</w:t>
      </w:r>
      <w:r>
        <w:rPr>
          <w:rFonts w:ascii="Arial" w:cs="Arial" w:eastAsia="Arial" w:hAnsi="Arial"/>
          <w:sz w:val="27"/>
          <w:szCs w:val="27"/>
          <w:color w:val="auto"/>
          <w:vertAlign w:val="superscript"/>
        </w:rPr>
        <w:t>®</w:t>
      </w:r>
      <w:r>
        <w:rPr>
          <w:rFonts w:ascii="Arial" w:cs="Arial" w:eastAsia="Arial" w:hAnsi="Arial"/>
          <w:sz w:val="17"/>
          <w:szCs w:val="17"/>
          <w:color w:val="auto"/>
        </w:rPr>
        <w:t>, TandemLung</w:t>
      </w:r>
      <w:r>
        <w:rPr>
          <w:rFonts w:ascii="Arial" w:cs="Arial" w:eastAsia="Arial" w:hAnsi="Arial"/>
          <w:sz w:val="27"/>
          <w:szCs w:val="27"/>
          <w:color w:val="auto"/>
          <w:vertAlign w:val="superscript"/>
        </w:rPr>
        <w:t>®</w:t>
      </w:r>
      <w:r>
        <w:rPr>
          <w:rFonts w:ascii="Arial" w:cs="Arial" w:eastAsia="Arial" w:hAnsi="Arial"/>
          <w:sz w:val="17"/>
          <w:szCs w:val="17"/>
          <w:color w:val="auto"/>
        </w:rPr>
        <w:t>, ProtekDuo</w:t>
      </w:r>
      <w:r>
        <w:rPr>
          <w:rFonts w:ascii="Arial" w:cs="Arial" w:eastAsia="Arial" w:hAnsi="Arial"/>
          <w:sz w:val="27"/>
          <w:szCs w:val="27"/>
          <w:color w:val="auto"/>
          <w:vertAlign w:val="superscript"/>
        </w:rPr>
        <w:t>®</w:t>
      </w:r>
      <w:r>
        <w:rPr>
          <w:rFonts w:ascii="Arial" w:cs="Arial" w:eastAsia="Arial" w:hAnsi="Arial"/>
          <w:sz w:val="17"/>
          <w:szCs w:val="17"/>
          <w:color w:val="auto"/>
        </w:rPr>
        <w:t>, and LifeSPARC™.</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obstructive sleep apnea system: ImThera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Aura6000</w:t>
      </w:r>
      <w:r>
        <w:rPr>
          <w:rFonts w:ascii="Arial" w:cs="Arial" w:eastAsia="Arial" w:hAnsi="Arial"/>
          <w:sz w:val="28"/>
          <w:szCs w:val="28"/>
          <w:color w:val="auto"/>
          <w:vertAlign w:val="superscript"/>
        </w:rPr>
        <w:t>®</w:t>
      </w:r>
      <w:r>
        <w:rPr>
          <w:rFonts w:ascii="Arial" w:cs="Arial" w:eastAsia="Arial" w:hAnsi="Arial"/>
          <w:sz w:val="18"/>
          <w:szCs w:val="18"/>
          <w:color w:val="auto"/>
        </w:rPr>
        <w:t>.</w:t>
      </w:r>
    </w:p>
    <w:p>
      <w:pPr>
        <w:spacing w:after="0" w:line="67" w:lineRule="exact"/>
        <w:rPr>
          <w:sz w:val="20"/>
          <w:szCs w:val="20"/>
          <w:color w:val="auto"/>
        </w:rPr>
      </w:pPr>
    </w:p>
    <w:p>
      <w:pPr>
        <w:ind w:right="100" w:firstLine="162"/>
        <w:spacing w:after="0" w:line="261" w:lineRule="auto"/>
        <w:rPr>
          <w:sz w:val="20"/>
          <w:szCs w:val="20"/>
          <w:color w:val="auto"/>
        </w:rPr>
      </w:pPr>
      <w:r>
        <w:rPr>
          <w:rFonts w:ascii="Arial" w:cs="Arial" w:eastAsia="Arial" w:hAnsi="Arial"/>
          <w:sz w:val="18"/>
          <w:szCs w:val="18"/>
          <w:color w:val="auto"/>
        </w:rPr>
        <w:t xml:space="preserve">These trademarks and trade names are the property of LivaNova or the property of our consolidated subsidiaries and are protected under applicable intellectual property laws. Solely for convenience, our trademarks and tradenames referred to in this Quarterly Report on Form 10-Q may appear without the </w:t>
      </w:r>
      <w:r>
        <w:rPr>
          <w:rFonts w:ascii="Arial" w:cs="Arial" w:eastAsia="Arial" w:hAnsi="Arial"/>
          <w:sz w:val="28"/>
          <w:szCs w:val="28"/>
          <w:color w:val="auto"/>
          <w:vertAlign w:val="superscript"/>
        </w:rPr>
        <w:t>®</w:t>
      </w:r>
      <w:r>
        <w:rPr>
          <w:rFonts w:ascii="Arial" w:cs="Arial" w:eastAsia="Arial" w:hAnsi="Arial"/>
          <w:sz w:val="18"/>
          <w:szCs w:val="18"/>
          <w:color w:val="auto"/>
        </w:rPr>
        <w:t xml:space="preserve"> or </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to these trademarks and tradenames.</w:t>
      </w:r>
    </w:p>
    <w:p>
      <w:pPr>
        <w:spacing w:after="0" w:line="190"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62"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Certain statements in this Quarterly Report on Form 10-Q, other than purely historical information, are “forward-looking statements” within the meaning of the Private Securities Litigation Reform Act of 1995, Section 27A of the Securities Act of 1933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78" w:lineRule="exact"/>
        <w:rPr>
          <w:sz w:val="20"/>
          <w:szCs w:val="20"/>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common stock price;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580" w:right="160" w:hanging="329"/>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117" w:lineRule="exact"/>
        <w:rPr>
          <w:rFonts w:ascii="Arial" w:cs="Arial" w:eastAsia="Arial" w:hAnsi="Arial"/>
          <w:sz w:val="18"/>
          <w:szCs w:val="18"/>
          <w:color w:val="auto"/>
        </w:rPr>
      </w:pPr>
    </w:p>
    <w:p>
      <w:pPr>
        <w:ind w:left="580" w:right="100" w:hanging="329"/>
        <w:spacing w:after="0" w:line="25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78"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obtain or maintain coverage and reimbursement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7" w:lineRule="exact"/>
        <w:rPr>
          <w:rFonts w:ascii="Arial" w:cs="Arial" w:eastAsia="Arial" w:hAnsi="Arial"/>
          <w:sz w:val="18"/>
          <w:szCs w:val="18"/>
          <w:color w:val="auto"/>
        </w:rPr>
      </w:pPr>
    </w:p>
    <w:p>
      <w:pPr>
        <w:ind w:left="580" w:right="80" w:hanging="329"/>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intellectual property, shareholder-related, environmental-related, income tax and other litigation, disputes, losses and costs;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providers of alternative medical therapies, such as pharmaceutical companies and providers of cannabis;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cyber-attacks or other disruptions to our information technology systems;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applicable U.S. laws and regulations, including federal and state privacy and security laws and regulations;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applicable non-U.S. laws and regulations;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15" w:right="339" w:bottom="1440" w:gutter="0" w:footer="0" w:header="0"/>
        </w:sectPr>
      </w:pPr>
    </w:p>
    <w:bookmarkStart w:id="3" w:name="page4"/>
    <w:bookmarkEnd w:id="3"/>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new acquisitions to further our strategic objectives or strengthen our existing businesses;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accounting rules that adversely affect the characterization of our consolidated financial position, results of operations or cash flows;</w:t>
      </w:r>
    </w:p>
    <w:p>
      <w:pPr>
        <w:spacing w:after="0" w:line="140" w:lineRule="exact"/>
        <w:rPr>
          <w:rFonts w:ascii="Arial" w:cs="Arial" w:eastAsia="Arial" w:hAnsi="Arial"/>
          <w:sz w:val="16"/>
          <w:szCs w:val="16"/>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7" w:lineRule="exact"/>
        <w:rPr>
          <w:rFonts w:ascii="Arial" w:cs="Arial" w:eastAsia="Arial" w:hAnsi="Arial"/>
          <w:sz w:val="18"/>
          <w:szCs w:val="18"/>
          <w:color w:val="auto"/>
        </w:rPr>
      </w:pPr>
    </w:p>
    <w:p>
      <w:pPr>
        <w:ind w:left="580" w:right="240" w:hanging="329"/>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including volatility caused by the implementation of Brexit and/or changes to existing trade agreements and relationships between the U.S. and other countries;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the outbreak and spread of COVID-19 around the world;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17"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Other factors that could cause our actual results to differ from our projected results are described in (1) “Part II, Item 1A. Risk Factors” and elsewhere in this Quarterly Report on Form 10-Q, (2) our Annual Report on Form 10-K for the fiscal year ended December 31, 2019 (“2019 Form 10-K”), (3) our reports and registration statements filed and furnished from time to time with the Securities and Exchange Commission (“SEC”) and (4) other announcements we make from time to time.</w:t>
      </w:r>
    </w:p>
    <w:p>
      <w:pPr>
        <w:spacing w:after="0" w:line="79"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three months ended March 31, 2020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2019 Form 10-K.</w:t>
      </w:r>
    </w:p>
    <w:p>
      <w:pPr>
        <w:spacing w:after="0" w:line="1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Financial Information and Currency of Financial Statements</w:t>
      </w:r>
    </w:p>
    <w:p>
      <w:pPr>
        <w:spacing w:after="0" w:line="162" w:lineRule="exact"/>
        <w:rPr>
          <w:sz w:val="20"/>
          <w:szCs w:val="20"/>
          <w:color w:val="auto"/>
        </w:rPr>
      </w:pPr>
    </w:p>
    <w:p>
      <w:pPr>
        <w:jc w:val="both"/>
        <w:ind w:right="200" w:firstLine="162"/>
        <w:spacing w:after="0" w:line="263" w:lineRule="auto"/>
        <w:rPr>
          <w:sz w:val="20"/>
          <w:szCs w:val="20"/>
          <w:color w:val="auto"/>
        </w:rPr>
      </w:pPr>
      <w:r>
        <w:rPr>
          <w:rFonts w:ascii="Arial" w:cs="Arial" w:eastAsia="Arial" w:hAnsi="Arial"/>
          <w:sz w:val="18"/>
          <w:szCs w:val="18"/>
          <w:color w:val="auto"/>
        </w:rPr>
        <w:t>All of the financial information included in this quarterly report has been prepared in accordance with generally accepted accounting principles in the United States of America (“U.S.” and such principles, “U.S. GAAP”). The reporting currency of our condensed consolidated financial statements is U.S. dollars.</w:t>
      </w:r>
    </w:p>
    <w:p>
      <w:pPr>
        <w:spacing w:after="0" w:line="29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665" w:right="35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Financial Statements</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242,397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250,801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 - exclusive of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84,254</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Product remediation</w:t>
            </w: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2,947</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125,704</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35,902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43,575</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2,533</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9,316</w:t>
            </w:r>
          </w:p>
        </w:tc>
      </w:tr>
      <w:tr>
        <w:trPr>
          <w:trHeight w:val="237"/>
        </w:trPr>
        <w:tc>
          <w:tcPr>
            <w:tcW w:w="7760" w:type="dxa"/>
            <w:vAlign w:val="bottom"/>
          </w:tcPr>
          <w:p>
            <w:pPr>
              <w:ind w:left="280"/>
              <w:spacing w:after="0"/>
              <w:rPr>
                <w:sz w:val="20"/>
                <w:szCs w:val="20"/>
                <w:color w:val="auto"/>
              </w:rPr>
            </w:pPr>
            <w:r>
              <w:rPr>
                <w:rFonts w:ascii="Arial" w:cs="Arial" w:eastAsia="Arial" w:hAnsi="Arial"/>
                <w:sz w:val="18"/>
                <w:szCs w:val="18"/>
                <w:color w:val="auto"/>
              </w:rPr>
              <w:t>Operating income (loss) from continuing operations</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(20,779)</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(1,662)</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r>
      <w:tr>
        <w:trPr>
          <w:trHeight w:val="237"/>
        </w:trPr>
        <w:tc>
          <w:tcPr>
            <w:tcW w:w="7760" w:type="dxa"/>
            <w:vAlign w:val="bottom"/>
          </w:tcPr>
          <w:p>
            <w:pPr>
              <w:ind w:left="180"/>
              <w:spacing w:after="0"/>
              <w:rPr>
                <w:sz w:val="20"/>
                <w:szCs w:val="20"/>
                <w:color w:val="auto"/>
              </w:rPr>
            </w:pPr>
            <w:r>
              <w:rPr>
                <w:rFonts w:ascii="Arial" w:cs="Arial" w:eastAsia="Arial" w:hAnsi="Arial"/>
                <w:sz w:val="18"/>
                <w:szCs w:val="18"/>
                <w:color w:val="auto"/>
              </w:rPr>
              <w:t>Loss from continuing operations before tax</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(21,463)</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Losses from equity method investments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(14,849)</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Net loss from discontinued operations, net of tax</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37,583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(14,849)</w:t>
            </w:r>
          </w:p>
        </w:tc>
      </w:tr>
      <w:tr>
        <w:trPr>
          <w:trHeight w:val="20"/>
        </w:trPr>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7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7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(0.31)</w:t>
            </w:r>
          </w:p>
        </w:tc>
      </w:tr>
      <w:tr>
        <w:trPr>
          <w:trHeight w:val="67"/>
        </w:trPr>
        <w:tc>
          <w:tcPr>
            <w:tcW w:w="77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305"/>
        </w:trPr>
        <w:tc>
          <w:tcPr>
            <w:tcW w:w="7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basic income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48,246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Shares used in computing diluted income (loss) per share</w:t>
            </w: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48,769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48,246</w:t>
            </w:r>
          </w:p>
        </w:tc>
      </w:tr>
    </w:tbl>
    <w:p>
      <w:pPr>
        <w:spacing w:after="0" w:line="3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666" w:right="33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48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7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37,583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loss on derivatives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(32,100)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(4,229)</w:t>
            </w:r>
          </w:p>
        </w:tc>
      </w:tr>
      <w:tr>
        <w:trPr>
          <w:trHeight w:val="27"/>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loss</w:t>
            </w: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(33,131)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r>
      <w:tr>
        <w:trPr>
          <w:trHeight w:val="257"/>
        </w:trPr>
        <w:tc>
          <w:tcPr>
            <w:tcW w:w="776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4,452</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(19,086)</w:t>
            </w:r>
          </w:p>
        </w:tc>
      </w:tr>
      <w:tr>
        <w:trPr>
          <w:trHeight w:val="20"/>
        </w:trPr>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661" w:right="33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ind w:left="4340"/>
              <w:spacing w:after="0"/>
              <w:rPr>
                <w:sz w:val="20"/>
                <w:szCs w:val="20"/>
                <w:color w:val="auto"/>
              </w:rPr>
            </w:pPr>
            <w:r>
              <w:rPr>
                <w:rFonts w:ascii="Arial" w:cs="Arial" w:eastAsia="Arial" w:hAnsi="Arial"/>
                <w:sz w:val="16"/>
                <w:szCs w:val="16"/>
                <w:b w:val="1"/>
                <w:bCs w:val="1"/>
                <w:color w:val="auto"/>
              </w:rPr>
              <w:t>(In thousands, except share amounts)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24"/>
                <w:szCs w:val="24"/>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c>
          <w:tcPr>
            <w:tcW w:w="0" w:type="dxa"/>
            <w:vAlign w:val="bottom"/>
          </w:tcPr>
          <w:p>
            <w:pPr>
              <w:spacing w:after="0"/>
              <w:rPr>
                <w:sz w:val="1"/>
                <w:szCs w:val="1"/>
                <w:color w:val="auto"/>
              </w:rPr>
            </w:pPr>
          </w:p>
        </w:tc>
      </w:tr>
      <w:tr>
        <w:trPr>
          <w:trHeight w:val="33"/>
        </w:trPr>
        <w:tc>
          <w:tcPr>
            <w:tcW w:w="7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560" w:type="dxa"/>
            <w:vAlign w:val="bottom"/>
          </w:tcPr>
          <w:p>
            <w:pPr>
              <w:ind w:left="40"/>
              <w:spacing w:after="0"/>
              <w:rPr>
                <w:sz w:val="20"/>
                <w:szCs w:val="20"/>
                <w:color w:val="auto"/>
              </w:rPr>
            </w:pPr>
            <w:r>
              <w:rPr>
                <w:rFonts w:ascii="Arial" w:cs="Arial" w:eastAsia="Arial" w:hAnsi="Arial"/>
                <w:sz w:val="16"/>
                <w:szCs w:val="16"/>
                <w:i w:val="1"/>
                <w:iCs w:val="1"/>
                <w:color w:val="auto"/>
              </w:rPr>
              <w:t>Current Assets:</w:t>
            </w: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61,137</w:t>
            </w:r>
          </w:p>
        </w:tc>
        <w:tc>
          <w:tcPr>
            <w:tcW w:w="0" w:type="dxa"/>
            <w:vAlign w:val="bottom"/>
          </w:tcPr>
          <w:p>
            <w:pPr>
              <w:spacing w:after="0"/>
              <w:rPr>
                <w:sz w:val="1"/>
                <w:szCs w:val="1"/>
                <w:color w:val="auto"/>
              </w:rPr>
            </w:pPr>
          </w:p>
        </w:tc>
      </w:tr>
      <w:tr>
        <w:trPr>
          <w:trHeight w:val="237"/>
        </w:trPr>
        <w:tc>
          <w:tcPr>
            <w:tcW w:w="7560" w:type="dxa"/>
            <w:vAlign w:val="bottom"/>
          </w:tcPr>
          <w:p>
            <w:pPr>
              <w:ind w:left="180"/>
              <w:spacing w:after="0"/>
              <w:rPr>
                <w:sz w:val="20"/>
                <w:szCs w:val="20"/>
                <w:color w:val="auto"/>
              </w:rPr>
            </w:pPr>
            <w:r>
              <w:rPr>
                <w:rFonts w:ascii="Arial" w:cs="Arial" w:eastAsia="Arial" w:hAnsi="Arial"/>
                <w:sz w:val="16"/>
                <w:szCs w:val="16"/>
                <w:color w:val="auto"/>
                <w:w w:val="99"/>
              </w:rPr>
              <w:t>Accounts receivable, net of allowance of $14,153 at March 31, 2020 and $13,105 at December 31, 2019</w:t>
            </w:r>
          </w:p>
        </w:tc>
        <w:tc>
          <w:tcPr>
            <w:tcW w:w="2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225,347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257,769</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170,256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164,154</w:t>
            </w:r>
          </w:p>
        </w:tc>
        <w:tc>
          <w:tcPr>
            <w:tcW w:w="0" w:type="dxa"/>
            <w:vAlign w:val="bottom"/>
          </w:tcPr>
          <w:p>
            <w:pPr>
              <w:spacing w:after="0"/>
              <w:rPr>
                <w:sz w:val="1"/>
                <w:szCs w:val="1"/>
                <w:color w:val="auto"/>
              </w:rPr>
            </w:pPr>
          </w:p>
        </w:tc>
      </w:tr>
      <w:tr>
        <w:trPr>
          <w:trHeight w:val="237"/>
        </w:trPr>
        <w:tc>
          <w:tcPr>
            <w:tcW w:w="7560" w:type="dxa"/>
            <w:vAlign w:val="bottom"/>
          </w:tcPr>
          <w:p>
            <w:pPr>
              <w:ind w:left="180"/>
              <w:spacing w:after="0"/>
              <w:rPr>
                <w:sz w:val="20"/>
                <w:szCs w:val="20"/>
                <w:color w:val="auto"/>
              </w:rPr>
            </w:pPr>
            <w:r>
              <w:rPr>
                <w:rFonts w:ascii="Arial" w:cs="Arial" w:eastAsia="Arial" w:hAnsi="Arial"/>
                <w:sz w:val="16"/>
                <w:szCs w:val="16"/>
                <w:color w:val="auto"/>
              </w:rPr>
              <w:t>Prepaid and refundable taxes</w:t>
            </w:r>
          </w:p>
        </w:tc>
        <w:tc>
          <w:tcPr>
            <w:tcW w:w="2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53,094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37,779</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28,604</w:t>
            </w:r>
          </w:p>
        </w:tc>
        <w:tc>
          <w:tcPr>
            <w:tcW w:w="0" w:type="dxa"/>
            <w:vAlign w:val="bottom"/>
          </w:tcPr>
          <w:p>
            <w:pPr>
              <w:spacing w:after="0"/>
              <w:rPr>
                <w:sz w:val="1"/>
                <w:szCs w:val="1"/>
                <w:color w:val="auto"/>
              </w:rPr>
            </w:pPr>
          </w:p>
        </w:tc>
      </w:tr>
      <w:tr>
        <w:trPr>
          <w:trHeight w:val="217"/>
        </w:trPr>
        <w:tc>
          <w:tcPr>
            <w:tcW w:w="756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616,922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549,443</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183,534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181,354</w:t>
            </w:r>
          </w:p>
        </w:tc>
        <w:tc>
          <w:tcPr>
            <w:tcW w:w="0" w:type="dxa"/>
            <w:vAlign w:val="bottom"/>
          </w:tcPr>
          <w:p>
            <w:pPr>
              <w:spacing w:after="0"/>
              <w:rPr>
                <w:sz w:val="1"/>
                <w:szCs w:val="1"/>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888,573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915,794</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586,988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607,546</w:t>
            </w:r>
          </w:p>
        </w:tc>
        <w:tc>
          <w:tcPr>
            <w:tcW w:w="0" w:type="dxa"/>
            <w:vAlign w:val="bottom"/>
          </w:tcPr>
          <w:p>
            <w:pPr>
              <w:spacing w:after="0"/>
              <w:rPr>
                <w:sz w:val="1"/>
                <w:szCs w:val="1"/>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Operating lease assets</w:t>
            </w:r>
          </w:p>
        </w:tc>
        <w:tc>
          <w:tcPr>
            <w:tcW w:w="2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52,677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54,372</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27,256</w:t>
            </w:r>
          </w:p>
        </w:tc>
        <w:tc>
          <w:tcPr>
            <w:tcW w:w="0" w:type="dxa"/>
            <w:vAlign w:val="bottom"/>
          </w:tcPr>
          <w:p>
            <w:pPr>
              <w:spacing w:after="0"/>
              <w:rPr>
                <w:sz w:val="1"/>
                <w:szCs w:val="1"/>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2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89,013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68,676</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7,356</w:t>
            </w:r>
          </w:p>
        </w:tc>
        <w:tc>
          <w:tcPr>
            <w:tcW w:w="0" w:type="dxa"/>
            <w:vAlign w:val="bottom"/>
          </w:tcPr>
          <w:p>
            <w:pPr>
              <w:spacing w:after="0"/>
              <w:rPr>
                <w:sz w:val="1"/>
                <w:szCs w:val="1"/>
                <w:color w:val="auto"/>
              </w:rPr>
            </w:pPr>
          </w:p>
        </w:tc>
      </w:tr>
      <w:tr>
        <w:trPr>
          <w:trHeight w:val="283"/>
        </w:trPr>
        <w:tc>
          <w:tcPr>
            <w:tcW w:w="75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2,454,436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2,411,797</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i w:val="1"/>
                <w:iCs w:val="1"/>
                <w:color w:val="auto"/>
              </w:rPr>
              <w:t>Current Liabilities:</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debt obligations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77,396</w:t>
            </w:r>
          </w:p>
        </w:tc>
        <w:tc>
          <w:tcPr>
            <w:tcW w:w="0" w:type="dxa"/>
            <w:vAlign w:val="bottom"/>
          </w:tcPr>
          <w:p>
            <w:pPr>
              <w:spacing w:after="0"/>
              <w:rPr>
                <w:sz w:val="1"/>
                <w:szCs w:val="1"/>
                <w:color w:val="auto"/>
              </w:rPr>
            </w:pPr>
          </w:p>
        </w:tc>
      </w:tr>
      <w:tr>
        <w:trPr>
          <w:trHeight w:val="237"/>
        </w:trPr>
        <w:tc>
          <w:tcPr>
            <w:tcW w:w="75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91,224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85,892</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liabilities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120,100</w:t>
            </w:r>
          </w:p>
        </w:tc>
        <w:tc>
          <w:tcPr>
            <w:tcW w:w="0" w:type="dxa"/>
            <w:vAlign w:val="bottom"/>
          </w:tcPr>
          <w:p>
            <w:pPr>
              <w:spacing w:after="0"/>
              <w:rPr>
                <w:sz w:val="1"/>
                <w:szCs w:val="1"/>
                <w:color w:val="auto"/>
              </w:rPr>
            </w:pPr>
          </w:p>
        </w:tc>
      </w:tr>
      <w:tr>
        <w:trPr>
          <w:trHeight w:val="237"/>
        </w:trPr>
        <w:tc>
          <w:tcPr>
            <w:tcW w:w="7560" w:type="dxa"/>
            <w:vAlign w:val="bottom"/>
          </w:tcPr>
          <w:p>
            <w:pPr>
              <w:ind w:left="180"/>
              <w:spacing w:after="0"/>
              <w:rPr>
                <w:sz w:val="20"/>
                <w:szCs w:val="20"/>
                <w:color w:val="auto"/>
              </w:rPr>
            </w:pPr>
            <w:r>
              <w:rPr>
                <w:rFonts w:ascii="Arial" w:cs="Arial" w:eastAsia="Arial" w:hAnsi="Arial"/>
                <w:sz w:val="16"/>
                <w:szCs w:val="16"/>
                <w:color w:val="auto"/>
              </w:rPr>
              <w:t>Current litigation provision liability</w:t>
            </w:r>
          </w:p>
        </w:tc>
        <w:tc>
          <w:tcPr>
            <w:tcW w:w="2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43,025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146,026</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12,719</w:t>
            </w:r>
          </w:p>
        </w:tc>
        <w:tc>
          <w:tcPr>
            <w:tcW w:w="0" w:type="dxa"/>
            <w:vAlign w:val="bottom"/>
          </w:tcPr>
          <w:p>
            <w:pPr>
              <w:spacing w:after="0"/>
              <w:rPr>
                <w:sz w:val="1"/>
                <w:szCs w:val="1"/>
                <w:color w:val="auto"/>
              </w:rPr>
            </w:pPr>
          </w:p>
        </w:tc>
      </w:tr>
      <w:tr>
        <w:trPr>
          <w:trHeight w:val="237"/>
        </w:trPr>
        <w:tc>
          <w:tcPr>
            <w:tcW w:w="7560" w:type="dxa"/>
            <w:vAlign w:val="bottom"/>
          </w:tcPr>
          <w:p>
            <w:pPr>
              <w:ind w:left="180"/>
              <w:spacing w:after="0"/>
              <w:rPr>
                <w:sz w:val="20"/>
                <w:szCs w:val="20"/>
                <w:color w:val="auto"/>
              </w:rPr>
            </w:pPr>
            <w:r>
              <w:rPr>
                <w:rFonts w:ascii="Arial" w:cs="Arial" w:eastAsia="Arial" w:hAnsi="Arial"/>
                <w:sz w:val="16"/>
                <w:szCs w:val="16"/>
                <w:color w:val="auto"/>
              </w:rPr>
              <w:t>Accrued employee compensation and related benefits</w:t>
            </w:r>
          </w:p>
        </w:tc>
        <w:tc>
          <w:tcPr>
            <w:tcW w:w="2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70,738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70,420</w:t>
            </w:r>
          </w:p>
        </w:tc>
        <w:tc>
          <w:tcPr>
            <w:tcW w:w="0" w:type="dxa"/>
            <w:vAlign w:val="bottom"/>
          </w:tcPr>
          <w:p>
            <w:pPr>
              <w:spacing w:after="0"/>
              <w:rPr>
                <w:sz w:val="1"/>
                <w:szCs w:val="1"/>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529,724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512,553</w:t>
            </w:r>
          </w:p>
        </w:tc>
        <w:tc>
          <w:tcPr>
            <w:tcW w:w="0" w:type="dxa"/>
            <w:vAlign w:val="bottom"/>
          </w:tcPr>
          <w:p>
            <w:pPr>
              <w:spacing w:after="0"/>
              <w:rPr>
                <w:sz w:val="1"/>
                <w:szCs w:val="1"/>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Long-term debt obligations</w:t>
            </w:r>
          </w:p>
        </w:tc>
        <w:tc>
          <w:tcPr>
            <w:tcW w:w="2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315,561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260,330</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114,396</w:t>
            </w:r>
          </w:p>
        </w:tc>
        <w:tc>
          <w:tcPr>
            <w:tcW w:w="0" w:type="dxa"/>
            <w:vAlign w:val="bottom"/>
          </w:tcPr>
          <w:p>
            <w:pPr>
              <w:spacing w:after="0"/>
              <w:rPr>
                <w:sz w:val="1"/>
                <w:szCs w:val="1"/>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Litigation provision liability</w:t>
            </w:r>
          </w:p>
        </w:tc>
        <w:tc>
          <w:tcPr>
            <w:tcW w:w="2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11,545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24,378</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32,219</w:t>
            </w:r>
          </w:p>
        </w:tc>
        <w:tc>
          <w:tcPr>
            <w:tcW w:w="0" w:type="dxa"/>
            <w:vAlign w:val="bottom"/>
          </w:tcPr>
          <w:p>
            <w:pPr>
              <w:spacing w:after="0"/>
              <w:rPr>
                <w:sz w:val="1"/>
                <w:szCs w:val="1"/>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Long-term operating lease liabilities</w:t>
            </w:r>
          </w:p>
        </w:tc>
        <w:tc>
          <w:tcPr>
            <w:tcW w:w="2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43,369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46,027</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employee compensation and related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22,797</w:t>
            </w:r>
          </w:p>
        </w:tc>
        <w:tc>
          <w:tcPr>
            <w:tcW w:w="0" w:type="dxa"/>
            <w:vAlign w:val="bottom"/>
          </w:tcPr>
          <w:p>
            <w:pPr>
              <w:spacing w:after="0"/>
              <w:rPr>
                <w:sz w:val="1"/>
                <w:szCs w:val="1"/>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14,624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15,380</w:t>
            </w:r>
          </w:p>
        </w:tc>
        <w:tc>
          <w:tcPr>
            <w:tcW w:w="0" w:type="dxa"/>
            <w:vAlign w:val="bottom"/>
          </w:tcPr>
          <w:p>
            <w:pPr>
              <w:spacing w:after="0"/>
              <w:rPr>
                <w:sz w:val="1"/>
                <w:szCs w:val="1"/>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1,061,728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1,028,080</w:t>
            </w:r>
          </w:p>
        </w:tc>
        <w:tc>
          <w:tcPr>
            <w:tcW w:w="0" w:type="dxa"/>
            <w:vAlign w:val="bottom"/>
          </w:tcPr>
          <w:p>
            <w:pPr>
              <w:spacing w:after="0"/>
              <w:rPr>
                <w:sz w:val="1"/>
                <w:szCs w:val="1"/>
                <w:color w:val="auto"/>
              </w:rPr>
            </w:pPr>
          </w:p>
        </w:tc>
      </w:tr>
      <w:tr>
        <w:trPr>
          <w:trHeight w:val="223"/>
        </w:trPr>
        <w:tc>
          <w:tcPr>
            <w:tcW w:w="7560" w:type="dxa"/>
            <w:vAlign w:val="bottom"/>
          </w:tcPr>
          <w:p>
            <w:pPr>
              <w:ind w:left="40"/>
              <w:spacing w:after="0"/>
              <w:rPr>
                <w:sz w:val="20"/>
                <w:szCs w:val="20"/>
                <w:color w:val="auto"/>
              </w:rPr>
            </w:pPr>
            <w:r>
              <w:rPr>
                <w:rFonts w:ascii="Arial" w:cs="Arial" w:eastAsia="Arial" w:hAnsi="Arial"/>
                <w:sz w:val="16"/>
                <w:szCs w:val="16"/>
                <w:color w:val="auto"/>
              </w:rPr>
              <w:t>Commitments and contingencies (Note 10)</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560" w:type="dxa"/>
            <w:vAlign w:val="bottom"/>
          </w:tcPr>
          <w:p>
            <w:pPr>
              <w:ind w:left="40"/>
              <w:spacing w:after="0"/>
              <w:rPr>
                <w:sz w:val="20"/>
                <w:szCs w:val="20"/>
                <w:color w:val="auto"/>
              </w:rPr>
            </w:pPr>
            <w:r>
              <w:rPr>
                <w:rFonts w:ascii="Arial" w:cs="Arial" w:eastAsia="Arial" w:hAnsi="Arial"/>
                <w:sz w:val="16"/>
                <w:szCs w:val="16"/>
                <w:color w:val="auto"/>
                <w:w w:val="93"/>
              </w:rPr>
              <w:t>Ordinary Shares, £1.00 par value: unlimited shares authorized; 49,413,610 shares issued and 48,578,610 shares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40"/>
              <w:spacing w:after="0"/>
              <w:rPr>
                <w:sz w:val="20"/>
                <w:szCs w:val="20"/>
                <w:color w:val="auto"/>
              </w:rPr>
            </w:pPr>
            <w:r>
              <w:rPr>
                <w:rFonts w:ascii="Arial" w:cs="Arial" w:eastAsia="Arial" w:hAnsi="Arial"/>
                <w:sz w:val="16"/>
                <w:szCs w:val="16"/>
                <w:color w:val="auto"/>
                <w:w w:val="95"/>
              </w:rPr>
              <w:t>outstanding at March 31, 2020; 49,411,016 shares issued and 48,443,830 shares outstanding at December 31,</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60" w:type="dxa"/>
            <w:vAlign w:val="bottom"/>
          </w:tcPr>
          <w:p>
            <w:pPr>
              <w:ind w:left="40"/>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76,259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76,257</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1,739,873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1,734,870</w:t>
            </w:r>
          </w:p>
        </w:tc>
        <w:tc>
          <w:tcPr>
            <w:tcW w:w="0" w:type="dxa"/>
            <w:vAlign w:val="bottom"/>
          </w:tcPr>
          <w:p>
            <w:pPr>
              <w:spacing w:after="0"/>
              <w:rPr>
                <w:sz w:val="1"/>
                <w:szCs w:val="1"/>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(52,523)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(19,392)</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(406,755)</w:t>
            </w:r>
          </w:p>
        </w:tc>
        <w:tc>
          <w:tcPr>
            <w:tcW w:w="0" w:type="dxa"/>
            <w:vAlign w:val="bottom"/>
          </w:tcPr>
          <w:p>
            <w:pPr>
              <w:spacing w:after="0"/>
              <w:rPr>
                <w:sz w:val="1"/>
                <w:szCs w:val="1"/>
                <w:color w:val="auto"/>
              </w:rPr>
            </w:pPr>
          </w:p>
        </w:tc>
      </w:tr>
      <w:tr>
        <w:trPr>
          <w:trHeight w:val="220"/>
        </w:trPr>
        <w:tc>
          <w:tcPr>
            <w:tcW w:w="7560" w:type="dxa"/>
            <w:vAlign w:val="bottom"/>
          </w:tcPr>
          <w:p>
            <w:pPr>
              <w:ind w:left="40"/>
              <w:spacing w:after="0"/>
              <w:rPr>
                <w:sz w:val="20"/>
                <w:szCs w:val="20"/>
                <w:color w:val="auto"/>
              </w:rPr>
            </w:pPr>
            <w:r>
              <w:rPr>
                <w:rFonts w:ascii="Arial" w:cs="Arial" w:eastAsia="Arial" w:hAnsi="Arial"/>
                <w:sz w:val="16"/>
                <w:szCs w:val="16"/>
                <w:color w:val="auto"/>
                <w:w w:val="96"/>
              </w:rPr>
              <w:t>Treasury stock at cost, 835,000 ordinary shares at March 31, 2020, 967,186 ordinary shares at December 31,</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560" w:type="dxa"/>
            <w:vAlign w:val="bottom"/>
          </w:tcPr>
          <w:p>
            <w:pPr>
              <w:ind w:left="40"/>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1,392,708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1,383,717</w:t>
            </w:r>
          </w:p>
        </w:tc>
        <w:tc>
          <w:tcPr>
            <w:tcW w:w="0" w:type="dxa"/>
            <w:vAlign w:val="bottom"/>
          </w:tcPr>
          <w:p>
            <w:pPr>
              <w:spacing w:after="0"/>
              <w:rPr>
                <w:sz w:val="1"/>
                <w:szCs w:val="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2,454,436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2,411,797</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240"/>
          </w:cols>
          <w:pgMar w:left="320" w:top="648" w:right="339" w:bottom="1440" w:gutter="0" w:footer="0" w:header="0"/>
        </w:sectPr>
      </w:pPr>
    </w:p>
    <w:p>
      <w:pPr>
        <w:jc w:val="center"/>
        <w:ind w:right="-17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48" w:right="339" w:bottom="1440" w:gutter="0" w:footer="0" w:header="0"/>
          <w:type w:val="continuous"/>
        </w:sectPr>
      </w:pPr>
    </w:p>
    <w:bookmarkStart w:id="7" w:name="page8"/>
    <w:bookmarkEnd w:id="7"/>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(14,849)</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Non-cash items included in net income (loss):</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9,316</w:t>
            </w:r>
          </w:p>
        </w:tc>
        <w:tc>
          <w:tcPr>
            <w:tcW w:w="0" w:type="dxa"/>
            <w:vAlign w:val="bottom"/>
          </w:tcPr>
          <w:p>
            <w:pPr>
              <w:spacing w:after="0"/>
              <w:rPr>
                <w:sz w:val="1"/>
                <w:szCs w:val="1"/>
                <w:color w:val="auto"/>
              </w:rPr>
            </w:pP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9,043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6,872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Deferred tax benefit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Remeasurement of contingent consideration to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9,457</w:t>
            </w:r>
          </w:p>
        </w:tc>
        <w:tc>
          <w:tcPr>
            <w:tcW w:w="0" w:type="dxa"/>
            <w:vAlign w:val="bottom"/>
          </w:tcPr>
          <w:p>
            <w:pPr>
              <w:spacing w:after="0"/>
              <w:rPr>
                <w:sz w:val="1"/>
                <w:szCs w:val="1"/>
                <w:color w:val="auto"/>
              </w:rPr>
            </w:pP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24,336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7,064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0" w:type="dxa"/>
            <w:vAlign w:val="bottom"/>
          </w:tcPr>
          <w:p>
            <w:pPr>
              <w:spacing w:after="0"/>
              <w:rPr>
                <w:sz w:val="1"/>
                <w:szCs w:val="1"/>
                <w:color w:val="auto"/>
              </w:rPr>
            </w:pP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Other current and non-current assets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(25,700)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(23,377)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current and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Litigation provision liability, net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(115,609)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reserve</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(106,045)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1,974</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Proceeds from asset sales</w:t>
            </w: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(11,085)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(5,641)</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162,899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short term borrowings (maturities greater than 90 days)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Closing adjustment payment for sale of CRM business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Shares repurchased from employees for minimum tax withholding</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short-term borrowing, net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183,093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7,589</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6"/>
        </w:trPr>
        <w:tc>
          <w:tcPr>
            <w:tcW w:w="7760" w:type="dxa"/>
            <w:vAlign w:val="bottom"/>
          </w:tcPr>
          <w:p>
            <w:pPr>
              <w:ind w:left="380"/>
              <w:spacing w:after="0"/>
              <w:rPr>
                <w:sz w:val="20"/>
                <w:szCs w:val="20"/>
                <w:color w:val="auto"/>
              </w:rPr>
            </w:pPr>
            <w:r>
              <w:rPr>
                <w:rFonts w:ascii="Arial" w:cs="Arial" w:eastAsia="Arial" w:hAnsi="Arial"/>
                <w:sz w:val="18"/>
                <w:szCs w:val="18"/>
                <w:b w:val="1"/>
                <w:bCs w:val="1"/>
                <w:color w:val="auto"/>
              </w:rPr>
              <w:t>Net increase in cash and cash equivalents</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64,686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3,572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61,137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47,204</w:t>
            </w:r>
          </w:p>
        </w:tc>
        <w:tc>
          <w:tcPr>
            <w:tcW w:w="0" w:type="dxa"/>
            <w:vAlign w:val="bottom"/>
          </w:tcPr>
          <w:p>
            <w:pPr>
              <w:spacing w:after="0"/>
              <w:rPr>
                <w:sz w:val="1"/>
                <w:szCs w:val="1"/>
                <w:color w:val="auto"/>
              </w:rPr>
            </w:pPr>
          </w:p>
        </w:tc>
      </w:tr>
      <w:tr>
        <w:trPr>
          <w:trHeight w:val="236"/>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125,823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50,776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661" w:right="339"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Unaudited Condensed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Basis of Presentation</w:t>
      </w:r>
    </w:p>
    <w:p>
      <w:pPr>
        <w:spacing w:after="0" w:line="110" w:lineRule="exact"/>
        <w:rPr>
          <w:sz w:val="20"/>
          <w:szCs w:val="20"/>
          <w:color w:val="auto"/>
        </w:rPr>
      </w:pPr>
    </w:p>
    <w:p>
      <w:pPr>
        <w:ind w:right="60" w:firstLine="162"/>
        <w:spacing w:after="0" w:line="290" w:lineRule="auto"/>
        <w:rPr>
          <w:sz w:val="20"/>
          <w:szCs w:val="20"/>
          <w:color w:val="auto"/>
        </w:rPr>
      </w:pPr>
      <w:r>
        <w:rPr>
          <w:rFonts w:ascii="Arial" w:cs="Arial" w:eastAsia="Arial" w:hAnsi="Arial"/>
          <w:sz w:val="16"/>
          <w:szCs w:val="16"/>
          <w:color w:val="auto"/>
        </w:rPr>
        <w:t>The accompanying condensed consolidated financial statements of LivaNova as of, and for the three months ended March 31, 2020 and 2019, have been prepared in accordance with U.S. GAAP for interim financial information and the instructions to Form 10-Q and Article 10 of Regulation S-X. The accompanying condensed consolidated balance sheet of LivaNova at December 31, 2019 has been derived from audited financial statements contained in our 2019 Form 10-K, but does not include all of the information and footnotes required by U.S. GAAP for complete financial statements. In the opinion of management, the condensed consolidated financial statements reflect all adjustments (consisting of only normal recurring adjustments) considered necessary for a fair statement of the operating results of LivaNova and its subsidiaries, for the three months ended March 31, 2020, and are not necessarily indicative of the results that may be expected for the year ending December 31, 2020. The financial information presented herein should be read in conjunction with the audited consolidated financial statements and notes thereto accompanying our 2019 Form 10-K.</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Recent Developments Regarding COVID-19</w:t>
      </w:r>
    </w:p>
    <w:p>
      <w:pPr>
        <w:spacing w:after="0" w:line="110"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In recent months, a new strain of coronavirus (COVID-19) has spread to many countries in the world and the outbreak has been declared a pandemic by the World Health Organization. The U.S. Secretary of Health and Human Services has also declared a public health emergency in the United States in response to the outbreak. Considerable uncertainty still surrounds the COVID-19 virus and its potential effects, and the extent of and effectiveness of responses taken on international, national and local levels. Measures taken to limit the impact of COVID-19, including shelter-in-place orders, social distancing measures, travel bans and restrictions, and business and government shutdowns, have already resulted in significant negative economic impacts on a global basis.</w:t>
      </w:r>
    </w:p>
    <w:p>
      <w:pPr>
        <w:spacing w:after="0" w:line="84" w:lineRule="exact"/>
        <w:rPr>
          <w:sz w:val="20"/>
          <w:szCs w:val="20"/>
          <w:color w:val="auto"/>
        </w:rPr>
      </w:pPr>
    </w:p>
    <w:p>
      <w:pPr>
        <w:ind w:right="40" w:firstLine="162"/>
        <w:spacing w:after="0" w:line="254" w:lineRule="auto"/>
        <w:rPr>
          <w:sz w:val="20"/>
          <w:szCs w:val="20"/>
          <w:color w:val="auto"/>
        </w:rPr>
      </w:pPr>
      <w:r>
        <w:rPr>
          <w:rFonts w:ascii="Arial" w:cs="Arial" w:eastAsia="Arial" w:hAnsi="Arial"/>
          <w:sz w:val="18"/>
          <w:szCs w:val="18"/>
          <w:color w:val="auto"/>
        </w:rPr>
        <w:t>Due to these impacts and measures, we have experienced and may continue to experience significant and unpredictable reductions in the demand for our products as healthcare customers divert medical resources and priorities towards the treatment of COVID-19. In addition, our customers may delay, cancel, or redirect planned purchases in order to focus resources on COVID-19 or in response to economic disruption related to COVID-19. For example, in the last two weeks of the quarter ended March 31, 2020, we experienced a significant decline in volumes in the U.S. and Europe, as healthcare systems diverted resources to meet the increasing demands of managing COVID-19. In addition, public health bodies have recommended delaying elective surgeries during the COVID-19 pandemic, which may continue to negatively impact the usage of our products, including the number of Neuromodulation procedures.</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firstLine="162"/>
        <w:spacing w:after="0" w:line="288" w:lineRule="auto"/>
        <w:rPr>
          <w:sz w:val="20"/>
          <w:szCs w:val="20"/>
          <w:color w:val="auto"/>
        </w:rPr>
      </w:pPr>
      <w:r>
        <w:rPr>
          <w:rFonts w:ascii="Arial" w:cs="Arial" w:eastAsia="Arial" w:hAnsi="Arial"/>
          <w:sz w:val="16"/>
          <w:szCs w:val="16"/>
          <w:color w:val="auto"/>
        </w:rPr>
        <w:t>As of March 31, 2020, the Company had cash and cash equivalents of $125.8 million. In connection with our assessment of going concern considerations in accordance with ASU 2014-15, Disclosures of Uncertainties about an Entity’s Ability to Continue as a Going Concern, the Company determined that the projected reduction in sales primarily in the second quarter of 2020 would result in our inability to comply with certain debt covenants as of the end of the second and fourth quarters of 2020, which represents a condition that raises substantial doubt about our ability to continue as a going concern within one year after the date that these condensed consolidated financial statements are available to be issued. In April 2020, the Company entered into amendments that modified the maximum consolidated net debt to EBITDA and the interest coverage ratio covenants in its debt agreements for the remainder of 2020. The Company also implemented cost-cutting measures, including reduced hiring, marketing, travel, capital expenditures and certain research and development activities. Management has concluded that the amendments to modify the covenants in its debt agreements, when combined with current and anticipated future operating cash flows, alleviates the substantial doubt about the Company’s ability to continue as a going concern over the twelve-month period from the issuance date of these condensed consolidated financial statements.</w:t>
      </w:r>
    </w:p>
    <w:p>
      <w:pPr>
        <w:spacing w:after="0" w:line="60"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Regardless, COVID-19 continues to create uncertainty in relation to its impact on future revenues, the ability of the Company to access supplies and personnel to continue the production of inventory to meet customer needs, and ultimately, the amount of time necessary for elective surgeries to return to previous levels. If current market conditions deteriorate further as a result of COVID-19, or management’s judgments and assumptions regarding future industry, market or operating conditions change, including our assumptions regarding the timing of when elective surgeries may be rescheduled, or if there are government interventions impacting our areas of operation, there is a risk of breaching the Company’s debt covenants in future periods and a risk that the Company may not have sufficient funds to meet future obligations as they fall due. If this were to</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66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occur, the Company may pursue further or more substantial cost-cutting measures. Also, while not entirely in our control, we may:</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additional amendments or waivers to existing debt covenants,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additional bank financing or alternative sources of liquidity,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Renegotiate the terms of our existing debt facilities,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Explore additional funding options such as accounts receivable factoring.</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17" w:lineRule="exact"/>
        <w:rPr>
          <w:sz w:val="20"/>
          <w:szCs w:val="20"/>
          <w:color w:val="auto"/>
        </w:rPr>
      </w:pPr>
    </w:p>
    <w:p>
      <w:pPr>
        <w:jc w:val="both"/>
        <w:ind w:right="60" w:firstLine="162"/>
        <w:spacing w:after="0" w:line="311" w:lineRule="auto"/>
        <w:rPr>
          <w:sz w:val="20"/>
          <w:szCs w:val="20"/>
          <w:color w:val="auto"/>
        </w:rPr>
      </w:pPr>
      <w:r>
        <w:rPr>
          <w:rFonts w:ascii="Arial" w:cs="Arial" w:eastAsia="Arial" w:hAnsi="Arial"/>
          <w:sz w:val="16"/>
          <w:szCs w:val="16"/>
          <w:color w:val="auto"/>
        </w:rPr>
        <w:t>As of March 31, 2020, the Company has a goodwill balance of approximately $888.6 million, of which, $489.8 million and $398.8 million are allocated between the Cardiovascular and Neuromodulation segments, respectively. The Company performs its annual goodwill impairment test as of October 1st of each year. Our 2019 goodwill impairment test indicated head room of 584% and 24% for our Neuromodulation and Cardiovascular segments, respectively.</w:t>
      </w:r>
    </w:p>
    <w:p>
      <w:pPr>
        <w:spacing w:after="0" w:line="41"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Despite the excess fair value for our Cardiovascular reporting unit identified in our 2019 goodwill impairment assessment, we assessed whether the delay of elective surgeries, reduced cash flow projections, and the significant decline in LivaNova’s market capitalization as a result of the COVID-19 pandemic indicate that it is more likely than not that the goodwill was impaired as of March 31, 2020. Our assessment included review of our previous forecasts and assumptions based on our current projections that are subject to various risks and uncertainties, including: (1) forecasted revenues, expenses and cash flows, including the estimated duration and extent of impact to our business from the COVID-19 pandemic, (2) current discount rates, (3) the reduction in our market capitalization, (4) observable market transactions and (5) changes to the regulatory environment.</w:t>
      </w:r>
    </w:p>
    <w:p>
      <w:pPr>
        <w:spacing w:after="0" w:line="70" w:lineRule="exact"/>
        <w:rPr>
          <w:sz w:val="20"/>
          <w:szCs w:val="20"/>
          <w:color w:val="auto"/>
        </w:rPr>
      </w:pPr>
    </w:p>
    <w:p>
      <w:pPr>
        <w:ind w:right="180" w:firstLine="162"/>
        <w:spacing w:after="0" w:line="263" w:lineRule="auto"/>
        <w:rPr>
          <w:sz w:val="20"/>
          <w:szCs w:val="20"/>
          <w:color w:val="auto"/>
        </w:rPr>
      </w:pPr>
      <w:r>
        <w:rPr>
          <w:rFonts w:ascii="Arial" w:cs="Arial" w:eastAsia="Arial" w:hAnsi="Arial"/>
          <w:sz w:val="18"/>
          <w:szCs w:val="18"/>
          <w:color w:val="auto"/>
        </w:rPr>
        <w:t>As of March 31, 2020, the Company has IPR&amp;D assets with a balance of $115.8 million. The Company tests these assets for impairment as of October 1st of each year. In evaluating whether it is more likely than not that these IPR&amp;D assets were impaired as of March 31, 2020, we assessed whether the COVID-19 pandemic would delay clinical trials or impact the estimated commercialization timelines.</w:t>
      </w:r>
    </w:p>
    <w:p>
      <w:pPr>
        <w:spacing w:after="0" w:line="76"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Based on the consideration of all available evidence, we have determined that an interim impairment test of goodwill and indefinite-lived intangible assets is not required as of March 31, 2020 as it is not more likely than not that these assets are impaired. However, we are unable to predict how long these conditions will persist, what additional measures may be introduced by governments or private parties or what effect any such additional measures may have on our business. If current market conditions deteriorate further as a result of COVID-19, or management’s judgments and assumptions regarding future industry, market or operating conditions change, including our assumptions regarding the timing of when elective surgeries may be rescheduled, or if there are government interventions impacting our areas of operation we may recognize an impairment of our goodwill or indefinite-lived intangible assets in future periods.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Reclassifications</w:t>
      </w:r>
    </w:p>
    <w:p>
      <w:pPr>
        <w:spacing w:after="0" w:line="110"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We have reclassified certain prior period amounts for comparative purposes. These reclassifications did not have a material effect on our financial condition, results of operations 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w:t>
      </w:r>
    </w:p>
    <w:p>
      <w:pPr>
        <w:spacing w:after="0" w:line="110"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Our significant accounting policies are detailed in “Note 2. Basis of Presentation, Use of Accounting Estimates and Significant Accounting Policies” and “Note 3. Revenue Recognition” of our 2019 Form 10-K.</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Business Combinations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Miami Instruments</w:t>
      </w:r>
    </w:p>
    <w:p>
      <w:pPr>
        <w:spacing w:after="0" w:line="110" w:lineRule="exact"/>
        <w:rPr>
          <w:sz w:val="20"/>
          <w:szCs w:val="20"/>
          <w:color w:val="auto"/>
        </w:rPr>
      </w:pPr>
    </w:p>
    <w:p>
      <w:pPr>
        <w:ind w:right="240" w:firstLine="162"/>
        <w:spacing w:after="0" w:line="257" w:lineRule="auto"/>
        <w:rPr>
          <w:sz w:val="20"/>
          <w:szCs w:val="20"/>
          <w:color w:val="auto"/>
        </w:rPr>
      </w:pPr>
      <w:r>
        <w:rPr>
          <w:rFonts w:ascii="Arial" w:cs="Arial" w:eastAsia="Arial" w:hAnsi="Arial"/>
          <w:sz w:val="18"/>
          <w:szCs w:val="18"/>
          <w:color w:val="auto"/>
        </w:rPr>
        <w:t>On June 12, 2019, we acquired the minimally invasive cardiac surgery instruments business from Miami Instruments, LLC (“Miami Instruments”) for cash consideration of up to $17.0 million. The related operations have been integrated into our Cardiovascular segment as a part of our Heart Valves business. Cash of $10.8 million was paid at closing with up to $6.0 million in contingent consideration based on achieving certain milestones. In connection with this acquisition, we recognized $14.7 million in developed technology and in-process research and development (“IPR&amp;D”) intangible assets and $1.5 million in goodwill.</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665" w:right="35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Note 3. Discontinued Operations</w:t>
      </w:r>
    </w:p>
    <w:p>
      <w:pPr>
        <w:spacing w:after="0" w:line="116"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On April 30, 2018, we completed the sale of our Cardiac Rhythm Management (“CRM”) business franchise to MicroPort Cardiac Rhythm B.V. and MicroPort Scientific Corporation (“MicroPort”) for total cash proceeds of $195.9 million, less cash transferred of $9.2 million, subject to a closing working capital adjustment. In March 2020, we finalized the working capital adjustment and as a result, made a $16.4 million payment to MicroPort during the first quarter of 2020 and incurred an additional $1.1 million loss on sale.</w:t>
      </w:r>
    </w:p>
    <w:p>
      <w:pPr>
        <w:spacing w:after="0" w:line="187"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The following table represents the financial results of our former CRM business presented as net loss from discontinued operations, net of tax on our condensed consolidated statements of income (loss)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Three Months Ended</w:t>
            </w:r>
          </w:p>
        </w:tc>
      </w:tr>
      <w:tr>
        <w:trPr>
          <w:trHeight w:val="234"/>
        </w:trPr>
        <w:tc>
          <w:tcPr>
            <w:tcW w:w="9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31, 2020</w:t>
            </w:r>
          </w:p>
        </w:tc>
      </w:tr>
      <w:tr>
        <w:trPr>
          <w:trHeight w:val="27"/>
        </w:trPr>
        <w:tc>
          <w:tcPr>
            <w:tcW w:w="9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CRM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37"/>
        </w:trPr>
        <w:tc>
          <w:tcPr>
            <w:tcW w:w="9100" w:type="dxa"/>
            <w:vAlign w:val="bottom"/>
          </w:tcPr>
          <w:p>
            <w:pPr>
              <w:ind w:left="40"/>
              <w:spacing w:after="0"/>
              <w:rPr>
                <w:sz w:val="20"/>
                <w:szCs w:val="20"/>
                <w:color w:val="auto"/>
              </w:rPr>
            </w:pPr>
            <w:r>
              <w:rPr>
                <w:rFonts w:ascii="Arial" w:cs="Arial" w:eastAsia="Arial" w:hAnsi="Arial"/>
                <w:sz w:val="18"/>
                <w:szCs w:val="18"/>
                <w:color w:val="auto"/>
              </w:rPr>
              <w:t>Operating loss from discontinued operations</w:t>
            </w:r>
          </w:p>
        </w:tc>
        <w:tc>
          <w:tcPr>
            <w:tcW w:w="1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w:t>
            </w:r>
          </w:p>
        </w:tc>
      </w:tr>
      <w:tr>
        <w:trPr>
          <w:trHeight w:val="27"/>
        </w:trPr>
        <w:tc>
          <w:tcPr>
            <w:tcW w:w="9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before tax</w:t>
            </w:r>
          </w:p>
        </w:tc>
        <w:tc>
          <w:tcPr>
            <w:tcW w:w="1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9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0"/>
        </w:trPr>
        <w:tc>
          <w:tcPr>
            <w:tcW w:w="9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Restructuring</w:t>
      </w:r>
    </w:p>
    <w:p>
      <w:pPr>
        <w:spacing w:after="0" w:line="116" w:lineRule="exact"/>
        <w:rPr>
          <w:sz w:val="20"/>
          <w:szCs w:val="20"/>
          <w:color w:val="auto"/>
        </w:rPr>
      </w:pPr>
    </w:p>
    <w:p>
      <w:pPr>
        <w:ind w:right="480" w:firstLine="162"/>
        <w:spacing w:after="0" w:line="263" w:lineRule="auto"/>
        <w:rPr>
          <w:sz w:val="20"/>
          <w:szCs w:val="20"/>
          <w:color w:val="auto"/>
        </w:rPr>
      </w:pPr>
      <w:r>
        <w:rPr>
          <w:rFonts w:ascii="Arial" w:cs="Arial" w:eastAsia="Arial" w:hAnsi="Arial"/>
          <w:sz w:val="18"/>
          <w:szCs w:val="18"/>
          <w:color w:val="auto"/>
        </w:rPr>
        <w:t>We initiate restructuring plans to leverage economies of scale, streamline distribution and logistics and strengthen operational and administrative effectiveness in order to reduce overall costs. Costs associated with these plans were reported as restructuring expenses in the operating results of our condensed consolidated statements of income (loss).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accruals and other reserves recorded in connection with our restructuring plans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24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Employee Severance and</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5760" w:type="dxa"/>
            <w:vAlign w:val="bottom"/>
          </w:tcPr>
          <w:p>
            <w:pPr>
              <w:spacing w:after="0"/>
              <w:rPr>
                <w:sz w:val="20"/>
                <w:szCs w:val="20"/>
                <w:color w:val="auto"/>
              </w:rPr>
            </w:pPr>
          </w:p>
        </w:tc>
        <w:tc>
          <w:tcPr>
            <w:tcW w:w="2240" w:type="dxa"/>
            <w:vAlign w:val="bottom"/>
            <w:gridSpan w:val="3"/>
          </w:tcPr>
          <w:p>
            <w:pPr>
              <w:ind w:left="100"/>
              <w:spacing w:after="0"/>
              <w:rPr>
                <w:sz w:val="20"/>
                <w:szCs w:val="20"/>
                <w:color w:val="auto"/>
              </w:rPr>
            </w:pPr>
            <w:r>
              <w:rPr>
                <w:rFonts w:ascii="Arial" w:cs="Arial" w:eastAsia="Arial" w:hAnsi="Arial"/>
                <w:sz w:val="18"/>
                <w:szCs w:val="18"/>
                <w:b w:val="1"/>
                <w:bCs w:val="1"/>
                <w:color w:val="auto"/>
              </w:rPr>
              <w:t>Other Termination Costs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57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5,497</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Charges</w:t>
            </w:r>
          </w:p>
        </w:tc>
        <w:tc>
          <w:tcPr>
            <w:tcW w:w="8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1,580</w:t>
            </w:r>
          </w:p>
        </w:tc>
      </w:tr>
      <w:tr>
        <w:trPr>
          <w:trHeight w:val="27"/>
        </w:trPr>
        <w:tc>
          <w:tcPr>
            <w:tcW w:w="5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8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r>
      <w:tr>
        <w:trPr>
          <w:trHeight w:val="263"/>
        </w:trPr>
        <w:tc>
          <w:tcPr>
            <w:tcW w:w="5760" w:type="dxa"/>
            <w:vAlign w:val="bottom"/>
          </w:tcPr>
          <w:p>
            <w:pPr>
              <w:ind w:left="40"/>
              <w:spacing w:after="0" w:line="263" w:lineRule="exact"/>
              <w:rPr>
                <w:sz w:val="20"/>
                <w:szCs w:val="20"/>
                <w:color w:val="auto"/>
              </w:rPr>
            </w:pPr>
            <w:r>
              <w:rPr>
                <w:rFonts w:ascii="Arial" w:cs="Arial" w:eastAsia="Arial" w:hAnsi="Arial"/>
                <w:sz w:val="18"/>
                <w:szCs w:val="18"/>
                <w:color w:val="auto"/>
              </w:rPr>
              <w:t xml:space="preserve">Balance at March 31, 2020 </w:t>
            </w:r>
            <w:r>
              <w:rPr>
                <w:rFonts w:ascii="Arial" w:cs="Arial" w:eastAsia="Arial" w:hAnsi="Arial"/>
                <w:sz w:val="25"/>
                <w:szCs w:val="25"/>
                <w:b w:val="1"/>
                <w:bCs w:val="1"/>
                <w:color w:val="auto"/>
                <w:vertAlign w:val="superscript"/>
              </w:rPr>
              <w:t>(1)</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1,285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2,697</w:t>
            </w:r>
          </w:p>
        </w:tc>
      </w:tr>
      <w:tr>
        <w:trPr>
          <w:trHeight w:val="20"/>
        </w:trPr>
        <w:tc>
          <w:tcPr>
            <w:tcW w:w="5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6"/>
          <w:szCs w:val="16"/>
          <w:color w:val="auto"/>
        </w:rPr>
        <w:t xml:space="preserve">Cumulatively through March 31, 2020, we have recognized a total of </w:t>
      </w:r>
      <w:r>
        <w:rPr>
          <w:rFonts w:ascii="Arial" w:cs="Arial" w:eastAsia="Arial" w:hAnsi="Arial"/>
          <w:sz w:val="17"/>
          <w:szCs w:val="17"/>
          <w:color w:val="auto"/>
        </w:rPr>
        <w:t>$113.1 million</w:t>
      </w:r>
      <w:r>
        <w:rPr>
          <w:rFonts w:ascii="Arial" w:cs="Arial" w:eastAsia="Arial" w:hAnsi="Arial"/>
          <w:sz w:val="16"/>
          <w:szCs w:val="16"/>
          <w:color w:val="auto"/>
        </w:rPr>
        <w:t xml:space="preserve"> in restructuring expense from all of our restructuring plans.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The following table presents restructuring expense by reportable segment (in thousands):</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7760" w:type="dxa"/>
            <w:vAlign w:val="bottom"/>
          </w:tcPr>
          <w:p>
            <w:pPr>
              <w:spacing w:after="0"/>
              <w:rPr>
                <w:sz w:val="24"/>
                <w:szCs w:val="24"/>
                <w:color w:val="auto"/>
              </w:rPr>
            </w:pPr>
          </w:p>
        </w:tc>
        <w:tc>
          <w:tcPr>
            <w:tcW w:w="348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7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77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1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432</w:t>
            </w:r>
          </w:p>
        </w:tc>
      </w:tr>
      <w:tr>
        <w:trPr>
          <w:trHeight w:val="27"/>
        </w:trPr>
        <w:tc>
          <w:tcPr>
            <w:tcW w:w="7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r>
      <w:tr>
        <w:trPr>
          <w:trHeight w:val="257"/>
        </w:trPr>
        <w:tc>
          <w:tcPr>
            <w:tcW w:w="7760" w:type="dxa"/>
            <w:vAlign w:val="bottom"/>
          </w:tcPr>
          <w:p>
            <w:pPr>
              <w:ind w:left="4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2,533</w:t>
            </w:r>
          </w:p>
        </w:tc>
      </w:tr>
      <w:tr>
        <w:trPr>
          <w:trHeight w:val="20"/>
        </w:trPr>
        <w:tc>
          <w:tcPr>
            <w:tcW w:w="7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Product Remediation Liability</w:t>
      </w:r>
    </w:p>
    <w:p>
      <w:pPr>
        <w:spacing w:after="0" w:line="116"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On December 29, 2015, we received an FDA Warning Letter (the “Warning Letter”) alleging certain violations of FDA regulations applicable to medical device manufacturing at our Munich, Germany and Arvada, Colorado facilities. On October 13, 2016, the CDC and FDA separately released safety notifications regarding 3T Heater-Cooler devices in response to which we issued a Field Safety Notice Update for U.S. users of our 3T Heater-Cooler devices to proactively and voluntarily contact facilities to facilitate implementation of the CDC and FDA recommendations.</w:t>
      </w:r>
    </w:p>
    <w:p>
      <w:pPr>
        <w:spacing w:after="0" w:line="63" w:lineRule="exact"/>
        <w:rPr>
          <w:sz w:val="20"/>
          <w:szCs w:val="20"/>
          <w:color w:val="auto"/>
        </w:rPr>
      </w:pPr>
    </w:p>
    <w:p>
      <w:pPr>
        <w:jc w:val="both"/>
        <w:ind w:right="100" w:firstLine="162"/>
        <w:spacing w:after="0" w:line="263" w:lineRule="auto"/>
        <w:rPr>
          <w:sz w:val="20"/>
          <w:szCs w:val="20"/>
          <w:color w:val="auto"/>
        </w:rPr>
      </w:pPr>
      <w:r>
        <w:rPr>
          <w:rFonts w:ascii="Arial" w:cs="Arial" w:eastAsia="Arial" w:hAnsi="Arial"/>
          <w:sz w:val="18"/>
          <w:szCs w:val="18"/>
          <w:color w:val="auto"/>
        </w:rPr>
        <w:t>At December 31, 2016, we recognized a liability for a product remediation plan related to our 3T Heater-Cooler device (“3T device”). The remediation plan we developed consists primarily of a modification of the 3T device design to include internal sealing and the addition of a vacuum system to new and existing devices. These changes are intended to address regulatory</w:t>
      </w:r>
    </w:p>
    <w:p>
      <w:pPr>
        <w:sectPr>
          <w:pgSz w:w="11900" w:h="16838" w:orient="portrait"/>
          <w:cols w:equalWidth="0" w:num="1">
            <w:col w:w="11240"/>
          </w:cols>
          <w:pgMar w:left="320" w:top="670" w:right="339" w:bottom="1440" w:gutter="0" w:footer="0" w:header="0"/>
        </w:sectPr>
      </w:pP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670" w:right="339" w:bottom="1440" w:gutter="0" w:footer="0" w:header="0"/>
          <w:type w:val="continuous"/>
        </w:sectPr>
      </w:pPr>
    </w:p>
    <w:bookmarkStart w:id="11" w:name="page12"/>
    <w:bookmarkEnd w:id="11"/>
    <w:p>
      <w:pPr>
        <w:ind w:right="160"/>
        <w:spacing w:after="0" w:line="254" w:lineRule="auto"/>
        <w:rPr>
          <w:sz w:val="20"/>
          <w:szCs w:val="20"/>
          <w:color w:val="auto"/>
        </w:rPr>
      </w:pPr>
      <w:r>
        <w:rPr>
          <w:rFonts w:ascii="Arial" w:cs="Arial" w:eastAsia="Arial" w:hAnsi="Arial"/>
          <w:sz w:val="18"/>
          <w:szCs w:val="18"/>
          <w:color w:val="auto"/>
        </w:rPr>
        <w:t>actions and to reduce further the risk of possible dispersion of aerosols from 3T devices in the operating room.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The deployment of this solution for commercially distributed devices has been dependent upon final validation and verification of the design changes and approval or clearance by regulatory authorities worldwide, including FDA clearance in the U.S.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w:t>
      </w:r>
    </w:p>
    <w:p>
      <w:pPr>
        <w:spacing w:after="0" w:line="87" w:lineRule="exact"/>
        <w:rPr>
          <w:sz w:val="20"/>
          <w:szCs w:val="20"/>
          <w:color w:val="auto"/>
        </w:rPr>
      </w:pPr>
    </w:p>
    <w:p>
      <w:pPr>
        <w:ind w:right="20" w:firstLine="162"/>
        <w:spacing w:after="0" w:line="272" w:lineRule="auto"/>
        <w:rPr>
          <w:sz w:val="20"/>
          <w:szCs w:val="20"/>
          <w:color w:val="auto"/>
        </w:rPr>
      </w:pPr>
      <w:r>
        <w:rPr>
          <w:rFonts w:ascii="Arial" w:cs="Arial" w:eastAsia="Arial" w:hAnsi="Arial"/>
          <w:sz w:val="17"/>
          <w:szCs w:val="17"/>
          <w:color w:val="auto"/>
        </w:rPr>
        <w:t>In April 2017, we obtained CE Mark in Europe for the design change of the 3T device, and in May 2017 we completed our first vacuum canister and internal sealing upgrade on a customer-owned device. We are currently implementing the vacuum canister and internal sealing upgrade program in as many countries as possible until all devices are upgraded. In October 2018, after review of information provided by us, the FDA concluded that we could commence the vacuum canister and internal sealing upgrade program in the U.S., and 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w:t>
      </w:r>
    </w:p>
    <w:p>
      <w:pPr>
        <w:spacing w:after="0" w:line="69"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As a second part of the remediation plan, we continue to offer a no-charge deep disinfection service (deep cleaning service) for 3T device users as we receive the required regulatory approvals. The deep disinfection service was rolled out in Europe in the second half of 2015, and in April 2018, the FDA agreed to allow us to move forward with the deep cleaning service in the U.S., thereby adding to the growing list of countries around the world in which we offer this service. Finally, we are continuing to offer the loaner program for 3T devices, initiated in the fourth quarter of 2016, to provide existing 3T device users with a new loaner 3T device at no charge pending regulatory approval and implementation of the vacuum system addition and deep disinfection service worldwide. This loaner program is available on a global basis.</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a reconciliation of the beginning and ending balance of the product remediation liability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3,251</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Remediation activity</w:t>
            </w:r>
          </w:p>
        </w:tc>
        <w:tc>
          <w:tcPr>
            <w:tcW w:w="9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(1,538)</w:t>
            </w:r>
          </w:p>
        </w:tc>
      </w:tr>
      <w:tr>
        <w:trPr>
          <w:trHeight w:val="27"/>
        </w:trPr>
        <w:tc>
          <w:tcPr>
            <w:tcW w:w="9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9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63"/>
        </w:trPr>
        <w:tc>
          <w:tcPr>
            <w:tcW w:w="9000" w:type="dxa"/>
            <w:vAlign w:val="bottom"/>
          </w:tcPr>
          <w:p>
            <w:pPr>
              <w:ind w:left="40"/>
              <w:spacing w:after="0" w:line="263" w:lineRule="exact"/>
              <w:rPr>
                <w:sz w:val="20"/>
                <w:szCs w:val="20"/>
                <w:color w:val="auto"/>
              </w:rPr>
            </w:pPr>
            <w:r>
              <w:rPr>
                <w:rFonts w:ascii="Arial" w:cs="Arial" w:eastAsia="Arial" w:hAnsi="Arial"/>
                <w:sz w:val="18"/>
                <w:szCs w:val="18"/>
                <w:color w:val="auto"/>
              </w:rPr>
              <w:t xml:space="preserve">Balance at March 31, 2020 </w:t>
            </w:r>
            <w:r>
              <w:rPr>
                <w:rFonts w:ascii="Arial" w:cs="Arial" w:eastAsia="Arial" w:hAnsi="Arial"/>
                <w:sz w:val="25"/>
                <w:szCs w:val="25"/>
                <w:color w:val="auto"/>
                <w:vertAlign w:val="superscript"/>
              </w:rPr>
              <w:t>(1)</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1,636</w:t>
            </w:r>
          </w:p>
        </w:tc>
      </w:tr>
      <w:tr>
        <w:trPr>
          <w:trHeight w:val="20"/>
        </w:trPr>
        <w:tc>
          <w:tcPr>
            <w:tcW w:w="9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5"/>
          <w:szCs w:val="15"/>
          <w:color w:val="auto"/>
        </w:rPr>
        <w:t>At March 31, 2020, the product remediation liability balance is included within accrued liabilities and other on the condensed consolidated balance sheet.</w:t>
      </w:r>
    </w:p>
    <w:p>
      <w:pPr>
        <w:spacing w:after="0" w:line="188" w:lineRule="exact"/>
        <w:rPr>
          <w:sz w:val="20"/>
          <w:szCs w:val="20"/>
          <w:color w:val="auto"/>
        </w:rPr>
      </w:pPr>
    </w:p>
    <w:p>
      <w:pPr>
        <w:ind w:right="40" w:firstLine="162"/>
        <w:spacing w:after="0" w:line="286" w:lineRule="auto"/>
        <w:rPr>
          <w:sz w:val="20"/>
          <w:szCs w:val="20"/>
          <w:color w:val="auto"/>
        </w:rPr>
      </w:pPr>
      <w:r>
        <w:rPr>
          <w:rFonts w:ascii="Arial" w:cs="Arial" w:eastAsia="Arial" w:hAnsi="Arial"/>
          <w:sz w:val="16"/>
          <w:szCs w:val="16"/>
          <w:color w:val="auto"/>
        </w:rPr>
        <w:t>We recognized product remediation expenses of $1.5 million and $2.9 million during the three months ended March 31, 2020 and 2019, respectively. Product remediation expenses include internal labor costs, costs to remediate certain inspectional observations made by the FDA at our Munich facility and costs associated with the incorporation of the modification of the 3T device design into the next generation 3T device. These costs and related legal costs are expensed as incurred and are not included within the product remediation liability presented above. At March 31, 2020, our balance sheet includes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 $54.6 million provision related to litigation involving our 3T device. For further information, please refer to “Note 10. Commitments and Contingencies.”</w:t>
      </w: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Note 6. Investments</w:t>
      </w:r>
    </w:p>
    <w:p>
      <w:pPr>
        <w:spacing w:after="0" w:line="116" w:lineRule="exact"/>
        <w:rPr>
          <w:sz w:val="20"/>
          <w:szCs w:val="20"/>
          <w:color w:val="auto"/>
        </w:rPr>
      </w:pPr>
    </w:p>
    <w:p>
      <w:pPr>
        <w:ind w:right="160" w:firstLine="162"/>
        <w:spacing w:after="0" w:line="279" w:lineRule="auto"/>
        <w:rPr>
          <w:sz w:val="20"/>
          <w:szCs w:val="20"/>
          <w:color w:val="auto"/>
        </w:rPr>
      </w:pPr>
      <w:r>
        <w:rPr>
          <w:rFonts w:ascii="Arial" w:cs="Arial" w:eastAsia="Arial" w:hAnsi="Arial"/>
          <w:sz w:val="17"/>
          <w:szCs w:val="17"/>
          <w:color w:val="auto"/>
        </w:rPr>
        <w:t>The following table details the carrying value of our investments in equity securities of non-consolidated affiliates without readily determinable fair values for which we do not exert significant influence over the investee. These equity investments are reported at cost minus impairment, if any, plus or minus changes resulting from observable price changes in orderly transactions for the identical or similar investment of the same issuer. The below equity investments are included in investments on the condensed consolidated balance sheets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 Investments Without Readily Determinable Fair Values</w:t>
            </w:r>
          </w:p>
        </w:tc>
        <w:tc>
          <w:tcPr>
            <w:tcW w:w="34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2020</w:t>
            </w:r>
          </w:p>
        </w:tc>
        <w:tc>
          <w:tcPr>
            <w:tcW w:w="260" w:type="dxa"/>
            <w:vAlign w:val="bottom"/>
          </w:tcPr>
          <w:p>
            <w:pPr>
              <w:spacing w:after="0"/>
              <w:rPr>
                <w:sz w:val="20"/>
                <w:szCs w:val="20"/>
                <w:color w:val="auto"/>
              </w:rPr>
            </w:pPr>
          </w:p>
        </w:tc>
        <w:tc>
          <w:tcPr>
            <w:tcW w:w="198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December 31, 2019</w:t>
            </w:r>
          </w:p>
        </w:tc>
      </w:tr>
      <w:tr>
        <w:trPr>
          <w:trHeight w:val="27"/>
        </w:trPr>
        <w:tc>
          <w:tcPr>
            <w:tcW w:w="6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3"/>
        </w:trPr>
        <w:tc>
          <w:tcPr>
            <w:tcW w:w="6640" w:type="dxa"/>
            <w:vAlign w:val="bottom"/>
            <w:gridSpan w:val="2"/>
            <w:shd w:val="clear" w:color="auto" w:fill="CCEEFF"/>
          </w:tcPr>
          <w:p>
            <w:pPr>
              <w:ind w:left="40"/>
              <w:spacing w:after="0" w:line="263" w:lineRule="exact"/>
              <w:rPr>
                <w:sz w:val="20"/>
                <w:szCs w:val="20"/>
                <w:color w:val="auto"/>
              </w:rPr>
            </w:pPr>
            <w:r>
              <w:rPr>
                <w:rFonts w:ascii="Arial" w:cs="Arial" w:eastAsia="Arial" w:hAnsi="Arial"/>
                <w:sz w:val="18"/>
                <w:szCs w:val="18"/>
                <w:color w:val="auto"/>
              </w:rPr>
              <w:t xml:space="preserve">Respicardia Inc.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17,706</w:t>
            </w:r>
          </w:p>
        </w:tc>
      </w:tr>
      <w:tr>
        <w:trPr>
          <w:trHeight w:val="270"/>
        </w:trPr>
        <w:tc>
          <w:tcPr>
            <w:tcW w:w="6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ALung Technologies, Inc. </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Ceribell, Inc.</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ShiraTronics, Inc.</w:t>
            </w:r>
          </w:p>
        </w:tc>
        <w:tc>
          <w:tcPr>
            <w:tcW w:w="34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2,045</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Rainbow Medical Ltd.</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MD Start II</w:t>
            </w:r>
          </w:p>
        </w:tc>
        <w:tc>
          <w:tcPr>
            <w:tcW w:w="34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1,121</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Highlife S.A.S.</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3"/>
        </w:trPr>
        <w:tc>
          <w:tcPr>
            <w:tcW w:w="6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26,805</w:t>
            </w:r>
          </w:p>
        </w:tc>
      </w:tr>
      <w:tr>
        <w:trPr>
          <w:trHeight w:val="237"/>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Equity method investment</w:t>
            </w:r>
          </w:p>
        </w:tc>
        <w:tc>
          <w:tcPr>
            <w:tcW w:w="3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w:t>
            </w: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8"/>
        </w:trPr>
        <w:tc>
          <w:tcPr>
            <w:tcW w:w="6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660" w:right="80" w:hanging="328"/>
        <w:spacing w:after="0" w:line="286"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6"/>
          <w:szCs w:val="16"/>
          <w:color w:val="auto"/>
        </w:rPr>
        <w:t xml:space="preserve">Respicardia Inc. (“Respicardia”) is a privately funded U.S. company developing an implantable device designed to restore a more natural breathing pattern during sleep in patients with central sleep apnea by transvenously stimulating the phrenic nerve. We have a loan outstanding to Respicardia, with a carrying amount of $0.6 million </w:t>
      </w:r>
      <w:r>
        <w:rPr>
          <w:rFonts w:ascii="Arial" w:cs="Arial" w:eastAsia="Arial" w:hAnsi="Arial"/>
          <w:sz w:val="17"/>
          <w:szCs w:val="17"/>
          <w:color w:val="auto"/>
        </w:rPr>
        <w:t>and</w:t>
      </w:r>
      <w:r>
        <w:rPr>
          <w:rFonts w:ascii="Arial" w:cs="Arial" w:eastAsia="Arial" w:hAnsi="Arial"/>
          <w:sz w:val="16"/>
          <w:szCs w:val="16"/>
          <w:color w:val="auto"/>
        </w:rPr>
        <w:t xml:space="preserve"> $0.6 million as of March 31, 2020 and December 31, 2019, respectively, which is included in prepaid expenses and other current assets on the condensed consolidated balance sheet.</w:t>
      </w:r>
    </w:p>
    <w:p>
      <w:pPr>
        <w:spacing w:after="0" w:line="13" w:lineRule="exact"/>
        <w:rPr>
          <w:rFonts w:ascii="Arial" w:cs="Arial" w:eastAsia="Arial" w:hAnsi="Arial"/>
          <w:sz w:val="14"/>
          <w:szCs w:val="14"/>
          <w:color w:val="auto"/>
        </w:rPr>
      </w:pPr>
    </w:p>
    <w:p>
      <w:pPr>
        <w:ind w:left="660" w:right="80" w:hanging="328"/>
        <w:spacing w:after="0" w:line="278"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6"/>
          <w:szCs w:val="16"/>
          <w:color w:val="auto"/>
        </w:rPr>
        <w:t>During the first quarter of 2020, we invested in ALung Technologies, Inc. (“ALung”). ALung is a privately held medical device company focused on creating advanced medical devices for treating respiratory failure. ALung’s Hemolung Respiratory Assist System is a dialysis-like alternative or supplement to mechanical ventilation which removes carbon dioxide directly from the blood in patients with acute respiratory failure.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Fair Value Measurements</w:t>
      </w:r>
    </w:p>
    <w:p>
      <w:pPr>
        <w:spacing w:after="0" w:line="116" w:lineRule="exact"/>
        <w:rPr>
          <w:sz w:val="20"/>
          <w:szCs w:val="20"/>
          <w:color w:val="auto"/>
        </w:rPr>
      </w:pPr>
    </w:p>
    <w:p>
      <w:pPr>
        <w:ind w:right="40" w:firstLine="162"/>
        <w:spacing w:after="0" w:line="263"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three months ended March 31, 2020 and 2019.</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670"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Assets and Liabilities Measured at Fair Value on a Recurring Basis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tables provide information by level for assets and liabilities that are measured at fair value on a recurring basis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90"/>
              </w:rPr>
              <w:t>Fair Value Measurements Using Inputs</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Fair Value as of</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Considered as: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2020</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Derivative assets - designated as cash flow hedges (foreign currency</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exchange rate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Derivative assets - freestanding instruments (FX)</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(interest rate</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swaps)</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Derivative liabilities - freestanding instruments (FX)</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114,534</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115,817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114,534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90"/>
              </w:rPr>
              <w:t>Fair Value Measurements Using Inputs</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Fair Value as of</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Considered as: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2019</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 - designated as cash flow hedges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Derivative assets - freestanding instruments (FX)</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(interest rate</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swaps)</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Derivative liabilities - freestanding instruments (FX)</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137,349</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141,029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137,349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520" w:type="dxa"/>
            <w:vAlign w:val="bottom"/>
          </w:tcPr>
          <w:p>
            <w:pPr>
              <w:spacing w:after="0"/>
              <w:rPr>
                <w:sz w:val="24"/>
                <w:szCs w:val="24"/>
                <w:color w:val="auto"/>
              </w:rPr>
            </w:pPr>
          </w:p>
        </w:tc>
        <w:tc>
          <w:tcPr>
            <w:tcW w:w="1720" w:type="dxa"/>
            <w:vAlign w:val="bottom"/>
            <w:gridSpan w:val="2"/>
          </w:tcPr>
          <w:p>
            <w:pPr>
              <w:jc w:val="right"/>
              <w:ind w:right="13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6" w:right="339" w:bottom="1440" w:gutter="0" w:footer="0" w:header="0"/>
        </w:sectPr>
      </w:pPr>
    </w:p>
    <w:bookmarkStart w:id="14" w:name="page15"/>
    <w:bookmarkEnd w:id="14"/>
    <w:p>
      <w:pPr>
        <w:ind w:right="580" w:firstLine="162"/>
        <w:spacing w:after="0" w:line="308" w:lineRule="auto"/>
        <w:rPr>
          <w:sz w:val="20"/>
          <w:szCs w:val="20"/>
          <w:color w:val="auto"/>
        </w:rPr>
      </w:pPr>
      <w:r>
        <w:rPr>
          <w:rFonts w:ascii="Arial" w:cs="Arial" w:eastAsia="Arial" w:hAnsi="Arial"/>
          <w:sz w:val="17"/>
          <w:szCs w:val="17"/>
          <w:color w:val="auto"/>
        </w:rPr>
        <w:t>Our recurring fair value measurements, using significant unobservable inputs (Level 3), relate solely to our contingent consideration liability. The following table provides a reconciliation of the beginning and ending balance of the contingent consideration liability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contingent consideration liability at December 31, 2019</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137,349</w:t>
            </w:r>
          </w:p>
        </w:tc>
      </w:tr>
      <w:tr>
        <w:trPr>
          <w:trHeight w:val="270"/>
        </w:trPr>
        <w:tc>
          <w:tcPr>
            <w:tcW w:w="9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5"/>
                <w:szCs w:val="25"/>
                <w:color w:val="auto"/>
                <w:vertAlign w:val="superscript"/>
              </w:rPr>
              <w:t>(1)</w:t>
            </w:r>
          </w:p>
        </w:tc>
        <w:tc>
          <w:tcPr>
            <w:tcW w:w="7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(5,323)</w:t>
            </w:r>
          </w:p>
        </w:tc>
      </w:tr>
      <w:tr>
        <w:trPr>
          <w:trHeight w:val="270"/>
        </w:trPr>
        <w:tc>
          <w:tcPr>
            <w:tcW w:w="9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25"/>
                <w:szCs w:val="25"/>
                <w:color w:val="auto"/>
                <w:vertAlign w:val="superscript"/>
              </w:rPr>
              <w:t>(2) (3)</w:t>
            </w:r>
          </w:p>
        </w:tc>
        <w:tc>
          <w:tcPr>
            <w:tcW w:w="7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(17,283)</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9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contingent consideration liability at March 31, 2020</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114,534</w:t>
            </w:r>
          </w:p>
        </w:tc>
      </w:tr>
      <w:tr>
        <w:trPr>
          <w:trHeight w:val="243"/>
        </w:trPr>
        <w:tc>
          <w:tcPr>
            <w:tcW w:w="9100" w:type="dxa"/>
            <w:vAlign w:val="bottom"/>
          </w:tcPr>
          <w:p>
            <w:pPr>
              <w:ind w:left="280"/>
              <w:spacing w:after="0"/>
              <w:rPr>
                <w:sz w:val="20"/>
                <w:szCs w:val="20"/>
                <w:color w:val="auto"/>
              </w:rPr>
            </w:pPr>
            <w:r>
              <w:rPr>
                <w:rFonts w:ascii="Arial" w:cs="Arial" w:eastAsia="Arial" w:hAnsi="Arial"/>
                <w:sz w:val="18"/>
                <w:szCs w:val="18"/>
                <w:color w:val="auto"/>
              </w:rPr>
              <w:t>Less current portion of contingent consideration liability at March 31, 2020</w:t>
            </w:r>
          </w:p>
        </w:tc>
        <w:tc>
          <w:tcPr>
            <w:tcW w:w="7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14,809</w:t>
            </w:r>
          </w:p>
        </w:tc>
      </w:tr>
      <w:tr>
        <w:trPr>
          <w:trHeight w:val="27"/>
        </w:trPr>
        <w:tc>
          <w:tcPr>
            <w:tcW w:w="9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 of contingent consideration liability at March 31, 2020</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99,725</w:t>
            </w:r>
          </w:p>
        </w:tc>
      </w:tr>
      <w:tr>
        <w:trPr>
          <w:trHeight w:val="20"/>
        </w:trPr>
        <w:tc>
          <w:tcPr>
            <w:tcW w:w="9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680" w:hanging="328"/>
        <w:spacing w:after="0" w:line="266"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During the three months ended March 31, 2020, we paid $5.0 million under the contingent consideration arrangement for the acquisition of TandemLife. Additionally, we made the final payment for the contingent consideration arrangement with Inversiones Drilltex SAS (“Drilltex”).</w:t>
      </w:r>
    </w:p>
    <w:p>
      <w:pPr>
        <w:spacing w:after="0" w:line="1" w:lineRule="exact"/>
        <w:rPr>
          <w:rFonts w:ascii="Arial" w:cs="Arial" w:eastAsia="Arial" w:hAnsi="Arial"/>
          <w:sz w:val="14"/>
          <w:szCs w:val="14"/>
          <w:color w:val="auto"/>
        </w:rPr>
      </w:pPr>
    </w:p>
    <w:p>
      <w:pPr>
        <w:ind w:left="660" w:right="180" w:hanging="328"/>
        <w:spacing w:after="0" w:line="281"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5"/>
          <w:szCs w:val="15"/>
          <w:color w:val="auto"/>
        </w:rPr>
        <w:t>The change in fair value during the three months ended March 31, 2020 is primarily due to the impact of an increase in discount rates utilized in the valuation of contingent consideration. Refer to the tables below for further information regarding the fair value measurements of contingent consideration.</w:t>
      </w:r>
    </w:p>
    <w:p>
      <w:pPr>
        <w:spacing w:after="0" w:line="1" w:lineRule="exact"/>
        <w:rPr>
          <w:rFonts w:ascii="Arial" w:cs="Arial" w:eastAsia="Arial" w:hAnsi="Arial"/>
          <w:sz w:val="13"/>
          <w:szCs w:val="13"/>
          <w:color w:val="auto"/>
        </w:rPr>
      </w:pPr>
    </w:p>
    <w:p>
      <w:pPr>
        <w:ind w:left="660" w:hanging="328"/>
        <w:spacing w:after="0" w:line="288"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During the three months ended March 31, 2020, the change in fair value resulted in a decrease of $8.8 million and $8.5 million recorded to cost of sales - exclusive of amortization and research and development, respectively.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the fair value of contingent consideration arrangements by acquisition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0"/>
                <w:szCs w:val="20"/>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ImThera Medical, Inc. (“ImThera”)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113,503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TandemLife</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9,721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17,311</w:t>
            </w: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Miami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Drilltex</w:t>
            </w:r>
          </w:p>
        </w:tc>
        <w:tc>
          <w:tcPr>
            <w:tcW w:w="24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294</w:t>
            </w: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114,534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137,349</w:t>
            </w:r>
          </w:p>
        </w:tc>
      </w:tr>
      <w:tr>
        <w:trPr>
          <w:trHeight w:val="27"/>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firstLine="162"/>
        <w:spacing w:after="0" w:line="311" w:lineRule="auto"/>
        <w:rPr>
          <w:sz w:val="20"/>
          <w:szCs w:val="20"/>
          <w:color w:val="auto"/>
        </w:rPr>
      </w:pPr>
      <w:r>
        <w:rPr>
          <w:rFonts w:ascii="Arial" w:cs="Arial" w:eastAsia="Arial" w:hAnsi="Arial"/>
          <w:sz w:val="16"/>
          <w:szCs w:val="16"/>
          <w:color w:val="auto"/>
        </w:rPr>
        <w:t>The ImThera business combination involved contingent consideration arrangements composed of potential cash payments upon the achievement of a certain regulatory milestone and a sales-based earnout associated with sales of products. The sales-based earnout is valued using projected sales from our internal strategic plan. Both arrangements are Level 3 fair value measurements and include the following significant unobservable inputs: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ind w:left="880"/>
              <w:spacing w:after="0"/>
              <w:rPr>
                <w:sz w:val="20"/>
                <w:szCs w:val="20"/>
                <w:color w:val="auto"/>
              </w:rPr>
            </w:pPr>
            <w:r>
              <w:rPr>
                <w:rFonts w:ascii="Arial" w:cs="Arial" w:eastAsia="Arial" w:hAnsi="Arial"/>
                <w:sz w:val="18"/>
                <w:szCs w:val="18"/>
                <w:b w:val="1"/>
                <w:bCs w:val="1"/>
                <w:color w:val="auto"/>
              </w:rPr>
              <w:t>ImThera Acquisition</w:t>
            </w:r>
          </w:p>
        </w:tc>
        <w:tc>
          <w:tcPr>
            <w:tcW w:w="3140" w:type="dxa"/>
            <w:vAlign w:val="bottom"/>
            <w:gridSpan w:val="2"/>
          </w:tcPr>
          <w:p>
            <w:pPr>
              <w:ind w:left="720"/>
              <w:spacing w:after="0"/>
              <w:rPr>
                <w:sz w:val="20"/>
                <w:szCs w:val="20"/>
                <w:color w:val="auto"/>
              </w:rPr>
            </w:pPr>
            <w:r>
              <w:rPr>
                <w:rFonts w:ascii="Arial" w:cs="Arial" w:eastAsia="Arial" w:hAnsi="Arial"/>
                <w:sz w:val="18"/>
                <w:szCs w:val="18"/>
                <w:b w:val="1"/>
                <w:bCs w:val="1"/>
                <w:color w:val="auto"/>
              </w:rPr>
              <w:t>Valuation Technique</w:t>
            </w:r>
          </w:p>
        </w:tc>
        <w:tc>
          <w:tcPr>
            <w:tcW w:w="3120" w:type="dxa"/>
            <w:vAlign w:val="bottom"/>
            <w:gridSpan w:val="2"/>
          </w:tcPr>
          <w:p>
            <w:pPr>
              <w:ind w:left="740"/>
              <w:spacing w:after="0"/>
              <w:rPr>
                <w:sz w:val="20"/>
                <w:szCs w:val="20"/>
                <w:color w:val="auto"/>
              </w:rPr>
            </w:pPr>
            <w:r>
              <w:rPr>
                <w:rFonts w:ascii="Arial" w:cs="Arial" w:eastAsia="Arial" w:hAnsi="Arial"/>
                <w:sz w:val="18"/>
                <w:szCs w:val="18"/>
                <w:b w:val="1"/>
                <w:bCs w:val="1"/>
                <w:color w:val="auto"/>
              </w:rPr>
              <w:t>Unobservable Input</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Ranges</w:t>
            </w:r>
          </w:p>
        </w:tc>
      </w:tr>
      <w:tr>
        <w:trPr>
          <w:trHeight w:val="27"/>
        </w:trPr>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w:t>
            </w:r>
          </w:p>
        </w:tc>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w:t>
            </w: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- 6.6%</w:t>
            </w:r>
          </w:p>
        </w:tc>
      </w:tr>
      <w:tr>
        <w:trPr>
          <w:trHeight w:val="243"/>
        </w:trPr>
        <w:tc>
          <w:tcPr>
            <w:tcW w:w="3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840" w:type="dxa"/>
            <w:vAlign w:val="bottom"/>
          </w:tcPr>
          <w:p>
            <w:pPr>
              <w:ind w:left="60"/>
              <w:spacing w:after="0"/>
              <w:rPr>
                <w:sz w:val="20"/>
                <w:szCs w:val="20"/>
                <w:color w:val="auto"/>
              </w:rPr>
            </w:pPr>
            <w:r>
              <w:rPr>
                <w:rFonts w:ascii="Arial" w:cs="Arial" w:eastAsia="Arial" w:hAnsi="Arial"/>
                <w:sz w:val="18"/>
                <w:szCs w:val="18"/>
                <w:color w:val="auto"/>
              </w:rPr>
              <w:t>- 95%</w:t>
            </w: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2023</w:t>
            </w:r>
          </w:p>
        </w:tc>
        <w:tc>
          <w:tcPr>
            <w:tcW w:w="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- 2024</w:t>
            </w:r>
          </w:p>
        </w:tc>
      </w:tr>
      <w:tr>
        <w:trPr>
          <w:trHeight w:val="324"/>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Sales-based earnout</w:t>
            </w:r>
          </w:p>
        </w:tc>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Monte Carlo simulation</w:t>
            </w: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Risk-adjusted discount rate</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12.0%</w:t>
            </w:r>
          </w:p>
        </w:tc>
      </w:tr>
      <w:tr>
        <w:trPr>
          <w:trHeight w:val="243"/>
        </w:trPr>
        <w:tc>
          <w:tcPr>
            <w:tcW w:w="3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Credit risk discount rate</w:t>
            </w: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840" w:type="dxa"/>
            <w:vAlign w:val="bottom"/>
          </w:tcPr>
          <w:p>
            <w:pPr>
              <w:ind w:left="60"/>
              <w:spacing w:after="0"/>
              <w:rPr>
                <w:sz w:val="20"/>
                <w:szCs w:val="20"/>
                <w:color w:val="auto"/>
              </w:rPr>
            </w:pPr>
            <w:r>
              <w:rPr>
                <w:rFonts w:ascii="Arial" w:cs="Arial" w:eastAsia="Arial" w:hAnsi="Arial"/>
                <w:sz w:val="18"/>
                <w:szCs w:val="18"/>
                <w:color w:val="auto"/>
              </w:rPr>
              <w:t>- 6.9%</w:t>
            </w: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volatility</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32.5%</w:t>
            </w:r>
          </w:p>
        </w:tc>
      </w:tr>
      <w:tr>
        <w:trPr>
          <w:trHeight w:val="243"/>
        </w:trPr>
        <w:tc>
          <w:tcPr>
            <w:tcW w:w="3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840" w:type="dxa"/>
            <w:vAlign w:val="bottom"/>
          </w:tcPr>
          <w:p>
            <w:pPr>
              <w:ind w:left="60"/>
              <w:spacing w:after="0"/>
              <w:rPr>
                <w:sz w:val="20"/>
                <w:szCs w:val="20"/>
                <w:color w:val="auto"/>
              </w:rPr>
            </w:pPr>
            <w:r>
              <w:rPr>
                <w:rFonts w:ascii="Arial" w:cs="Arial" w:eastAsia="Arial" w:hAnsi="Arial"/>
                <w:sz w:val="18"/>
                <w:szCs w:val="18"/>
                <w:color w:val="auto"/>
              </w:rPr>
              <w:t>- 95%</w:t>
            </w: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3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years of earnout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- 2028</w:t>
            </w:r>
          </w:p>
        </w:tc>
      </w:tr>
      <w:tr>
        <w:trPr>
          <w:trHeight w:val="27"/>
        </w:trPr>
        <w:tc>
          <w:tcPr>
            <w:tcW w:w="3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40" w:firstLine="162"/>
        <w:spacing w:after="0" w:line="342" w:lineRule="auto"/>
        <w:rPr>
          <w:sz w:val="20"/>
          <w:szCs w:val="20"/>
          <w:color w:val="auto"/>
        </w:rPr>
      </w:pPr>
      <w:r>
        <w:rPr>
          <w:rFonts w:ascii="Arial" w:cs="Arial" w:eastAsia="Arial" w:hAnsi="Arial"/>
          <w:sz w:val="16"/>
          <w:szCs w:val="16"/>
          <w:color w:val="auto"/>
        </w:rPr>
        <w:t>The TandemLife business combination involved a contingent consideration arrangement composed of potential cash payments upon the achievement of certain regulatory milestones. The arrangement is a Level 3 fair value measurement and includes the following significant unobservable inputs: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2"/>
          </w:tcPr>
          <w:p>
            <w:pPr>
              <w:ind w:left="800"/>
              <w:spacing w:after="0"/>
              <w:rPr>
                <w:sz w:val="20"/>
                <w:szCs w:val="20"/>
                <w:color w:val="auto"/>
              </w:rPr>
            </w:pPr>
            <w:r>
              <w:rPr>
                <w:rFonts w:ascii="Arial" w:cs="Arial" w:eastAsia="Arial" w:hAnsi="Arial"/>
                <w:sz w:val="18"/>
                <w:szCs w:val="18"/>
                <w:b w:val="1"/>
                <w:bCs w:val="1"/>
                <w:color w:val="auto"/>
              </w:rPr>
              <w:t>TandemLife Acquisition</w:t>
            </w:r>
          </w:p>
        </w:tc>
        <w:tc>
          <w:tcPr>
            <w:tcW w:w="3120" w:type="dxa"/>
            <w:vAlign w:val="bottom"/>
            <w:gridSpan w:val="2"/>
          </w:tcPr>
          <w:p>
            <w:pPr>
              <w:ind w:left="720"/>
              <w:spacing w:after="0"/>
              <w:rPr>
                <w:sz w:val="20"/>
                <w:szCs w:val="20"/>
                <w:color w:val="auto"/>
              </w:rPr>
            </w:pPr>
            <w:r>
              <w:rPr>
                <w:rFonts w:ascii="Arial" w:cs="Arial" w:eastAsia="Arial" w:hAnsi="Arial"/>
                <w:sz w:val="18"/>
                <w:szCs w:val="18"/>
                <w:b w:val="1"/>
                <w:bCs w:val="1"/>
                <w:color w:val="auto"/>
              </w:rPr>
              <w:t>Valuation Technique</w:t>
            </w:r>
          </w:p>
        </w:tc>
        <w:tc>
          <w:tcPr>
            <w:tcW w:w="3140" w:type="dxa"/>
            <w:vAlign w:val="bottom"/>
            <w:gridSpan w:val="2"/>
          </w:tcPr>
          <w:p>
            <w:pPr>
              <w:ind w:left="740"/>
              <w:spacing w:after="0"/>
              <w:rPr>
                <w:sz w:val="20"/>
                <w:szCs w:val="20"/>
                <w:color w:val="auto"/>
              </w:rPr>
            </w:pPr>
            <w:r>
              <w:rPr>
                <w:rFonts w:ascii="Arial" w:cs="Arial" w:eastAsia="Arial" w:hAnsi="Arial"/>
                <w:sz w:val="18"/>
                <w:szCs w:val="18"/>
                <w:b w:val="1"/>
                <w:bCs w:val="1"/>
                <w:color w:val="auto"/>
              </w:rPr>
              <w:t>Unobservable Input</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Ranges</w:t>
            </w:r>
          </w:p>
        </w:tc>
      </w:tr>
      <w:tr>
        <w:trPr>
          <w:trHeight w:val="27"/>
        </w:trPr>
        <w:tc>
          <w:tcPr>
            <w:tcW w:w="3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payments</w:t>
            </w: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  - 5.9%</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gridSpan w:val="2"/>
          </w:tcPr>
          <w:p>
            <w:pPr>
              <w:ind w:left="40"/>
              <w:spacing w:after="0"/>
              <w:rPr>
                <w:sz w:val="20"/>
                <w:szCs w:val="20"/>
                <w:color w:val="auto"/>
              </w:rPr>
            </w:pPr>
            <w:r>
              <w:rPr>
                <w:rFonts w:ascii="Arial" w:cs="Arial" w:eastAsia="Arial" w:hAnsi="Arial"/>
                <w:sz w:val="18"/>
                <w:szCs w:val="18"/>
                <w:color w:val="auto"/>
              </w:rPr>
              <w:t>Probability of payments</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75.0%</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Projected payment years</w:t>
            </w:r>
          </w:p>
        </w:tc>
        <w:tc>
          <w:tcPr>
            <w:tcW w:w="14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2020</w:t>
            </w:r>
          </w:p>
        </w:tc>
      </w:tr>
      <w:tr>
        <w:trPr>
          <w:trHeight w:val="594"/>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Pr>
          <w:p>
            <w:pPr>
              <w:jc w:val="right"/>
              <w:ind w:right="7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5" w:name="page16"/>
    <w:bookmarkEnd w:id="15"/>
    <w:p>
      <w:pPr>
        <w:ind w:right="280" w:firstLine="162"/>
        <w:spacing w:after="0" w:line="263" w:lineRule="auto"/>
        <w:rPr>
          <w:sz w:val="20"/>
          <w:szCs w:val="20"/>
          <w:color w:val="auto"/>
        </w:rPr>
      </w:pPr>
      <w:r>
        <w:rPr>
          <w:rFonts w:ascii="Arial" w:cs="Arial" w:eastAsia="Arial" w:hAnsi="Arial"/>
          <w:sz w:val="18"/>
          <w:szCs w:val="18"/>
          <w:color w:val="auto"/>
        </w:rPr>
        <w:t>The Miami Instruments business combination involved a contingent consideration arrangement composed of potential cash payments upon the achievement on certain regulatory milestones. The arrangement is a Level 3 fair value measurement and includes the following significant unobservable inputs: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2"/>
          </w:tcPr>
          <w:p>
            <w:pPr>
              <w:ind w:left="980"/>
              <w:spacing w:after="0"/>
              <w:rPr>
                <w:sz w:val="20"/>
                <w:szCs w:val="20"/>
                <w:color w:val="auto"/>
              </w:rPr>
            </w:pPr>
            <w:r>
              <w:rPr>
                <w:rFonts w:ascii="Arial" w:cs="Arial" w:eastAsia="Arial" w:hAnsi="Arial"/>
                <w:sz w:val="18"/>
                <w:szCs w:val="18"/>
                <w:b w:val="1"/>
                <w:bCs w:val="1"/>
                <w:color w:val="auto"/>
              </w:rPr>
              <w:t>Miami Instruments</w:t>
            </w:r>
          </w:p>
        </w:tc>
        <w:tc>
          <w:tcPr>
            <w:tcW w:w="3120" w:type="dxa"/>
            <w:vAlign w:val="bottom"/>
            <w:gridSpan w:val="2"/>
          </w:tcPr>
          <w:p>
            <w:pPr>
              <w:ind w:left="720"/>
              <w:spacing w:after="0"/>
              <w:rPr>
                <w:sz w:val="20"/>
                <w:szCs w:val="20"/>
                <w:color w:val="auto"/>
              </w:rPr>
            </w:pPr>
            <w:r>
              <w:rPr>
                <w:rFonts w:ascii="Arial" w:cs="Arial" w:eastAsia="Arial" w:hAnsi="Arial"/>
                <w:sz w:val="18"/>
                <w:szCs w:val="18"/>
                <w:b w:val="1"/>
                <w:bCs w:val="1"/>
                <w:color w:val="auto"/>
              </w:rPr>
              <w:t>Valuation Technique</w:t>
            </w:r>
          </w:p>
        </w:tc>
        <w:tc>
          <w:tcPr>
            <w:tcW w:w="3140" w:type="dxa"/>
            <w:vAlign w:val="bottom"/>
            <w:gridSpan w:val="2"/>
          </w:tcPr>
          <w:p>
            <w:pPr>
              <w:ind w:left="740"/>
              <w:spacing w:after="0"/>
              <w:rPr>
                <w:sz w:val="20"/>
                <w:szCs w:val="20"/>
                <w:color w:val="auto"/>
              </w:rPr>
            </w:pPr>
            <w:r>
              <w:rPr>
                <w:rFonts w:ascii="Arial" w:cs="Arial" w:eastAsia="Arial" w:hAnsi="Arial"/>
                <w:sz w:val="18"/>
                <w:szCs w:val="18"/>
                <w:b w:val="1"/>
                <w:bCs w:val="1"/>
                <w:color w:val="auto"/>
              </w:rPr>
              <w:t>Unobservable Input</w:t>
            </w:r>
          </w:p>
        </w:tc>
        <w:tc>
          <w:tcPr>
            <w:tcW w:w="1400" w:type="dxa"/>
            <w:vAlign w:val="bottom"/>
            <w:gridSpan w:val="3"/>
          </w:tcPr>
          <w:p>
            <w:pPr>
              <w:ind w:left="440"/>
              <w:spacing w:after="0"/>
              <w:rPr>
                <w:sz w:val="20"/>
                <w:szCs w:val="20"/>
                <w:color w:val="auto"/>
              </w:rPr>
            </w:pPr>
            <w:r>
              <w:rPr>
                <w:rFonts w:ascii="Arial" w:cs="Arial" w:eastAsia="Arial" w:hAnsi="Arial"/>
                <w:sz w:val="18"/>
                <w:szCs w:val="18"/>
                <w:b w:val="1"/>
                <w:bCs w:val="1"/>
                <w:color w:val="auto"/>
              </w:rPr>
              <w:t>Ranges</w:t>
            </w:r>
          </w:p>
        </w:tc>
      </w:tr>
      <w:tr>
        <w:trPr>
          <w:trHeight w:val="27"/>
        </w:trPr>
        <w:tc>
          <w:tcPr>
            <w:tcW w:w="3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r>
      <w:tr>
        <w:trPr>
          <w:trHeight w:val="243"/>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payments</w:t>
            </w: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- 5.9%</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gridSpan w:val="2"/>
          </w:tcPr>
          <w:p>
            <w:pPr>
              <w:ind w:left="40"/>
              <w:spacing w:after="0"/>
              <w:rPr>
                <w:sz w:val="20"/>
                <w:szCs w:val="20"/>
                <w:color w:val="auto"/>
              </w:rPr>
            </w:pPr>
            <w:r>
              <w:rPr>
                <w:rFonts w:ascii="Arial" w:cs="Arial" w:eastAsia="Arial" w:hAnsi="Arial"/>
                <w:sz w:val="18"/>
                <w:szCs w:val="18"/>
                <w:color w:val="auto"/>
              </w:rPr>
              <w:t>Probability of payments</w:t>
            </w: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ind w:left="40"/>
              <w:spacing w:after="0"/>
              <w:rPr>
                <w:sz w:val="20"/>
                <w:szCs w:val="20"/>
                <w:color w:val="auto"/>
              </w:rPr>
            </w:pPr>
            <w:r>
              <w:rPr>
                <w:rFonts w:ascii="Arial" w:cs="Arial" w:eastAsia="Arial" w:hAnsi="Arial"/>
                <w:sz w:val="18"/>
                <w:szCs w:val="18"/>
                <w:color w:val="auto"/>
              </w:rPr>
              <w:t>95%</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3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Projected payment years</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r>
      <w:tr>
        <w:trPr>
          <w:trHeight w:val="27"/>
        </w:trPr>
        <w:tc>
          <w:tcPr>
            <w:tcW w:w="3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Financing Arrangements</w:t>
      </w:r>
    </w:p>
    <w:p>
      <w:pPr>
        <w:spacing w:after="0" w:line="116"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outstanding principal amount of our long-term debt as of March 31, 2020 and December 31, 2019 was as follows (in thousands, except interest rates):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80" w:type="dxa"/>
            <w:vAlign w:val="bottom"/>
            <w:gridSpan w:val="2"/>
          </w:tcPr>
          <w:p>
            <w:pPr>
              <w:ind w:left="440"/>
              <w:spacing w:after="0"/>
              <w:rPr>
                <w:sz w:val="20"/>
                <w:szCs w:val="20"/>
                <w:color w:val="auto"/>
              </w:rPr>
            </w:pPr>
            <w:r>
              <w:rPr>
                <w:rFonts w:ascii="Arial" w:cs="Arial" w:eastAsia="Arial" w:hAnsi="Arial"/>
                <w:sz w:val="18"/>
                <w:szCs w:val="18"/>
                <w:b w:val="1"/>
                <w:bCs w:val="1"/>
                <w:color w:val="auto"/>
              </w:rPr>
              <w:t>Maturity</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420" w:type="dxa"/>
            <w:vAlign w:val="bottom"/>
            <w:tcBorders>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506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Debt Facility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345,096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184,275</w:t>
            </w:r>
          </w:p>
        </w:tc>
        <w:tc>
          <w:tcPr>
            <w:tcW w:w="1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March 2022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- 3.33%</w:t>
            </w: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2017</w:t>
            </w:r>
          </w:p>
        </w:tc>
        <w:tc>
          <w:tcPr>
            <w:tcW w:w="50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103,570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103,570</w:t>
            </w:r>
          </w:p>
        </w:tc>
        <w:tc>
          <w:tcPr>
            <w:tcW w:w="100" w:type="dxa"/>
            <w:vAlign w:val="bottom"/>
          </w:tcPr>
          <w:p>
            <w:pPr>
              <w:spacing w:after="0"/>
              <w:rPr>
                <w:sz w:val="23"/>
                <w:szCs w:val="23"/>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June 2026</w:t>
            </w:r>
          </w:p>
        </w:tc>
        <w:tc>
          <w:tcPr>
            <w:tcW w:w="780" w:type="dxa"/>
            <w:vAlign w:val="bottom"/>
          </w:tcPr>
          <w:p>
            <w:pPr>
              <w:jc w:val="right"/>
              <w:spacing w:after="0"/>
              <w:rPr>
                <w:sz w:val="20"/>
                <w:szCs w:val="20"/>
                <w:color w:val="auto"/>
              </w:rPr>
            </w:pPr>
            <w:r>
              <w:rPr>
                <w:rFonts w:ascii="Arial" w:cs="Arial" w:eastAsia="Arial" w:hAnsi="Arial"/>
                <w:sz w:val="18"/>
                <w:szCs w:val="18"/>
                <w:color w:val="auto"/>
              </w:rPr>
              <w:t>2.82%</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- 2.87%</w:t>
            </w: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2014</w:t>
            </w:r>
          </w:p>
        </w:tc>
        <w:tc>
          <w:tcPr>
            <w:tcW w:w="50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27,390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28,053</w:t>
            </w:r>
          </w:p>
        </w:tc>
        <w:tc>
          <w:tcPr>
            <w:tcW w:w="10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June 2021</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1.04%</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Mediocredito Italiano</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1"/>
                <w:szCs w:val="21"/>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2023</w:t>
            </w:r>
          </w:p>
        </w:tc>
        <w:tc>
          <w:tcPr>
            <w:tcW w:w="780" w:type="dxa"/>
            <w:vAlign w:val="bottom"/>
          </w:tcPr>
          <w:p>
            <w:pPr>
              <w:jc w:val="right"/>
              <w:spacing w:after="0"/>
              <w:rPr>
                <w:sz w:val="20"/>
                <w:szCs w:val="20"/>
                <w:color w:val="auto"/>
              </w:rPr>
            </w:pPr>
            <w:r>
              <w:rPr>
                <w:rFonts w:ascii="Arial" w:cs="Arial" w:eastAsia="Arial" w:hAnsi="Arial"/>
                <w:sz w:val="18"/>
                <w:szCs w:val="18"/>
                <w:color w:val="auto"/>
              </w:rPr>
              <w:t>0.50%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- 2.96%</w:t>
            </w:r>
          </w:p>
        </w:tc>
      </w:tr>
      <w:tr>
        <w:trPr>
          <w:trHeight w:val="27"/>
        </w:trPr>
        <w:tc>
          <w:tcPr>
            <w:tcW w:w="5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Bank of America Merrill Lynch Banco Múltiplo S.A.</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July 2021</w:t>
            </w:r>
          </w:p>
        </w:tc>
        <w:tc>
          <w:tcPr>
            <w:tcW w:w="16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7.55%</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Bank of America, U.S.</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January 2021</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0"/>
              </w:rPr>
              <w:t>3.48%</w:t>
            </w:r>
          </w:p>
        </w:tc>
      </w:tr>
      <w:tr>
        <w:trPr>
          <w:trHeight w:val="27"/>
        </w:trPr>
        <w:tc>
          <w:tcPr>
            <w:tcW w:w="5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Total long-term facilities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491,701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333,511</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5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73,181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315,561</w:t>
            </w:r>
          </w:p>
        </w:tc>
        <w:tc>
          <w:tcPr>
            <w:tcW w:w="12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260,330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
        </w:trPr>
        <w:tc>
          <w:tcPr>
            <w:tcW w:w="4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100" w:hanging="328"/>
        <w:spacing w:after="0" w:line="265"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6"/>
          <w:szCs w:val="16"/>
          <w:color w:val="auto"/>
        </w:rPr>
        <w:t>The facility agreement with Bank of America Merrill Lynch International DAC, Barclays Bank PLC, BNP Paribas (London Branch) and Intesa Sanpaolo S.P.A. provides a multi-currency term loan facility in an aggregate amount of $350 million and terminates on March 26, 2022 (the “2019 Debt Facility”). Principal repayments of 20% of the outstanding borrowings under the 2019 Debt Facility are due in September 2020, March 2021 and September 2021, with the remainder of the outstanding borrowings due in March 2022.</w:t>
      </w:r>
    </w:p>
    <w:p>
      <w:pPr>
        <w:spacing w:after="0" w:line="1" w:lineRule="exact"/>
        <w:rPr>
          <w:rFonts w:ascii="Arial" w:cs="Arial" w:eastAsia="Arial" w:hAnsi="Arial"/>
          <w:sz w:val="14"/>
          <w:szCs w:val="14"/>
          <w:color w:val="auto"/>
        </w:rPr>
      </w:pPr>
    </w:p>
    <w:p>
      <w:pPr>
        <w:ind w:left="660" w:right="160" w:hanging="328"/>
        <w:spacing w:after="0" w:line="281"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5"/>
          <w:szCs w:val="15"/>
          <w:color w:val="auto"/>
        </w:rPr>
        <w:t>The 2017 European Investment Bank (“2017 EIB”) loan was obtained to support certain product development projects. The interest rate for the 2017 EIB loan is reset by the lender each quarter based on LIBOR. Interest payments are paid quarterly and principal payments are paid semi-annually.</w:t>
      </w:r>
    </w:p>
    <w:p>
      <w:pPr>
        <w:spacing w:after="0" w:line="1" w:lineRule="exact"/>
        <w:rPr>
          <w:rFonts w:ascii="Arial" w:cs="Arial" w:eastAsia="Arial" w:hAnsi="Arial"/>
          <w:sz w:val="13"/>
          <w:szCs w:val="13"/>
          <w:color w:val="auto"/>
        </w:rPr>
      </w:pPr>
    </w:p>
    <w:p>
      <w:pPr>
        <w:ind w:left="660" w:right="260" w:hanging="328"/>
        <w:spacing w:after="0" w:line="323"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5"/>
          <w:szCs w:val="15"/>
          <w:color w:val="auto"/>
        </w:rPr>
        <w:t>The 2014 European Investment Bank (“2014 EIB”) loan was obtained in July 2014 to support product development projects. The interest rate for the 2014 EIB loan is reset by the lender each quarter based on the Euribor. Interest payments are paid quarterly, and principal payments are paid semi-annually.</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10" w:lineRule="exact"/>
        <w:rPr>
          <w:sz w:val="20"/>
          <w:szCs w:val="20"/>
          <w:color w:val="auto"/>
        </w:rPr>
      </w:pPr>
    </w:p>
    <w:p>
      <w:pPr>
        <w:ind w:right="40" w:firstLine="162"/>
        <w:spacing w:after="0" w:line="263" w:lineRule="auto"/>
        <w:rPr>
          <w:sz w:val="20"/>
          <w:szCs w:val="20"/>
          <w:color w:val="auto"/>
        </w:rPr>
      </w:pPr>
      <w:r>
        <w:rPr>
          <w:rFonts w:ascii="Arial" w:cs="Arial" w:eastAsia="Arial" w:hAnsi="Arial"/>
          <w:sz w:val="18"/>
          <w:szCs w:val="18"/>
          <w:color w:val="auto"/>
        </w:rPr>
        <w:t>The outstanding principal amount of our short-term unsecured revolving credit agreements and other agreements with various banks was $47.2 million and $4.2 million, at March 31, 2020 and December 31, 2019, respectively, with interest rates ranging from 2.72% to 7.55% and loan terms ranging from 30 days to 180 days, as of March 31, 2020.</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Debt Covenant Amendments</w:t>
      </w:r>
    </w:p>
    <w:p>
      <w:pPr>
        <w:spacing w:after="0" w:line="110" w:lineRule="exact"/>
        <w:rPr>
          <w:sz w:val="20"/>
          <w:szCs w:val="20"/>
          <w:color w:val="auto"/>
        </w:rPr>
      </w:pPr>
    </w:p>
    <w:p>
      <w:pPr>
        <w:ind w:right="20" w:firstLine="162"/>
        <w:spacing w:after="0" w:line="291" w:lineRule="auto"/>
        <w:rPr>
          <w:sz w:val="20"/>
          <w:szCs w:val="20"/>
          <w:color w:val="auto"/>
        </w:rPr>
      </w:pPr>
      <w:r>
        <w:rPr>
          <w:rFonts w:ascii="Arial" w:cs="Arial" w:eastAsia="Arial" w:hAnsi="Arial"/>
          <w:sz w:val="16"/>
          <w:szCs w:val="16"/>
          <w:color w:val="auto"/>
        </w:rPr>
        <w:t>In connection with our assessment of going concern considerations during the first quarter of 2020, the Company determined that the projected reduction in sales primarily in the second quarter of 2020 as a result of COVID-19 would result in our inability to comply with certain debt covenants as of the end of the second and fourth quarters of 2020. As a result, in April 2020, the Company concluded a series of debt covenant amendments which materially modify the status of our current credit agreements. These amendments temporarily amend financial covenants relating to consolidated net financial indebtedness to consolidated EBITDA and consolidated EBITDA to consolidated net interest payable, waive certain events of default through December 31, 2020 relating to COVID-19, and implement a test period of 12 months for certification purposes. Management has concluded that current and anticipated future operating cash flows will be sufficient to comply with the amended covenants as of the end of the second and fourth quarters of 2020.</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Note 9. Derivatives and Risk Management</w:t>
      </w:r>
    </w:p>
    <w:p>
      <w:pPr>
        <w:spacing w:after="0" w:line="116"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FX derivative contracts and interest rate swap contracts to reduce the impact of foreign currency exchange rate and interest rate fluctuations on earnings and cash flow. We measure all outstanding derivatives each period end at fair value and report the fair value as either financial assets or liabilities on the condensed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56" w:lineRule="exact"/>
        <w:rPr>
          <w:sz w:val="20"/>
          <w:szCs w:val="20"/>
          <w:color w:val="auto"/>
        </w:rPr>
      </w:pPr>
    </w:p>
    <w:p>
      <w:pPr>
        <w:ind w:right="20" w:firstLine="162"/>
        <w:spacing w:after="0" w:line="275" w:lineRule="auto"/>
        <w:rPr>
          <w:sz w:val="20"/>
          <w:szCs w:val="20"/>
          <w:color w:val="auto"/>
        </w:rPr>
      </w:pPr>
      <w:r>
        <w:rPr>
          <w:rFonts w:ascii="Arial" w:cs="Arial" w:eastAsia="Arial" w:hAnsi="Arial"/>
          <w:sz w:val="17"/>
          <w:szCs w:val="17"/>
          <w:color w:val="auto"/>
        </w:rPr>
        <w:t>If the derivative qualifies for hedge accounting, changes in the fair value of the derivative will be recorded in accumulated other comprehensive income (“AOCI”) until the hedged item is recognized in earnings upon settlement/termination. FX derivative gains and losses in AOCI are reclassified to our condensed consolidated statements of income (loss) as shown in the tables below and interest rate swap gains and losses in AOCI are reclassified to interest expense on our condensed consolidated statements of income (loss). We evaluate hedge effectiveness at inception. Cash flows from derivative contracts are reported as operating activities on our condensed consolidated statements of cash flows.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Freestanding FX Derivative Contracts</w:t>
      </w:r>
    </w:p>
    <w:p>
      <w:pPr>
        <w:spacing w:after="0" w:line="110" w:lineRule="exact"/>
        <w:rPr>
          <w:sz w:val="20"/>
          <w:szCs w:val="20"/>
          <w:color w:val="auto"/>
        </w:rPr>
      </w:pPr>
    </w:p>
    <w:p>
      <w:pPr>
        <w:ind w:right="80" w:firstLine="162"/>
        <w:spacing w:after="0" w:line="275" w:lineRule="auto"/>
        <w:rPr>
          <w:sz w:val="20"/>
          <w:szCs w:val="20"/>
          <w:color w:val="auto"/>
        </w:rPr>
      </w:pPr>
      <w:r>
        <w:rPr>
          <w:rFonts w:ascii="Arial" w:cs="Arial" w:eastAsia="Arial" w:hAnsi="Arial"/>
          <w:sz w:val="17"/>
          <w:szCs w:val="17"/>
          <w:color w:val="auto"/>
        </w:rPr>
        <w:t>The gross notional amount of FX derivative contracts not designated as hedging instruments outstanding at March 31, 2020 and December 31, 2019 was $220.7 million and $338.0 million, respectively. These derivative contracts are designed to offset the FX effects in earnings of various intercompany loans, our 2014 EIB loan, the Euro-denominated borrowings under the 2019 Debt Facility and trade receivables. We recorded net gains for these freestanding derivatives of $8.1 million and $3.7 million for the three months ended March 31, 2020 and 2019, respectively. These gains are included in foreign exchange and other gains on our condensed consolidated statements of income (loss).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Cash Flow Hedges</w:t>
      </w:r>
    </w:p>
    <w:p>
      <w:pPr>
        <w:spacing w:after="0" w:line="110"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The gross notional amounts of open derivative contracts designated as cash flow hedges at March 31, 2020 and December 31, 2019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300" w:type="dxa"/>
            <w:vAlign w:val="bottom"/>
          </w:tcPr>
          <w:p>
            <w:pPr>
              <w:spacing w:after="0"/>
              <w:rPr>
                <w:sz w:val="20"/>
                <w:szCs w:val="20"/>
                <w:color w:val="auto"/>
              </w:rPr>
            </w:pPr>
          </w:p>
        </w:tc>
        <w:tc>
          <w:tcPr>
            <w:tcW w:w="19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2020</w:t>
            </w:r>
          </w:p>
        </w:tc>
        <w:tc>
          <w:tcPr>
            <w:tcW w:w="24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December 31, 2019</w:t>
            </w:r>
          </w:p>
        </w:tc>
      </w:tr>
      <w:tr>
        <w:trPr>
          <w:trHeight w:val="27"/>
        </w:trPr>
        <w:tc>
          <w:tcPr>
            <w:tcW w:w="6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British Pounds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10,128</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FX derivative contracts to be exchanged for Japanese Yen</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25,342</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Euros</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48,838</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21,912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22,442</w:t>
            </w:r>
          </w:p>
        </w:tc>
      </w:tr>
      <w:tr>
        <w:trPr>
          <w:trHeight w:val="27"/>
        </w:trPr>
        <w:tc>
          <w:tcPr>
            <w:tcW w:w="6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106,750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color w:val="auto"/>
        </w:rPr>
        <w:t>After-tax net loss associated with derivatives designated as cash flow hedges recorded in the ending balance of AOCI and the amount expected to be reclassified to earnings in the next twelve months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After-Tax Net Loss in</w:t>
            </w:r>
          </w:p>
        </w:tc>
        <w:tc>
          <w:tcPr>
            <w:tcW w:w="140" w:type="dxa"/>
            <w:vAlign w:val="bottom"/>
          </w:tcPr>
          <w:p>
            <w:pPr>
              <w:spacing w:after="0"/>
              <w:rPr>
                <w:sz w:val="18"/>
                <w:szCs w:val="18"/>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Amount Expected to be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AOCI as of March 31,</w:t>
            </w:r>
          </w:p>
        </w:tc>
        <w:tc>
          <w:tcPr>
            <w:tcW w:w="214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Reclassified to Earnings in</w:t>
            </w:r>
          </w:p>
        </w:tc>
        <w:tc>
          <w:tcPr>
            <w:tcW w:w="0" w:type="dxa"/>
            <w:vAlign w:val="bottom"/>
          </w:tcPr>
          <w:p>
            <w:pPr>
              <w:spacing w:after="0"/>
              <w:rPr>
                <w:sz w:val="1"/>
                <w:szCs w:val="1"/>
                <w:color w:val="auto"/>
              </w:rPr>
            </w:pPr>
          </w:p>
        </w:tc>
      </w:tr>
      <w:tr>
        <w:trPr>
          <w:trHeight w:val="234"/>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jc w:val="right"/>
              <w:ind w:right="370"/>
              <w:spacing w:after="0"/>
              <w:rPr>
                <w:sz w:val="20"/>
                <w:szCs w:val="20"/>
                <w:color w:val="auto"/>
              </w:rPr>
            </w:pPr>
            <w:r>
              <w:rPr>
                <w:rFonts w:ascii="Arial" w:cs="Arial" w:eastAsia="Arial" w:hAnsi="Arial"/>
                <w:sz w:val="18"/>
                <w:szCs w:val="18"/>
                <w:b w:val="1"/>
                <w:bCs w:val="1"/>
                <w:color w:val="auto"/>
              </w:rPr>
              <w:t>Next 12 Months</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6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1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0" w:right="339" w:bottom="1440" w:gutter="0" w:footer="0" w:header="0"/>
        </w:sectPr>
      </w:pPr>
    </w:p>
    <w:bookmarkStart w:id="17" w:name="page18"/>
    <w:bookmarkEnd w:id="17"/>
    <w:p>
      <w:pPr>
        <w:ind w:right="140" w:firstLine="162"/>
        <w:spacing w:after="0" w:line="277" w:lineRule="auto"/>
        <w:rPr>
          <w:sz w:val="20"/>
          <w:szCs w:val="20"/>
          <w:color w:val="auto"/>
        </w:rPr>
      </w:pPr>
      <w:r>
        <w:rPr>
          <w:rFonts w:ascii="Arial" w:cs="Arial" w:eastAsia="Arial" w:hAnsi="Arial"/>
          <w:sz w:val="18"/>
          <w:szCs w:val="18"/>
          <w:color w:val="auto"/>
        </w:rPr>
        <w:t>Pre-tax gains (losses) for derivative contracts designated as cash flow hedges recognized in other comprehensive income (loss) (“OCI”) and the amount reclassified to earnings from AOCI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March 31,</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380" w:type="dxa"/>
            <w:vAlign w:val="bottom"/>
          </w:tcPr>
          <w:p>
            <w:pPr>
              <w:spacing w:after="0"/>
              <w:rPr>
                <w:sz w:val="20"/>
                <w:szCs w:val="20"/>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Losses Reclassified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Gains (Losses)</w:t>
            </w:r>
          </w:p>
        </w:tc>
      </w:tr>
      <w:tr>
        <w:trPr>
          <w:trHeight w:val="216"/>
        </w:trPr>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Description of Derivative</w:t>
            </w:r>
          </w:p>
        </w:tc>
        <w:tc>
          <w:tcPr>
            <w:tcW w:w="2380" w:type="dxa"/>
            <w:vAlign w:val="bottom"/>
            <w:gridSpan w:val="2"/>
          </w:tcPr>
          <w:p>
            <w:pPr>
              <w:ind w:left="220"/>
              <w:spacing w:after="0"/>
              <w:rPr>
                <w:sz w:val="20"/>
                <w:szCs w:val="20"/>
                <w:color w:val="auto"/>
              </w:rPr>
            </w:pPr>
            <w:r>
              <w:rPr>
                <w:rFonts w:ascii="Arial" w:cs="Arial" w:eastAsia="Arial" w:hAnsi="Arial"/>
                <w:sz w:val="18"/>
                <w:szCs w:val="18"/>
                <w:b w:val="1"/>
                <w:bCs w:val="1"/>
                <w:color w:val="auto"/>
              </w:rPr>
              <w:t>Location in Earnings of</w:t>
            </w: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Losses Recognized</w:t>
            </w:r>
          </w:p>
        </w:tc>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from AOCI to</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Gains Recognized</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Reclassified from</w:t>
            </w:r>
          </w:p>
        </w:tc>
      </w:tr>
      <w:tr>
        <w:trPr>
          <w:trHeight w:val="234"/>
        </w:trPr>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w:t>
            </w:r>
          </w:p>
        </w:tc>
        <w:tc>
          <w:tcPr>
            <w:tcW w:w="238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Reclassified Gain or Loss</w:t>
            </w:r>
          </w:p>
        </w:tc>
        <w:tc>
          <w:tcPr>
            <w:tcW w:w="30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in OCI</w:t>
            </w:r>
          </w:p>
        </w:tc>
        <w:tc>
          <w:tcPr>
            <w:tcW w:w="2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Earnings</w:t>
            </w:r>
          </w:p>
        </w:tc>
        <w:tc>
          <w:tcPr>
            <w:tcW w:w="32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in OCI</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AOCI to Earnings</w:t>
            </w:r>
          </w:p>
        </w:tc>
      </w:tr>
      <w:tr>
        <w:trPr>
          <w:trHeight w:val="27"/>
        </w:trPr>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2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r>
      <w:tr>
        <w:trPr>
          <w:trHeight w:val="237"/>
        </w:trPr>
        <w:tc>
          <w:tcPr>
            <w:tcW w:w="2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(losses) gains</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3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1,319</w:t>
            </w: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162"/>
        <w:spacing w:after="0" w:line="263" w:lineRule="auto"/>
        <w:rPr>
          <w:sz w:val="20"/>
          <w:szCs w:val="20"/>
          <w:color w:val="auto"/>
        </w:rPr>
      </w:pPr>
      <w:r>
        <w:rPr>
          <w:rFonts w:ascii="Arial" w:cs="Arial" w:eastAsia="Arial" w:hAnsi="Arial"/>
          <w:sz w:val="18"/>
          <w:szCs w:val="18"/>
          <w:color w:val="auto"/>
        </w:rPr>
        <w:t>We offset fair value amounts associated with our derivative instruments on our condensed consolidated balance sheets that are executed with the same counterparty under master netting arrangements. Our netting arrangements include a right to set off or net together purchases and sales of similar products in the settlement process.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present the fair value and the location of derivative contracts reported on the condensed consolidated balance sheets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March 31, 2020</w:t>
            </w:r>
          </w:p>
        </w:tc>
        <w:tc>
          <w:tcPr>
            <w:tcW w:w="120" w:type="dxa"/>
            <w:vAlign w:val="bottom"/>
          </w:tcPr>
          <w:p>
            <w:pPr>
              <w:spacing w:after="0"/>
              <w:rPr>
                <w:sz w:val="20"/>
                <w:szCs w:val="20"/>
                <w:color w:val="auto"/>
              </w:rPr>
            </w:pPr>
          </w:p>
        </w:tc>
        <w:tc>
          <w:tcPr>
            <w:tcW w:w="2720" w:type="dxa"/>
            <w:vAlign w:val="bottom"/>
            <w:gridSpan w:val="4"/>
          </w:tcPr>
          <w:p>
            <w:pPr>
              <w:ind w:left="1300"/>
              <w:spacing w:after="0"/>
              <w:rPr>
                <w:sz w:val="20"/>
                <w:szCs w:val="20"/>
                <w:color w:val="auto"/>
              </w:rPr>
            </w:pPr>
            <w:r>
              <w:rPr>
                <w:rFonts w:ascii="Arial" w:cs="Arial" w:eastAsia="Arial" w:hAnsi="Arial"/>
                <w:sz w:val="18"/>
                <w:szCs w:val="18"/>
                <w:b w:val="1"/>
                <w:bCs w:val="1"/>
                <w:color w:val="auto"/>
                <w:w w:val="93"/>
              </w:rPr>
              <w:t>Asset Derivatives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3"/>
          </w:tcPr>
          <w:p>
            <w:pPr>
              <w:ind w:left="1160"/>
              <w:spacing w:after="0"/>
              <w:rPr>
                <w:sz w:val="20"/>
                <w:szCs w:val="20"/>
                <w:color w:val="auto"/>
              </w:rPr>
            </w:pPr>
            <w:r>
              <w:rPr>
                <w:rFonts w:ascii="Arial" w:cs="Arial" w:eastAsia="Arial" w:hAnsi="Arial"/>
                <w:sz w:val="18"/>
                <w:szCs w:val="18"/>
                <w:b w:val="1"/>
                <w:bCs w:val="1"/>
                <w:color w:val="auto"/>
                <w:w w:val="92"/>
              </w:rPr>
              <w:t>Liability Derivatives</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tcPr>
          <w:p>
            <w:pPr>
              <w:spacing w:after="0"/>
              <w:rPr>
                <w:sz w:val="22"/>
                <w:szCs w:val="22"/>
                <w:color w:val="auto"/>
              </w:rPr>
            </w:pPr>
          </w:p>
        </w:tc>
        <w:tc>
          <w:tcPr>
            <w:tcW w:w="2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2"/>
              </w:rPr>
              <w:t>Balance Sheet Location</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9"/>
              </w:rPr>
              <w:t xml:space="preserve">Fair Value </w:t>
            </w:r>
            <w:r>
              <w:rPr>
                <w:rFonts w:ascii="Arial" w:cs="Arial" w:eastAsia="Arial" w:hAnsi="Arial"/>
                <w:sz w:val="25"/>
                <w:szCs w:val="25"/>
                <w:b w:val="1"/>
                <w:bCs w:val="1"/>
                <w:color w:val="auto"/>
                <w:w w:val="89"/>
                <w:vertAlign w:val="superscript"/>
              </w:rPr>
              <w:t>(1)</w:t>
            </w:r>
          </w:p>
        </w:tc>
        <w:tc>
          <w:tcPr>
            <w:tcW w:w="12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7"/>
              </w:rPr>
              <w:t xml:space="preserve">Fair Value </w:t>
            </w:r>
            <w:r>
              <w:rPr>
                <w:rFonts w:ascii="Arial" w:cs="Arial" w:eastAsia="Arial" w:hAnsi="Arial"/>
                <w:sz w:val="25"/>
                <w:szCs w:val="25"/>
                <w:b w:val="1"/>
                <w:bCs w:val="1"/>
                <w:color w:val="auto"/>
                <w:w w:val="87"/>
                <w:vertAlign w:val="superscript"/>
              </w:rPr>
              <w:t>(1)</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Prepaid expenses and other</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9"/>
        </w:trPr>
        <w:tc>
          <w:tcPr>
            <w:tcW w:w="3160" w:type="dxa"/>
            <w:vAlign w:val="bottom"/>
          </w:tcPr>
          <w:p>
            <w:pPr>
              <w:ind w:left="40"/>
              <w:spacing w:after="0"/>
              <w:rPr>
                <w:sz w:val="20"/>
                <w:szCs w:val="20"/>
                <w:color w:val="auto"/>
              </w:rPr>
            </w:pPr>
            <w:r>
              <w:rPr>
                <w:rFonts w:ascii="Arial" w:cs="Arial" w:eastAsia="Arial" w:hAnsi="Arial"/>
                <w:sz w:val="18"/>
                <w:szCs w:val="18"/>
                <w:color w:val="auto"/>
                <w:w w:val="97"/>
              </w:rPr>
              <w:t>Total derivatives designated as hedging</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2"/>
              </w:rPr>
              <w:t>Derivatives Not Designated as Hedging</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w w:val="97"/>
              </w:rPr>
              <w:t>Prepaid expenses and 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20"/>
                <w:szCs w:val="20"/>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6,623</w:t>
            </w:r>
          </w:p>
        </w:tc>
        <w:tc>
          <w:tcPr>
            <w:tcW w:w="120" w:type="dxa"/>
            <w:vAlign w:val="bottom"/>
          </w:tcPr>
          <w:p>
            <w:pPr>
              <w:spacing w:after="0"/>
              <w:rPr>
                <w:sz w:val="20"/>
                <w:szCs w:val="20"/>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60" w:type="dxa"/>
            <w:vAlign w:val="bottom"/>
          </w:tcPr>
          <w:p>
            <w:pPr>
              <w:ind w:left="40"/>
              <w:spacing w:after="0"/>
              <w:rPr>
                <w:sz w:val="20"/>
                <w:szCs w:val="20"/>
                <w:color w:val="auto"/>
              </w:rPr>
            </w:pPr>
            <w:r>
              <w:rPr>
                <w:rFonts w:ascii="Arial" w:cs="Arial" w:eastAsia="Arial" w:hAnsi="Arial"/>
                <w:sz w:val="18"/>
                <w:szCs w:val="18"/>
                <w:color w:val="auto"/>
              </w:rPr>
              <w:t>Total derivatives not designated as</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40"/>
              <w:spacing w:after="0"/>
              <w:rPr>
                <w:sz w:val="20"/>
                <w:szCs w:val="20"/>
                <w:color w:val="auto"/>
              </w:rPr>
            </w:pPr>
            <w:r>
              <w:rPr>
                <w:rFonts w:ascii="Arial" w:cs="Arial" w:eastAsia="Arial" w:hAnsi="Arial"/>
                <w:sz w:val="18"/>
                <w:szCs w:val="18"/>
                <w:color w:val="auto"/>
              </w:rPr>
              <w:t>hedging instruments</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6,630</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6,636</w:t>
            </w:r>
          </w:p>
        </w:tc>
        <w:tc>
          <w:tcPr>
            <w:tcW w:w="12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Pr>
          <w:p>
            <w:pPr>
              <w:spacing w:after="0"/>
              <w:rPr>
                <w:sz w:val="20"/>
                <w:szCs w:val="20"/>
                <w:color w:val="auto"/>
              </w:rPr>
            </w:pPr>
          </w:p>
        </w:tc>
        <w:tc>
          <w:tcPr>
            <w:tcW w:w="2720" w:type="dxa"/>
            <w:vAlign w:val="bottom"/>
            <w:gridSpan w:val="3"/>
          </w:tcPr>
          <w:p>
            <w:pPr>
              <w:ind w:left="1300"/>
              <w:spacing w:after="0"/>
              <w:rPr>
                <w:sz w:val="20"/>
                <w:szCs w:val="20"/>
                <w:color w:val="auto"/>
              </w:rPr>
            </w:pPr>
            <w:r>
              <w:rPr>
                <w:rFonts w:ascii="Arial" w:cs="Arial" w:eastAsia="Arial" w:hAnsi="Arial"/>
                <w:sz w:val="18"/>
                <w:szCs w:val="18"/>
                <w:b w:val="1"/>
                <w:bCs w:val="1"/>
                <w:color w:val="auto"/>
                <w:w w:val="93"/>
              </w:rPr>
              <w:t>Asset Derivatives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3"/>
          </w:tcPr>
          <w:p>
            <w:pPr>
              <w:ind w:left="1160"/>
              <w:spacing w:after="0"/>
              <w:rPr>
                <w:sz w:val="20"/>
                <w:szCs w:val="20"/>
                <w:color w:val="auto"/>
              </w:rPr>
            </w:pPr>
            <w:r>
              <w:rPr>
                <w:rFonts w:ascii="Arial" w:cs="Arial" w:eastAsia="Arial" w:hAnsi="Arial"/>
                <w:sz w:val="18"/>
                <w:szCs w:val="18"/>
                <w:b w:val="1"/>
                <w:bCs w:val="1"/>
                <w:color w:val="auto"/>
                <w:w w:val="92"/>
              </w:rPr>
              <w:t>Liability Derivatives</w:t>
            </w:r>
          </w:p>
        </w:tc>
        <w:tc>
          <w:tcPr>
            <w:tcW w:w="1180" w:type="dxa"/>
            <w:vAlign w:val="bottom"/>
          </w:tcPr>
          <w:p>
            <w:pPr>
              <w:spacing w:after="0"/>
              <w:rPr>
                <w:sz w:val="20"/>
                <w:szCs w:val="20"/>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61"/>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9"/>
              </w:rPr>
              <w:t xml:space="preserve">Fair Value </w:t>
            </w:r>
            <w:r>
              <w:rPr>
                <w:rFonts w:ascii="Arial" w:cs="Arial" w:eastAsia="Arial" w:hAnsi="Arial"/>
                <w:sz w:val="25"/>
                <w:szCs w:val="25"/>
                <w:b w:val="1"/>
                <w:bCs w:val="1"/>
                <w:color w:val="auto"/>
                <w:w w:val="89"/>
                <w:vertAlign w:val="superscript"/>
              </w:rPr>
              <w:t>(1)</w:t>
            </w:r>
          </w:p>
        </w:tc>
        <w:tc>
          <w:tcPr>
            <w:tcW w:w="12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7"/>
              </w:rPr>
              <w:t xml:space="preserve">Fair Value </w:t>
            </w:r>
            <w:r>
              <w:rPr>
                <w:rFonts w:ascii="Arial" w:cs="Arial" w:eastAsia="Arial" w:hAnsi="Arial"/>
                <w:sz w:val="25"/>
                <w:szCs w:val="25"/>
                <w:b w:val="1"/>
                <w:bCs w:val="1"/>
                <w:color w:val="auto"/>
                <w:w w:val="87"/>
                <w:vertAlign w:val="superscript"/>
              </w:rPr>
              <w:t>(1)</w:t>
            </w:r>
          </w:p>
        </w:tc>
      </w:tr>
      <w:tr>
        <w:trPr>
          <w:trHeight w:val="24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3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21"/>
                <w:szCs w:val="21"/>
                <w:color w:val="auto"/>
              </w:rPr>
            </w:pP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Total derivatives designated as hedging</w:t>
            </w: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r>
      <w:tr>
        <w:trPr>
          <w:trHeight w:val="205"/>
        </w:trPr>
        <w:tc>
          <w:tcPr>
            <w:tcW w:w="3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2"/>
              </w:rPr>
              <w:t>Derivatives Not Designated as Hedging</w:t>
            </w: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34"/>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r>
      <w:tr>
        <w:trPr>
          <w:trHeight w:val="229"/>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16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w:t>
            </w: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hedging 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3,137</w:t>
            </w:r>
          </w:p>
        </w:tc>
      </w:tr>
      <w:tr>
        <w:trPr>
          <w:trHeight w:val="257"/>
        </w:trPr>
        <w:tc>
          <w:tcPr>
            <w:tcW w:w="316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3,680</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6"/>
          <w:szCs w:val="16"/>
          <w:color w:val="auto"/>
        </w:rPr>
        <w:t>For the classification of inputs used to evaluate the fair value of our derivatives, refer to “Note 7. Fair Value Measurements.”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FDA Warning Letter</w:t>
      </w:r>
    </w:p>
    <w:p>
      <w:pPr>
        <w:spacing w:after="0" w:line="116"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w:t>
      </w:r>
    </w:p>
    <w:p>
      <w:pPr>
        <w:spacing w:after="0" w:line="62"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84"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were subject to refusal of admission into the U.S. until resolution of the issues set forth by the FDA in the Warning Letter. The FDA had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of all of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6" w:lineRule="exact"/>
        <w:rPr>
          <w:sz w:val="20"/>
          <w:szCs w:val="20"/>
          <w:color w:val="auto"/>
        </w:rPr>
      </w:pPr>
    </w:p>
    <w:p>
      <w:pPr>
        <w:ind w:right="300" w:firstLine="162"/>
        <w:spacing w:after="0" w:line="286" w:lineRule="auto"/>
        <w:rPr>
          <w:sz w:val="20"/>
          <w:szCs w:val="20"/>
          <w:color w:val="auto"/>
        </w:rPr>
      </w:pPr>
      <w:r>
        <w:rPr>
          <w:rFonts w:ascii="Arial" w:cs="Arial" w:eastAsia="Arial" w:hAnsi="Arial"/>
          <w:sz w:val="17"/>
          <w:szCs w:val="17"/>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5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w:t>
      </w:r>
    </w:p>
    <w:p>
      <w:pPr>
        <w:spacing w:after="0" w:line="79"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823"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CDC and FDA Safety Communications and Company Field Safety Notice</w:t>
      </w:r>
    </w:p>
    <w:p>
      <w:pPr>
        <w:spacing w:after="0" w:line="116" w:lineRule="exact"/>
        <w:rPr>
          <w:sz w:val="20"/>
          <w:szCs w:val="20"/>
          <w:color w:val="auto"/>
        </w:rPr>
      </w:pPr>
    </w:p>
    <w:p>
      <w:pPr>
        <w:ind w:right="60" w:firstLine="162"/>
        <w:spacing w:after="0" w:line="270" w:lineRule="auto"/>
        <w:rPr>
          <w:sz w:val="20"/>
          <w:szCs w:val="20"/>
          <w:color w:val="auto"/>
        </w:rPr>
      </w:pPr>
      <w:r>
        <w:rPr>
          <w:rFonts w:ascii="Arial" w:cs="Arial" w:eastAsia="Arial" w:hAnsi="Arial"/>
          <w:sz w:val="17"/>
          <w:szCs w:val="17"/>
          <w:color w:val="auto"/>
        </w:rPr>
        <w:t>On October 13, 2016, the CDC and the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3" w:lineRule="exact"/>
        <w:rPr>
          <w:sz w:val="20"/>
          <w:szCs w:val="20"/>
          <w:color w:val="auto"/>
        </w:rPr>
      </w:pPr>
    </w:p>
    <w:p>
      <w:pPr>
        <w:ind w:right="80" w:firstLine="162"/>
        <w:spacing w:after="0" w:line="268" w:lineRule="auto"/>
        <w:rPr>
          <w:sz w:val="20"/>
          <w:szCs w:val="20"/>
          <w:color w:val="auto"/>
        </w:rPr>
      </w:pPr>
      <w:r>
        <w:rPr>
          <w:rFonts w:ascii="Arial" w:cs="Arial" w:eastAsia="Arial" w:hAnsi="Arial"/>
          <w:sz w:val="17"/>
          <w:szCs w:val="17"/>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This loaner program is available on a global basis. We anticipate that this program will continue until we are able to address customer needs through a broader solution that includes implementation of the risk mitigation strategies described above. We are currently implementing the vacuum and sealing upgrade program in as many countries as possible until all devices are upgraded. On October 11, 2018, after review of information provided by us, the FDA concluded that we could commence the vacuum and sealing upgrade program in the U.S., and on February 25, 2020, LivaNova received clearance for K191402, a 510(k) for the 3T devices that addressed issues contained in the 2015 Warning Letter along with design changes that further mitigate the potential risk of aerosolization. Furthermore, we continue to offer a no-charge deep disinfection service (deep cleaning service) for 3T device users as we receive the required regulatory approvals. The deep disinfection service was rolled out in Europe in the second half of 2015, and on April 12, 2018, the FDA agreed to allow us to move forward with the deep cleaning service in the U.S. thereby adding to the growing list of countries around the world in which we offer this service.</w:t>
      </w:r>
    </w:p>
    <w:p>
      <w:pPr>
        <w:spacing w:after="0" w:line="78" w:lineRule="exact"/>
        <w:rPr>
          <w:sz w:val="20"/>
          <w:szCs w:val="20"/>
          <w:color w:val="auto"/>
        </w:rPr>
      </w:pPr>
    </w:p>
    <w:p>
      <w:pPr>
        <w:ind w:right="160" w:firstLine="162"/>
        <w:spacing w:after="0" w:line="279"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March 31, 2020, the product remediation liability was $1.6 million. Refer to “Note 5. Product Remediation Liability”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 Liability</w:t>
      </w:r>
    </w:p>
    <w:p>
      <w:pPr>
        <w:spacing w:after="0" w:line="11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w:t>
      </w:r>
    </w:p>
    <w:p>
      <w:pPr>
        <w:spacing w:after="0" w:line="84" w:lineRule="exact"/>
        <w:rPr>
          <w:sz w:val="20"/>
          <w:szCs w:val="20"/>
          <w:color w:val="auto"/>
        </w:rPr>
      </w:pPr>
    </w:p>
    <w:p>
      <w:pPr>
        <w:ind w:right="300" w:firstLine="162"/>
        <w:spacing w:after="0" w:line="293" w:lineRule="auto"/>
        <w:rPr>
          <w:sz w:val="20"/>
          <w:szCs w:val="20"/>
          <w:color w:val="auto"/>
        </w:rPr>
      </w:pPr>
      <w:r>
        <w:rPr>
          <w:rFonts w:ascii="Arial" w:cs="Arial" w:eastAsia="Arial" w:hAnsi="Arial"/>
          <w:sz w:val="16"/>
          <w:szCs w:val="16"/>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56" w:lineRule="exact"/>
        <w:rPr>
          <w:sz w:val="20"/>
          <w:szCs w:val="20"/>
          <w:color w:val="auto"/>
        </w:rPr>
      </w:pPr>
    </w:p>
    <w:p>
      <w:pPr>
        <w:ind w:right="180" w:firstLine="162"/>
        <w:spacing w:after="0" w:line="263" w:lineRule="auto"/>
        <w:rPr>
          <w:sz w:val="20"/>
          <w:szCs w:val="20"/>
          <w:color w:val="auto"/>
        </w:rPr>
      </w:pPr>
      <w:r>
        <w:rPr>
          <w:rFonts w:ascii="Arial" w:cs="Arial" w:eastAsia="Arial" w:hAnsi="Arial"/>
          <w:sz w:val="18"/>
          <w:szCs w:val="18"/>
          <w:color w:val="auto"/>
        </w:rPr>
        <w:t>Cases in state courts in the U.S. and in jurisdictions outside the U.S. continue to progress. As of April 29, 2020, including the cases encompassed in the settlement framework described above that have not yet been dismissed, we are aware of approximately 90 filed and unfiled claims worldwide, with the majority of the claims in various federal or state courts</w:t>
      </w: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670" w:right="339" w:bottom="1440" w:gutter="0" w:footer="0" w:header="0"/>
        </w:sectPr>
      </w:pPr>
    </w:p>
    <w:bookmarkStart w:id="20" w:name="page21"/>
    <w:bookmarkEnd w:id="20"/>
    <w:p>
      <w:pPr>
        <w:spacing w:after="0" w:line="286" w:lineRule="auto"/>
        <w:rPr>
          <w:sz w:val="20"/>
          <w:szCs w:val="20"/>
          <w:color w:val="auto"/>
        </w:rPr>
      </w:pPr>
      <w:r>
        <w:rPr>
          <w:rFonts w:ascii="Arial" w:cs="Arial" w:eastAsia="Arial" w:hAnsi="Arial"/>
          <w:sz w:val="17"/>
          <w:szCs w:val="17"/>
          <w:color w:val="auto"/>
        </w:rPr>
        <w:t>throughout the United States. This includes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57"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color w:val="auto"/>
        </w:rPr>
        <w:t>At March 31, 2020, the provision for these matters was $54.6 million. While the amount accrued represents our best estimate, the actual liability for resolution of these matters may vary from our estimate.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tcPr>
          <w:p>
            <w:pPr>
              <w:ind w:left="180"/>
              <w:spacing w:after="0"/>
              <w:rPr>
                <w:sz w:val="20"/>
                <w:szCs w:val="20"/>
                <w:color w:val="auto"/>
              </w:rPr>
            </w:pPr>
            <w:r>
              <w:rPr>
                <w:rFonts w:ascii="Arial" w:cs="Arial" w:eastAsia="Arial" w:hAnsi="Arial"/>
                <w:sz w:val="18"/>
                <w:szCs w:val="18"/>
                <w:color w:val="auto"/>
                <w:w w:val="93"/>
              </w:rPr>
              <w:t>The changes in the litigation provision liability during the three months ended March 31, 2020 are as follows (in thousands):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60"/>
        </w:trPr>
        <w:tc>
          <w:tcPr>
            <w:tcW w:w="938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Litigation Provision</w:t>
            </w:r>
          </w:p>
        </w:tc>
      </w:tr>
      <w:tr>
        <w:trPr>
          <w:trHeight w:val="234"/>
        </w:trPr>
        <w:tc>
          <w:tcPr>
            <w:tcW w:w="9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Liability</w:t>
            </w:r>
          </w:p>
        </w:tc>
      </w:tr>
      <w:tr>
        <w:trPr>
          <w:trHeight w:val="27"/>
        </w:trPr>
        <w:tc>
          <w:tcPr>
            <w:tcW w:w="9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litigation provision liability at December 31, 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170,404</w:t>
            </w:r>
          </w:p>
        </w:tc>
      </w:tr>
      <w:tr>
        <w:trPr>
          <w:trHeight w:val="243"/>
        </w:trPr>
        <w:tc>
          <w:tcPr>
            <w:tcW w:w="9380" w:type="dxa"/>
            <w:vAlign w:val="bottom"/>
          </w:tcPr>
          <w:p>
            <w:pPr>
              <w:ind w:left="4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(115,609)</w:t>
            </w:r>
          </w:p>
        </w:tc>
      </w:tr>
      <w:tr>
        <w:trPr>
          <w:trHeight w:val="27"/>
        </w:trPr>
        <w:tc>
          <w:tcPr>
            <w:tcW w:w="9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7"/>
        </w:trPr>
        <w:tc>
          <w:tcPr>
            <w:tcW w:w="9380" w:type="dxa"/>
            <w:vAlign w:val="bottom"/>
          </w:tcPr>
          <w:p>
            <w:pPr>
              <w:ind w:left="40"/>
              <w:spacing w:after="0"/>
              <w:rPr>
                <w:sz w:val="20"/>
                <w:szCs w:val="20"/>
                <w:color w:val="auto"/>
              </w:rPr>
            </w:pPr>
            <w:r>
              <w:rPr>
                <w:rFonts w:ascii="Arial" w:cs="Arial" w:eastAsia="Arial" w:hAnsi="Arial"/>
                <w:sz w:val="18"/>
                <w:szCs w:val="18"/>
                <w:color w:val="auto"/>
              </w:rPr>
              <w:t>Total litigation provision liability at March 31, 2020</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54,570</w:t>
            </w:r>
          </w:p>
        </w:tc>
      </w:tr>
      <w:tr>
        <w:trPr>
          <w:trHeight w:val="27"/>
        </w:trPr>
        <w:tc>
          <w:tcPr>
            <w:tcW w:w="9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current portion of litigation provision liability at March 31, 2020</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43,025</w:t>
            </w:r>
          </w:p>
        </w:tc>
      </w:tr>
      <w:tr>
        <w:trPr>
          <w:trHeight w:val="257"/>
        </w:trPr>
        <w:tc>
          <w:tcPr>
            <w:tcW w:w="9380" w:type="dxa"/>
            <w:vAlign w:val="bottom"/>
          </w:tcPr>
          <w:p>
            <w:pPr>
              <w:ind w:left="40"/>
              <w:spacing w:after="0"/>
              <w:rPr>
                <w:sz w:val="20"/>
                <w:szCs w:val="20"/>
                <w:color w:val="auto"/>
              </w:rPr>
            </w:pPr>
            <w:r>
              <w:rPr>
                <w:rFonts w:ascii="Arial" w:cs="Arial" w:eastAsia="Arial" w:hAnsi="Arial"/>
                <w:sz w:val="18"/>
                <w:szCs w:val="18"/>
                <w:color w:val="auto"/>
              </w:rPr>
              <w:t>Long-term portion of litigation provision liability at March 31, 2020</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11,545</w:t>
            </w:r>
          </w:p>
        </w:tc>
      </w:tr>
      <w:tr>
        <w:trPr>
          <w:trHeight w:val="20"/>
        </w:trPr>
        <w:tc>
          <w:tcPr>
            <w:tcW w:w="9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Environmental Liability</w:t>
      </w:r>
    </w:p>
    <w:p>
      <w:pPr>
        <w:spacing w:after="0" w:line="11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Our subsidiary, Sorin S.p.A. (“Sorin”) was created as a result of a spin-off (the “Sorin spin-off”) from SNIA S.p.A. (“SNIA”) in January 2004.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79"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have also appealed that decision to the Supreme Court. In addition, the Bankruptcy Court of Milan’s decision has been appealed.</w:t>
      </w:r>
    </w:p>
    <w:p>
      <w:pPr>
        <w:spacing w:after="0" w:line="80" w:lineRule="exact"/>
        <w:rPr>
          <w:sz w:val="20"/>
          <w:szCs w:val="20"/>
          <w:color w:val="auto"/>
        </w:rPr>
      </w:pPr>
    </w:p>
    <w:p>
      <w:pPr>
        <w:ind w:firstLine="162"/>
        <w:spacing w:after="0" w:line="289" w:lineRule="auto"/>
        <w:rPr>
          <w:sz w:val="20"/>
          <w:szCs w:val="20"/>
          <w:color w:val="auto"/>
        </w:rPr>
      </w:pPr>
      <w:r>
        <w:rPr>
          <w:rFonts w:ascii="Arial" w:cs="Arial" w:eastAsia="Arial" w:hAnsi="Arial"/>
          <w:sz w:val="16"/>
          <w:szCs w:val="16"/>
          <w:color w:val="auto"/>
        </w:rPr>
        <w:t>In January 2012, SNIA filed a civil action against Sorin in the Civil Court of Milan asserting joint liability of a parent and a spun-off company. On April 1, 2016, the Court of Milan dismissed all legal actions of SNIA and of the Public Administrations further requiring the Public Administrations to pay Sorin approximately €292,000 (approximately $319,915 as of March 31, 2020) for legal fees. The Public Administrations appealed the 2016 Decision to the Court of Appeal of Milan.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$626.8 million as of March 31, 2020). Additionally the Court issued a separate order, staying the proceeding until a Panel of three experts can assess the environmental damages, the costs of clean-up, and the costs that the Public Administrations has already borne for the clean-up of the sites to allow the Court to decide on the second claim of the Public Administration against LivaNova, (i.e., to refund the Public Administrations for the SNIA environmental liabilities). In the interim, we are appealing the decision to the Italian Supreme Court (Corte di Cassazione).</w:t>
      </w:r>
    </w:p>
    <w:p>
      <w:pPr>
        <w:spacing w:after="0" w:line="58"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Patent Litigation</w:t>
      </w:r>
    </w:p>
    <w:p>
      <w:pPr>
        <w:spacing w:after="0" w:line="110" w:lineRule="exact"/>
        <w:rPr>
          <w:sz w:val="20"/>
          <w:szCs w:val="20"/>
          <w:color w:val="auto"/>
        </w:rPr>
      </w:pPr>
    </w:p>
    <w:p>
      <w:pPr>
        <w:ind w:right="80" w:firstLine="162"/>
        <w:spacing w:after="0" w:line="293" w:lineRule="auto"/>
        <w:rPr>
          <w:sz w:val="20"/>
          <w:szCs w:val="20"/>
          <w:color w:val="auto"/>
        </w:rPr>
      </w:pPr>
      <w:r>
        <w:rPr>
          <w:rFonts w:ascii="Arial" w:cs="Arial" w:eastAsia="Arial" w:hAnsi="Arial"/>
          <w:sz w:val="16"/>
          <w:szCs w:val="16"/>
          <w:color w:val="auto"/>
        </w:rPr>
        <w:t xml:space="preserve">On May 11, 2018, Neuro and Cardiac Technologies LLC (“NCT”), a non-practicing entity, filed a complaint in the United States District Court for the Southern District of Texas asserting that the VNS Therapy System, when used with the SenTiva Model 1000 generator, infringes the claims of U.S. Patent No. 7,076,307 owned by NCT. The complaint requests damages that include a royalty, costs, interest, and attorneys’ fees. On September 13, 2018, we petitioned the Patent Trial and Appeal Board of the U.S. Patent and Trademark Office (the “Patent Office”) for an </w:t>
      </w:r>
      <w:r>
        <w:rPr>
          <w:rFonts w:ascii="Arial" w:cs="Arial" w:eastAsia="Arial" w:hAnsi="Arial"/>
          <w:sz w:val="16"/>
          <w:szCs w:val="16"/>
          <w:i w:val="1"/>
          <w:iCs w:val="1"/>
          <w:color w:val="auto"/>
        </w:rPr>
        <w:t>inter partes review</w:t>
      </w:r>
      <w:r>
        <w:rPr>
          <w:rFonts w:ascii="Arial" w:cs="Arial" w:eastAsia="Arial" w:hAnsi="Arial"/>
          <w:sz w:val="16"/>
          <w:szCs w:val="16"/>
          <w:color w:val="auto"/>
        </w:rPr>
        <w:t xml:space="preserve"> (“IPR”) of the validity of the ‘307 patent. The Patent Office instituted an IPR of all the challenged claims. The Court has stayed the litigation pending the outcome of the IPR proceeding. We have not recognized an expense in connection with this matter because any potential loss is not</w:t>
      </w: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665" w:right="37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currently probable or reasonably estimable. In addition, we cannot reasonably estimate a range of potential loss, if any, that may result from this matter.</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Contract Litigation</w:t>
      </w:r>
    </w:p>
    <w:p>
      <w:pPr>
        <w:spacing w:after="0" w:line="110" w:lineRule="exact"/>
        <w:rPr>
          <w:sz w:val="20"/>
          <w:szCs w:val="20"/>
          <w:color w:val="auto"/>
        </w:rPr>
      </w:pPr>
    </w:p>
    <w:p>
      <w:pPr>
        <w:ind w:right="60" w:firstLine="162"/>
        <w:spacing w:after="0" w:line="290" w:lineRule="auto"/>
        <w:rPr>
          <w:sz w:val="20"/>
          <w:szCs w:val="20"/>
          <w:color w:val="auto"/>
        </w:rPr>
      </w:pPr>
      <w:r>
        <w:rPr>
          <w:rFonts w:ascii="Arial" w:cs="Arial" w:eastAsia="Arial" w:hAnsi="Arial"/>
          <w:sz w:val="16"/>
          <w:szCs w:val="16"/>
          <w:color w:val="auto"/>
        </w:rPr>
        <w:t>On November 25, 2019, LivaNova received notice of a lawsuit initiated by former members of Caisson Interventional, LLC (“Caisson”), a subsidiary of the Company acquired in 2017. The lawsuit, Todd J. Mortier, as Member Representative of the former Members of Caisson Interventional, LLC v. LivaNova USA, Inc., is currently pending in the United States District Court for the District of Minnesota. The complaint alleges (i) breach of contract, (ii) breach of the covenant of good faith and fair dealing and (iii) unjust enrichment in connection with the Company’s operation of Caisson’s Transcatheter Mitral Valve Replacement (“TMVR”) program and the Company’s November 20, 2019 announcement that it was ending the TMVR program at the end of 2019. The lawsuit seeks damages arising out of the 2017 acquisition agreement, including various regulatory milestone payments. We intend to vigorously defend this claim. The Company has not recognized an expense related to this matter because any potential loss is not currently probable or reasonably estimable. In addition, we cannot reasonably estimate a range of potential loss, if any, that may result from this matter.</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Tax Litigation</w:t>
      </w:r>
    </w:p>
    <w:p>
      <w:pPr>
        <w:spacing w:after="0" w:line="110" w:lineRule="exact"/>
        <w:rPr>
          <w:sz w:val="20"/>
          <w:szCs w:val="20"/>
          <w:color w:val="auto"/>
        </w:rPr>
      </w:pPr>
    </w:p>
    <w:p>
      <w:pPr>
        <w:ind w:right="40" w:firstLine="162"/>
        <w:spacing w:after="0" w:line="293" w:lineRule="auto"/>
        <w:rPr>
          <w:sz w:val="20"/>
          <w:szCs w:val="20"/>
          <w:color w:val="auto"/>
        </w:rPr>
      </w:pPr>
      <w:r>
        <w:rPr>
          <w:rFonts w:ascii="Arial" w:cs="Arial" w:eastAsia="Arial" w:hAnsi="Arial"/>
          <w:sz w:val="16"/>
          <w:szCs w:val="16"/>
          <w:color w:val="auto"/>
        </w:rPr>
        <w:t>In a tax audit report received on October 30, 2009, the Regional Internal Revenue Office of Lombardy (the “Internal Revenue Office”) informed Sorin Group Italia S.r.l. that, among several issues, it was disallowing in part (for a total of €102.6 million (approximately $112.4 million as of March 31, 2020), related to tax years 2002 through 2006) a tax-deductible write down of the investment in the U.S. company, Cobe Cardiovascular Inc., which Sorin Group Italia S.r.l. recognized in 2002 and deducted in five equal installments, beginning in 2002. In December 2009, the Internal Revenue Office issued notices of assessment for 2004. In December 2010 and October 2011, the Internal Revenue Office issued notices of assessment for 2005 and 2006, respectively. We challenged all three notices of assessment (for 2004, 2005 and 2006) before the relevant Provincial Tax Courts.</w:t>
      </w:r>
    </w:p>
    <w:p>
      <w:pPr>
        <w:spacing w:after="0" w:line="56" w:lineRule="exact"/>
        <w:rPr>
          <w:sz w:val="20"/>
          <w:szCs w:val="20"/>
          <w:color w:val="auto"/>
        </w:rPr>
      </w:pPr>
    </w:p>
    <w:p>
      <w:pPr>
        <w:ind w:right="40" w:firstLine="162"/>
        <w:spacing w:after="0" w:line="263" w:lineRule="auto"/>
        <w:rPr>
          <w:sz w:val="20"/>
          <w:szCs w:val="20"/>
          <w:color w:val="auto"/>
        </w:rPr>
      </w:pPr>
      <w:r>
        <w:rPr>
          <w:rFonts w:ascii="Arial" w:cs="Arial" w:eastAsia="Arial" w:hAnsi="Arial"/>
          <w:sz w:val="18"/>
          <w:szCs w:val="18"/>
          <w:color w:val="auto"/>
        </w:rPr>
        <w:t>The preliminary challenges filed for 2004, 2005 and 2006 were denied at the first jurisdictional level. We appealed these decisions. The appeal submitted against the first-level decision for 2004 was successful. The Internal Revenue Office appealed this second-level decision to the Italian Supreme Court (Corte di Cassazione) on February 3, 2017. The Italian Supreme Court’s decision is pending.</w:t>
      </w:r>
    </w:p>
    <w:p>
      <w:pPr>
        <w:spacing w:after="0" w:line="76" w:lineRule="exact"/>
        <w:rPr>
          <w:sz w:val="20"/>
          <w:szCs w:val="20"/>
          <w:color w:val="auto"/>
        </w:rPr>
      </w:pPr>
    </w:p>
    <w:p>
      <w:pPr>
        <w:ind w:right="120" w:firstLine="162"/>
        <w:spacing w:after="0" w:line="260" w:lineRule="auto"/>
        <w:rPr>
          <w:sz w:val="20"/>
          <w:szCs w:val="20"/>
          <w:color w:val="auto"/>
        </w:rPr>
      </w:pPr>
      <w:r>
        <w:rPr>
          <w:rFonts w:ascii="Arial" w:cs="Arial" w:eastAsia="Arial" w:hAnsi="Arial"/>
          <w:sz w:val="18"/>
          <w:szCs w:val="18"/>
          <w:color w:val="auto"/>
        </w:rPr>
        <w:t>The appeals submitted against the first-level decisions for 2005 and 2006 were rejected. We appealed these adverse decisions to the Italian Supreme Court. On November 16, 2018, the Supreme Court returned the decisions for years 2005 and 2006 to the previous-level Court (Regional Tax Court) due to lack of substance of the motivation given in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level judgments that were appealed.</w:t>
      </w:r>
    </w:p>
    <w:p>
      <w:pPr>
        <w:spacing w:after="0" w:line="1"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In November 2012, the Internal Revenue Office served a notice of assessment for 2007, and in July 2013, served a notice of assessment for 2008. In these matters the Internal Revenue Office claims an increase in taxable income due to a reduction (similar to the previous notices of assessment for 2004, 2005 and 2006) of the losses reported by Sorin Group Italia S.r.l. for the 2002, 2003 and 2004 tax periods, and subsequently utilized in 2007 and 2008. We challenged both notices of assessment. The Provincial Tax Court of Milan has stayed its decision for years 2007 and 2008 pending resolution of the litigation regarding years 2004, 2005, and 2006.</w:t>
      </w:r>
    </w:p>
    <w:p>
      <w:pPr>
        <w:spacing w:after="0" w:line="84"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The total amount of losses in dispute is €62.6 million (approximately $68.6 million as of March 31, 2020). We have continuously reassessed our potential exposure in these matters, taking into account the recent, and generally adverse, trend to Italian taxpayers in this type of litigation. Although we believe that our defensive arguments are strong, noting the adverse trend in some of the court decisions, we have recognized a reserve for an uncertain tax position for the full amount of the potential liability. On May 31, 2019, we filed an application to settle the litigation according to law N. 136/2018 and paid the required settlement balance of €1.9 million. As per law N. 136/2018, the Italian Revenue Agency will review the settlement and decide to accept or reject the application by July 31, 2020. Until the settlement is accepted by the Italian Revenue Agency, we will continue to reserve for the full amount of the potential liability, by recognizing a €15.5 million reserve for uncertain tax position ($17.0 million as of March 31, 2020), net of the settlement payment.</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116"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665"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Note 11. Stockholders’ Equity</w:t>
      </w:r>
    </w:p>
    <w:p>
      <w:pPr>
        <w:spacing w:after="0" w:line="11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tables below present the condensed consolidated statement of stockholders’ equity as of and for the three months ended March 31, 2020 and 2019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Ordinary</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Ordinary</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4"/>
                <w:szCs w:val="14"/>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Shares -</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6"/>
                <w:szCs w:val="16"/>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9"/>
        </w:trPr>
        <w:tc>
          <w:tcPr>
            <w:tcW w:w="3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1,734,870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1,383,717</w:t>
            </w:r>
          </w:p>
        </w:tc>
        <w:tc>
          <w:tcPr>
            <w:tcW w:w="0" w:type="dxa"/>
            <w:vAlign w:val="bottom"/>
          </w:tcPr>
          <w:p>
            <w:pPr>
              <w:spacing w:after="0"/>
              <w:rPr>
                <w:sz w:val="1"/>
                <w:szCs w:val="1"/>
                <w:color w:val="auto"/>
              </w:rPr>
            </w:pPr>
          </w:p>
        </w:tc>
      </w:tr>
      <w:tr>
        <w:trPr>
          <w:trHeight w:val="270"/>
        </w:trPr>
        <w:tc>
          <w:tcPr>
            <w:tcW w:w="3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Adoption of ASU No. 2016-13 </w:t>
            </w:r>
            <w:r>
              <w:rPr>
                <w:rFonts w:ascii="Arial" w:cs="Arial" w:eastAsia="Arial" w:hAnsi="Arial"/>
                <w:sz w:val="25"/>
                <w:szCs w:val="25"/>
                <w:color w:val="auto"/>
                <w:vertAlign w:val="superscript"/>
              </w:rPr>
              <w:t>(1)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plans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37,583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37,583</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(33,131)</w:t>
            </w:r>
          </w:p>
        </w:tc>
        <w:tc>
          <w:tcPr>
            <w:tcW w:w="0" w:type="dxa"/>
            <w:vAlign w:val="bottom"/>
          </w:tcPr>
          <w:p>
            <w:pPr>
              <w:spacing w:after="0"/>
              <w:rPr>
                <w:sz w:val="1"/>
                <w:szCs w:val="1"/>
                <w:color w:val="auto"/>
              </w:rPr>
            </w:pPr>
          </w:p>
        </w:tc>
      </w:tr>
      <w:tr>
        <w:trPr>
          <w:trHeight w:val="297"/>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March 31, 2020</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49,414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76,259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1,739,873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(52,523)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(369,811)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1,392,708</w:t>
            </w:r>
          </w:p>
        </w:tc>
        <w:tc>
          <w:tcPr>
            <w:tcW w:w="0" w:type="dxa"/>
            <w:vAlign w:val="bottom"/>
          </w:tcPr>
          <w:p>
            <w:pPr>
              <w:spacing w:after="0"/>
              <w:rPr>
                <w:sz w:val="1"/>
                <w:szCs w:val="1"/>
                <w:color w:val="auto"/>
              </w:rPr>
            </w:pPr>
          </w:p>
        </w:tc>
      </w:tr>
      <w:tr>
        <w:trPr>
          <w:trHeight w:val="311"/>
        </w:trPr>
        <w:tc>
          <w:tcPr>
            <w:tcW w:w="30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49,323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76,144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1,705,111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(24,476)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(251,579)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1,503,738</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plans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(14,849)</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57"/>
        </w:trPr>
        <w:tc>
          <w:tcPr>
            <w:tcW w:w="3060" w:type="dxa"/>
            <w:vAlign w:val="bottom"/>
          </w:tcPr>
          <w:p>
            <w:pPr>
              <w:ind w:left="40"/>
              <w:spacing w:after="0"/>
              <w:rPr>
                <w:sz w:val="20"/>
                <w:szCs w:val="20"/>
                <w:color w:val="auto"/>
              </w:rPr>
            </w:pPr>
            <w:r>
              <w:rPr>
                <w:rFonts w:ascii="Arial" w:cs="Arial" w:eastAsia="Arial" w:hAnsi="Arial"/>
                <w:sz w:val="18"/>
                <w:szCs w:val="18"/>
                <w:color w:val="auto"/>
              </w:rPr>
              <w:t>March 31, 2019</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49,329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76,151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1,707,117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(28,713)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(266,428)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1,486,806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6"/>
          <w:szCs w:val="16"/>
          <w:color w:val="auto"/>
        </w:rPr>
        <w:t>Refer to “Note 17. New Accounting Pronouncements”</w:t>
      </w: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670" w:right="339" w:bottom="1440" w:gutter="0" w:footer="0" w:header="0"/>
        </w:sectPr>
      </w:pPr>
    </w:p>
    <w:bookmarkStart w:id="23" w:name="page24"/>
    <w:bookmarkEnd w:id="23"/>
    <w:p>
      <w:pPr>
        <w:ind w:right="160" w:firstLine="162"/>
        <w:spacing w:after="0" w:line="277" w:lineRule="auto"/>
        <w:rPr>
          <w:sz w:val="20"/>
          <w:szCs w:val="20"/>
          <w:color w:val="auto"/>
        </w:rPr>
      </w:pPr>
      <w:r>
        <w:rPr>
          <w:rFonts w:ascii="Arial" w:cs="Arial" w:eastAsia="Arial" w:hAnsi="Arial"/>
          <w:sz w:val="18"/>
          <w:szCs w:val="18"/>
          <w:color w:val="auto"/>
        </w:rPr>
        <w:t>The table below presents the change in each component of AOCI, net of tax, and the reclassifications out of AOCI into net income for the three months ended March 31, 2020 and 2019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Change in</w:t>
            </w:r>
          </w:p>
        </w:tc>
        <w:tc>
          <w:tcPr>
            <w:tcW w:w="156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Foreign Currency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 Gain</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Translation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(Loss) on</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1"/>
        </w:trPr>
        <w:tc>
          <w:tcPr>
            <w:tcW w:w="6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Derivatives</w:t>
            </w:r>
          </w:p>
        </w:tc>
        <w:tc>
          <w:tcPr>
            <w:tcW w:w="160" w:type="dxa"/>
            <w:vAlign w:val="bottom"/>
          </w:tcPr>
          <w:p>
            <w:pPr>
              <w:spacing w:after="0"/>
              <w:rPr>
                <w:sz w:val="22"/>
                <w:szCs w:val="22"/>
                <w:color w:val="auto"/>
              </w:rPr>
            </w:pPr>
          </w:p>
        </w:tc>
        <w:tc>
          <w:tcPr>
            <w:tcW w:w="1400" w:type="dxa"/>
            <w:vAlign w:val="bottom"/>
            <w:gridSpan w:val="2"/>
          </w:tcPr>
          <w:p>
            <w:pPr>
              <w:jc w:val="center"/>
              <w:ind w:right="260"/>
              <w:spacing w:after="0" w:line="262" w:lineRule="exact"/>
              <w:rPr>
                <w:sz w:val="20"/>
                <w:szCs w:val="20"/>
                <w:color w:val="auto"/>
              </w:rPr>
            </w:pPr>
            <w:r>
              <w:rPr>
                <w:rFonts w:ascii="Arial" w:cs="Arial" w:eastAsia="Arial" w:hAnsi="Arial"/>
                <w:sz w:val="18"/>
                <w:szCs w:val="18"/>
                <w:b w:val="1"/>
                <w:bCs w:val="1"/>
                <w:color w:val="auto"/>
                <w:w w:val="88"/>
              </w:rPr>
              <w:t xml:space="preserve">Gain (Loss) </w:t>
            </w:r>
            <w:r>
              <w:rPr>
                <w:rFonts w:ascii="Arial" w:cs="Arial" w:eastAsia="Arial" w:hAnsi="Arial"/>
                <w:sz w:val="25"/>
                <w:szCs w:val="25"/>
                <w:b w:val="1"/>
                <w:bCs w:val="1"/>
                <w:color w:val="auto"/>
                <w:w w:val="88"/>
                <w:vertAlign w:val="superscript"/>
              </w:rPr>
              <w:t>(1)</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63"/>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(19,392)</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reclassifications, before tax</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(34,180)</w:t>
            </w:r>
          </w:p>
        </w:tc>
      </w:tr>
      <w:tr>
        <w:trPr>
          <w:trHeight w:val="27"/>
        </w:trPr>
        <w:tc>
          <w:tcPr>
            <w:tcW w:w="6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reclassifications, net of tax</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(33,682)</w:t>
            </w:r>
          </w:p>
        </w:tc>
      </w:tr>
      <w:tr>
        <w:trPr>
          <w:trHeight w:val="27"/>
        </w:trPr>
        <w:tc>
          <w:tcPr>
            <w:tcW w:w="6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loss from accumulated other comprehensive loss, before tax</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Reclassification of tax benefit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6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gain from accumulated other comprehensive loss, after tax</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net of tax</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(33,131)</w:t>
            </w:r>
          </w:p>
        </w:tc>
      </w:tr>
      <w:tr>
        <w:trPr>
          <w:trHeight w:val="27"/>
        </w:trPr>
        <w:tc>
          <w:tcPr>
            <w:tcW w:w="6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(52,523)</w:t>
            </w: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6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(2,920)</w:t>
            </w:r>
          </w:p>
        </w:tc>
      </w:tr>
      <w:tr>
        <w:trPr>
          <w:trHeight w:val="27"/>
        </w:trPr>
        <w:tc>
          <w:tcPr>
            <w:tcW w:w="6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(3,234)</w:t>
            </w:r>
          </w:p>
        </w:tc>
      </w:tr>
      <w:tr>
        <w:trPr>
          <w:trHeight w:val="27"/>
        </w:trPr>
        <w:tc>
          <w:tcPr>
            <w:tcW w:w="6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gain from accumulated other comprehensive loss, before tax</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Reclassification of tax expense</w:t>
            </w: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316</w:t>
            </w:r>
          </w:p>
        </w:tc>
      </w:tr>
      <w:tr>
        <w:trPr>
          <w:trHeight w:val="27"/>
        </w:trPr>
        <w:tc>
          <w:tcPr>
            <w:tcW w:w="6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gain from accumulated other comprehensive loss, after tax</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net of tax</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(4,237)</w:t>
            </w:r>
          </w:p>
        </w:tc>
      </w:tr>
      <w:tr>
        <w:trPr>
          <w:trHeight w:val="27"/>
        </w:trPr>
        <w:tc>
          <w:tcPr>
            <w:tcW w:w="6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(28,713)</w:t>
            </w: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440" w:hanging="328"/>
        <w:spacing w:after="0" w:line="293"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Taxes are not provided for foreign currency translation adjustments as translation adjustments are related to earnings that are intended to be reinvested in the countries where earned.</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Stock-Based Incentive Plans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Stock-based incentive plans compensation expense is as follows (in thousands):</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7760" w:type="dxa"/>
            <w:vAlign w:val="bottom"/>
          </w:tcPr>
          <w:p>
            <w:pPr>
              <w:spacing w:after="0"/>
              <w:rPr>
                <w:sz w:val="24"/>
                <w:szCs w:val="24"/>
                <w:color w:val="auto"/>
              </w:rPr>
            </w:pPr>
          </w:p>
        </w:tc>
        <w:tc>
          <w:tcPr>
            <w:tcW w:w="348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7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77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restricted stock units (“RSUs”)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Service-based stock appreciation rights (“SARs”)</w:t>
            </w:r>
          </w:p>
        </w:tc>
        <w:tc>
          <w:tcPr>
            <w:tcW w:w="11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2,008</w:t>
            </w:r>
          </w:p>
        </w:tc>
      </w:tr>
      <w:tr>
        <w:trPr>
          <w:trHeight w:val="27"/>
        </w:trPr>
        <w:tc>
          <w:tcPr>
            <w:tcW w:w="7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performance-based restricted stock units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Operating performance-based restricted stock units</w:t>
            </w:r>
          </w:p>
        </w:tc>
        <w:tc>
          <w:tcPr>
            <w:tcW w:w="11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971</w:t>
            </w:r>
          </w:p>
        </w:tc>
      </w:tr>
      <w:tr>
        <w:trPr>
          <w:trHeight w:val="27"/>
        </w:trPr>
        <w:tc>
          <w:tcPr>
            <w:tcW w:w="7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57"/>
        </w:trPr>
        <w:tc>
          <w:tcPr>
            <w:tcW w:w="77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9,043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6,872</w:t>
            </w:r>
          </w:p>
        </w:tc>
      </w:tr>
      <w:tr>
        <w:trPr>
          <w:trHeight w:val="20"/>
        </w:trPr>
        <w:tc>
          <w:tcPr>
            <w:tcW w:w="7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162"/>
        <w:spacing w:after="0" w:line="293" w:lineRule="auto"/>
        <w:rPr>
          <w:sz w:val="20"/>
          <w:szCs w:val="20"/>
          <w:color w:val="auto"/>
        </w:rPr>
      </w:pPr>
      <w:r>
        <w:rPr>
          <w:rFonts w:ascii="Arial" w:cs="Arial" w:eastAsia="Arial" w:hAnsi="Arial"/>
          <w:sz w:val="16"/>
          <w:szCs w:val="16"/>
          <w:color w:val="auto"/>
        </w:rPr>
        <w:t>During the three months ended March 31, 2020, we issued stock-based compensatory awards with terms approved by the Compensation Committee of our Board of Directors. The awards with service conditions generally vest ratably over four years, subject to forfeiture unless service conditions are met. Market performance-based awards cliff vest after three years subject to the rank of our total shareholder return for the three-year period ending December 31, 2022 relative to the total shareholder returns for a peer group of companies. Operating performance-based awards cliff vest after three years subject to the achievement of certain thresholds of cumulative adjusted free cash flow for the three year period ending December 31, 2022. Compensation expense related to awards granted during 2020 for the three months ended March 31, 2020 was $0.4 million.</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665" w:right="339" w:bottom="1440" w:gutter="0" w:footer="0" w:header="0"/>
        </w:sectPr>
      </w:pPr>
    </w:p>
    <w:bookmarkStart w:id="24" w:name="page25"/>
    <w:bookmarkEnd w:id="24"/>
    <w:p>
      <w:pPr>
        <w:ind w:right="220" w:firstLine="162"/>
        <w:spacing w:after="0" w:line="277" w:lineRule="auto"/>
        <w:rPr>
          <w:sz w:val="20"/>
          <w:szCs w:val="20"/>
          <w:color w:val="auto"/>
        </w:rPr>
      </w:pPr>
      <w:r>
        <w:rPr>
          <w:rFonts w:ascii="Arial" w:cs="Arial" w:eastAsia="Arial" w:hAnsi="Arial"/>
          <w:sz w:val="18"/>
          <w:szCs w:val="18"/>
          <w:color w:val="auto"/>
        </w:rPr>
        <w:t>Stock-based compensation agreements issued during the three months ended March 31, 2020, representing potential shares and their weighted average grant date fair values by type follows (shares in thousands, fair value in dollars):</w:t>
      </w:r>
    </w:p>
    <w:p>
      <w:pPr>
        <w:spacing w:after="0" w:line="112"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34290</wp:posOffset>
            </wp:positionV>
            <wp:extent cx="24860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Weighted Average</w:t>
            </w:r>
          </w:p>
        </w:tc>
      </w:tr>
      <w:tr>
        <w:trPr>
          <w:trHeight w:val="234"/>
        </w:trPr>
        <w:tc>
          <w:tcPr>
            <w:tcW w:w="7320" w:type="dxa"/>
            <w:vAlign w:val="bottom"/>
          </w:tcPr>
          <w:p>
            <w:pPr>
              <w:spacing w:after="0"/>
              <w:rPr>
                <w:sz w:val="20"/>
                <w:szCs w:val="20"/>
                <w:color w:val="auto"/>
              </w:rPr>
            </w:pPr>
          </w:p>
        </w:tc>
        <w:tc>
          <w:tcPr>
            <w:tcW w:w="1300" w:type="dxa"/>
            <w:vAlign w:val="bottom"/>
          </w:tcPr>
          <w:p>
            <w:pPr>
              <w:ind w:left="700"/>
              <w:spacing w:after="0"/>
              <w:rPr>
                <w:sz w:val="20"/>
                <w:szCs w:val="20"/>
                <w:color w:val="auto"/>
              </w:rPr>
            </w:pPr>
            <w:r>
              <w:rPr>
                <w:rFonts w:ascii="Arial" w:cs="Arial" w:eastAsia="Arial" w:hAnsi="Arial"/>
                <w:sz w:val="18"/>
                <w:szCs w:val="18"/>
                <w:b w:val="1"/>
                <w:bCs w:val="1"/>
                <w:color w:val="auto"/>
                <w:w w:val="96"/>
              </w:rPr>
              <w:t>Shares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Grant Date Fair Value</w:t>
            </w:r>
          </w:p>
        </w:tc>
      </w:tr>
      <w:tr>
        <w:trPr>
          <w:trHeight w:val="27"/>
        </w:trPr>
        <w:tc>
          <w:tcPr>
            <w:tcW w:w="73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8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Service-based SARs</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w:t>
            </w:r>
          </w:p>
        </w:tc>
      </w:tr>
      <w:tr>
        <w:trPr>
          <w:trHeight w:val="243"/>
        </w:trPr>
        <w:tc>
          <w:tcPr>
            <w:tcW w:w="8620" w:type="dxa"/>
            <w:vAlign w:val="bottom"/>
            <w:gridSpan w:val="2"/>
          </w:tcPr>
          <w:p>
            <w:pPr>
              <w:ind w:left="40"/>
              <w:spacing w:after="0"/>
              <w:rPr>
                <w:sz w:val="20"/>
                <w:szCs w:val="20"/>
                <w:color w:val="auto"/>
              </w:rPr>
            </w:pPr>
            <w:r>
              <w:rPr>
                <w:rFonts w:ascii="Arial" w:cs="Arial" w:eastAsia="Arial" w:hAnsi="Arial"/>
                <w:sz w:val="18"/>
                <w:szCs w:val="18"/>
                <w:color w:val="auto"/>
              </w:rPr>
              <w:t>Service-based RSUs</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43.57</w:t>
            </w:r>
          </w:p>
        </w:tc>
      </w:tr>
      <w:tr>
        <w:trPr>
          <w:trHeight w:val="27"/>
        </w:trPr>
        <w:tc>
          <w:tcPr>
            <w:tcW w:w="7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performance-based RSUs</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39.83</w:t>
            </w:r>
          </w:p>
        </w:tc>
      </w:tr>
      <w:tr>
        <w:trPr>
          <w:trHeight w:val="243"/>
        </w:trPr>
        <w:tc>
          <w:tcPr>
            <w:tcW w:w="8620" w:type="dxa"/>
            <w:vAlign w:val="bottom"/>
            <w:gridSpan w:val="2"/>
          </w:tcPr>
          <w:p>
            <w:pPr>
              <w:ind w:left="40"/>
              <w:spacing w:after="0"/>
              <w:rPr>
                <w:sz w:val="20"/>
                <w:szCs w:val="20"/>
                <w:color w:val="auto"/>
              </w:rPr>
            </w:pPr>
            <w:r>
              <w:rPr>
                <w:rFonts w:ascii="Arial" w:cs="Arial" w:eastAsia="Arial" w:hAnsi="Arial"/>
                <w:sz w:val="18"/>
                <w:szCs w:val="18"/>
                <w:color w:val="auto"/>
              </w:rPr>
              <w:t>Operating performance-based RSUs</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43.57</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Income Taxes</w:t>
      </w:r>
    </w:p>
    <w:p>
      <w:pPr>
        <w:spacing w:after="0" w:line="116"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Our effective income tax rate from continuing operations for the three months ended March 31, 2020 was 744.4% compared with 30.8% for the three months ended March 31, 2019.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79" w:lineRule="exact"/>
        <w:rPr>
          <w:sz w:val="20"/>
          <w:szCs w:val="20"/>
          <w:color w:val="auto"/>
        </w:rPr>
      </w:pPr>
    </w:p>
    <w:p>
      <w:pPr>
        <w:ind w:right="100" w:firstLine="162"/>
        <w:spacing w:after="0" w:line="311" w:lineRule="auto"/>
        <w:rPr>
          <w:sz w:val="20"/>
          <w:szCs w:val="20"/>
          <w:color w:val="auto"/>
        </w:rPr>
      </w:pPr>
      <w:r>
        <w:rPr>
          <w:rFonts w:ascii="Arial" w:cs="Arial" w:eastAsia="Arial" w:hAnsi="Arial"/>
          <w:sz w:val="16"/>
          <w:szCs w:val="16"/>
          <w:color w:val="auto"/>
        </w:rPr>
        <w:t>Compared with the three months ended March 31, 2019, the change in the effective tax rate for the three months ended March 31, 2020 was primarily attributable to a realized discrete tax benefit of $41.3 million related to the Coronavirus Aid, Relief, and Economic Security Act (“CARES Act”) as compared to the realized benefit from discrete tax items, including the release of an uncertain tax position, during the three months ended March 31, 2019.</w:t>
      </w:r>
    </w:p>
    <w:p>
      <w:pPr>
        <w:spacing w:after="0" w:line="41"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color w:val="auto"/>
        </w:rPr>
        <w:t>We operate in multiple jurisdictions throughout the world, and our tax returns are periodically audited or subjected to review by tax authorities. As a result, there is an uncertainty in income taxes recognized in our financial statements. Tax benefits totaling $12.6 million and $12.9 million were unrecognized as of March 31, 2020 and December 31, 2019, respectively. It is reasonably possible that, within the next twelve months, due to the settlement of uncertain tax positions with various tax authorities and the expiration of statutes of limitations, unrecognized tax benefits could decrease by up to approximately $11.7 million.</w:t>
      </w:r>
    </w:p>
    <w:p>
      <w:pPr>
        <w:spacing w:after="0" w:line="80" w:lineRule="exact"/>
        <w:rPr>
          <w:sz w:val="20"/>
          <w:szCs w:val="20"/>
          <w:color w:val="auto"/>
        </w:rPr>
      </w:pPr>
    </w:p>
    <w:p>
      <w:pPr>
        <w:ind w:right="60" w:firstLine="162"/>
        <w:spacing w:after="0" w:line="286" w:lineRule="auto"/>
        <w:rPr>
          <w:sz w:val="20"/>
          <w:szCs w:val="20"/>
          <w:color w:val="auto"/>
        </w:rPr>
      </w:pPr>
      <w:r>
        <w:rPr>
          <w:rFonts w:ascii="Arial" w:cs="Arial" w:eastAsia="Arial" w:hAnsi="Arial"/>
          <w:sz w:val="17"/>
          <w:szCs w:val="17"/>
          <w:color w:val="auto"/>
        </w:rPr>
        <w:t>We monitor income tax developments in countries where we conduct business. On March 27, 2020, the U.S. enacted the CARES Act which provided for a 5-year loss carryback for losses incurred in 2018-2020. We recorded a discrete tax benefit of $41.3 million to account for the effect of the CARES Act. Further regulations and notices as well as state legislative changes addressing conformity to the CARES Act are still pending.</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Earnings Per Share</w:t>
      </w:r>
    </w:p>
    <w:p>
      <w:pPr>
        <w:spacing w:after="0" w:line="116"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Reconciliation of the shares used in the basic and diluted earnings per share computations for the three months ended March 31, 2020 and 2019 are as follows (in thousands):</w:t>
      </w:r>
    </w:p>
    <w:p>
      <w:pPr>
        <w:spacing w:after="0" w:line="112"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34290</wp:posOffset>
            </wp:positionV>
            <wp:extent cx="2202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77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48,485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48,246</w:t>
            </w:r>
          </w:p>
        </w:tc>
      </w:tr>
      <w:tr>
        <w:trPr>
          <w:trHeight w:val="270"/>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Add effects of share-based compensation instruments </w:t>
            </w:r>
            <w:r>
              <w:rPr>
                <w:rFonts w:ascii="Arial" w:cs="Arial" w:eastAsia="Arial" w:hAnsi="Arial"/>
                <w:sz w:val="21"/>
                <w:szCs w:val="21"/>
                <w:color w:val="auto"/>
                <w:vertAlign w:val="superscript"/>
              </w:rPr>
              <w:t>(1)</w:t>
            </w:r>
          </w:p>
        </w:tc>
        <w:tc>
          <w:tcPr>
            <w:tcW w:w="10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69"/>
        </w:trPr>
        <w:tc>
          <w:tcPr>
            <w:tcW w:w="8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48,769</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48,246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right="120" w:hanging="328"/>
        <w:spacing w:after="0" w:line="328" w:lineRule="auto"/>
        <w:tabs>
          <w:tab w:leader="none" w:pos="660" w:val="left"/>
        </w:tabs>
        <w:numPr>
          <w:ilvl w:val="0"/>
          <w:numId w:val="15"/>
        </w:numPr>
        <w:rPr>
          <w:rFonts w:ascii="Arial" w:cs="Arial" w:eastAsia="Arial" w:hAnsi="Arial"/>
          <w:sz w:val="13"/>
          <w:szCs w:val="13"/>
          <w:color w:val="auto"/>
        </w:rPr>
      </w:pPr>
      <w:r>
        <w:rPr>
          <w:rFonts w:ascii="Arial" w:cs="Arial" w:eastAsia="Arial" w:hAnsi="Arial"/>
          <w:sz w:val="15"/>
          <w:szCs w:val="15"/>
          <w:color w:val="auto"/>
        </w:rPr>
        <w:t>Excluded from the computation of diluted earnings per share were stock options, SARs and restricted share units totaling 1.5 million and 3.3 million for the three months ended March 31, 2020 and 2019, respectively, because to include them would have been anti-dilutive under the treasury stock method.</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Geographic and Segment Information</w:t>
      </w:r>
    </w:p>
    <w:p>
      <w:pPr>
        <w:spacing w:after="0" w:line="116" w:lineRule="exact"/>
        <w:rPr>
          <w:sz w:val="20"/>
          <w:szCs w:val="20"/>
          <w:color w:val="auto"/>
        </w:rPr>
      </w:pPr>
    </w:p>
    <w:p>
      <w:pPr>
        <w:ind w:right="140" w:firstLine="162"/>
        <w:spacing w:after="0" w:line="342" w:lineRule="auto"/>
        <w:rPr>
          <w:sz w:val="20"/>
          <w:szCs w:val="20"/>
          <w:color w:val="auto"/>
        </w:rPr>
      </w:pPr>
      <w:r>
        <w:rPr>
          <w:rFonts w:ascii="Arial" w:cs="Arial" w:eastAsia="Arial" w:hAnsi="Arial"/>
          <w:sz w:val="16"/>
          <w:szCs w:val="16"/>
          <w:color w:val="auto"/>
        </w:rPr>
        <w:t>We identify operating segments based on the way we manage, evaluate and internally report our business activities for purposes of allocating resources, developing and executing our strategy, and assessing performance. We have two reportable segments: Cardiovascular and Neuromodulation.</w:t>
      </w:r>
    </w:p>
    <w:p>
      <w:pPr>
        <w:spacing w:after="0" w:line="16" w:lineRule="exact"/>
        <w:rPr>
          <w:sz w:val="20"/>
          <w:szCs w:val="20"/>
          <w:color w:val="auto"/>
        </w:rPr>
      </w:pPr>
    </w:p>
    <w:p>
      <w:pPr>
        <w:ind w:firstLine="162"/>
        <w:spacing w:after="0" w:line="263" w:lineRule="auto"/>
        <w:rPr>
          <w:sz w:val="20"/>
          <w:szCs w:val="20"/>
          <w:color w:val="auto"/>
        </w:rPr>
      </w:pPr>
      <w:r>
        <w:rPr>
          <w:rFonts w:ascii="Arial" w:cs="Arial" w:eastAsia="Arial" w:hAnsi="Arial"/>
          <w:sz w:val="18"/>
          <w:szCs w:val="18"/>
          <w:color w:val="auto"/>
        </w:rPr>
        <w:t>The Cardiovascular segment generates its revenue from the development, production and sale of cardiopulmonary products, heart valves and related products and advanced circulatory support. Cardiopulmonary products include oxygenators, heart-lung machines, autotransfusion systems, perfusion tubing systems, cannulae and other related accessories. Heart valves include</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665" w:right="339" w:bottom="1440" w:gutter="0" w:footer="0" w:header="0"/>
        </w:sectPr>
      </w:pPr>
    </w:p>
    <w:bookmarkStart w:id="25" w:name="page26"/>
    <w:bookmarkEnd w:id="25"/>
    <w:p>
      <w:pPr>
        <w:ind w:right="180"/>
        <w:spacing w:after="0" w:line="277" w:lineRule="auto"/>
        <w:rPr>
          <w:sz w:val="20"/>
          <w:szCs w:val="20"/>
          <w:color w:val="auto"/>
        </w:rPr>
      </w:pPr>
      <w:r>
        <w:rPr>
          <w:rFonts w:ascii="Arial" w:cs="Arial" w:eastAsia="Arial" w:hAnsi="Arial"/>
          <w:sz w:val="18"/>
          <w:szCs w:val="18"/>
          <w:color w:val="auto"/>
        </w:rPr>
        <w:t>mechanical heart valves, tissue heart valves, related repair products and minimally invasive surgical instruments. Advanced circulatory support includes temporary life support product kits that can include a combination of pumps, oxygenators, and cannulae.</w:t>
      </w:r>
    </w:p>
    <w:p>
      <w:pPr>
        <w:spacing w:after="0" w:line="6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Our Neuromodulation segment generates its revenue from the design, development and marketing of neuromodulation therapy systems for the treatment of drug-resistant epilepsy, difficult-to-treat depression (“DTD”) and obstructive sleep apnea. Neuromodulation products include the VNS Therapy System, which consists of an implantable pulse generator, a lead that connects the generator to the vagus nerve, and other accessories.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includes corporate shared service expenses for finance, legal, human resources, information technology and corporate business development.</w:t>
      </w:r>
    </w:p>
    <w:p>
      <w:pPr>
        <w:spacing w:after="0" w:line="140"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Net sales of our reportable segments include revenues from the sale of products they each develop and manufacture or distribute. We define segment income as operating income before merger and integration, restructuring and amortization of intangibles.</w:t>
      </w:r>
    </w:p>
    <w:p>
      <w:pPr>
        <w:spacing w:after="0" w:line="27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665" w:right="439" w:bottom="1440" w:gutter="0" w:footer="0" w:header="0"/>
        </w:sectPr>
      </w:pPr>
    </w:p>
    <w:bookmarkStart w:id="26" w:name="page27"/>
    <w:bookmarkEnd w:id="26"/>
    <w:p>
      <w:pPr>
        <w:ind w:right="280" w:firstLine="162"/>
        <w:spacing w:after="0" w:line="277" w:lineRule="auto"/>
        <w:rPr>
          <w:sz w:val="20"/>
          <w:szCs w:val="20"/>
          <w:color w:val="auto"/>
        </w:rPr>
      </w:pPr>
      <w:r>
        <w:rPr>
          <w:rFonts w:ascii="Arial" w:cs="Arial" w:eastAsia="Arial" w:hAnsi="Arial"/>
          <w:sz w:val="18"/>
          <w:szCs w:val="18"/>
          <w:color w:val="auto"/>
        </w:rPr>
        <w:t>We operate under three geographic regions: U.S., Europe, and Rest of World. The table below presents net sales by operating segment and geographic region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60" w:type="dxa"/>
            <w:vAlign w:val="bottom"/>
            <w:gridSpan w:val="4"/>
          </w:tcPr>
          <w:p>
            <w:pPr>
              <w:jc w:val="right"/>
              <w:ind w:right="75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jc w:val="right"/>
              <w:ind w:right="69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3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Cardiopulmonary</w:t>
            </w: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39,123</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Europe</w:t>
            </w: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34,234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35,561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45,275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46,886</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116,367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121,570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Heart Valves</w:t>
            </w: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3,373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Rest of World</w:t>
            </w: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12,309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10,804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25,211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25,673</w:t>
            </w: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8"/>
                <w:szCs w:val="18"/>
                <w:b w:val="1"/>
                <w:bCs w:val="1"/>
                <w:color w:val="auto"/>
              </w:rPr>
              <w:t>Advanced Circulatory Support</w:t>
            </w:r>
          </w:p>
        </w:tc>
        <w:tc>
          <w:tcPr>
            <w:tcW w:w="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Europe</w:t>
            </w: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10,491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8,248</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Cardiovascular</w:t>
            </w: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50,307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51,512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46,193</w:t>
            </w: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57,629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57,786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152,069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155,491</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Neuromodulation</w:t>
            </w:r>
          </w:p>
        </w:tc>
        <w:tc>
          <w:tcPr>
            <w:tcW w:w="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76,886</w:t>
            </w: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Europe</w:t>
            </w: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10,583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10,659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7,104</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89,657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94,649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w:t>
            </w:r>
          </w:p>
        </w:tc>
        <w:tc>
          <w:tcPr>
            <w:tcW w:w="4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Totals</w:t>
            </w:r>
          </w:p>
        </w:tc>
        <w:tc>
          <w:tcPr>
            <w:tcW w:w="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128,398</w:t>
            </w:r>
          </w:p>
        </w:tc>
        <w:tc>
          <w:tcPr>
            <w:tcW w:w="0" w:type="dxa"/>
            <w:vAlign w:val="bottom"/>
          </w:tcPr>
          <w:p>
            <w:pPr>
              <w:spacing w:after="0"/>
              <w:rPr>
                <w:sz w:val="1"/>
                <w:szCs w:val="1"/>
                <w:color w:val="auto"/>
              </w:rPr>
            </w:pPr>
          </w:p>
        </w:tc>
      </w:tr>
      <w:tr>
        <w:trPr>
          <w:trHeight w:val="270"/>
        </w:trPr>
        <w:tc>
          <w:tcPr>
            <w:tcW w:w="73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color w:val="auto"/>
                <w:vertAlign w:val="superscript"/>
              </w:rPr>
              <w:t>(1)</w:t>
            </w:r>
          </w:p>
        </w:tc>
        <w:tc>
          <w:tcPr>
            <w:tcW w:w="4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54,716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56,852</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64,098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65,551</w:t>
            </w:r>
          </w:p>
        </w:tc>
        <w:tc>
          <w:tcPr>
            <w:tcW w:w="0" w:type="dxa"/>
            <w:vAlign w:val="bottom"/>
          </w:tcPr>
          <w:p>
            <w:pPr>
              <w:spacing w:after="0"/>
              <w:rPr>
                <w:sz w:val="1"/>
                <w:szCs w:val="1"/>
                <w:color w:val="auto"/>
              </w:rPr>
            </w:pPr>
          </w:p>
        </w:tc>
      </w:tr>
      <w:tr>
        <w:trPr>
          <w:trHeight w:val="263"/>
        </w:trPr>
        <w:tc>
          <w:tcPr>
            <w:tcW w:w="7320" w:type="dxa"/>
            <w:vAlign w:val="bottom"/>
          </w:tcPr>
          <w:p>
            <w:pPr>
              <w:ind w:left="500"/>
              <w:spacing w:after="0" w:line="26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(2)</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242,397</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250,801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240" w:hanging="328"/>
        <w:spacing w:after="0" w:line="293"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5"/>
          <w:szCs w:val="15"/>
          <w:color w:val="auto"/>
        </w:rPr>
        <w:t>No single customer represented over 10% of our consolidated net sales. No country’s net sales exceeded 10% of our consolidated sales except for the U.S.</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665" w:right="339" w:bottom="1440" w:gutter="0" w:footer="0" w:header="0"/>
        </w:sectPr>
      </w:pPr>
    </w:p>
    <w:bookmarkStart w:id="27" w:name="page28"/>
    <w:bookmarkEnd w:id="27"/>
    <w:p>
      <w:pPr>
        <w:ind w:left="180"/>
        <w:spacing w:after="0"/>
        <w:rPr>
          <w:sz w:val="20"/>
          <w:szCs w:val="20"/>
          <w:color w:val="auto"/>
        </w:rPr>
      </w:pPr>
      <w:r>
        <w:rPr>
          <w:rFonts w:ascii="Arial" w:cs="Arial" w:eastAsia="Arial" w:hAnsi="Arial"/>
          <w:sz w:val="16"/>
          <w:szCs w:val="16"/>
          <w:color w:val="auto"/>
        </w:rPr>
        <w:t>The table below presents a reconciliation of segment income (loss) from continuing operations to consolidated loss from continuing operations before tax</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8,681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8"/>
                <w:szCs w:val="18"/>
                <w:color w:val="auto"/>
              </w:rPr>
              <w:t>33,858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21,631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(26,610)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(28,299)</w:t>
            </w:r>
          </w:p>
        </w:tc>
        <w:tc>
          <w:tcPr>
            <w:tcW w:w="0" w:type="dxa"/>
            <w:vAlign w:val="bottom"/>
          </w:tcPr>
          <w:p>
            <w:pPr>
              <w:spacing w:after="0"/>
              <w:rPr>
                <w:sz w:val="1"/>
                <w:szCs w:val="1"/>
                <w:color w:val="auto"/>
              </w:rPr>
            </w:pPr>
          </w:p>
        </w:tc>
      </w:tr>
      <w:tr>
        <w:trPr>
          <w:trHeight w:val="236"/>
        </w:trPr>
        <w:tc>
          <w:tcPr>
            <w:tcW w:w="4860" w:type="dxa"/>
            <w:vAlign w:val="bottom"/>
          </w:tcPr>
          <w:p>
            <w:pPr>
              <w:ind w:left="40"/>
              <w:spacing w:after="0"/>
              <w:rPr>
                <w:sz w:val="20"/>
                <w:szCs w:val="20"/>
                <w:color w:val="auto"/>
              </w:rPr>
            </w:pPr>
            <w:r>
              <w:rPr>
                <w:rFonts w:ascii="Arial" w:cs="Arial" w:eastAsia="Arial" w:hAnsi="Arial"/>
                <w:sz w:val="18"/>
                <w:szCs w:val="18"/>
                <w:color w:val="auto"/>
                <w:w w:val="90"/>
              </w:rPr>
              <w:t>Total reportable segment income (loss) from continuing operations</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15,929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3,474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10,267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9,316</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(20,779)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(4,849)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57"/>
        </w:trPr>
        <w:tc>
          <w:tcPr>
            <w:tcW w:w="4860" w:type="dxa"/>
            <w:vAlign w:val="bottom"/>
          </w:tcPr>
          <w:p>
            <w:pPr>
              <w:ind w:left="40"/>
              <w:spacing w:after="0"/>
              <w:rPr>
                <w:sz w:val="20"/>
                <w:szCs w:val="20"/>
                <w:color w:val="auto"/>
              </w:rPr>
            </w:pPr>
            <w:r>
              <w:rPr>
                <w:rFonts w:ascii="Arial" w:cs="Arial" w:eastAsia="Arial" w:hAnsi="Arial"/>
                <w:sz w:val="18"/>
                <w:szCs w:val="18"/>
                <w:color w:val="auto"/>
              </w:rPr>
              <w:t>Loss from continuing operations before tax</w:t>
            </w:r>
          </w:p>
        </w:tc>
        <w:tc>
          <w:tcPr>
            <w:tcW w:w="2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(6,007)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(21,463)</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80"/>
              <w:spacing w:after="0"/>
              <w:rPr>
                <w:sz w:val="20"/>
                <w:szCs w:val="20"/>
                <w:color w:val="auto"/>
              </w:rPr>
            </w:pPr>
            <w:r>
              <w:rPr>
                <w:rFonts w:ascii="Arial" w:cs="Arial" w:eastAsia="Arial" w:hAnsi="Arial"/>
                <w:sz w:val="18"/>
                <w:szCs w:val="18"/>
                <w:color w:val="auto"/>
              </w:rPr>
              <w:t>Assets by segment are as follows (in thousands):</w:t>
            </w: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March 31, 2020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1,453,378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1,546,520</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8"/>
                <w:szCs w:val="18"/>
                <w:color w:val="auto"/>
              </w:rPr>
              <w:t>685,190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749,069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315,868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116,208</w:t>
            </w:r>
          </w:p>
        </w:tc>
        <w:tc>
          <w:tcPr>
            <w:tcW w:w="0" w:type="dxa"/>
            <w:vAlign w:val="bottom"/>
          </w:tcPr>
          <w:p>
            <w:pPr>
              <w:spacing w:after="0"/>
              <w:rPr>
                <w:sz w:val="1"/>
                <w:szCs w:val="1"/>
                <w:color w:val="auto"/>
              </w:rPr>
            </w:pPr>
          </w:p>
        </w:tc>
      </w:tr>
      <w:tr>
        <w:trPr>
          <w:trHeight w:val="257"/>
        </w:trPr>
        <w:tc>
          <w:tcPr>
            <w:tcW w:w="48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2,454,436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2,411,797</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80"/>
              <w:spacing w:after="0"/>
              <w:rPr>
                <w:sz w:val="20"/>
                <w:szCs w:val="20"/>
                <w:color w:val="auto"/>
              </w:rPr>
            </w:pPr>
            <w:r>
              <w:rPr>
                <w:rFonts w:ascii="Arial" w:cs="Arial" w:eastAsia="Arial" w:hAnsi="Arial"/>
                <w:sz w:val="18"/>
                <w:szCs w:val="18"/>
                <w:color w:val="auto"/>
                <w:w w:val="92"/>
              </w:rPr>
              <w:t>Capital expenditures by segment are as follows (in thousands):</w:t>
            </w: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8"/>
                <w:szCs w:val="18"/>
                <w:color w:val="auto"/>
              </w:rPr>
              <w:t>5,239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57"/>
        </w:trPr>
        <w:tc>
          <w:tcPr>
            <w:tcW w:w="48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12,374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0"/>
        </w:trPr>
        <w:tc>
          <w:tcPr>
            <w:tcW w:w="68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1240" w:type="dxa"/>
            <w:vAlign w:val="bottom"/>
            <w:gridSpan w:val="13"/>
          </w:tcPr>
          <w:p>
            <w:pPr>
              <w:ind w:left="180"/>
              <w:spacing w:after="0"/>
              <w:rPr>
                <w:sz w:val="20"/>
                <w:szCs w:val="20"/>
                <w:color w:val="auto"/>
              </w:rPr>
            </w:pPr>
            <w:r>
              <w:rPr>
                <w:rFonts w:ascii="Arial" w:cs="Arial" w:eastAsia="Arial" w:hAnsi="Arial"/>
                <w:sz w:val="18"/>
                <w:szCs w:val="18"/>
                <w:color w:val="auto"/>
              </w:rPr>
              <w:t>The changes in the carrying amount of goodwill by segment for the three months ended March 31, 2020 were as follows (in thousands):</w:t>
            </w:r>
          </w:p>
        </w:tc>
        <w:tc>
          <w:tcPr>
            <w:tcW w:w="0" w:type="dxa"/>
            <w:vAlign w:val="bottom"/>
          </w:tcPr>
          <w:p>
            <w:pPr>
              <w:spacing w:after="0"/>
              <w:rPr>
                <w:sz w:val="1"/>
                <w:szCs w:val="1"/>
                <w:color w:val="auto"/>
              </w:rPr>
            </w:pPr>
          </w:p>
        </w:tc>
      </w:tr>
      <w:tr>
        <w:trPr>
          <w:trHeight w:val="378"/>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Neuromodulation</w:t>
            </w:r>
          </w:p>
        </w:tc>
        <w:tc>
          <w:tcPr>
            <w:tcW w:w="360" w:type="dxa"/>
            <w:vAlign w:val="bottom"/>
          </w:tcPr>
          <w:p>
            <w:pPr>
              <w:spacing w:after="0"/>
              <w:rPr>
                <w:sz w:val="24"/>
                <w:szCs w:val="24"/>
                <w:color w:val="auto"/>
              </w:rPr>
            </w:pPr>
          </w:p>
        </w:tc>
        <w:tc>
          <w:tcPr>
            <w:tcW w:w="1740" w:type="dxa"/>
            <w:vAlign w:val="bottom"/>
            <w:gridSpan w:val="3"/>
          </w:tcPr>
          <w:p>
            <w:pPr>
              <w:ind w:left="40"/>
              <w:spacing w:after="0"/>
              <w:rPr>
                <w:sz w:val="20"/>
                <w:szCs w:val="20"/>
                <w:color w:val="auto"/>
              </w:rPr>
            </w:pPr>
            <w:r>
              <w:rPr>
                <w:rFonts w:ascii="Arial" w:cs="Arial" w:eastAsia="Arial" w:hAnsi="Arial"/>
                <w:sz w:val="18"/>
                <w:szCs w:val="18"/>
                <w:b w:val="1"/>
                <w:bCs w:val="1"/>
                <w:color w:val="auto"/>
              </w:rPr>
              <w:t>Cardiovascular</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398,754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517,040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915,794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Foreign currency adjustments</w:t>
            </w:r>
          </w:p>
        </w:tc>
        <w:tc>
          <w:tcPr>
            <w:tcW w:w="22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(27,221)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398,754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489,819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888,573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960" w:type="dxa"/>
            <w:vAlign w:val="bottom"/>
            <w:gridSpan w:val="4"/>
          </w:tcPr>
          <w:p>
            <w:pPr>
              <w:ind w:left="180"/>
              <w:spacing w:after="0"/>
              <w:rPr>
                <w:sz w:val="20"/>
                <w:szCs w:val="20"/>
                <w:color w:val="auto"/>
              </w:rPr>
            </w:pPr>
            <w:r>
              <w:rPr>
                <w:rFonts w:ascii="Arial" w:cs="Arial" w:eastAsia="Arial" w:hAnsi="Arial"/>
                <w:sz w:val="18"/>
                <w:szCs w:val="18"/>
                <w:color w:val="auto"/>
              </w:rPr>
              <w:t>Property, plant and equipment, net by geography are as follows (in thousands):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March 31, 2020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64,473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61,410</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8"/>
                <w:szCs w:val="18"/>
                <w:color w:val="auto"/>
              </w:rPr>
              <w:t>110,669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110,270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8,392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57"/>
        </w:trPr>
        <w:tc>
          <w:tcPr>
            <w:tcW w:w="48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183,534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181,354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66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Note 16. Supplemental Financial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Inventories, net consisted of the following (in thousands):</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4"/>
                <w:szCs w:val="24"/>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45,225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17,947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14,581</w:t>
            </w: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104,348</w:t>
            </w: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170,256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164,154</w:t>
            </w:r>
          </w:p>
        </w:tc>
      </w:tr>
      <w:tr>
        <w:trPr>
          <w:trHeight w:val="27"/>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20" w:firstLine="162"/>
        <w:spacing w:after="0" w:line="308" w:lineRule="auto"/>
        <w:rPr>
          <w:sz w:val="20"/>
          <w:szCs w:val="20"/>
          <w:color w:val="auto"/>
        </w:rPr>
      </w:pPr>
      <w:r>
        <w:rPr>
          <w:rFonts w:ascii="Arial" w:cs="Arial" w:eastAsia="Arial" w:hAnsi="Arial"/>
          <w:sz w:val="17"/>
          <w:szCs w:val="17"/>
          <w:color w:val="auto"/>
        </w:rPr>
        <w:t>Inventories are reported net of the provision for obsolescence. This provision, which reflects normal obsolescence and includes components that are phased out or expired, totaled $13.0 million and $12.7 million at March 31, 2020 and December 31, 2019, respectively.</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Accrued liabilities and other consisted of the following (in thousands):</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4"/>
                <w:szCs w:val="24"/>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3"/>
        </w:trPr>
        <w:tc>
          <w:tcPr>
            <w:tcW w:w="7320" w:type="dxa"/>
            <w:vAlign w:val="bottom"/>
            <w:shd w:val="clear" w:color="auto" w:fill="CCEEFF"/>
          </w:tcPr>
          <w:p>
            <w:pPr>
              <w:ind w:left="40"/>
              <w:spacing w:after="0" w:line="263"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22,953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11,371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11,110</w:t>
            </w: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and administrative costs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7,313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6,728</w:t>
            </w: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Provisions for agents, returns and other</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3,922</w:t>
            </w: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related liabilities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4,315</w:t>
            </w:r>
          </w:p>
        </w:tc>
      </w:tr>
      <w:tr>
        <w:trPr>
          <w:trHeight w:val="270"/>
        </w:trPr>
        <w:tc>
          <w:tcPr>
            <w:tcW w:w="7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Product remediation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3,251</w:t>
            </w: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contract liabilities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amounts payable to MicroPort Scientific Corporation</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1,340</w:t>
            </w: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CRM purchase price adjustment payable to MicroPort Scientific Corporation</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14,891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35,465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32,191</w:t>
            </w:r>
          </w:p>
        </w:tc>
      </w:tr>
      <w:tr>
        <w:trPr>
          <w:trHeight w:val="27"/>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8"/>
        </w:trPr>
        <w:tc>
          <w:tcPr>
            <w:tcW w:w="7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120,100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Refer to “Note 7. Fair Value Measurements”</w:t>
      </w:r>
    </w:p>
    <w:p>
      <w:pPr>
        <w:spacing w:after="0" w:line="22"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Refer to “Note 4. Restructuring”</w:t>
      </w:r>
    </w:p>
    <w:p>
      <w:pPr>
        <w:spacing w:after="0" w:line="18"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Refer to “Note 5. Product Remediation Liability”</w:t>
      </w:r>
    </w:p>
    <w:p>
      <w:pPr>
        <w:spacing w:after="0" w:line="18"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Refer to “Note 9. Derivatives and Risk Management”</w:t>
      </w:r>
    </w:p>
    <w:p>
      <w:pPr>
        <w:spacing w:after="0" w:line="172"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As of March 31, 2020 and December 31, 2019, contract liabilities of $9.1 million and $8.6 million, respectively, are included within accrued liabilities and other long-term liabilities on the condensed consolidated balance sheets.</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670"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Note 17. 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Accounting Pronouncements</w:t>
      </w:r>
    </w:p>
    <w:p>
      <w:pPr>
        <w:spacing w:after="0" w:line="116"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The following table provides a description of our adoption of new Accounting Standards Updates (“ASUs”) issued by the FASB and the impact of the adoption on our condensed financial statements: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Date of</w:t>
            </w:r>
          </w:p>
        </w:tc>
        <w:tc>
          <w:tcPr>
            <w:tcW w:w="2480" w:type="dxa"/>
            <w:vAlign w:val="bottom"/>
          </w:tcPr>
          <w:p>
            <w:pPr>
              <w:ind w:left="60"/>
              <w:spacing w:after="0"/>
              <w:rPr>
                <w:sz w:val="20"/>
                <w:szCs w:val="20"/>
                <w:color w:val="auto"/>
              </w:rPr>
            </w:pPr>
            <w:r>
              <w:rPr>
                <w:rFonts w:ascii="Arial" w:cs="Arial" w:eastAsia="Arial" w:hAnsi="Arial"/>
                <w:sz w:val="18"/>
                <w:szCs w:val="18"/>
                <w:b w:val="1"/>
                <w:bCs w:val="1"/>
                <w:color w:val="auto"/>
                <w:w w:val="91"/>
              </w:rPr>
              <w:t>Effect on Financial Statements</w:t>
            </w:r>
          </w:p>
        </w:tc>
      </w:tr>
      <w:tr>
        <w:trPr>
          <w:trHeight w:val="234"/>
        </w:trPr>
        <w:tc>
          <w:tcPr>
            <w:tcW w:w="2380" w:type="dxa"/>
            <w:vAlign w:val="bottom"/>
            <w:gridSpan w:val="2"/>
          </w:tcPr>
          <w:p>
            <w:pPr>
              <w:ind w:left="260"/>
              <w:spacing w:after="0"/>
              <w:rPr>
                <w:sz w:val="20"/>
                <w:szCs w:val="20"/>
                <w:color w:val="auto"/>
              </w:rPr>
            </w:pPr>
            <w:r>
              <w:rPr>
                <w:rFonts w:ascii="Arial" w:cs="Arial" w:eastAsia="Arial" w:hAnsi="Arial"/>
                <w:sz w:val="18"/>
                <w:szCs w:val="18"/>
                <w:b w:val="1"/>
                <w:bCs w:val="1"/>
                <w:color w:val="auto"/>
              </w:rPr>
              <w:t>Issue Date &amp; Standard</w:t>
            </w:r>
          </w:p>
        </w:tc>
        <w:tc>
          <w:tcPr>
            <w:tcW w:w="5280" w:type="dxa"/>
            <w:vAlign w:val="bottom"/>
            <w:gridSpan w:val="2"/>
          </w:tcPr>
          <w:p>
            <w:pPr>
              <w:ind w:left="2140"/>
              <w:spacing w:after="0"/>
              <w:rPr>
                <w:sz w:val="20"/>
                <w:szCs w:val="20"/>
                <w:color w:val="auto"/>
              </w:rPr>
            </w:pPr>
            <w:r>
              <w:rPr>
                <w:rFonts w:ascii="Arial" w:cs="Arial" w:eastAsia="Arial" w:hAnsi="Arial"/>
                <w:sz w:val="18"/>
                <w:szCs w:val="18"/>
                <w:b w:val="1"/>
                <w:bCs w:val="1"/>
                <w:color w:val="auto"/>
              </w:rPr>
              <w:t>Description</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Adoption</w:t>
            </w:r>
          </w:p>
        </w:tc>
        <w:tc>
          <w:tcPr>
            <w:tcW w:w="2480" w:type="dxa"/>
            <w:vAlign w:val="bottom"/>
          </w:tcPr>
          <w:p>
            <w:pPr>
              <w:ind w:left="140"/>
              <w:spacing w:after="0"/>
              <w:rPr>
                <w:sz w:val="20"/>
                <w:szCs w:val="20"/>
                <w:color w:val="auto"/>
              </w:rPr>
            </w:pPr>
            <w:r>
              <w:rPr>
                <w:rFonts w:ascii="Arial" w:cs="Arial" w:eastAsia="Arial" w:hAnsi="Arial"/>
                <w:sz w:val="18"/>
                <w:szCs w:val="18"/>
                <w:b w:val="1"/>
                <w:bCs w:val="1"/>
                <w:color w:val="auto"/>
                <w:w w:val="97"/>
              </w:rPr>
              <w:t>or Other Significant Matters</w:t>
            </w:r>
          </w:p>
        </w:tc>
      </w:tr>
      <w:tr>
        <w:trPr>
          <w:trHeight w:val="27"/>
        </w:trPr>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22"/>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June 2016</w:t>
            </w:r>
          </w:p>
        </w:tc>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The amendments in this update require a financial asset (or a group of</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 recognized the following</w:t>
            </w:r>
          </w:p>
        </w:tc>
      </w:tr>
      <w:tr>
        <w:trPr>
          <w:trHeight w:val="216"/>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ASU No. 2016-13, Financial</w:t>
            </w:r>
          </w:p>
        </w:tc>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financial assets) measured at amortized cost basis to be presented at</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cumulative-effect adjustments,</w:t>
            </w:r>
          </w:p>
        </w:tc>
      </w:tr>
      <w:tr>
        <w:trPr>
          <w:trHeight w:val="216"/>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Instruments—Credit Losses</w:t>
            </w:r>
          </w:p>
        </w:tc>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the net amount expected to be collected. We adopted the update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including to retained earnings,</w:t>
            </w:r>
          </w:p>
        </w:tc>
      </w:tr>
      <w:tr>
        <w:trPr>
          <w:trHeight w:val="216"/>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(Topic 326)</w:t>
            </w:r>
          </w:p>
        </w:tc>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upon adoption at January 1,</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January 1, 2020, applying this standard to our accounts receivable by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use of a provision matrix approach. This approach utilizes historical</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loss rates based on the number of days past due, adjusted to reflect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decreased $0.6 million and</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economic conditions and forecasts of future economic</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 increased</w:t>
            </w: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conditions.</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$0.6 million.</w:t>
            </w:r>
          </w:p>
        </w:tc>
      </w:tr>
      <w:tr>
        <w:trPr>
          <w:trHeight w:val="27"/>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320" w:top="670" w:right="339" w:bottom="1440" w:gutter="0" w:footer="0" w:header="0"/>
        </w:sectPr>
      </w:pPr>
    </w:p>
    <w:p>
      <w:pPr>
        <w:ind w:left="40"/>
        <w:spacing w:after="0" w:line="255" w:lineRule="auto"/>
        <w:rPr>
          <w:sz w:val="20"/>
          <w:szCs w:val="20"/>
          <w:color w:val="auto"/>
        </w:rPr>
      </w:pPr>
      <w:r>
        <w:rPr>
          <w:rFonts w:ascii="Arial" w:cs="Arial" w:eastAsia="Arial" w:hAnsi="Arial"/>
          <w:sz w:val="18"/>
          <w:szCs w:val="18"/>
          <w:color w:val="auto"/>
        </w:rPr>
        <w:t>January 2017 ASU No. 2017-04, Intangibles-Goodwill and Other (Topic 350): Simplifying the Test for Goodwill Impairment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This update removes step 2 of the goodwill impairment test that</w:t>
            </w:r>
          </w:p>
        </w:tc>
        <w:tc>
          <w:tcPr>
            <w:tcW w:w="1060" w:type="dxa"/>
            <w:vAlign w:val="bottom"/>
          </w:tcPr>
          <w:p>
            <w:pPr>
              <w:ind w:left="120"/>
              <w:spacing w:after="0"/>
              <w:rPr>
                <w:sz w:val="20"/>
                <w:szCs w:val="20"/>
                <w:color w:val="auto"/>
              </w:rPr>
            </w:pPr>
            <w:r>
              <w:rPr>
                <w:rFonts w:ascii="Arial" w:cs="Arial" w:eastAsia="Arial" w:hAnsi="Arial"/>
                <w:sz w:val="18"/>
                <w:szCs w:val="18"/>
                <w:color w:val="auto"/>
              </w:rPr>
              <w:t>January 1,</w:t>
            </w:r>
          </w:p>
        </w:tc>
        <w:tc>
          <w:tcPr>
            <w:tcW w:w="2580" w:type="dxa"/>
            <w:vAlign w:val="bottom"/>
          </w:tcPr>
          <w:p>
            <w:pPr>
              <w:ind w:left="180"/>
              <w:spacing w:after="0"/>
              <w:rPr>
                <w:sz w:val="20"/>
                <w:szCs w:val="20"/>
                <w:color w:val="auto"/>
              </w:rPr>
            </w:pPr>
            <w:r>
              <w:rPr>
                <w:rFonts w:ascii="Arial" w:cs="Arial" w:eastAsia="Arial" w:hAnsi="Arial"/>
                <w:sz w:val="18"/>
                <w:szCs w:val="18"/>
                <w:color w:val="auto"/>
                <w:w w:val="92"/>
              </w:rPr>
              <w:t>There was no material impact to</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w w:val="95"/>
              </w:rPr>
              <w:t>compares the implied fair value of goodwill with its carrying amount.</w:t>
            </w:r>
          </w:p>
        </w:tc>
        <w:tc>
          <w:tcPr>
            <w:tcW w:w="1060" w:type="dxa"/>
            <w:vAlign w:val="bottom"/>
          </w:tcPr>
          <w:p>
            <w:pPr>
              <w:ind w:left="120"/>
              <w:spacing w:after="0"/>
              <w:rPr>
                <w:sz w:val="20"/>
                <w:szCs w:val="20"/>
                <w:color w:val="auto"/>
              </w:rPr>
            </w:pPr>
            <w:r>
              <w:rPr>
                <w:rFonts w:ascii="Arial" w:cs="Arial" w:eastAsia="Arial" w:hAnsi="Arial"/>
                <w:sz w:val="18"/>
                <w:szCs w:val="18"/>
                <w:color w:val="auto"/>
              </w:rPr>
              <w:t>2020</w:t>
            </w:r>
          </w:p>
        </w:tc>
        <w:tc>
          <w:tcPr>
            <w:tcW w:w="2580" w:type="dxa"/>
            <w:vAlign w:val="bottom"/>
          </w:tcPr>
          <w:p>
            <w:pPr>
              <w:ind w:left="180"/>
              <w:spacing w:after="0"/>
              <w:rPr>
                <w:sz w:val="20"/>
                <w:szCs w:val="20"/>
                <w:color w:val="auto"/>
              </w:rPr>
            </w:pPr>
            <w:r>
              <w:rPr>
                <w:rFonts w:ascii="Arial" w:cs="Arial" w:eastAsia="Arial" w:hAnsi="Arial"/>
                <w:sz w:val="18"/>
                <w:szCs w:val="18"/>
                <w:color w:val="auto"/>
              </w:rPr>
              <w:t>our consolidated financial</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w w:val="94"/>
              </w:rPr>
              <w:t>Instead, an impairment test is performed by comparing the fair value</w:t>
            </w:r>
          </w:p>
        </w:tc>
        <w:tc>
          <w:tcPr>
            <w:tcW w:w="106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w w:val="88"/>
              </w:rPr>
              <w:t>statements as a result of adopting</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w w:val="98"/>
              </w:rPr>
              <w:t>of a reporting unit with its carrying amount. An impairment charge</w:t>
            </w:r>
          </w:p>
        </w:tc>
        <w:tc>
          <w:tcPr>
            <w:tcW w:w="106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this ASU.</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w w:val="98"/>
              </w:rPr>
              <w:t>will be recorded by the amount a reporting unit’s carrying amount</w:t>
            </w:r>
          </w:p>
        </w:tc>
        <w:tc>
          <w:tcPr>
            <w:tcW w:w="10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exceeds its fair value.</w:t>
            </w:r>
          </w:p>
        </w:tc>
        <w:tc>
          <w:tcPr>
            <w:tcW w:w="106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7" w:lineRule="exact"/>
        <w:rPr>
          <w:sz w:val="20"/>
          <w:szCs w:val="20"/>
          <w:color w:val="auto"/>
        </w:rPr>
      </w:pPr>
    </w:p>
    <w:p>
      <w:pPr>
        <w:sectPr>
          <w:pgSz w:w="11900" w:h="16838" w:orient="portrait"/>
          <w:cols w:equalWidth="0" w:num="2">
            <w:col w:w="1880" w:space="540"/>
            <w:col w:w="8820"/>
          </w:cols>
          <w:pgMar w:left="320" w:top="670"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2018</w:t>
            </w:r>
          </w:p>
        </w:tc>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This update removes, modifies and adds certain disclosure</w:t>
            </w:r>
          </w:p>
        </w:tc>
        <w:tc>
          <w:tcPr>
            <w:tcW w:w="1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January 1,</w:t>
            </w:r>
          </w:p>
        </w:tc>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There was no material impact to</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ASU No. 2018-13, Fair Value</w:t>
            </w:r>
          </w:p>
        </w:tc>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requirements related to fair value measurements.</w:t>
            </w:r>
          </w:p>
        </w:tc>
        <w:tc>
          <w:tcPr>
            <w:tcW w:w="1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2020</w:t>
            </w:r>
          </w:p>
        </w:tc>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our consolidated financial</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Measurement (Topic 820):</w:t>
            </w:r>
          </w:p>
        </w:tc>
        <w:tc>
          <w:tcPr>
            <w:tcW w:w="4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statements as a result of adopting</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to the Disclosure</w:t>
            </w:r>
          </w:p>
        </w:tc>
        <w:tc>
          <w:tcPr>
            <w:tcW w:w="4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this ASU.</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Requirements for Fair Value</w:t>
            </w:r>
          </w:p>
        </w:tc>
        <w:tc>
          <w:tcPr>
            <w:tcW w:w="4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Measurement</w:t>
            </w:r>
          </w:p>
        </w:tc>
        <w:tc>
          <w:tcPr>
            <w:tcW w:w="48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r>
      <w:tr>
        <w:trPr>
          <w:trHeight w:val="27"/>
        </w:trPr>
        <w:tc>
          <w:tcPr>
            <w:tcW w:w="23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320" w:top="670"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August 2018</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ASU No. 2018-15,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Intangibles—Goodwill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Other—Internal-Use Software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(Subtopic 350-40):</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Customer’s Accounting for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Implementation Costs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Incurred in a Cloud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Computing Arrangement That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 a Service Contract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7"/>
              </w:rPr>
              <w:t>This update clarifies and aligns the accounting for implementation</w:t>
            </w:r>
          </w:p>
        </w:tc>
        <w:tc>
          <w:tcPr>
            <w:tcW w:w="1100" w:type="dxa"/>
            <w:vAlign w:val="bottom"/>
          </w:tcPr>
          <w:p>
            <w:pPr>
              <w:ind w:left="160"/>
              <w:spacing w:after="0"/>
              <w:rPr>
                <w:sz w:val="20"/>
                <w:szCs w:val="20"/>
                <w:color w:val="auto"/>
              </w:rPr>
            </w:pPr>
            <w:r>
              <w:rPr>
                <w:rFonts w:ascii="Arial" w:cs="Arial" w:eastAsia="Arial" w:hAnsi="Arial"/>
                <w:sz w:val="18"/>
                <w:szCs w:val="18"/>
                <w:color w:val="auto"/>
              </w:rPr>
              <w:t>January 1,</w:t>
            </w:r>
          </w:p>
        </w:tc>
        <w:tc>
          <w:tcPr>
            <w:tcW w:w="2580" w:type="dxa"/>
            <w:vAlign w:val="bottom"/>
          </w:tcPr>
          <w:p>
            <w:pPr>
              <w:ind w:left="180"/>
              <w:spacing w:after="0"/>
              <w:rPr>
                <w:sz w:val="20"/>
                <w:szCs w:val="20"/>
                <w:color w:val="auto"/>
              </w:rPr>
            </w:pPr>
            <w:r>
              <w:rPr>
                <w:rFonts w:ascii="Arial" w:cs="Arial" w:eastAsia="Arial" w:hAnsi="Arial"/>
                <w:sz w:val="18"/>
                <w:szCs w:val="18"/>
                <w:color w:val="auto"/>
                <w:w w:val="92"/>
              </w:rPr>
              <w:t>There was no material impact to</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3"/>
              </w:rPr>
              <w:t>costs for hosting arrangements with the requirements for capitalizing</w:t>
            </w:r>
          </w:p>
        </w:tc>
        <w:tc>
          <w:tcPr>
            <w:tcW w:w="1100" w:type="dxa"/>
            <w:vAlign w:val="bottom"/>
          </w:tcPr>
          <w:p>
            <w:pPr>
              <w:ind w:left="160"/>
              <w:spacing w:after="0"/>
              <w:rPr>
                <w:sz w:val="20"/>
                <w:szCs w:val="20"/>
                <w:color w:val="auto"/>
              </w:rPr>
            </w:pPr>
            <w:r>
              <w:rPr>
                <w:rFonts w:ascii="Arial" w:cs="Arial" w:eastAsia="Arial" w:hAnsi="Arial"/>
                <w:sz w:val="18"/>
                <w:szCs w:val="18"/>
                <w:color w:val="auto"/>
              </w:rPr>
              <w:t>2020</w:t>
            </w:r>
          </w:p>
        </w:tc>
        <w:tc>
          <w:tcPr>
            <w:tcW w:w="2580" w:type="dxa"/>
            <w:vAlign w:val="bottom"/>
          </w:tcPr>
          <w:p>
            <w:pPr>
              <w:ind w:left="180"/>
              <w:spacing w:after="0"/>
              <w:rPr>
                <w:sz w:val="20"/>
                <w:szCs w:val="20"/>
                <w:color w:val="auto"/>
              </w:rPr>
            </w:pPr>
            <w:r>
              <w:rPr>
                <w:rFonts w:ascii="Arial" w:cs="Arial" w:eastAsia="Arial" w:hAnsi="Arial"/>
                <w:sz w:val="18"/>
                <w:szCs w:val="18"/>
                <w:color w:val="auto"/>
              </w:rPr>
              <w:t>our consolidated financial</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implementation costs incurred to develop or obtain internal-use</w:t>
            </w:r>
          </w:p>
        </w:tc>
        <w:tc>
          <w:tcPr>
            <w:tcW w:w="110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w w:val="88"/>
              </w:rPr>
              <w:t>statements as a result of adopting</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software.</w:t>
            </w:r>
          </w:p>
        </w:tc>
        <w:tc>
          <w:tcPr>
            <w:tcW w:w="1100" w:type="dxa"/>
            <w:vAlign w:val="bottom"/>
          </w:tcPr>
          <w:p>
            <w:pPr>
              <w:spacing w:after="0"/>
              <w:rPr>
                <w:sz w:val="20"/>
                <w:szCs w:val="20"/>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this ASU.</w:t>
            </w:r>
          </w:p>
        </w:tc>
      </w:tr>
    </w:tbl>
    <w:p>
      <w:pPr>
        <w:spacing w:after="0" w:line="1486" w:lineRule="exact"/>
        <w:rPr>
          <w:sz w:val="20"/>
          <w:szCs w:val="20"/>
          <w:color w:val="auto"/>
        </w:rPr>
      </w:pPr>
    </w:p>
    <w:p>
      <w:pPr>
        <w:sectPr>
          <w:pgSz w:w="11900" w:h="16838" w:orient="portrait"/>
          <w:cols w:equalWidth="0" w:num="2">
            <w:col w:w="2220" w:space="200"/>
            <w:col w:w="8820"/>
          </w:cols>
          <w:pgMar w:left="320" w:top="670" w:right="3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Adoption of New Accounting Pronouncements</w:t>
      </w:r>
    </w:p>
    <w:p>
      <w:pPr>
        <w:spacing w:after="0" w:line="116"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The following table provides a description of future adoptions of new accounting standards that may have an impact on our financial statements when adopted: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Projected</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Effect on Financial</w:t>
            </w: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Date of</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Statements or Other</w:t>
            </w:r>
          </w:p>
        </w:tc>
      </w:tr>
      <w:tr>
        <w:trPr>
          <w:trHeight w:val="234"/>
        </w:trPr>
        <w:tc>
          <w:tcPr>
            <w:tcW w:w="40" w:type="dxa"/>
            <w:vAlign w:val="bottom"/>
          </w:tcPr>
          <w:p>
            <w:pPr>
              <w:spacing w:after="0"/>
              <w:rPr>
                <w:sz w:val="20"/>
                <w:szCs w:val="20"/>
                <w:color w:val="auto"/>
              </w:rPr>
            </w:pPr>
          </w:p>
        </w:tc>
        <w:tc>
          <w:tcPr>
            <w:tcW w:w="2680" w:type="dxa"/>
            <w:vAlign w:val="bottom"/>
            <w:gridSpan w:val="3"/>
          </w:tcPr>
          <w:p>
            <w:pPr>
              <w:ind w:left="380"/>
              <w:spacing w:after="0"/>
              <w:rPr>
                <w:sz w:val="20"/>
                <w:szCs w:val="20"/>
                <w:color w:val="auto"/>
              </w:rPr>
            </w:pPr>
            <w:r>
              <w:rPr>
                <w:rFonts w:ascii="Arial" w:cs="Arial" w:eastAsia="Arial" w:hAnsi="Arial"/>
                <w:sz w:val="18"/>
                <w:szCs w:val="18"/>
                <w:b w:val="1"/>
                <w:bCs w:val="1"/>
                <w:color w:val="auto"/>
              </w:rPr>
              <w:t>Issue Date &amp; Standard</w:t>
            </w:r>
          </w:p>
        </w:tc>
        <w:tc>
          <w:tcPr>
            <w:tcW w:w="5280" w:type="dxa"/>
            <w:vAlign w:val="bottom"/>
            <w:gridSpan w:val="2"/>
          </w:tcPr>
          <w:p>
            <w:pPr>
              <w:ind w:left="2140"/>
              <w:spacing w:after="0"/>
              <w:rPr>
                <w:sz w:val="20"/>
                <w:szCs w:val="20"/>
                <w:color w:val="auto"/>
              </w:rPr>
            </w:pPr>
            <w:r>
              <w:rPr>
                <w:rFonts w:ascii="Arial" w:cs="Arial" w:eastAsia="Arial" w:hAnsi="Arial"/>
                <w:sz w:val="18"/>
                <w:szCs w:val="18"/>
                <w:b w:val="1"/>
                <w:bCs w:val="1"/>
                <w:color w:val="auto"/>
              </w:rPr>
              <w:t>Description</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Adoption</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Significant Matters</w:t>
            </w:r>
          </w:p>
        </w:tc>
      </w:tr>
      <w:tr>
        <w:trPr>
          <w:trHeight w:val="27"/>
        </w:trPr>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8"/>
              </w:rPr>
              <w:t>August 2018</w:t>
            </w:r>
          </w:p>
        </w:tc>
        <w:tc>
          <w:tcPr>
            <w:tcW w:w="1760" w:type="dxa"/>
            <w:vAlign w:val="bottom"/>
            <w:tcBorders>
              <w:bottom w:val="single" w:sz="8" w:color="CCEEFF"/>
            </w:tcBorders>
            <w:gridSpan w:val="2"/>
            <w:shd w:val="clear" w:color="auto" w:fill="CCEEFF"/>
          </w:tcPr>
          <w:p>
            <w:pPr>
              <w:spacing w:after="0"/>
              <w:rPr>
                <w:sz w:val="17"/>
                <w:szCs w:val="17"/>
                <w:color w:val="auto"/>
              </w:rPr>
            </w:pPr>
          </w:p>
        </w:tc>
        <w:tc>
          <w:tcPr>
            <w:tcW w:w="52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This update adds and removes certain disclosure requirements related</w:t>
            </w:r>
          </w:p>
        </w:tc>
        <w:tc>
          <w:tcPr>
            <w:tcW w:w="11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January 1,</w:t>
            </w:r>
          </w:p>
        </w:tc>
        <w:tc>
          <w:tcPr>
            <w:tcW w:w="2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 do not expect the</w:t>
            </w:r>
          </w:p>
        </w:tc>
      </w:tr>
      <w:tr>
        <w:trPr>
          <w:trHeight w:val="222"/>
        </w:trPr>
        <w:tc>
          <w:tcPr>
            <w:tcW w:w="4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ASU No. 2018-14, Compensation</w:t>
            </w: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 defined benefit plans. This ASU is to be implemented on a</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adoption of this update to</w:t>
            </w:r>
          </w:p>
        </w:tc>
      </w:tr>
      <w:tr>
        <w:trPr>
          <w:trHeight w:val="216"/>
        </w:trPr>
        <w:tc>
          <w:tcPr>
            <w:tcW w:w="4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—Retirement Benefits—Defined</w:t>
            </w: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retrospective basis for all periods presented with early adoption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have a material effect on our</w:t>
            </w:r>
          </w:p>
        </w:tc>
      </w:tr>
      <w:tr>
        <w:trPr>
          <w:trHeight w:val="216"/>
        </w:trPr>
        <w:tc>
          <w:tcPr>
            <w:tcW w:w="4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Benefit Plans—General (Subtopic</w:t>
            </w: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permitted.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condensed consolidated</w:t>
            </w:r>
          </w:p>
        </w:tc>
      </w:tr>
      <w:tr>
        <w:trPr>
          <w:trHeight w:val="216"/>
        </w:trPr>
        <w:tc>
          <w:tcPr>
            <w:tcW w:w="4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715-20): </w:t>
            </w:r>
            <w:r>
              <w:rPr>
                <w:rFonts w:ascii="Arial" w:cs="Arial" w:eastAsia="Arial" w:hAnsi="Arial"/>
                <w:sz w:val="18"/>
                <w:szCs w:val="18"/>
                <w:i w:val="1"/>
                <w:iCs w:val="1"/>
                <w:color w:val="auto"/>
              </w:rPr>
              <w:t>Changes to the</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statement</w:t>
            </w:r>
          </w:p>
        </w:tc>
      </w:tr>
      <w:tr>
        <w:trPr>
          <w:trHeight w:val="216"/>
        </w:trPr>
        <w:tc>
          <w:tcPr>
            <w:tcW w:w="4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Disclosure Requirements for</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disclosures.</w:t>
            </w:r>
          </w:p>
        </w:tc>
      </w:tr>
      <w:tr>
        <w:trPr>
          <w:trHeight w:val="230"/>
        </w:trPr>
        <w:tc>
          <w:tcPr>
            <w:tcW w:w="40" w:type="dxa"/>
            <w:vAlign w:val="bottom"/>
            <w:shd w:val="clear" w:color="auto" w:fill="CCEEFF"/>
          </w:tcPr>
          <w:p>
            <w:pPr>
              <w:spacing w:after="0"/>
              <w:rPr>
                <w:sz w:val="20"/>
                <w:szCs w:val="20"/>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Defined Benefit Plans</w:t>
            </w:r>
          </w:p>
        </w:tc>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670" w:right="339" w:bottom="1440" w:gutter="0" w:footer="0" w:header="0"/>
          <w:type w:val="continuous"/>
        </w:sectPr>
      </w:pP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67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125"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which appear elsewhere in this document and with our 2019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2019 Form 10-K, as supplemented by Part 2, Item 1A and elsewhere in this Quarterly Report on Form 10-Q.</w:t>
      </w:r>
    </w:p>
    <w:p>
      <w:pPr>
        <w:spacing w:after="0" w:line="80"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w:t>
      </w:r>
    </w:p>
    <w:p>
      <w:pPr>
        <w:spacing w:after="0" w:line="116"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In recent months, a new strain of coronavirus (COVID-19) has spread to many countries in the world and the outbreak has been declared a pandemic by the World Health Organization. The U.S. Secretary of Health and Human Services has also declared a public health emergency in the United States in response to the outbreak. Considerable uncertainty still surrounds the COVID-19 virus and its potential effects, and the extent of and effectiveness of responses taken on international, national and local levels. Measures taken to limit the impact of COVID-19, including shelter-in-place orders, social distancing measures, travel bans and restrictions, and business and government shutdowns, have already resulted in significant negative economic impacts on a global basis.</w:t>
      </w:r>
    </w:p>
    <w:p>
      <w:pPr>
        <w:spacing w:after="0" w:line="84" w:lineRule="exact"/>
        <w:rPr>
          <w:sz w:val="20"/>
          <w:szCs w:val="20"/>
          <w:color w:val="auto"/>
        </w:rPr>
      </w:pPr>
    </w:p>
    <w:p>
      <w:pPr>
        <w:ind w:right="140" w:firstLine="162"/>
        <w:spacing w:after="0" w:line="254" w:lineRule="auto"/>
        <w:rPr>
          <w:sz w:val="20"/>
          <w:szCs w:val="20"/>
          <w:color w:val="auto"/>
        </w:rPr>
      </w:pPr>
      <w:r>
        <w:rPr>
          <w:rFonts w:ascii="Arial" w:cs="Arial" w:eastAsia="Arial" w:hAnsi="Arial"/>
          <w:sz w:val="18"/>
          <w:szCs w:val="18"/>
          <w:color w:val="auto"/>
        </w:rPr>
        <w:t>Due to these impacts and measures, we have experienced, and may continue to experience, significant and unpredictable reductions in the demand for our products as healthcare customers divert medical resources and priorities towards the treatment of COVID-19. In addition, our customers may delay, cancel, or redirect planned purchases in order to focus resources on COVID-19 or in response to economic disruption related to COVID-19. For example, in the last two weeks of the quarter ended March 31, 2020, we experienced a significant decline in volumes in the U.S. and Europe, as healthcare systems diverted resources to meet the increasing demands of managing COVID-19. In addition, public health bodies have recommended delaying elective surgeries during the COVID-19 pandemic, which may continue to negatively impact the usage of our products, including the number of Neuromodulation procedures.</w:t>
      </w:r>
    </w:p>
    <w:p>
      <w:pPr>
        <w:spacing w:after="0" w:line="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While the ultimate health and economic impact of the COVID-19 pandemic is highly uncertain, we expect that our sales and operating results for the second quarter of 2020 will be materially adversely impacted. We currently expect to see stabilization in the third quarter of 2020 as elective surgeries are rescheduled and a recovery in the fourth quarter on a global basis. Further cancellations or delays could materially adversely impact our business, results of operations and overall financial performance.</w:t>
      </w:r>
    </w:p>
    <w:p>
      <w:pPr>
        <w:spacing w:after="0" w:line="7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business operations have been affected by a range of external factors related to the COVID-19 pandemic that are not within our control. For example, many jurisdictions have imposed a wide range of restrictions on the physical movement of our employees and vendors to limit the spread of COVID-19. If the COVID-19 pandemic has a substantial impact on our employees or vendors attendance or productivity, our operations may suffer, and in turn our results of operations and overall financial performance may be harmed.</w:t>
      </w:r>
    </w:p>
    <w:p>
      <w:pPr>
        <w:spacing w:after="0" w:line="79" w:lineRule="exact"/>
        <w:rPr>
          <w:sz w:val="20"/>
          <w:szCs w:val="20"/>
          <w:color w:val="auto"/>
        </w:rPr>
      </w:pPr>
    </w:p>
    <w:p>
      <w:pPr>
        <w:ind w:right="140" w:firstLine="162"/>
        <w:spacing w:after="0" w:line="275" w:lineRule="auto"/>
        <w:rPr>
          <w:sz w:val="20"/>
          <w:szCs w:val="20"/>
          <w:color w:val="auto"/>
        </w:rPr>
      </w:pPr>
      <w:r>
        <w:rPr>
          <w:rFonts w:ascii="Arial" w:cs="Arial" w:eastAsia="Arial" w:hAnsi="Arial"/>
          <w:sz w:val="17"/>
          <w:szCs w:val="17"/>
          <w:color w:val="auto"/>
        </w:rPr>
        <w:t>Further as a result of the impact of COVID-19, due to the restrictions at surgical centers and clinical trial sites, we anticipate few new implants in our RECOVER clinical study during the next six months. Implants are expected to resume in the fourth quarter of 2020 and we believe that new implants will continue to increase into 2021. In the current COVID-19 environment, we are remotely collaborating with study sites to continue certain activities that maintain engagement, including activating more sites for enrollment and also, identifying and consenting patients at existing sites. Additionally, we continue to perform follow-up visits for all patients who have been enrolled and implanted to date.</w:t>
      </w:r>
    </w:p>
    <w:p>
      <w:pPr>
        <w:spacing w:after="0" w:line="68"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Additionally, we have temporarily paused enrollment in our ANTHEM-HFrEF U.S. pivotal trial in accordance with site restrictions due to COVID-19 though we are supporting patients and physicians by using remote technology to remain engaged.</w:t>
      </w:r>
    </w:p>
    <w:p>
      <w:pPr>
        <w:spacing w:after="0" w:line="62"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We have taken numerous steps, and will continue to take further actions, in our approach to addressing the COVID-19 pandemic. We have successfully implemented our business continuity plans, and our management team is in place to respond to changes in our environment quickly and effectively. We have not closed any of our manufacturing plants. Additionally, the supply of raw materials and the distribution of finished products remain operational with no known or foreseen constraints. As a result of the COVID-19 pandemic, we instructed employees at many of our facilities across the globe to work from home on a temporary basis and have implemented travel restrictions. We have incurred additional expenses in connection with our response to the COVID-19 pandemic, including manufacturing inefficiencies and costs related to enabling our employees to support our customers while working remotely. These additional expenses were not material to our results of operations during the first quarter of 2020.</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666" w:right="339" w:bottom="1440" w:gutter="0" w:footer="0" w:header="0"/>
        </w:sectPr>
      </w:pPr>
    </w:p>
    <w:bookmarkStart w:id="31" w:name="page32"/>
    <w:bookmarkEnd w:id="31"/>
    <w:p>
      <w:pPr>
        <w:jc w:val="both"/>
        <w:ind w:firstLine="162"/>
        <w:spacing w:after="0" w:line="286" w:lineRule="auto"/>
        <w:rPr>
          <w:sz w:val="20"/>
          <w:szCs w:val="20"/>
          <w:color w:val="auto"/>
        </w:rPr>
      </w:pPr>
      <w:r>
        <w:rPr>
          <w:rFonts w:ascii="Arial" w:cs="Arial" w:eastAsia="Arial" w:hAnsi="Arial"/>
          <w:sz w:val="17"/>
          <w:szCs w:val="17"/>
          <w:color w:val="auto"/>
        </w:rPr>
        <w:t>We believe that implementing cost reduction efforts will help us mitigate the impact that reduced revenues may have on our fiscal 2020 operating income. We are reducing expenses through such methods as evaluation of which projects and initiatives are critical to meet the current needs of the Company and protect strategic priorities for future growth, reduction of discretionary spending and tighter management of personnel costs.</w:t>
      </w:r>
    </w:p>
    <w:p>
      <w:pPr>
        <w:spacing w:after="0" w:line="5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Given the dynamic nature of these circumstances, the full impact of the COVID-19 pandemic on our ongoing business, results of operations and overall financial performance cannot be reasonably estimated at this time.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further discussion on COVID-19, refer to “Part II, Item 1A. Risk Factors” in this Quarterly Report on Form 10-Q.</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16" w:lineRule="exact"/>
        <w:rPr>
          <w:sz w:val="20"/>
          <w:szCs w:val="20"/>
          <w:color w:val="auto"/>
        </w:rPr>
      </w:pPr>
    </w:p>
    <w:p>
      <w:pPr>
        <w:ind w:right="300" w:firstLine="162"/>
        <w:spacing w:after="0" w:line="275" w:lineRule="auto"/>
        <w:rPr>
          <w:sz w:val="20"/>
          <w:szCs w:val="20"/>
          <w:color w:val="auto"/>
        </w:rPr>
      </w:pPr>
      <w:r>
        <w:rPr>
          <w:rFonts w:ascii="Arial" w:cs="Arial" w:eastAsia="Arial" w:hAnsi="Arial"/>
          <w:sz w:val="17"/>
          <w:szCs w:val="17"/>
          <w:color w:val="auto"/>
        </w:rPr>
        <w:t>We are a public limited company organized under the laws of England and Wales, headquartered in London, England. We are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68" w:lineRule="exact"/>
        <w:rPr>
          <w:sz w:val="20"/>
          <w:szCs w:val="20"/>
          <w:color w:val="auto"/>
        </w:rPr>
      </w:pPr>
    </w:p>
    <w:p>
      <w:pPr>
        <w:ind w:right="620" w:firstLine="162"/>
        <w:spacing w:after="0" w:line="263" w:lineRule="auto"/>
        <w:rPr>
          <w:sz w:val="20"/>
          <w:szCs w:val="20"/>
          <w:color w:val="auto"/>
        </w:rPr>
      </w:pPr>
      <w:r>
        <w:rPr>
          <w:rFonts w:ascii="Arial" w:cs="Arial" w:eastAsia="Arial" w:hAnsi="Arial"/>
          <w:sz w:val="18"/>
          <w:szCs w:val="18"/>
          <w:color w:val="auto"/>
        </w:rPr>
        <w:t>LivaNova is comprised of two reportable segments: Cardiovascular and Neuromodulation, corresponding to our primary therapeutic areas. Other corporate activities include corporate shared service expenses for finance, legal, human resources, information technology and corporate business development.</w:t>
      </w:r>
    </w:p>
    <w:p>
      <w:pPr>
        <w:spacing w:after="0" w:line="76" w:lineRule="exact"/>
        <w:rPr>
          <w:sz w:val="20"/>
          <w:szCs w:val="20"/>
          <w:color w:val="auto"/>
        </w:rPr>
      </w:pPr>
    </w:p>
    <w:p>
      <w:pPr>
        <w:ind w:right="220" w:firstLine="162"/>
        <w:spacing w:after="0" w:line="308" w:lineRule="auto"/>
        <w:rPr>
          <w:sz w:val="20"/>
          <w:szCs w:val="20"/>
          <w:color w:val="auto"/>
        </w:rPr>
      </w:pPr>
      <w:r>
        <w:rPr>
          <w:rFonts w:ascii="Arial" w:cs="Arial" w:eastAsia="Arial" w:hAnsi="Arial"/>
          <w:sz w:val="17"/>
          <w:szCs w:val="17"/>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Cardiovascular</w:t>
      </w:r>
    </w:p>
    <w:p>
      <w:pPr>
        <w:spacing w:after="0" w:line="110"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Our Cardiovascular segment is engaged in the development, production and sale of cardiopulmonary products, heart valves and advanced circulatory support products. Cardiopulmonary products include oxygenators, heart-lung machines, autotransfusion systems, perfusion tubing systems, cannulae and other related accessories. Heart valves include mechanical heart valves, tissue heart valves, related repair products and minimally invasive surgical instruments. Advanced circulatory support includes temporary life support product kits that can include a combination of pumps, oxygenators, and cannulae.</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Remediation</w:t>
      </w:r>
    </w:p>
    <w:p>
      <w:pPr>
        <w:spacing w:after="0" w:line="117" w:lineRule="exact"/>
        <w:rPr>
          <w:sz w:val="20"/>
          <w:szCs w:val="20"/>
          <w:color w:val="auto"/>
        </w:rPr>
      </w:pPr>
    </w:p>
    <w:p>
      <w:pPr>
        <w:ind w:right="220" w:firstLine="162"/>
        <w:spacing w:after="0" w:line="263"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 and issued inspectional observations on FDA’s Form-483 applicable to our Munich, Germany facility.</w:t>
      </w:r>
    </w:p>
    <w:p>
      <w:pPr>
        <w:spacing w:after="0" w:line="76"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U.S. until resolution of the issues set forth by the FDA in the Warning Letter. The FDA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all of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6" w:lineRule="exact"/>
        <w:rPr>
          <w:sz w:val="20"/>
          <w:szCs w:val="20"/>
          <w:color w:val="auto"/>
        </w:rPr>
      </w:pPr>
    </w:p>
    <w:p>
      <w:pPr>
        <w:ind w:right="300" w:firstLine="162"/>
        <w:spacing w:after="0" w:line="286" w:lineRule="auto"/>
        <w:rPr>
          <w:sz w:val="20"/>
          <w:szCs w:val="20"/>
          <w:color w:val="auto"/>
        </w:rPr>
      </w:pPr>
      <w:r>
        <w:rPr>
          <w:rFonts w:ascii="Arial" w:cs="Arial" w:eastAsia="Arial" w:hAnsi="Arial"/>
          <w:sz w:val="17"/>
          <w:szCs w:val="17"/>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5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w:t>
      </w:r>
    </w:p>
    <w:p>
      <w:pPr>
        <w:spacing w:after="0" w:line="79"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665" w:right="339" w:bottom="1440" w:gutter="0" w:footer="0" w:header="0"/>
        </w:sectPr>
      </w:pPr>
    </w:p>
    <w:bookmarkStart w:id="32" w:name="page33"/>
    <w:bookmarkEnd w:id="32"/>
    <w:p>
      <w:pPr>
        <w:ind w:right="160"/>
        <w:spacing w:after="0" w:line="277" w:lineRule="auto"/>
        <w:rPr>
          <w:sz w:val="20"/>
          <w:szCs w:val="20"/>
          <w:color w:val="auto"/>
        </w:rPr>
      </w:pPr>
      <w:r>
        <w:rPr>
          <w:rFonts w:ascii="Arial" w:cs="Arial" w:eastAsia="Arial" w:hAnsi="Arial"/>
          <w:sz w:val="18"/>
          <w:szCs w:val="18"/>
          <w:color w:val="auto"/>
        </w:rPr>
        <w:t>FDA’s requests. For further information refer to “Note 10. Commitments and Contingencies” in our condensed consolidated financial statements included in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Liability</w:t>
      </w:r>
    </w:p>
    <w:p>
      <w:pPr>
        <w:spacing w:after="0" w:line="117"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w:t>
      </w:r>
    </w:p>
    <w:p>
      <w:pPr>
        <w:spacing w:after="0" w:line="84" w:lineRule="exact"/>
        <w:rPr>
          <w:sz w:val="20"/>
          <w:szCs w:val="20"/>
          <w:color w:val="auto"/>
        </w:rPr>
      </w:pPr>
    </w:p>
    <w:p>
      <w:pPr>
        <w:ind w:right="160" w:firstLine="162"/>
        <w:spacing w:after="0" w:line="293" w:lineRule="auto"/>
        <w:rPr>
          <w:sz w:val="20"/>
          <w:szCs w:val="20"/>
          <w:color w:val="auto"/>
        </w:rPr>
      </w:pPr>
      <w:r>
        <w:rPr>
          <w:rFonts w:ascii="Arial" w:cs="Arial" w:eastAsia="Arial" w:hAnsi="Arial"/>
          <w:sz w:val="16"/>
          <w:szCs w:val="16"/>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$90.0 million was paid in January 2020. Cases covered by the settlement are being dismissed as amounts are disbursed to individual plaintiffs from the qualified settlement fund.</w:t>
      </w:r>
    </w:p>
    <w:p>
      <w:pPr>
        <w:spacing w:after="0" w:line="56"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Cases in state courts in the U.S. and in jurisdictions outside the U.S. continue to progress. As of April 29, 2020, including the cases encompassed in the settlement framework described above that have not yet been dismissed, we are aware of approximately 90 filed and unfiled claims worldwide, with the majority of the claims in various federal or state courts throughout the United States. This includes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4"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At March 31, 2020, the provision for these matters was $54.6 million. While the amount accrued represents our best estimate, the actual liability for resolution of these matters may vary from our estimate.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Cardiopulmonary</w:t>
      </w:r>
    </w:p>
    <w:p>
      <w:pPr>
        <w:spacing w:after="0" w:line="117"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In April 2020, the U.S. Food and Drug Administration issued guidance that permitted several of our cardiopulmonary products to be used for Extracorporeal Membrane Oxygenation (“ECMO”) therapy greater than six hours to temporarily expand the availability of devices to address the COVID-19 pandemic. Product indications for use have been modified accordingly for many products within our Cardiopulmonary and Advanced Circulatory Support portfolios.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Also in April 2020, our Bi-Flow ECMO cannula earned CE Mark approval for ECMO procedures where femoral artery cannulation can be applied. Bi-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Flow previously received CE Mark in 2019 for cardiac surgery procedures requiring femoral artery cannulation. Now validated for up to 29 days of use, Bi-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Flow ECMO is designed to reduce the risk of limb ischemia for patients receiving ECMO and it allows for safe, easy and reproducible procedures.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w:t>
      </w:r>
    </w:p>
    <w:p>
      <w:pPr>
        <w:spacing w:after="0" w:line="110" w:lineRule="exact"/>
        <w:rPr>
          <w:sz w:val="20"/>
          <w:szCs w:val="20"/>
          <w:color w:val="auto"/>
        </w:rPr>
      </w:pPr>
    </w:p>
    <w:p>
      <w:pPr>
        <w:ind w:right="440" w:firstLine="162"/>
        <w:spacing w:after="0" w:line="263" w:lineRule="auto"/>
        <w:rPr>
          <w:sz w:val="20"/>
          <w:szCs w:val="20"/>
          <w:color w:val="auto"/>
        </w:rPr>
      </w:pPr>
      <w:r>
        <w:rPr>
          <w:rFonts w:ascii="Arial" w:cs="Arial" w:eastAsia="Arial" w:hAnsi="Arial"/>
          <w:sz w:val="18"/>
          <w:szCs w:val="18"/>
          <w:color w:val="auto"/>
        </w:rPr>
        <w:t>Our Neuromodulation segment designs, develops and markets Neuromodulation therapy for the treatment of drug-resistant epilepsy, DTD and obstructive sleep apnea. We are also developing and conducting clinical testing of the VITARIA System for treating heart failure through vagus nerve stimulation.</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Depression</w:t>
      </w:r>
    </w:p>
    <w:p>
      <w:pPr>
        <w:spacing w:after="0" w:line="117"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In February 2020, we announced a research collaboration with Verily, an Alphabet company, to capture measures of depression within our RECOVER clinical study. Through this initial research collaboration, LivaNova and Verily aim to gather quantitative data on patient behavior using technology and analytics developed by Verily to further understand depressive episodes and a patient’s response to treatment. RECOVER clinical sites will have the ability to offer patients the Verily Study Watch, a wearable device designed to capture physiological and environmental data for clinical research, and a Verily mobile phone application. These complementary approaches are expected to help investigators better understand the impact of depression and its treatment on study participants’ lives in a more objective and multi-dimensional manner.</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665" w:right="339" w:bottom="1440" w:gutter="0" w:footer="0" w:header="0"/>
        </w:sectPr>
      </w:pPr>
    </w:p>
    <w:bookmarkStart w:id="33" w:name="page34"/>
    <w:bookmarkEnd w:id="33"/>
    <w:p>
      <w:pPr>
        <w:ind w:firstLine="162"/>
        <w:spacing w:after="0" w:line="277" w:lineRule="auto"/>
        <w:rPr>
          <w:sz w:val="20"/>
          <w:szCs w:val="20"/>
          <w:color w:val="auto"/>
        </w:rPr>
      </w:pPr>
      <w:r>
        <w:rPr>
          <w:rFonts w:ascii="Arial" w:cs="Arial" w:eastAsia="Arial" w:hAnsi="Arial"/>
          <w:sz w:val="18"/>
          <w:szCs w:val="18"/>
          <w:color w:val="auto"/>
        </w:rPr>
        <w:t>In March 2020, our VNS Therapy System, Symmetry received CE mark approval for DTD. Two patients in the UK were implanted at the Musgrove Park Hospital in Taunton, England, making them the first patients to receive Symmetry devices outside the U.S.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 and Critical Accounting Estimates</w:t>
      </w:r>
    </w:p>
    <w:p>
      <w:pPr>
        <w:spacing w:after="0" w:line="110" w:lineRule="exact"/>
        <w:rPr>
          <w:sz w:val="20"/>
          <w:szCs w:val="20"/>
          <w:color w:val="auto"/>
        </w:rPr>
      </w:pPr>
    </w:p>
    <w:p>
      <w:pPr>
        <w:ind w:right="120" w:firstLine="162"/>
        <w:spacing w:after="0" w:line="263" w:lineRule="auto"/>
        <w:rPr>
          <w:sz w:val="20"/>
          <w:szCs w:val="20"/>
          <w:color w:val="auto"/>
        </w:rPr>
      </w:pPr>
      <w:r>
        <w:rPr>
          <w:rFonts w:ascii="Arial" w:cs="Arial" w:eastAsia="Arial" w:hAnsi="Arial"/>
          <w:sz w:val="18"/>
          <w:szCs w:val="18"/>
          <w:color w:val="auto"/>
        </w:rPr>
        <w:t>In addition to our critical accounting policies provided in “Part II, Item 7. Management’s Discussion and Analysis of Financial Condition and Results of Operations” included in our 2019 Form 10-K, refer to “Significant Accounting Policies” within “Note 1. Unaudited Condensed Consolidated Financial Statements” included in this Quarterly Report on Form 10-Q.</w:t>
      </w:r>
    </w:p>
    <w:p>
      <w:pPr>
        <w:spacing w:after="0" w:line="76" w:lineRule="exact"/>
        <w:rPr>
          <w:sz w:val="20"/>
          <w:szCs w:val="20"/>
          <w:color w:val="auto"/>
        </w:rPr>
      </w:pPr>
    </w:p>
    <w:p>
      <w:pPr>
        <w:ind w:right="740" w:firstLine="162"/>
        <w:spacing w:after="0" w:line="277" w:lineRule="auto"/>
        <w:rPr>
          <w:sz w:val="20"/>
          <w:szCs w:val="20"/>
          <w:color w:val="auto"/>
        </w:rPr>
      </w:pPr>
      <w:r>
        <w:rPr>
          <w:rFonts w:ascii="Arial" w:cs="Arial" w:eastAsia="Arial" w:hAnsi="Arial"/>
          <w:sz w:val="18"/>
          <w:szCs w:val="18"/>
          <w:color w:val="auto"/>
        </w:rPr>
        <w:t>The accompanying unaudited condensed consolidated financial statements of LivaNova and its consolidated subsidiaries have been prepared in accordance with U.S. GAAP on an interim basis.</w:t>
      </w:r>
    </w:p>
    <w:p>
      <w:pPr>
        <w:spacing w:after="0" w:line="62"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New accounting pronouncements are disclosed in “Note 17. New Accounting Pronouncements” contained in the condensed consolidated financial statements in this Quarterly Report on Form 10-Q.</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Other</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Brexit</w:t>
      </w:r>
    </w:p>
    <w:p>
      <w:pPr>
        <w:spacing w:after="0" w:line="117" w:lineRule="exact"/>
        <w:rPr>
          <w:sz w:val="20"/>
          <w:szCs w:val="20"/>
          <w:color w:val="auto"/>
        </w:rPr>
      </w:pPr>
    </w:p>
    <w:p>
      <w:pPr>
        <w:ind w:right="60" w:firstLine="162"/>
        <w:spacing w:after="0" w:line="293" w:lineRule="auto"/>
        <w:rPr>
          <w:sz w:val="20"/>
          <w:szCs w:val="20"/>
          <w:color w:val="auto"/>
        </w:rPr>
      </w:pPr>
      <w:r>
        <w:rPr>
          <w:rFonts w:ascii="Arial" w:cs="Arial" w:eastAsia="Arial" w:hAnsi="Arial"/>
          <w:sz w:val="16"/>
          <w:szCs w:val="16"/>
          <w:color w:val="auto"/>
        </w:rPr>
        <w:t>On January 31, 2020, the UK departed from the EU (in a move commonly referred to as “Brexit”), and the UK will now enter a transition period that is scheduled to end on December 31, 2020, unless requested to be extended before July 1, 2020. During the transition period, the UK will cease to be an EU member but the trading relationship will remain the same under the EU's rules. Although the long-term effects of Brexit will depend on any agreements the UK makes to retain access to the EU markets, Brexit has created additional uncertainties that may ultimately result in new regulatory costs and challenges for medical device companies and increased restrictions on imports and exports throughout Europe. This could adversely affect our ability to conduct and expand our operations in Europe and may have an adverse effect on our business, financial condition and results of operations.</w:t>
      </w:r>
    </w:p>
    <w:p>
      <w:pPr>
        <w:spacing w:after="0" w:line="56" w:lineRule="exact"/>
        <w:rPr>
          <w:sz w:val="20"/>
          <w:szCs w:val="20"/>
          <w:color w:val="auto"/>
        </w:rPr>
      </w:pPr>
    </w:p>
    <w:p>
      <w:pPr>
        <w:ind w:right="120" w:firstLine="162"/>
        <w:spacing w:after="0" w:line="296" w:lineRule="auto"/>
        <w:rPr>
          <w:sz w:val="20"/>
          <w:szCs w:val="20"/>
          <w:color w:val="auto"/>
        </w:rPr>
      </w:pPr>
      <w:r>
        <w:rPr>
          <w:rFonts w:ascii="Arial" w:cs="Arial" w:eastAsia="Arial" w:hAnsi="Arial"/>
          <w:sz w:val="16"/>
          <w:szCs w:val="16"/>
          <w:color w:val="auto"/>
        </w:rPr>
        <w:t>Passage of the withdrawal bill does not change the application of existing tax laws and does not establish a clear framework for what the ultimate outcome of the transition period will be. Various tax reliefs and exemptions that apply to transactions between EU Member States under existing tax laws may cease to apply to transactions between the UK and EU Member States when the transition period is over. It is unclear at this stage if or when any new tax treaties between the UK and the EU or individual EU Member States will replace those reliefs and exemptions. It is also unclear at this stage what financial, trade and legal implications will ensue from Brexit and how Brexit may ultimately affect us, our customers, suppliers, vendors, or our industry.</w:t>
      </w:r>
    </w:p>
    <w:p>
      <w:pPr>
        <w:spacing w:after="0" w:line="53"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We and several of our wholly owned subsidiaries that are domiciled either in the UK, various EU Member States, or in the U.S., are party to intercompany transactions and agreements under which we receive various tax reliefs and exemptions in accordance with applicable international tax laws, treaties and regulations. If certain treaties applicable to our transactions and agreements change materially, Brexit may have a material adverse impact on our future financial results and results of operations. We continue to monitor and assess the potential impact of this event and explore possible tax-planning strategies that may mitigate or eliminate potential adverse impacts.</w:t>
      </w:r>
    </w:p>
    <w:p>
      <w:pPr>
        <w:spacing w:after="0" w:line="80"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color w:val="auto"/>
        </w:rPr>
        <w:t>We will not account for the impact of Brexit in our income tax provisions until there are material changes in tax laws or treaties between the UK and other countries.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European Union State Aid Challenge</w:t>
      </w:r>
    </w:p>
    <w:p>
      <w:pPr>
        <w:spacing w:after="0" w:line="117" w:lineRule="exact"/>
        <w:rPr>
          <w:sz w:val="20"/>
          <w:szCs w:val="20"/>
          <w:color w:val="auto"/>
        </w:rPr>
      </w:pPr>
    </w:p>
    <w:p>
      <w:pPr>
        <w:ind w:right="140" w:firstLine="162"/>
        <w:spacing w:after="0" w:line="287" w:lineRule="auto"/>
        <w:rPr>
          <w:sz w:val="20"/>
          <w:szCs w:val="20"/>
          <w:color w:val="auto"/>
        </w:rPr>
      </w:pPr>
      <w:r>
        <w:rPr>
          <w:rFonts w:ascii="Arial" w:cs="Arial" w:eastAsia="Arial" w:hAnsi="Arial"/>
          <w:sz w:val="16"/>
          <w:szCs w:val="16"/>
          <w:color w:val="auto"/>
        </w:rPr>
        <w:t>On October 26, 2017, the European Commission (“EC”) announced that an investigation would be opened with respect to the UK’s controlled foreign company (“CFC”) rules for the period January 1, 2013 through December 31, 2018. Under the CFC rules, financing profits of entities controlled by UK parent companies are taxed when the funding originates in the UK, or Significant People Functions relating to the financing are located in the UK. The provisions under investigation provide group finance exemptions related to the profits of entities involved in financing of the non-UK group activities. On April 2, 2019, the EC concluded that “when financing income from a foreign group company, channeled through an offshore subsidiary, is financed with UK connected capital and there are no UK activities involved in generating the finance profits, the group finance exemption is justified and does not constitute State aid under EU rules.” However, in relation to Significant People Functions, “when financing income from a foreign group company, channeled through an offshore subsidiary, derives from UK activities, the group finance exemption is not justified and constitutes State aid under EU rules.” Her Majesty’s Revenue and Customs (“HMRC”) has stated that they do not consider the timing and form of the UK’s exit from the EU will have a practical impact on the requirement to recover the alleged aid. On June 14, 2019, the UK filed an appeal to the Commission’s decision. On July 5, 2019, HMRC began the first step in the recovery process to identify beneficiaries and sent letters asking for information.</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665" w:right="339" w:bottom="1440" w:gutter="0" w:footer="0" w:header="0"/>
        </w:sectPr>
      </w:pPr>
    </w:p>
    <w:bookmarkStart w:id="34" w:name="page35"/>
    <w:bookmarkEnd w:id="34"/>
    <w:p>
      <w:pPr>
        <w:ind w:right="20"/>
        <w:spacing w:after="0" w:line="259" w:lineRule="auto"/>
        <w:rPr>
          <w:sz w:val="20"/>
          <w:szCs w:val="20"/>
          <w:color w:val="auto"/>
        </w:rPr>
      </w:pPr>
      <w:r>
        <w:rPr>
          <w:rFonts w:ascii="Arial" w:cs="Arial" w:eastAsia="Arial" w:hAnsi="Arial"/>
          <w:sz w:val="18"/>
          <w:szCs w:val="18"/>
          <w:color w:val="auto"/>
        </w:rPr>
        <w:t>Based upon our assessment of the technical arguments as to whether the exemption is State aid, together with no UK activities involved in our financing, no uncertain tax position reserve has been recognized related to this matter. Furthermore, in December 2019, we amended our 2017 tax return filing to avail ourselves of different rules to determine UK taxation, which are not subject to the EU decision. We filed our 2018 tax return similarly, and therefore, we do not believe that the EU state aid decision will result in a material liability.</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condensed consolidated results of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242,397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250,801</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 - exclusive of amortization</w:t>
            </w:r>
          </w:p>
        </w:tc>
        <w:tc>
          <w:tcPr>
            <w:tcW w:w="2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84,254</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Product remediation</w:t>
            </w:r>
          </w:p>
        </w:tc>
        <w:tc>
          <w:tcPr>
            <w:tcW w:w="2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125,704</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35,902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43,575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2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2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9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9,316</w:t>
            </w:r>
          </w:p>
        </w:tc>
        <w:tc>
          <w:tcPr>
            <w:tcW w:w="0" w:type="dxa"/>
            <w:vAlign w:val="bottom"/>
          </w:tcPr>
          <w:p>
            <w:pPr>
              <w:spacing w:after="0"/>
              <w:rPr>
                <w:sz w:val="1"/>
                <w:szCs w:val="1"/>
                <w:color w:val="auto"/>
              </w:rPr>
            </w:pP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Operating income (loss) from continuing operations</w:t>
            </w:r>
          </w:p>
        </w:tc>
        <w:tc>
          <w:tcPr>
            <w:tcW w:w="2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(20,779)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29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37"/>
        </w:trPr>
        <w:tc>
          <w:tcPr>
            <w:tcW w:w="4820" w:type="dxa"/>
            <w:vAlign w:val="bottom"/>
          </w:tcPr>
          <w:p>
            <w:pPr>
              <w:ind w:left="180"/>
              <w:spacing w:after="0"/>
              <w:rPr>
                <w:sz w:val="20"/>
                <w:szCs w:val="20"/>
                <w:color w:val="auto"/>
              </w:rPr>
            </w:pPr>
            <w:r>
              <w:rPr>
                <w:rFonts w:ascii="Arial" w:cs="Arial" w:eastAsia="Arial" w:hAnsi="Arial"/>
                <w:sz w:val="18"/>
                <w:szCs w:val="18"/>
                <w:color w:val="auto"/>
              </w:rPr>
              <w:t>Loss from continuing operations before tax</w:t>
            </w:r>
          </w:p>
        </w:tc>
        <w:tc>
          <w:tcPr>
            <w:tcW w:w="2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(21,463)</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Losses from equity method investments</w:t>
            </w:r>
          </w:p>
        </w:tc>
        <w:tc>
          <w:tcPr>
            <w:tcW w:w="2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from continuing operations</w:t>
            </w:r>
          </w:p>
        </w:tc>
        <w:tc>
          <w:tcPr>
            <w:tcW w:w="2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(14,849)</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Net loss from discontinued operations, net of tax</w:t>
            </w:r>
          </w:p>
        </w:tc>
        <w:tc>
          <w:tcPr>
            <w:tcW w:w="2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37,583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1870"/>
              <w:spacing w:after="0"/>
              <w:rPr>
                <w:sz w:val="20"/>
                <w:szCs w:val="20"/>
                <w:color w:val="auto"/>
              </w:rPr>
            </w:pPr>
            <w:r>
              <w:rPr>
                <w:rFonts w:ascii="Arial" w:cs="Arial" w:eastAsia="Arial" w:hAnsi="Arial"/>
                <w:sz w:val="18"/>
                <w:szCs w:val="18"/>
                <w:color w:val="auto"/>
              </w:rPr>
              <w:t>35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8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Net Sales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net sales by operating segment and geographic region (in thousands, except for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80" w:type="dxa"/>
            <w:vAlign w:val="bottom"/>
            <w:gridSpan w:val="6"/>
          </w:tcPr>
          <w:p>
            <w:pPr>
              <w:ind w:left="1060"/>
              <w:spacing w:after="0"/>
              <w:rPr>
                <w:sz w:val="20"/>
                <w:szCs w:val="20"/>
                <w:color w:val="auto"/>
              </w:rPr>
            </w:pPr>
            <w:r>
              <w:rPr>
                <w:rFonts w:ascii="Arial" w:cs="Arial" w:eastAsia="Arial" w:hAnsi="Arial"/>
                <w:sz w:val="16"/>
                <w:szCs w:val="16"/>
                <w:b w:val="1"/>
                <w:bCs w:val="1"/>
                <w:color w:val="auto"/>
                <w:w w:val="97"/>
              </w:rPr>
              <w:t>Three Months Ended March 31,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62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Cardiopulmonary</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6200" w:type="dxa"/>
            <w:vAlign w:val="bottom"/>
          </w:tcPr>
          <w:p>
            <w:pPr>
              <w:ind w:left="50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34,234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35,561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45,275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46,886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116,367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121,570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Heart Valves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6200" w:type="dxa"/>
            <w:vAlign w:val="bottom"/>
          </w:tcPr>
          <w:p>
            <w:pPr>
              <w:ind w:left="500"/>
              <w:spacing w:after="0"/>
              <w:rPr>
                <w:sz w:val="20"/>
                <w:szCs w:val="20"/>
                <w:color w:val="auto"/>
              </w:rPr>
            </w:pPr>
            <w:r>
              <w:rPr>
                <w:rFonts w:ascii="Arial" w:cs="Arial" w:eastAsia="Arial" w:hAnsi="Arial"/>
                <w:sz w:val="18"/>
                <w:szCs w:val="18"/>
                <w:color w:val="auto"/>
              </w:rPr>
              <w:t>Rest of World</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12,309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10,804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25,673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6200" w:type="dxa"/>
            <w:vAlign w:val="bottom"/>
          </w:tcPr>
          <w:p>
            <w:pPr>
              <w:ind w:left="280"/>
              <w:spacing w:after="0"/>
              <w:rPr>
                <w:sz w:val="20"/>
                <w:szCs w:val="20"/>
                <w:color w:val="auto"/>
              </w:rPr>
            </w:pPr>
            <w:r>
              <w:rPr>
                <w:rFonts w:ascii="Arial" w:cs="Arial" w:eastAsia="Arial" w:hAnsi="Arial"/>
                <w:sz w:val="18"/>
                <w:szCs w:val="18"/>
                <w:b w:val="1"/>
                <w:bCs w:val="1"/>
                <w:color w:val="auto"/>
              </w:rPr>
              <w:t>Advanced Circulatory Support</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43"/>
        </w:trPr>
        <w:tc>
          <w:tcPr>
            <w:tcW w:w="6200" w:type="dxa"/>
            <w:vAlign w:val="bottom"/>
          </w:tcPr>
          <w:p>
            <w:pPr>
              <w:ind w:left="50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210.9 %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Cardiovascular</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50,307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51,512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57,629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57,786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152,069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155,491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Neuromodulation</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10,583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10,659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89,657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94,649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Totals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62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54,716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56,852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6200" w:type="dxa"/>
            <w:vAlign w:val="bottom"/>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242,397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250,801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right="240" w:hanging="328"/>
        <w:spacing w:after="0" w:line="293"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676" w:right="339" w:bottom="1440" w:gutter="0" w:footer="0" w:header="0"/>
        </w:sectPr>
      </w:pPr>
    </w:p>
    <w:bookmarkStart w:id="36" w:name="page37"/>
    <w:bookmarkEnd w:id="36"/>
    <w:p>
      <w:pPr>
        <w:ind w:left="180"/>
        <w:spacing w:after="0"/>
        <w:rPr>
          <w:sz w:val="20"/>
          <w:szCs w:val="20"/>
          <w:color w:val="auto"/>
        </w:rPr>
      </w:pPr>
      <w:r>
        <w:rPr>
          <w:rFonts w:ascii="Arial" w:cs="Arial" w:eastAsia="Arial" w:hAnsi="Arial"/>
          <w:sz w:val="18"/>
          <w:szCs w:val="18"/>
          <w:color w:val="auto"/>
        </w:rPr>
        <w:t>The table below presents segment income (loss) from continuing operations (in thousands, except for percentages):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20" w:type="dxa"/>
            <w:vAlign w:val="bottom"/>
            <w:gridSpan w:val="6"/>
          </w:tcPr>
          <w:p>
            <w:pPr>
              <w:ind w:left="940"/>
              <w:spacing w:after="0"/>
              <w:rPr>
                <w:sz w:val="20"/>
                <w:szCs w:val="20"/>
                <w:color w:val="auto"/>
              </w:rPr>
            </w:pPr>
            <w:r>
              <w:rPr>
                <w:rFonts w:ascii="Arial" w:cs="Arial" w:eastAsia="Arial" w:hAnsi="Arial"/>
                <w:sz w:val="18"/>
                <w:szCs w:val="18"/>
                <w:b w:val="1"/>
                <w:bCs w:val="1"/>
                <w:color w:val="auto"/>
                <w:w w:val="92"/>
              </w:rPr>
              <w:t>Three Months Ended March 31,</w:t>
            </w:r>
          </w:p>
        </w:tc>
        <w:tc>
          <w:tcPr>
            <w:tcW w:w="126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 Change</w:t>
            </w:r>
          </w:p>
        </w:tc>
      </w:tr>
      <w:tr>
        <w:trPr>
          <w:trHeight w:val="27"/>
        </w:trPr>
        <w:tc>
          <w:tcPr>
            <w:tcW w:w="6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777.8 %</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21,631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56.5 %</w:t>
            </w: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63"/>
        </w:trPr>
        <w:tc>
          <w:tcPr>
            <w:tcW w:w="6200" w:type="dxa"/>
            <w:vAlign w:val="bottom"/>
          </w:tcPr>
          <w:p>
            <w:pPr>
              <w:ind w:left="40"/>
              <w:spacing w:after="0" w:line="263" w:lineRule="exact"/>
              <w:rPr>
                <w:sz w:val="20"/>
                <w:szCs w:val="20"/>
                <w:color w:val="auto"/>
              </w:rPr>
            </w:pPr>
            <w:r>
              <w:rPr>
                <w:rFonts w:ascii="Arial" w:cs="Arial" w:eastAsia="Arial" w:hAnsi="Arial"/>
                <w:sz w:val="18"/>
                <w:szCs w:val="18"/>
                <w:color w:val="auto"/>
              </w:rPr>
              <w:t xml:space="preserve">Total reportable segment income (loss) from continuing operations </w:t>
            </w:r>
            <w:r>
              <w:rPr>
                <w:rFonts w:ascii="Arial" w:cs="Arial" w:eastAsia="Arial" w:hAnsi="Arial"/>
                <w:sz w:val="25"/>
                <w:szCs w:val="25"/>
                <w:color w:val="auto"/>
                <w:vertAlign w:val="superscript"/>
              </w:rPr>
              <w:t>(1)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15,929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(380.5)%</w:t>
            </w:r>
          </w:p>
        </w:tc>
      </w:tr>
      <w:tr>
        <w:trPr>
          <w:trHeight w:val="20"/>
        </w:trPr>
        <w:tc>
          <w:tcPr>
            <w:tcW w:w="6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line="29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6"/>
          <w:szCs w:val="16"/>
          <w:color w:val="auto"/>
        </w:rPr>
        <w:t>For a reconciliation of segment income (loss) from continuing operations to income (loss) from continuing operations before tax refer to “Note 15. Geographic and Segment Information” in the condensed consolidated financial statements in this Quarterly Report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Cardiovascular</w:t>
      </w:r>
    </w:p>
    <w:p>
      <w:pPr>
        <w:spacing w:after="0" w:line="110"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Cardiovascular net sales for the three months ended March 31, 2020 compared to the three months ended March 31, 2019 decreased 2.2%. The decline in net sales for the three month period was due to declines in Cardiopulmonary sales of 4.3%, partially offset by a $2.2 million increase in Advanced Circulatory Support sales due to deeper penetration of existing accounts with Protek Duo kits and increased sales of TandemLung respiratory support kits. Cardiopulmonary sales of $116.4 million were negatively impacted by declines in HLM sales and the impacts of foreign currency, partially offset by growth in oxygenator sales. Heart Valves sales of $25.2 million declined by $0.5 million due to the impacts of foreign currency, partially offset by increased sales resulting from the transition to direct sales that occurred in certain markets in the Rest of World region in the second half of 2019.</w:t>
      </w:r>
    </w:p>
    <w:p>
      <w:pPr>
        <w:spacing w:after="0" w:line="56"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Cardiovascular operating income for the three months ended March 31, 2020 compared to the three months ended March 31, 2019 increased primarily due to reduced legal costs associated with our 3T device and reduced product remediation expenses.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Neuromodulation</w:t>
      </w:r>
    </w:p>
    <w:p>
      <w:pPr>
        <w:spacing w:after="0" w:line="110" w:lineRule="exact"/>
        <w:rPr>
          <w:sz w:val="20"/>
          <w:szCs w:val="20"/>
          <w:color w:val="auto"/>
        </w:rPr>
      </w:pPr>
    </w:p>
    <w:p>
      <w:pPr>
        <w:ind w:right="260" w:firstLine="162"/>
        <w:spacing w:after="0" w:line="263" w:lineRule="auto"/>
        <w:rPr>
          <w:sz w:val="20"/>
          <w:szCs w:val="20"/>
          <w:color w:val="auto"/>
        </w:rPr>
      </w:pPr>
      <w:r>
        <w:rPr>
          <w:rFonts w:ascii="Arial" w:cs="Arial" w:eastAsia="Arial" w:hAnsi="Arial"/>
          <w:sz w:val="18"/>
          <w:szCs w:val="18"/>
          <w:color w:val="auto"/>
        </w:rPr>
        <w:t>Neuromodulation net sales for the three months ended March 31, 2020 compared to the three months ended March 31, 2019 decreased 5.3%. The decrease in net sales for the three month period was primarily due to declines in new patient implants globally as patients and physicians began delaying implant procedures during the second half of the quarter due to COVID-19.</w:t>
      </w:r>
    </w:p>
    <w:p>
      <w:pPr>
        <w:spacing w:after="0" w:line="143" w:lineRule="exact"/>
        <w:rPr>
          <w:sz w:val="20"/>
          <w:szCs w:val="20"/>
          <w:color w:val="auto"/>
        </w:rPr>
      </w:pPr>
    </w:p>
    <w:p>
      <w:pPr>
        <w:ind w:right="20" w:firstLine="162"/>
        <w:spacing w:after="0" w:line="263" w:lineRule="auto"/>
        <w:rPr>
          <w:sz w:val="20"/>
          <w:szCs w:val="20"/>
          <w:color w:val="auto"/>
        </w:rPr>
      </w:pPr>
      <w:r>
        <w:rPr>
          <w:rFonts w:ascii="Arial" w:cs="Arial" w:eastAsia="Arial" w:hAnsi="Arial"/>
          <w:sz w:val="18"/>
          <w:szCs w:val="18"/>
          <w:color w:val="auto"/>
        </w:rPr>
        <w:t>Neuromodulation operating income for the three months ended March 31, 2020 compared to the three months ended March 31, 2019 increased as declines in the U.S. and Rest of World revenues were more than offset by a $14.6 million reduction in the fair value of the contingent consideration liability associated with obstructive sleep apnea.</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Cost of Sales and Expenses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our comparative cost of sales and significant expenses as a percentage of sales: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80" w:type="dxa"/>
            <w:vAlign w:val="bottom"/>
            <w:gridSpan w:val="5"/>
          </w:tcPr>
          <w:p>
            <w:pPr>
              <w:ind w:left="380"/>
              <w:spacing w:after="0"/>
              <w:rPr>
                <w:sz w:val="20"/>
                <w:szCs w:val="20"/>
                <w:color w:val="auto"/>
              </w:rPr>
            </w:pPr>
            <w:r>
              <w:rPr>
                <w:rFonts w:ascii="Arial" w:cs="Arial" w:eastAsia="Arial" w:hAnsi="Arial"/>
                <w:sz w:val="18"/>
                <w:szCs w:val="18"/>
                <w:b w:val="1"/>
                <w:bCs w:val="1"/>
                <w:color w:val="auto"/>
                <w:w w:val="96"/>
              </w:rPr>
              <w:t>Three Months Ended March 31,</w:t>
            </w:r>
          </w:p>
        </w:tc>
        <w:tc>
          <w:tcPr>
            <w:tcW w:w="134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920" w:type="dxa"/>
            <w:vAlign w:val="bottom"/>
            <w:gridSpan w:val="2"/>
          </w:tcPr>
          <w:p>
            <w:pPr>
              <w:ind w:left="648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Change</w:t>
            </w:r>
          </w:p>
        </w:tc>
      </w:tr>
      <w:tr>
        <w:trPr>
          <w:trHeight w:val="27"/>
        </w:trPr>
        <w:tc>
          <w:tcPr>
            <w:tcW w:w="57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exclusive of amortization</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6920" w:type="dxa"/>
            <w:vAlign w:val="bottom"/>
            <w:gridSpan w:val="2"/>
          </w:tcPr>
          <w:p>
            <w:pPr>
              <w:ind w:left="40"/>
              <w:spacing w:after="0"/>
              <w:rPr>
                <w:sz w:val="20"/>
                <w:szCs w:val="20"/>
                <w:color w:val="auto"/>
              </w:rPr>
            </w:pPr>
            <w:r>
              <w:rPr>
                <w:rFonts w:ascii="Arial" w:cs="Arial" w:eastAsia="Arial" w:hAnsi="Arial"/>
                <w:sz w:val="18"/>
                <w:szCs w:val="18"/>
                <w:color w:val="auto"/>
              </w:rPr>
              <w:t>Product remediation</w:t>
            </w: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692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5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6920" w:type="dxa"/>
            <w:vAlign w:val="bottom"/>
            <w:gridSpan w:val="2"/>
          </w:tcPr>
          <w:p>
            <w:pPr>
              <w:ind w:left="40"/>
              <w:spacing w:after="0"/>
              <w:rPr>
                <w:sz w:val="20"/>
                <w:szCs w:val="20"/>
                <w:color w:val="auto"/>
              </w:rPr>
            </w:pPr>
            <w:r>
              <w:rPr>
                <w:rFonts w:ascii="Arial" w:cs="Arial" w:eastAsia="Arial" w:hAnsi="Arial"/>
                <w:sz w:val="18"/>
                <w:szCs w:val="18"/>
                <w:color w:val="auto"/>
              </w:rPr>
              <w:t>Restructuring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6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7"/>
        </w:trPr>
        <w:tc>
          <w:tcPr>
            <w:tcW w:w="57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Cost of Sales - Exclusive of Amortization</w:t>
      </w:r>
    </w:p>
    <w:p>
      <w:pPr>
        <w:spacing w:after="0" w:line="110" w:lineRule="exact"/>
        <w:rPr>
          <w:sz w:val="20"/>
          <w:szCs w:val="20"/>
          <w:color w:val="auto"/>
        </w:rPr>
      </w:pPr>
    </w:p>
    <w:p>
      <w:pPr>
        <w:ind w:right="100" w:firstLine="162"/>
        <w:spacing w:after="0" w:line="286" w:lineRule="auto"/>
        <w:rPr>
          <w:sz w:val="20"/>
          <w:szCs w:val="20"/>
          <w:color w:val="auto"/>
        </w:rPr>
      </w:pPr>
      <w:r>
        <w:rPr>
          <w:rFonts w:ascii="Arial" w:cs="Arial" w:eastAsia="Arial" w:hAnsi="Arial"/>
          <w:sz w:val="17"/>
          <w:szCs w:val="17"/>
          <w:color w:val="auto"/>
        </w:rPr>
        <w:t>Cost of sales consisted primarily of direct labor, allocated manufacturing overhead and the acquisition cost of raw materials and components. Cost of sales as a percentage of net sales for the three months ended March 31, 2020 compared to the three months ended March 31, 2019 decreased primarily due to the net impact of change in fair value of a sales-based contingent consideration arrangement of $14.8 million.</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t>Research and Development (“R&amp;D”) Expenses</w:t>
      </w:r>
    </w:p>
    <w:p>
      <w:pPr>
        <w:spacing w:after="0" w:line="11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R&amp;D expenses consist of product design and development efforts, clinical study programs and regulatory activities, which are essential to our strategic portfolio initiatives, including DTD, obstructive sleep apnea and heart failure. R&amp;D expenses as a percentage of net sales for the three months ended March 31, 2020 compared to the three months ended March 31, 2019 decreased primarily due to the net impact of changes in fair value of milestone-based contingent consideration arrangements of $11.9 million.</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Amortization of Intangibles</w:t>
      </w:r>
    </w:p>
    <w:p>
      <w:pPr>
        <w:spacing w:after="0" w:line="110" w:lineRule="exact"/>
        <w:rPr>
          <w:sz w:val="20"/>
          <w:szCs w:val="20"/>
          <w:color w:val="auto"/>
        </w:rPr>
      </w:pPr>
    </w:p>
    <w:p>
      <w:pPr>
        <w:jc w:val="both"/>
        <w:ind w:right="100" w:firstLine="162"/>
        <w:spacing w:after="0" w:line="277" w:lineRule="auto"/>
        <w:rPr>
          <w:sz w:val="20"/>
          <w:szCs w:val="20"/>
          <w:color w:val="auto"/>
        </w:rPr>
      </w:pPr>
      <w:r>
        <w:rPr>
          <w:rFonts w:ascii="Arial" w:cs="Arial" w:eastAsia="Arial" w:hAnsi="Arial"/>
          <w:sz w:val="18"/>
          <w:szCs w:val="18"/>
          <w:color w:val="auto"/>
        </w:rPr>
        <w:t>Amortization of intangible assets for the three months ended March 31, 2020 and 2019, consisted primarily of the amortization of finite-lived intangible assets, primarily intellectual property and customer relationships.</w:t>
      </w:r>
    </w:p>
    <w:p>
      <w:pPr>
        <w:spacing w:after="0" w:line="62" w:lineRule="exact"/>
        <w:rPr>
          <w:sz w:val="20"/>
          <w:szCs w:val="20"/>
          <w:color w:val="auto"/>
        </w:rPr>
      </w:pPr>
    </w:p>
    <w:p>
      <w:pPr>
        <w:jc w:val="both"/>
        <w:ind w:right="80" w:firstLine="162"/>
        <w:spacing w:after="0" w:line="263" w:lineRule="auto"/>
        <w:rPr>
          <w:sz w:val="20"/>
          <w:szCs w:val="20"/>
          <w:color w:val="auto"/>
        </w:rPr>
      </w:pPr>
      <w:r>
        <w:rPr>
          <w:rFonts w:ascii="Arial" w:cs="Arial" w:eastAsia="Arial" w:hAnsi="Arial"/>
          <w:sz w:val="18"/>
          <w:szCs w:val="18"/>
          <w:color w:val="auto"/>
        </w:rPr>
        <w:t>Amortization of intangibles increased for the three months ended March 31, 2020 compared to the three months ended March 31, 2019 primarily due to reclassifying the Advanced Circulatory Support IPR&amp;D asset to developed technology upon receiving FDA approval of the LifeSPARC system during the third quarter of 2019 and commencing amortization.</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jc w:val="both"/>
        <w:ind w:right="220"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and the changes in tax laws, our consolidated effective income tax rate may vary substantially from one reporting period to another.</w:t>
      </w:r>
    </w:p>
    <w:p>
      <w:pPr>
        <w:spacing w:after="0" w:line="79"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Our effective income tax rate from continuing operations for the three months ended March 31, 2020 was 744.4% compared with 30.8% for the three months ended March 31, 2019.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79" w:lineRule="exact"/>
        <w:rPr>
          <w:sz w:val="20"/>
          <w:szCs w:val="20"/>
          <w:color w:val="auto"/>
        </w:rPr>
      </w:pPr>
    </w:p>
    <w:p>
      <w:pPr>
        <w:ind w:right="80" w:firstLine="162"/>
        <w:spacing w:after="0" w:line="311" w:lineRule="auto"/>
        <w:rPr>
          <w:sz w:val="20"/>
          <w:szCs w:val="20"/>
          <w:color w:val="auto"/>
        </w:rPr>
      </w:pPr>
      <w:r>
        <w:rPr>
          <w:rFonts w:ascii="Arial" w:cs="Arial" w:eastAsia="Arial" w:hAnsi="Arial"/>
          <w:sz w:val="16"/>
          <w:szCs w:val="16"/>
          <w:color w:val="auto"/>
        </w:rPr>
        <w:t>Compared with the three months ended March 31, 2019, the change in the effective tax rate for the three months ended March 31, 2020 was primarily attributable to a realized discrete tax benefit of $41.3 million related to the Coronavirus Aid, Relief, and Economic Security Act (“CARES Act”) as compared to the realized benefit from discrete tax items, including the release of an uncertain tax position, during the three months ended March 31, 2019.</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16" w:lineRule="exact"/>
        <w:rPr>
          <w:sz w:val="20"/>
          <w:szCs w:val="20"/>
          <w:color w:val="auto"/>
        </w:rPr>
      </w:pPr>
    </w:p>
    <w:p>
      <w:pPr>
        <w:ind w:right="120" w:firstLine="162"/>
        <w:spacing w:after="0" w:line="269" w:lineRule="auto"/>
        <w:rPr>
          <w:sz w:val="20"/>
          <w:szCs w:val="20"/>
          <w:color w:val="auto"/>
        </w:rPr>
      </w:pPr>
      <w:r>
        <w:rPr>
          <w:rFonts w:ascii="Arial" w:cs="Arial" w:eastAsia="Arial" w:hAnsi="Arial"/>
          <w:sz w:val="17"/>
          <w:szCs w:val="17"/>
          <w:color w:val="auto"/>
        </w:rPr>
        <w:t>The consolidated financial statements have been prepared on the basis that LivaNova will continue as a going concern. As discussed in “Note 1. Unaudited Condensed Consolidated Financial Statements,” the Company has experienced and may continue to experience significant and unpredictable reductions in the demand for our products as healthcare customers divert medical resources and priorities towards the treatment of COVID-19. In connection with our assessment of going concern considerations in accordance with ASU 2014-15, the Company determined that a projected reduction in sales during the second quarter of 2020 would result in our inability to comply with certain debt covenants as of the end of the second and fourth quarters of 2020, which represents a condition that raises substantial doubt about our ability to continue as a going concern within one year after the date that these condensed consolidated financial statements are available to be issued. In April 2020, the Company entered into amendments that modified the maximum consolidated net debt to EBITDA and the interest coverage ratio covenants in its debt agreements for the remainder of 2020. The Company also implemented cost-cutting measures, including reduced hiring, marketing, travel, capital expenditures and certain research and development activities. Management has concluded that the amendments to modify the covenants in its debt agreements, when combined with current and anticipated future operating cash flows, alleviates the substantial doubt about the Company’s ability to continue as a going concern over the twelve-month period from the issuance date of these condensed consolidated financial statements.</w:t>
      </w:r>
    </w:p>
    <w:p>
      <w:pPr>
        <w:spacing w:after="0" w:line="71"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Based on our current business plan and future mitigating actions, we believe that our existing cash and cash equivalents, future cash generated from operations and borrowing under our current debt facilities will be sufficient to fund our expected operating needs, working capital requirements, R&amp;D opportunities, capital expenditures, and debt service requirements over the twelve-month period beginning from the issuance date of these condensed consolidated financial statements. Our liquidity could be adversely impacted by the factors affecting future operating results, including those referred to in “Part II, Item 1A. Risk Factors” in the 2019 Form 10-K as supplemented by the factors referred to in “Part II, Item 1A, Risk Factors” in this Quarterly Report on Form 10-Q.</w:t>
      </w:r>
    </w:p>
    <w:p>
      <w:pPr>
        <w:spacing w:after="0" w:line="84" w:lineRule="exact"/>
        <w:rPr>
          <w:sz w:val="20"/>
          <w:szCs w:val="20"/>
          <w:color w:val="auto"/>
        </w:rPr>
      </w:pPr>
    </w:p>
    <w:p>
      <w:pPr>
        <w:ind w:right="320" w:firstLine="207"/>
        <w:spacing w:after="0" w:line="277" w:lineRule="auto"/>
        <w:rPr>
          <w:sz w:val="20"/>
          <w:szCs w:val="20"/>
          <w:color w:val="auto"/>
        </w:rPr>
      </w:pPr>
      <w:r>
        <w:rPr>
          <w:rFonts w:ascii="Arial" w:cs="Arial" w:eastAsia="Arial" w:hAnsi="Arial"/>
          <w:sz w:val="18"/>
          <w:szCs w:val="18"/>
          <w:color w:val="auto"/>
        </w:rPr>
        <w:t>Refer to “Note 8. Financing Arrangements” in the condensed consolidated financial statements in this Quarterly Report on Form 10-Q for additional information regarding our debt.</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676" w:right="359" w:bottom="1440" w:gutter="0" w:footer="0" w:header="0"/>
        </w:sectPr>
      </w:pPr>
    </w:p>
    <w:bookmarkStart w:id="38" w:name="page39"/>
    <w:bookmarkEnd w:id="38"/>
    <w:p>
      <w:pPr>
        <w:ind w:right="80" w:firstLine="162"/>
        <w:spacing w:after="0" w:line="259" w:lineRule="auto"/>
        <w:rPr>
          <w:sz w:val="20"/>
          <w:szCs w:val="20"/>
          <w:color w:val="auto"/>
        </w:rPr>
      </w:pPr>
      <w:r>
        <w:rPr>
          <w:rFonts w:ascii="Arial" w:cs="Arial" w:eastAsia="Arial" w:hAnsi="Arial"/>
          <w:sz w:val="18"/>
          <w:szCs w:val="18"/>
          <w:color w:val="auto"/>
        </w:rPr>
        <w:t>No provision has been made for income taxes on unremitted earnings of our foreign controlled subsidiaries (non-UK subsidiaries) as of March 31, 2020. In the event of the distribution of those earnings in the form of dividends, a sale of the subsidiaries or certain other transactions, we may be liable for income taxes. However, the tax liability on future distributions should not be significant as most jurisdictions with unremitted earnings have various participation exemptions or no withholding tax.</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Cash Flows</w:t>
      </w:r>
    </w:p>
    <w:p>
      <w:pPr>
        <w:spacing w:after="0" w:line="110"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decrease in the balance of cash and cash equivalents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(5,641)</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64,686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used in operating activities during the three months ended March 31, 2020 increased by $108.0 million as compared to the same prior-year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is primarily due to $115.6 million in 3T litigation settlement payments made during the three months ended March 31, 2020.</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10" w:lineRule="exact"/>
        <w:rPr>
          <w:sz w:val="20"/>
          <w:szCs w:val="20"/>
          <w:color w:val="auto"/>
        </w:rPr>
      </w:pPr>
    </w:p>
    <w:p>
      <w:pPr>
        <w:jc w:val="both"/>
        <w:ind w:right="240" w:firstLine="162"/>
        <w:spacing w:after="0" w:line="342" w:lineRule="auto"/>
        <w:rPr>
          <w:sz w:val="20"/>
          <w:szCs w:val="20"/>
          <w:color w:val="auto"/>
        </w:rPr>
      </w:pPr>
      <w:r>
        <w:rPr>
          <w:rFonts w:ascii="Arial" w:cs="Arial" w:eastAsia="Arial" w:hAnsi="Arial"/>
          <w:sz w:val="16"/>
          <w:szCs w:val="16"/>
          <w:color w:val="auto"/>
        </w:rPr>
        <w:t>Cash used in investing activities during the three months ended March 31, 2020 increased $5.4 million as compared to the same prior-year period. The increase is primarily due to the purchase of an investment for $3.0 million and an increase in purchases of property, plant and equipment of $2.9 million.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10" w:lineRule="exact"/>
        <w:rPr>
          <w:sz w:val="20"/>
          <w:szCs w:val="20"/>
          <w:color w:val="auto"/>
        </w:rPr>
      </w:pPr>
    </w:p>
    <w:p>
      <w:pPr>
        <w:ind w:firstLine="162"/>
        <w:spacing w:after="0" w:line="263" w:lineRule="auto"/>
        <w:rPr>
          <w:sz w:val="20"/>
          <w:szCs w:val="20"/>
          <w:color w:val="auto"/>
        </w:rPr>
      </w:pPr>
      <w:r>
        <w:rPr>
          <w:rFonts w:ascii="Arial" w:cs="Arial" w:eastAsia="Arial" w:hAnsi="Arial"/>
          <w:sz w:val="18"/>
          <w:szCs w:val="18"/>
          <w:color w:val="auto"/>
        </w:rPr>
        <w:t>Cash provided by financing activities during the three months ended March 31, 2020 increased $175.5 million as compared to the same prior-year period. The increase is primarily due to an increase in net borrowings of $189.6 million, offset by a closing adjustment payment for the sale of our former CRM business of $14.9 million.</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Off-Balance Sheet Arrangements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March 31, 2020, we did not have any off-balance sheet arrangements.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Contractual Obligations</w:t>
      </w:r>
    </w:p>
    <w:p>
      <w:pPr>
        <w:spacing w:after="0" w:line="110"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We had no material changes in our contractual commitments and obligations from amounts listed under “Part II, Item 7. Management’s Discussion and Analysis of Financial Condition and Results of Operations - Liquidity and Capital Resources” in our 2019 Form 10-K.</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125" w:lineRule="exact"/>
        <w:rPr>
          <w:sz w:val="20"/>
          <w:szCs w:val="20"/>
          <w:color w:val="auto"/>
        </w:rPr>
      </w:pPr>
    </w:p>
    <w:p>
      <w:pPr>
        <w:jc w:val="both"/>
        <w:ind w:right="320" w:firstLine="162"/>
        <w:spacing w:after="0" w:line="286" w:lineRule="auto"/>
        <w:rPr>
          <w:sz w:val="20"/>
          <w:szCs w:val="20"/>
          <w:color w:val="auto"/>
        </w:rPr>
      </w:pPr>
      <w:r>
        <w:rPr>
          <w:rFonts w:ascii="Arial" w:cs="Arial" w:eastAsia="Arial" w:hAnsi="Arial"/>
          <w:sz w:val="16"/>
          <w:szCs w:val="16"/>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this Quarterly Report on Form 10-Q in “Part I, Note 9. Derivatives and Risk Management,” “Part I, Item 2.</w:t>
      </w:r>
    </w:p>
    <w:p>
      <w:pPr>
        <w:spacing w:after="0" w:line="1"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Management’s Discussion and Analysis of Financial Conditions and Results of Operations” and “Part II, Item 1A. Risk Factors,” and in our 2019 Form 10-K in “Part II, Item 7. Management’s Discussion and Analysis of Financial Condition and Results of Operations” and “Part I, Item 1A. Risk Factors.” There have been no material changes from the information provided therein.</w:t>
      </w: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665"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March 31, 2020.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117" w:lineRule="exact"/>
        <w:rPr>
          <w:sz w:val="20"/>
          <w:szCs w:val="20"/>
          <w:color w:val="auto"/>
        </w:rPr>
      </w:pPr>
    </w:p>
    <w:p>
      <w:pPr>
        <w:ind w:right="440" w:firstLine="162"/>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15d-5(f) under the Exchange Act) occurred during the quarter ended March 31, 2020 that has materially affected, or is reasonably likely to materially affect, our internal control over financial reporting.</w:t>
      </w: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666" w:right="37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PART II. 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125"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For a description of our material pending legal and regulatory proceedings and settlements, refer to “Note 10. Commitments and Contingencies” in our condensed consolidated financial statements included in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125" w:lineRule="exact"/>
        <w:rPr>
          <w:sz w:val="20"/>
          <w:szCs w:val="20"/>
          <w:color w:val="auto"/>
        </w:rPr>
      </w:pPr>
    </w:p>
    <w:p>
      <w:pPr>
        <w:ind w:right="300" w:firstLine="162"/>
        <w:spacing w:after="0" w:line="263" w:lineRule="auto"/>
        <w:rPr>
          <w:sz w:val="20"/>
          <w:szCs w:val="20"/>
          <w:color w:val="auto"/>
        </w:rPr>
      </w:pPr>
      <w:r>
        <w:rPr>
          <w:rFonts w:ascii="Arial" w:cs="Arial" w:eastAsia="Arial" w:hAnsi="Arial"/>
          <w:sz w:val="18"/>
          <w:szCs w:val="18"/>
          <w:color w:val="auto"/>
        </w:rPr>
        <w:t>There have been no material changes in our risk factors from those disclosed in Part I, Item 1A to our 2019 Annual Report on Form 10-K, except as noted below. The risk factors disclosed in Part I, Item 1A to our 2019 Annual Report on Form 10-K, in addition to the other information set forth in this report, could materially affect our business, financial condition, or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financial position and liquidity are, and may continue to be, adversely affected by the COVID-19 outbreak.</w:t>
      </w:r>
    </w:p>
    <w:p>
      <w:pPr>
        <w:spacing w:after="0" w:line="158" w:lineRule="exact"/>
        <w:rPr>
          <w:sz w:val="20"/>
          <w:szCs w:val="20"/>
          <w:color w:val="auto"/>
        </w:rPr>
      </w:pPr>
    </w:p>
    <w:p>
      <w:pPr>
        <w:ind w:right="300" w:firstLine="162"/>
        <w:spacing w:after="0" w:line="290" w:lineRule="auto"/>
        <w:rPr>
          <w:sz w:val="20"/>
          <w:szCs w:val="20"/>
          <w:color w:val="auto"/>
        </w:rPr>
      </w:pPr>
      <w:r>
        <w:rPr>
          <w:rFonts w:ascii="Arial" w:cs="Arial" w:eastAsia="Arial" w:hAnsi="Arial"/>
          <w:sz w:val="16"/>
          <w:szCs w:val="16"/>
          <w:color w:val="auto"/>
        </w:rPr>
        <w:t>Our business, financial position and liquidity are, and may continue to be, adversely affected by the effects of a widespread outbreak of a respiratory illness caused by a novel coronavirus (COVID-19) first identified in China in December 2019. In January 2020, the virus spread to other countries, including the United States, and in March, the World Health Organization characterized the COVID-19 outbreak as a pandemic. The outbreak and any preventative or protective actions that governments or we may take in respect of COVID-19 will result in an uncertain period of business disruption, reduced customer traffic and reduced operations. The virus will have a negative impact on our near-term financial results as a result of the deferral of elective surgeries, pressure on our liquidity measures, and slowdown in patient enrollment in clinical trials such as RECOVER. The extent to which the virus impacts our long-term results will depend on future developments, which are highly uncertain and cannot be predicted, including new information which may emerge concerning the severity and duration of COVID-19 and the actions to contain the virus or treat its impact, among others.</w:t>
      </w:r>
    </w:p>
    <w:p>
      <w:pPr>
        <w:spacing w:after="0" w:line="57"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Per “Recent Developments Regarding COVID-19” within “Note 1. Unaudited Condensed Consolidated Financial Statements” and “COVID-19” under “Item 2. Management’s Discussion and Analysis of Financial Condition and Results of Operations,” the recent COVID-19 pandemic has impacted our business operations, sales and operating results for the first quarter of 2020. In the last two weeks of the quarter ended March 31, 2020, we experienced a significant decline in volumes in the U.S. and Europe, as healthcare systems diverted resources to meet the increasing demands of managing COVID-19. In addition, public health bodies have recommended delaying elective surgeries during the COVID-19 pandemic, which may continue to negatively impact the usage of our products, including the number of Neuromodulation procedures.</w:t>
      </w:r>
    </w:p>
    <w:p>
      <w:pPr>
        <w:spacing w:after="0" w:line="70" w:lineRule="exact"/>
        <w:rPr>
          <w:sz w:val="20"/>
          <w:szCs w:val="20"/>
          <w:color w:val="auto"/>
        </w:rPr>
      </w:pPr>
    </w:p>
    <w:p>
      <w:pPr>
        <w:ind w:right="100" w:firstLine="162"/>
        <w:spacing w:after="0" w:line="263" w:lineRule="auto"/>
        <w:rPr>
          <w:sz w:val="20"/>
          <w:szCs w:val="20"/>
          <w:color w:val="auto"/>
        </w:rPr>
      </w:pPr>
      <w:r>
        <w:rPr>
          <w:rFonts w:ascii="Arial" w:cs="Arial" w:eastAsia="Arial" w:hAnsi="Arial"/>
          <w:sz w:val="18"/>
          <w:szCs w:val="18"/>
          <w:color w:val="auto"/>
        </w:rPr>
        <w:t>We expect our sales and operating results for the second quarter of 2020 will be materially adversely impacted. While we currently expect to see stabilization in the third quarter of 2020 as elective surgeries are rescheduled and a recovery in the fourth quarter on a global basis, further cancellations or delays could materially adversely impact our business, results of operations and overall financial performance.</w:t>
      </w:r>
    </w:p>
    <w:p>
      <w:pPr>
        <w:spacing w:after="0" w:line="76" w:lineRule="exact"/>
        <w:rPr>
          <w:sz w:val="20"/>
          <w:szCs w:val="20"/>
          <w:color w:val="auto"/>
        </w:rPr>
      </w:pPr>
    </w:p>
    <w:p>
      <w:pPr>
        <w:ind w:right="80" w:firstLine="162"/>
        <w:spacing w:after="0" w:line="254" w:lineRule="auto"/>
        <w:rPr>
          <w:sz w:val="20"/>
          <w:szCs w:val="20"/>
          <w:color w:val="auto"/>
        </w:rPr>
      </w:pPr>
      <w:r>
        <w:rPr>
          <w:rFonts w:ascii="Arial" w:cs="Arial" w:eastAsia="Arial" w:hAnsi="Arial"/>
          <w:sz w:val="18"/>
          <w:szCs w:val="18"/>
          <w:color w:val="auto"/>
        </w:rPr>
        <w:t>As we noted in Part I, Item 1A to our 2019 Annual Report on Form 10-K, COVID-19 could include disruptions or restrictions on our ability to distribute our products, as well as temporary closures of our facilities or the facilities of our suppliers or customers. At the end of February, for example, we temporarily closed a small administrative office in Milan, Italy and we continue to monitor the rapidly evolving situation. While we have not closed our manufacturing plants around the world, we have restricted access to production-critical employees only, encouraging the vast majority of our employees to work remotely. Regardless, there can be no assurance that any of our facilities will not need to shut down in the future. Also, while we work closely with our suppliers to ensure continuity of supply while maintaining high quality and reliability, the supply of components, raw materials and services may be interrupted or insufficient as a direct result of the COVID-19 outbreak. Any disruption of our operations or those of our suppliers could impact our sales and operating results.</w:t>
      </w:r>
    </w:p>
    <w:p>
      <w:pPr>
        <w:spacing w:after="0" w:line="84"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The COVID-19 outbreak and the effects on the financial markets may materially and adversely affect our access to capital and cost of capital, including our ability to raise funds through equity or debt financings. We continue to evaluate potential sources of additional funds to strengthen our liquidity position and promote financial resiliency. There is no guarantee that we will be available in the future to obtain debt or equity financings to fund our obligations, or that any such financings will be on terms consistent with our expectations and past practice.</w:t>
      </w:r>
    </w:p>
    <w:p>
      <w:pPr>
        <w:spacing w:after="0" w:line="79"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While senior management is continuously monitoring the situation, such a significant outbreak of contagious diseases in the human population has already resulted in a widespread health crisis. It has adversely affected the economies and financial markets of many countries, resulting in an economic downturn that could affect demand for our products and likely impact our operating results for an uncertain period of time. For more information on the impact of COVID-19 on the Company and LivaNova’s mitigation measures, please refer to “Recent Developments Regarding COVID-19” within “Note 1. Unaudited</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666" w:right="339" w:bottom="1440" w:gutter="0" w:footer="0" w:header="0"/>
        </w:sectPr>
      </w:pPr>
    </w:p>
    <w:bookmarkStart w:id="41" w:name="page42"/>
    <w:bookmarkEnd w:id="41"/>
    <w:p>
      <w:pPr>
        <w:ind w:right="160"/>
        <w:spacing w:after="0" w:line="277" w:lineRule="auto"/>
        <w:rPr>
          <w:sz w:val="20"/>
          <w:szCs w:val="20"/>
          <w:color w:val="auto"/>
        </w:rPr>
      </w:pPr>
      <w:r>
        <w:rPr>
          <w:rFonts w:ascii="Arial" w:cs="Arial" w:eastAsia="Arial" w:hAnsi="Arial"/>
          <w:sz w:val="18"/>
          <w:szCs w:val="18"/>
          <w:color w:val="auto"/>
        </w:rPr>
        <w:t>Condensed Consolidated Financial Statements,” “COVID-19” under “Item 2. Management’s Discussion and Analysis of Financial Condition and Results of Operations,” and Part I, Item 1A to our 2019 Annual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Pursuant to Section 13(r) of the Exchange Act of 1934</w:t>
      </w:r>
    </w:p>
    <w:p>
      <w:pPr>
        <w:spacing w:after="0" w:line="116" w:lineRule="exact"/>
        <w:rPr>
          <w:sz w:val="20"/>
          <w:szCs w:val="20"/>
          <w:color w:val="auto"/>
        </w:rPr>
      </w:pPr>
    </w:p>
    <w:p>
      <w:pPr>
        <w:ind w:right="40" w:firstLine="162"/>
        <w:spacing w:after="0" w:line="286" w:lineRule="auto"/>
        <w:rPr>
          <w:sz w:val="20"/>
          <w:szCs w:val="20"/>
          <w:color w:val="auto"/>
        </w:rPr>
      </w:pPr>
      <w:r>
        <w:rPr>
          <w:rFonts w:ascii="Arial" w:cs="Arial" w:eastAsia="Arial" w:hAnsi="Arial"/>
          <w:sz w:val="17"/>
          <w:szCs w:val="17"/>
          <w:color w:val="auto"/>
        </w:rPr>
        <w:t>Section 13(r) of the Exchange Act requires issuers to disclose in their quarterly reports certain types of dealings with Iran, including transactions or dealing with government-owned entities, even when those activities are lawful and do not involve U.S. persons. Two of our non-U.S. subsidiaries currently sell medical devices, including cardiac surgery and cardiopulmonary products, to privately held distributors in Iran.</w:t>
      </w:r>
    </w:p>
    <w:p>
      <w:pPr>
        <w:spacing w:after="0" w:line="5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have limited visibility into the identity of these distributors’ customers in Iran. It is possible that their customers include entities, such as government-owned hospitals or sub-distributors, that are owned or controlled directly or indirectly by the Iranian government. To the best of our knowledge at this time, we do not have any contracts or commercial arrangements with the Iranian government.</w:t>
      </w:r>
    </w:p>
    <w:p>
      <w:pPr>
        <w:spacing w:after="0" w:line="76"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Our gross revenues and net profits attributable to the above-mentioned Iranian activities were $0.5 million and $0.2 million for the three months ended March 31, 2020, respectively.</w:t>
      </w:r>
    </w:p>
    <w:p>
      <w:pPr>
        <w:spacing w:after="0" w:line="62"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We believe our activities are consistent with applicable law, including U.S., EU, and other applicable sanctions laws, though such laws are complex and continue to evolve rapidly. We intend to continue our business in Iran.</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665" w:right="35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125" w:lineRule="exact"/>
        <w:rPr>
          <w:sz w:val="20"/>
          <w:szCs w:val="20"/>
          <w:color w:val="auto"/>
        </w:rPr>
      </w:pPr>
    </w:p>
    <w:p>
      <w:pPr>
        <w:jc w:val="both"/>
        <w:ind w:right="500" w:firstLine="162"/>
        <w:spacing w:after="0" w:line="263" w:lineRule="auto"/>
        <w:rPr>
          <w:sz w:val="20"/>
          <w:szCs w:val="20"/>
          <w:color w:val="auto"/>
        </w:rPr>
      </w:pPr>
      <w:r>
        <w:rPr>
          <w:rFonts w:ascii="Arial" w:cs="Arial" w:eastAsia="Arial" w:hAnsi="Arial"/>
          <w:sz w:val="18"/>
          <w:szCs w:val="18"/>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042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0" w:type="dxa"/>
            <w:vAlign w:val="bottom"/>
            <w:shd w:val="clear" w:color="auto" w:fill="CCEEFF"/>
          </w:tcPr>
          <w:p>
            <w:pPr>
              <w:ind w:left="40"/>
              <w:spacing w:after="0"/>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3.1</w:t>
              </w:r>
            </w:hyperlink>
          </w:p>
        </w:tc>
        <w:tc>
          <w:tcPr>
            <w:tcW w:w="104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Amended Articles of Association, incorporated by reference to Exhibit 3.1 of the Company’s Current Report on Form 8-K, filed on June 15,</w:t>
            </w:r>
          </w:p>
        </w:tc>
        <w:tc>
          <w:tcPr>
            <w:tcW w:w="0" w:type="dxa"/>
            <w:vAlign w:val="bottom"/>
          </w:tcPr>
          <w:p>
            <w:pPr>
              <w:spacing w:after="0"/>
              <w:rPr>
                <w:sz w:val="1"/>
                <w:szCs w:val="1"/>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10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43"/>
        </w:trPr>
        <w:tc>
          <w:tcPr>
            <w:tcW w:w="820" w:type="dxa"/>
            <w:vAlign w:val="bottom"/>
          </w:tcPr>
          <w:p>
            <w:pPr>
              <w:ind w:left="4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31.1*</w:t>
              </w:r>
            </w:hyperlink>
          </w:p>
        </w:tc>
        <w:tc>
          <w:tcPr>
            <w:tcW w:w="10420" w:type="dxa"/>
            <w:vAlign w:val="bottom"/>
          </w:tcPr>
          <w:p>
            <w:pPr>
              <w:ind w:left="120"/>
              <w:spacing w:after="0"/>
              <w:rPr>
                <w:sz w:val="20"/>
                <w:szCs w:val="20"/>
                <w:color w:val="auto"/>
              </w:rPr>
            </w:pPr>
            <w:r>
              <w:rPr>
                <w:rFonts w:ascii="Arial" w:cs="Arial" w:eastAsia="Arial" w:hAnsi="Arial"/>
                <w:sz w:val="18"/>
                <w:szCs w:val="18"/>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0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31.2*</w:t>
              </w:r>
            </w:hyperlink>
          </w:p>
        </w:tc>
        <w:tc>
          <w:tcPr>
            <w:tcW w:w="10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229"/>
        </w:trPr>
        <w:tc>
          <w:tcPr>
            <w:tcW w:w="820" w:type="dxa"/>
            <w:vAlign w:val="bottom"/>
          </w:tcPr>
          <w:p>
            <w:pPr>
              <w:ind w:left="4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32.1*</w:t>
              </w:r>
            </w:hyperlink>
          </w:p>
        </w:tc>
        <w:tc>
          <w:tcPr>
            <w:tcW w:w="10420" w:type="dxa"/>
            <w:vAlign w:val="bottom"/>
          </w:tcPr>
          <w:p>
            <w:pPr>
              <w:ind w:left="120"/>
              <w:spacing w:after="0"/>
              <w:rPr>
                <w:sz w:val="20"/>
                <w:szCs w:val="20"/>
                <w:color w:val="auto"/>
              </w:rPr>
            </w:pPr>
            <w:r>
              <w:rPr>
                <w:rFonts w:ascii="Arial" w:cs="Arial" w:eastAsia="Arial" w:hAnsi="Arial"/>
                <w:sz w:val="18"/>
                <w:szCs w:val="18"/>
                <w:color w:val="auto"/>
                <w:w w:val="93"/>
              </w:rPr>
              <w:t>Certification of the Chief Executive Officer and Chief Financial Officer of LivaNova PLC pursuant to Section 906 of the Sarbanes-Oxley Act</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0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104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Interactive Data Files Pursuant to Rule 405 of Regulation S-T formatted in Inline XBRL: (i) the Condensed Consolidated Statements of</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10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for the three months ended March 31, 2020 and March 31, 2019, (ii) the Condensed Consolidated Statements of</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104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Comprehensive Income (Loss) for the three months ended March 31, 2020 and March 31, 2019, (iii) the Condensed Consolidated Balance</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104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Sheet as of March 31, 2020 and December 31, 2019, (iv) the Condensed Consolidated Statements of Cash Flows for the three months ended</w:t>
            </w:r>
          </w:p>
        </w:tc>
        <w:tc>
          <w:tcPr>
            <w:tcW w:w="0" w:type="dxa"/>
            <w:vAlign w:val="bottom"/>
          </w:tcPr>
          <w:p>
            <w:pPr>
              <w:spacing w:after="0"/>
              <w:rPr>
                <w:sz w:val="1"/>
                <w:szCs w:val="1"/>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10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March 31, 2020 and March 31, 2019, and (vi) the Notes to the Condensed Consolidated Financial Statements</w:t>
            </w:r>
          </w:p>
        </w:tc>
        <w:tc>
          <w:tcPr>
            <w:tcW w:w="0" w:type="dxa"/>
            <w:vAlign w:val="bottom"/>
          </w:tcPr>
          <w:p>
            <w:pPr>
              <w:spacing w:after="0"/>
              <w:rPr>
                <w:sz w:val="1"/>
                <w:szCs w:val="1"/>
                <w:color w:val="auto"/>
              </w:rPr>
            </w:pPr>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color w:val="auto"/>
              </w:rPr>
              <w:t>104*</w:t>
            </w:r>
          </w:p>
        </w:tc>
        <w:tc>
          <w:tcPr>
            <w:tcW w:w="10420" w:type="dxa"/>
            <w:vAlign w:val="bottom"/>
          </w:tcPr>
          <w:p>
            <w:pPr>
              <w:ind w:left="1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459"/>
        </w:trPr>
        <w:tc>
          <w:tcPr>
            <w:tcW w:w="820" w:type="dxa"/>
            <w:vAlign w:val="bottom"/>
          </w:tcPr>
          <w:p>
            <w:pPr>
              <w:spacing w:after="0"/>
              <w:rPr>
                <w:sz w:val="24"/>
                <w:szCs w:val="24"/>
                <w:color w:val="auto"/>
              </w:rPr>
            </w:pPr>
          </w:p>
        </w:tc>
        <w:tc>
          <w:tcPr>
            <w:tcW w:w="10420" w:type="dxa"/>
            <w:vAlign w:val="bottom"/>
          </w:tcPr>
          <w:p>
            <w:pPr>
              <w:ind w:left="48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ectPr>
          <w:pgSz w:w="11900" w:h="16838" w:orient="portrait"/>
          <w:cols w:equalWidth="0" w:num="1">
            <w:col w:w="11240"/>
          </w:cols>
          <w:pgMar w:left="320" w:top="666" w:right="339" w:bottom="1440" w:gutter="0" w:footer="0" w:header="0"/>
        </w:sectPr>
      </w:pPr>
    </w:p>
    <w:bookmarkStart w:id="43" w:name="page44"/>
    <w:bookmarkEnd w:id="43"/>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40"/>
        <w:spacing w:after="0"/>
        <w:tabs>
          <w:tab w:leader="none" w:pos="1980" w:val="left"/>
          <w:tab w:leader="none" w:pos="2640" w:val="left"/>
        </w:tabs>
        <w:rPr>
          <w:sz w:val="20"/>
          <w:szCs w:val="20"/>
          <w:color w:val="auto"/>
        </w:rPr>
      </w:pPr>
      <w:r>
        <w:rPr>
          <w:rFonts w:ascii="Arial" w:cs="Arial" w:eastAsia="Arial" w:hAnsi="Arial"/>
          <w:sz w:val="18"/>
          <w:szCs w:val="18"/>
          <w:color w:val="auto"/>
        </w:rPr>
        <w:t>Date: April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31750</wp:posOffset>
            </wp:positionV>
            <wp:extent cx="4286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5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(Principal Executive Officer)</w:t>
      </w:r>
    </w:p>
    <w:p>
      <w:pPr>
        <w:spacing w:after="0" w:line="320"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40"/>
        <w:spacing w:after="0"/>
        <w:tabs>
          <w:tab w:leader="none" w:pos="1980" w:val="left"/>
          <w:tab w:leader="none" w:pos="2640" w:val="left"/>
        </w:tabs>
        <w:rPr>
          <w:sz w:val="20"/>
          <w:szCs w:val="20"/>
          <w:color w:val="auto"/>
        </w:rPr>
      </w:pPr>
      <w:r>
        <w:rPr>
          <w:rFonts w:ascii="Arial" w:cs="Arial" w:eastAsia="Arial" w:hAnsi="Arial"/>
          <w:sz w:val="18"/>
          <w:szCs w:val="18"/>
          <w:color w:val="auto"/>
        </w:rPr>
        <w:t>Date: April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31750</wp:posOffset>
            </wp:positionV>
            <wp:extent cx="4286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5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(Principal Financial Officer)</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440"/>
          </w:cols>
          <w:pgMar w:left="320" w:top="661" w:right="11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7" w:lineRule="exact"/>
        <w:rPr>
          <w:sz w:val="20"/>
          <w:szCs w:val="20"/>
          <w:color w:val="auto"/>
        </w:rPr>
      </w:pPr>
    </w:p>
    <w:p>
      <w:pPr>
        <w:ind w:firstLine="332"/>
        <w:spacing w:after="0" w:line="277" w:lineRule="auto"/>
        <w:tabs>
          <w:tab w:leader="none" w:pos="6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2020 of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63"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3" w:lineRule="auto"/>
        <w:tabs>
          <w:tab w:leader="none" w:pos="5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firstLine="332"/>
        <w:spacing w:after="0" w:line="263"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332"/>
        <w:spacing w:after="0" w:line="263" w:lineRule="auto"/>
        <w:tabs>
          <w:tab w:leader="none" w:pos="6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332"/>
        <w:spacing w:after="0" w:line="277"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3" w:lineRule="auto"/>
        <w:tabs>
          <w:tab w:leader="none" w:pos="6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20" w:firstLine="332"/>
        <w:spacing w:after="0" w:line="308" w:lineRule="auto"/>
        <w:tabs>
          <w:tab w:leader="none" w:pos="55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0" w:firstLine="332"/>
        <w:spacing w:after="0" w:line="277" w:lineRule="auto"/>
        <w:tabs>
          <w:tab w:leader="none" w:pos="6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April 30, 2020</w:t>
      </w:r>
    </w:p>
    <w:p>
      <w:pPr>
        <w:spacing w:after="0" w:line="32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31750</wp:posOffset>
            </wp:positionV>
            <wp:extent cx="3385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0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Thad Huston, certify that:</w:t>
      </w:r>
    </w:p>
    <w:p>
      <w:pPr>
        <w:spacing w:after="0" w:line="117" w:lineRule="exact"/>
        <w:rPr>
          <w:sz w:val="20"/>
          <w:szCs w:val="20"/>
          <w:color w:val="auto"/>
        </w:rPr>
      </w:pPr>
    </w:p>
    <w:p>
      <w:pPr>
        <w:ind w:firstLine="332"/>
        <w:spacing w:after="0" w:line="277" w:lineRule="auto"/>
        <w:tabs>
          <w:tab w:leader="none" w:pos="6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2020 of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63"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3" w:lineRule="auto"/>
        <w:tabs>
          <w:tab w:leader="none" w:pos="5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firstLine="332"/>
        <w:spacing w:after="0" w:line="263"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332"/>
        <w:spacing w:after="0" w:line="263" w:lineRule="auto"/>
        <w:tabs>
          <w:tab w:leader="none" w:pos="6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332"/>
        <w:spacing w:after="0" w:line="277"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3" w:lineRule="auto"/>
        <w:tabs>
          <w:tab w:leader="none" w:pos="6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20" w:firstLine="332"/>
        <w:spacing w:after="0" w:line="308" w:lineRule="auto"/>
        <w:tabs>
          <w:tab w:leader="none" w:pos="5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0" w:firstLine="332"/>
        <w:spacing w:after="0" w:line="277" w:lineRule="auto"/>
        <w:tabs>
          <w:tab w:leader="none" w:pos="6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April 30, 2020</w:t>
      </w:r>
    </w:p>
    <w:p>
      <w:pPr>
        <w:spacing w:after="0" w:line="38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31750</wp:posOffset>
            </wp:positionV>
            <wp:extent cx="33858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71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of Damien McDonald, Chief Executive Officer of LivaNova PLC (the “Company”), and Thad Huston, Chief Financial Officer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each hereby certifies pursuant to 18 U.S.C. Section 1350, as adopted pursuant to Section 906 of the Sarbanes-Oxley Act of 2002, that to the best of his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306" w:lineRule="exact"/>
        <w:rPr>
          <w:sz w:val="20"/>
          <w:szCs w:val="20"/>
          <w:color w:val="auto"/>
        </w:rPr>
      </w:pPr>
    </w:p>
    <w:p>
      <w:pPr>
        <w:jc w:val="both"/>
        <w:ind w:firstLine="548"/>
        <w:spacing w:after="0" w:line="483" w:lineRule="auto"/>
        <w:tabs>
          <w:tab w:leader="none" w:pos="8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and its consolidated subsidiaries for the quarter ended March 31, 2020, as filed with the Securities and Exchange Commission on the date hereof (the “Report”),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840" w:hanging="292"/>
        <w:spacing w:after="0"/>
        <w:tabs>
          <w:tab w:leader="none" w:pos="8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April 30, 2020</w:t>
            </w:r>
          </w:p>
        </w:tc>
        <w:tc>
          <w:tcPr>
            <w:tcW w:w="5620" w:type="dxa"/>
            <w:vAlign w:val="bottom"/>
          </w:tcPr>
          <w:p>
            <w:pPr>
              <w:ind w:left="40"/>
              <w:spacing w:after="0"/>
              <w:rPr>
                <w:sz w:val="20"/>
                <w:szCs w:val="20"/>
                <w:color w:val="auto"/>
              </w:rPr>
            </w:pPr>
            <w:r>
              <w:rPr>
                <w:rFonts w:ascii="Arial" w:cs="Arial" w:eastAsia="Arial" w:hAnsi="Arial"/>
                <w:sz w:val="18"/>
                <w:szCs w:val="18"/>
                <w:color w:val="auto"/>
              </w:rPr>
              <w:t>/s/ DAMIEN MCDONALD</w:t>
            </w:r>
          </w:p>
        </w:tc>
      </w:tr>
      <w:tr>
        <w:trPr>
          <w:trHeight w:val="27"/>
        </w:trPr>
        <w:tc>
          <w:tcPr>
            <w:tcW w:w="558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Damien McDonald</w:t>
            </w:r>
          </w:p>
        </w:tc>
      </w:tr>
      <w:tr>
        <w:trPr>
          <w:trHeight w:val="270"/>
        </w:trPr>
        <w:tc>
          <w:tcPr>
            <w:tcW w:w="5580" w:type="dxa"/>
            <w:vAlign w:val="bottom"/>
          </w:tcPr>
          <w:p>
            <w:pPr>
              <w:spacing w:after="0"/>
              <w:rPr>
                <w:sz w:val="23"/>
                <w:szCs w:val="23"/>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5580" w:type="dxa"/>
            <w:vAlign w:val="bottom"/>
          </w:tcPr>
          <w:p>
            <w:pPr>
              <w:spacing w:after="0"/>
              <w:rPr>
                <w:sz w:val="23"/>
                <w:szCs w:val="23"/>
                <w:color w:val="auto"/>
              </w:rPr>
            </w:pPr>
          </w:p>
        </w:tc>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567"/>
        </w:trPr>
        <w:tc>
          <w:tcPr>
            <w:tcW w:w="5580" w:type="dxa"/>
            <w:vAlign w:val="bottom"/>
          </w:tcPr>
          <w:p>
            <w:pPr>
              <w:spacing w:after="0"/>
              <w:rPr>
                <w:sz w:val="20"/>
                <w:szCs w:val="20"/>
                <w:color w:val="auto"/>
              </w:rPr>
            </w:pPr>
            <w:r>
              <w:rPr>
                <w:rFonts w:ascii="Arial" w:cs="Arial" w:eastAsia="Arial" w:hAnsi="Arial"/>
                <w:sz w:val="18"/>
                <w:szCs w:val="18"/>
                <w:color w:val="auto"/>
              </w:rPr>
              <w:t>Date: April 30, 2020</w:t>
            </w:r>
          </w:p>
        </w:tc>
        <w:tc>
          <w:tcPr>
            <w:tcW w:w="5620" w:type="dxa"/>
            <w:vAlign w:val="bottom"/>
          </w:tcPr>
          <w:p>
            <w:pPr>
              <w:ind w:left="40"/>
              <w:spacing w:after="0"/>
              <w:rPr>
                <w:sz w:val="20"/>
                <w:szCs w:val="20"/>
                <w:color w:val="auto"/>
              </w:rPr>
            </w:pPr>
            <w:r>
              <w:rPr>
                <w:rFonts w:ascii="Arial" w:cs="Arial" w:eastAsia="Arial" w:hAnsi="Arial"/>
                <w:sz w:val="18"/>
                <w:szCs w:val="18"/>
                <w:color w:val="auto"/>
              </w:rPr>
              <w:t>/s/ THAD HUSTON</w:t>
            </w:r>
          </w:p>
        </w:tc>
      </w:tr>
      <w:tr>
        <w:trPr>
          <w:trHeight w:val="27"/>
        </w:trPr>
        <w:tc>
          <w:tcPr>
            <w:tcW w:w="558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Thad Huston</w:t>
            </w:r>
          </w:p>
        </w:tc>
      </w:tr>
      <w:tr>
        <w:trPr>
          <w:trHeight w:val="270"/>
        </w:trPr>
        <w:tc>
          <w:tcPr>
            <w:tcW w:w="5580" w:type="dxa"/>
            <w:vAlign w:val="bottom"/>
          </w:tcPr>
          <w:p>
            <w:pPr>
              <w:spacing w:after="0"/>
              <w:rPr>
                <w:sz w:val="23"/>
                <w:szCs w:val="23"/>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5580" w:type="dxa"/>
            <w:vAlign w:val="bottom"/>
          </w:tcPr>
          <w:p>
            <w:pPr>
              <w:spacing w:after="0"/>
              <w:rPr>
                <w:sz w:val="23"/>
                <w:szCs w:val="23"/>
                <w:color w:val="auto"/>
              </w:rPr>
            </w:pPr>
          </w:p>
        </w:tc>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40"/>
      </w:cols>
      <w:pgMar w:left="320" w:top="6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decimal"/>
      <w:start w:val="5"/>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decimal"/>
      <w:start w:val="5"/>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3" Type="http://schemas.openxmlformats.org/officeDocument/2006/relationships/hyperlink" Target="http://www.sec.gov/Archives/edgar/data/1639691/000163969117000060/exhibit31livanovaarticles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2020-04-30T15:21:03Z</dcterms:created>
  <dcterms:modified xsi:type="dcterms:W3CDTF">2020-04-30T15:21:03Z</dcterms:modified>
</cp:coreProperties>
</file>