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334645</wp:posOffset>
            </wp:positionV>
            <wp:extent cx="7287260" cy="40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7260" cy="40640"/>
                    </a:xfrm>
                    <a:prstGeom prst="rect">
                      <a:avLst/>
                    </a:prstGeom>
                    <a:noFill/>
                  </pic:spPr>
                </pic:pic>
              </a:graphicData>
            </a:graphic>
          </wp:anchor>
        </w:drawing>
        <w:t>UNITED STATES</w:t>
      </w:r>
    </w:p>
    <w:p>
      <w:pPr>
        <w:spacing w:after="0" w:line="24" w:lineRule="exact"/>
        <w:rPr>
          <w:sz w:val="24"/>
          <w:szCs w:val="24"/>
          <w:color w:val="auto"/>
        </w:rPr>
      </w:pPr>
    </w:p>
    <w:p>
      <w:pPr>
        <w:jc w:val="center"/>
        <w:ind w:right="-3"/>
        <w:spacing w:after="0"/>
        <w:rPr>
          <w:sz w:val="20"/>
          <w:szCs w:val="20"/>
          <w:color w:val="auto"/>
        </w:rPr>
      </w:pPr>
      <w:r>
        <w:rPr>
          <w:rFonts w:ascii="Arial" w:cs="Arial" w:eastAsia="Arial" w:hAnsi="Arial"/>
          <w:sz w:val="16"/>
          <w:szCs w:val="16"/>
          <w:b w:val="1"/>
          <w:bCs w:val="1"/>
          <w:color w:val="auto"/>
        </w:rPr>
        <w:t>SECURITIES AND EXCHANGE COMMISSION</w:t>
      </w:r>
    </w:p>
    <w:p>
      <w:pPr>
        <w:spacing w:after="0" w:line="8" w:lineRule="exact"/>
        <w:rPr>
          <w:sz w:val="24"/>
          <w:szCs w:val="24"/>
          <w:color w:val="auto"/>
        </w:rPr>
      </w:pPr>
    </w:p>
    <w:p>
      <w:pPr>
        <w:jc w:val="center"/>
        <w:ind w:right="-3"/>
        <w:spacing w:after="0"/>
        <w:rPr>
          <w:sz w:val="20"/>
          <w:szCs w:val="20"/>
          <w:color w:val="auto"/>
        </w:rPr>
      </w:pPr>
      <w:r>
        <w:rPr>
          <w:rFonts w:ascii="Arial" w:cs="Arial" w:eastAsia="Arial" w:hAnsi="Arial"/>
          <w:sz w:val="16"/>
          <w:szCs w:val="16"/>
          <w:b w:val="1"/>
          <w:bCs w:val="1"/>
          <w:color w:val="auto"/>
        </w:rPr>
        <w:t>WASHINGTON, D.C. 20549</w:t>
      </w:r>
    </w:p>
    <w:p>
      <w:pPr>
        <w:spacing w:after="0" w:line="183" w:lineRule="exact"/>
        <w:rPr>
          <w:sz w:val="24"/>
          <w:szCs w:val="24"/>
          <w:color w:val="auto"/>
        </w:rPr>
      </w:pPr>
    </w:p>
    <w:p>
      <w:pPr>
        <w:jc w:val="center"/>
        <w:ind w:right="-3"/>
        <w:spacing w:after="0"/>
        <w:rPr>
          <w:sz w:val="20"/>
          <w:szCs w:val="20"/>
          <w:color w:val="auto"/>
        </w:rPr>
      </w:pPr>
      <w:r>
        <w:rPr>
          <w:rFonts w:ascii="Arial" w:cs="Arial" w:eastAsia="Arial" w:hAnsi="Arial"/>
          <w:sz w:val="16"/>
          <w:szCs w:val="16"/>
          <w:b w:val="1"/>
          <w:bCs w:val="1"/>
          <w:color w:val="auto"/>
        </w:rPr>
        <w:t>FORM 8-K</w:t>
      </w:r>
    </w:p>
    <w:p>
      <w:pPr>
        <w:spacing w:after="0" w:line="199" w:lineRule="exact"/>
        <w:rPr>
          <w:sz w:val="24"/>
          <w:szCs w:val="24"/>
          <w:color w:val="auto"/>
        </w:rPr>
      </w:pPr>
    </w:p>
    <w:p>
      <w:pPr>
        <w:jc w:val="center"/>
        <w:ind w:right="-3"/>
        <w:spacing w:after="0"/>
        <w:rPr>
          <w:sz w:val="20"/>
          <w:szCs w:val="20"/>
          <w:color w:val="auto"/>
        </w:rPr>
      </w:pPr>
      <w:r>
        <w:rPr>
          <w:rFonts w:ascii="Arial" w:cs="Arial" w:eastAsia="Arial" w:hAnsi="Arial"/>
          <w:sz w:val="16"/>
          <w:szCs w:val="16"/>
          <w:b w:val="1"/>
          <w:bCs w:val="1"/>
          <w:color w:val="auto"/>
        </w:rPr>
        <w:t>CURRENT REPORT</w:t>
      </w:r>
    </w:p>
    <w:p>
      <w:pPr>
        <w:spacing w:after="0" w:line="199" w:lineRule="exact"/>
        <w:rPr>
          <w:sz w:val="24"/>
          <w:szCs w:val="24"/>
          <w:color w:val="auto"/>
        </w:rPr>
      </w:pPr>
    </w:p>
    <w:p>
      <w:pPr>
        <w:jc w:val="center"/>
        <w:ind w:right="-3"/>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03" w:lineRule="exact"/>
        <w:rPr>
          <w:sz w:val="24"/>
          <w:szCs w:val="24"/>
          <w:color w:val="auto"/>
        </w:rPr>
      </w:pPr>
    </w:p>
    <w:p>
      <w:pPr>
        <w:jc w:val="center"/>
        <w:ind w:right="-3"/>
        <w:spacing w:after="0"/>
        <w:rPr>
          <w:sz w:val="20"/>
          <w:szCs w:val="20"/>
          <w:color w:val="auto"/>
        </w:rPr>
      </w:pPr>
      <w:r>
        <w:rPr>
          <w:rFonts w:ascii="Arial" w:cs="Arial" w:eastAsia="Arial" w:hAnsi="Arial"/>
          <w:sz w:val="16"/>
          <w:szCs w:val="16"/>
          <w:color w:val="auto"/>
        </w:rPr>
        <w:t>Date of Report (Date of earliest event reported): February 27,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2980690</wp:posOffset>
            </wp:positionH>
            <wp:positionV relativeFrom="paragraph">
              <wp:posOffset>134620</wp:posOffset>
            </wp:positionV>
            <wp:extent cx="1308100" cy="410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08100" cy="410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jc w:val="center"/>
        <w:ind w:right="-3"/>
        <w:spacing w:after="0"/>
        <w:rPr>
          <w:sz w:val="20"/>
          <w:szCs w:val="20"/>
          <w:color w:val="auto"/>
        </w:rPr>
      </w:pPr>
      <w:r>
        <w:rPr>
          <w:rFonts w:ascii="Arial" w:cs="Arial" w:eastAsia="Arial" w:hAnsi="Arial"/>
          <w:sz w:val="16"/>
          <w:szCs w:val="16"/>
          <w:b w:val="1"/>
          <w:bCs w:val="1"/>
          <w:color w:val="auto"/>
        </w:rPr>
        <w:t>LivaNova PLC</w:t>
      </w:r>
    </w:p>
    <w:p>
      <w:pPr>
        <w:spacing w:after="0" w:line="24" w:lineRule="exact"/>
        <w:rPr>
          <w:sz w:val="24"/>
          <w:szCs w:val="24"/>
          <w:color w:val="auto"/>
        </w:rPr>
      </w:pPr>
    </w:p>
    <w:p>
      <w:pPr>
        <w:jc w:val="center"/>
        <w:ind w:right="-3"/>
        <w:spacing w:after="0"/>
        <w:rPr>
          <w:sz w:val="20"/>
          <w:szCs w:val="20"/>
          <w:color w:val="auto"/>
        </w:rPr>
      </w:pPr>
      <w:r>
        <w:rPr>
          <w:rFonts w:ascii="Arial" w:cs="Arial" w:eastAsia="Arial" w:hAnsi="Arial"/>
          <w:sz w:val="16"/>
          <w:szCs w:val="16"/>
          <w:color w:val="auto"/>
        </w:rPr>
        <w:t>(Exact Name of Registrant as Specified in its Charter)</w:t>
      </w:r>
    </w:p>
    <w:p>
      <w:pPr>
        <w:spacing w:after="0" w:line="326" w:lineRule="exact"/>
        <w:rPr>
          <w:sz w:val="24"/>
          <w:szCs w:val="24"/>
          <w:color w:val="auto"/>
        </w:rPr>
      </w:pPr>
    </w:p>
    <w:tbl>
      <w:tblPr>
        <w:tblLayout w:type="fixed"/>
        <w:tblInd w:w="964" w:type="dxa"/>
        <w:tblCellMar>
          <w:top w:w="0" w:type="dxa"/>
          <w:left w:w="0" w:type="dxa"/>
          <w:bottom w:w="0" w:type="dxa"/>
          <w:right w:w="0" w:type="dxa"/>
        </w:tblCellMar>
      </w:tblPr>
      <w:tr>
        <w:trPr>
          <w:trHeight w:val="196"/>
        </w:trPr>
        <w:tc>
          <w:tcPr>
            <w:tcW w:w="2200" w:type="dxa"/>
            <w:vAlign w:val="bottom"/>
          </w:tcPr>
          <w:p>
            <w:pPr>
              <w:jc w:val="center"/>
              <w:ind w:right="400"/>
              <w:spacing w:after="0"/>
              <w:rPr>
                <w:sz w:val="20"/>
                <w:szCs w:val="20"/>
                <w:color w:val="auto"/>
              </w:rPr>
            </w:pPr>
            <w:r>
              <w:rPr>
                <w:rFonts w:ascii="Arial" w:cs="Arial" w:eastAsia="Arial" w:hAnsi="Arial"/>
                <w:sz w:val="16"/>
                <w:szCs w:val="16"/>
                <w:b w:val="1"/>
                <w:bCs w:val="1"/>
                <w:color w:val="auto"/>
                <w:w w:val="89"/>
              </w:rPr>
              <w:t>England and Wales</w:t>
            </w:r>
          </w:p>
        </w:tc>
        <w:tc>
          <w:tcPr>
            <w:tcW w:w="5260" w:type="dxa"/>
            <w:vAlign w:val="bottom"/>
          </w:tcPr>
          <w:p>
            <w:pPr>
              <w:jc w:val="center"/>
              <w:ind w:right="40"/>
              <w:spacing w:after="0"/>
              <w:rPr>
                <w:sz w:val="20"/>
                <w:szCs w:val="20"/>
                <w:color w:val="auto"/>
              </w:rPr>
            </w:pPr>
            <w:r>
              <w:rPr>
                <w:rFonts w:ascii="Arial" w:cs="Arial" w:eastAsia="Arial" w:hAnsi="Arial"/>
                <w:sz w:val="16"/>
                <w:szCs w:val="16"/>
                <w:b w:val="1"/>
                <w:bCs w:val="1"/>
                <w:color w:val="auto"/>
                <w:w w:val="91"/>
              </w:rPr>
              <w:t>001-37599</w:t>
            </w:r>
          </w:p>
        </w:tc>
        <w:tc>
          <w:tcPr>
            <w:tcW w:w="1780" w:type="dxa"/>
            <w:vAlign w:val="bottom"/>
          </w:tcPr>
          <w:p>
            <w:pPr>
              <w:jc w:val="center"/>
              <w:ind w:left="520"/>
              <w:spacing w:after="0"/>
              <w:rPr>
                <w:sz w:val="20"/>
                <w:szCs w:val="20"/>
                <w:color w:val="auto"/>
              </w:rPr>
            </w:pPr>
            <w:r>
              <w:rPr>
                <w:rFonts w:ascii="Arial" w:cs="Arial" w:eastAsia="Arial" w:hAnsi="Arial"/>
                <w:sz w:val="16"/>
                <w:szCs w:val="16"/>
                <w:b w:val="1"/>
                <w:bCs w:val="1"/>
                <w:color w:val="auto"/>
                <w:w w:val="91"/>
              </w:rPr>
              <w:t>98-1268150</w:t>
            </w:r>
          </w:p>
        </w:tc>
      </w:tr>
      <w:tr>
        <w:trPr>
          <w:trHeight w:val="192"/>
        </w:trPr>
        <w:tc>
          <w:tcPr>
            <w:tcW w:w="2200" w:type="dxa"/>
            <w:vAlign w:val="bottom"/>
          </w:tcPr>
          <w:p>
            <w:pPr>
              <w:jc w:val="center"/>
              <w:ind w:right="380"/>
              <w:spacing w:after="0"/>
              <w:rPr>
                <w:sz w:val="20"/>
                <w:szCs w:val="20"/>
                <w:color w:val="auto"/>
              </w:rPr>
            </w:pPr>
            <w:r>
              <w:rPr>
                <w:rFonts w:ascii="Arial" w:cs="Arial" w:eastAsia="Arial" w:hAnsi="Arial"/>
                <w:sz w:val="16"/>
                <w:szCs w:val="16"/>
                <w:color w:val="auto"/>
                <w:w w:val="91"/>
              </w:rPr>
              <w:t>(State or Other Jurisdiction</w:t>
            </w:r>
          </w:p>
        </w:tc>
        <w:tc>
          <w:tcPr>
            <w:tcW w:w="5260" w:type="dxa"/>
            <w:vAlign w:val="bottom"/>
          </w:tcPr>
          <w:p>
            <w:pPr>
              <w:jc w:val="center"/>
              <w:ind w:right="40"/>
              <w:spacing w:after="0"/>
              <w:rPr>
                <w:sz w:val="20"/>
                <w:szCs w:val="20"/>
                <w:color w:val="auto"/>
              </w:rPr>
            </w:pPr>
            <w:r>
              <w:rPr>
                <w:rFonts w:ascii="Arial" w:cs="Arial" w:eastAsia="Arial" w:hAnsi="Arial"/>
                <w:sz w:val="16"/>
                <w:szCs w:val="16"/>
                <w:color w:val="auto"/>
                <w:w w:val="92"/>
              </w:rPr>
              <w:t>(Commission</w:t>
            </w:r>
          </w:p>
        </w:tc>
        <w:tc>
          <w:tcPr>
            <w:tcW w:w="1780" w:type="dxa"/>
            <w:vAlign w:val="bottom"/>
          </w:tcPr>
          <w:p>
            <w:pPr>
              <w:jc w:val="center"/>
              <w:ind w:left="520"/>
              <w:spacing w:after="0"/>
              <w:rPr>
                <w:sz w:val="20"/>
                <w:szCs w:val="20"/>
                <w:color w:val="auto"/>
              </w:rPr>
            </w:pPr>
            <w:r>
              <w:rPr>
                <w:rFonts w:ascii="Arial" w:cs="Arial" w:eastAsia="Arial" w:hAnsi="Arial"/>
                <w:sz w:val="16"/>
                <w:szCs w:val="16"/>
                <w:color w:val="auto"/>
                <w:w w:val="94"/>
              </w:rPr>
              <w:t>(IRS Employer</w:t>
            </w:r>
          </w:p>
        </w:tc>
      </w:tr>
      <w:tr>
        <w:trPr>
          <w:trHeight w:val="204"/>
        </w:trPr>
        <w:tc>
          <w:tcPr>
            <w:tcW w:w="2200" w:type="dxa"/>
            <w:vAlign w:val="bottom"/>
          </w:tcPr>
          <w:p>
            <w:pPr>
              <w:jc w:val="center"/>
              <w:ind w:right="340"/>
              <w:spacing w:after="0"/>
              <w:rPr>
                <w:sz w:val="20"/>
                <w:szCs w:val="20"/>
                <w:color w:val="auto"/>
              </w:rPr>
            </w:pPr>
            <w:r>
              <w:rPr>
                <w:rFonts w:ascii="Arial" w:cs="Arial" w:eastAsia="Arial" w:hAnsi="Arial"/>
                <w:sz w:val="16"/>
                <w:szCs w:val="16"/>
                <w:color w:val="auto"/>
                <w:w w:val="94"/>
              </w:rPr>
              <w:t>of Incorporation)</w:t>
            </w:r>
          </w:p>
        </w:tc>
        <w:tc>
          <w:tcPr>
            <w:tcW w:w="5260" w:type="dxa"/>
            <w:vAlign w:val="bottom"/>
          </w:tcPr>
          <w:p>
            <w:pPr>
              <w:jc w:val="center"/>
              <w:ind w:right="40"/>
              <w:spacing w:after="0"/>
              <w:rPr>
                <w:sz w:val="20"/>
                <w:szCs w:val="20"/>
                <w:color w:val="auto"/>
              </w:rPr>
            </w:pPr>
            <w:r>
              <w:rPr>
                <w:rFonts w:ascii="Arial" w:cs="Arial" w:eastAsia="Arial" w:hAnsi="Arial"/>
                <w:sz w:val="16"/>
                <w:szCs w:val="16"/>
                <w:color w:val="auto"/>
                <w:w w:val="92"/>
              </w:rPr>
              <w:t>File Number)</w:t>
            </w:r>
          </w:p>
        </w:tc>
        <w:tc>
          <w:tcPr>
            <w:tcW w:w="1780" w:type="dxa"/>
            <w:vAlign w:val="bottom"/>
          </w:tcPr>
          <w:p>
            <w:pPr>
              <w:jc w:val="center"/>
              <w:ind w:left="520"/>
              <w:spacing w:after="0"/>
              <w:rPr>
                <w:sz w:val="20"/>
                <w:szCs w:val="20"/>
                <w:color w:val="auto"/>
              </w:rPr>
            </w:pPr>
            <w:r>
              <w:rPr>
                <w:rFonts w:ascii="Arial" w:cs="Arial" w:eastAsia="Arial" w:hAnsi="Arial"/>
                <w:sz w:val="16"/>
                <w:szCs w:val="16"/>
                <w:color w:val="auto"/>
                <w:w w:val="94"/>
              </w:rPr>
              <w:t>Identification No.)</w:t>
            </w:r>
          </w:p>
        </w:tc>
      </w:tr>
      <w:tr>
        <w:trPr>
          <w:trHeight w:val="391"/>
        </w:trPr>
        <w:tc>
          <w:tcPr>
            <w:tcW w:w="2200" w:type="dxa"/>
            <w:vAlign w:val="bottom"/>
          </w:tcPr>
          <w:p>
            <w:pPr>
              <w:spacing w:after="0"/>
              <w:rPr>
                <w:sz w:val="24"/>
                <w:szCs w:val="24"/>
                <w:color w:val="auto"/>
              </w:rPr>
            </w:pPr>
          </w:p>
        </w:tc>
        <w:tc>
          <w:tcPr>
            <w:tcW w:w="5260" w:type="dxa"/>
            <w:vAlign w:val="bottom"/>
          </w:tcPr>
          <w:p>
            <w:pPr>
              <w:jc w:val="center"/>
              <w:ind w:right="60"/>
              <w:spacing w:after="0"/>
              <w:rPr>
                <w:sz w:val="20"/>
                <w:szCs w:val="20"/>
                <w:color w:val="auto"/>
              </w:rPr>
            </w:pPr>
            <w:r>
              <w:rPr>
                <w:rFonts w:ascii="Arial" w:cs="Arial" w:eastAsia="Arial" w:hAnsi="Arial"/>
                <w:sz w:val="16"/>
                <w:szCs w:val="16"/>
                <w:b w:val="1"/>
                <w:bCs w:val="1"/>
                <w:color w:val="auto"/>
                <w:w w:val="90"/>
              </w:rPr>
              <w:t>20 Eastbourne Terrace</w:t>
            </w:r>
          </w:p>
        </w:tc>
        <w:tc>
          <w:tcPr>
            <w:tcW w:w="1780" w:type="dxa"/>
            <w:vAlign w:val="bottom"/>
          </w:tcPr>
          <w:p>
            <w:pPr>
              <w:spacing w:after="0"/>
              <w:rPr>
                <w:sz w:val="24"/>
                <w:szCs w:val="24"/>
                <w:color w:val="auto"/>
              </w:rPr>
            </w:pPr>
          </w:p>
        </w:tc>
      </w:tr>
      <w:tr>
        <w:trPr>
          <w:trHeight w:val="192"/>
        </w:trPr>
        <w:tc>
          <w:tcPr>
            <w:tcW w:w="2200" w:type="dxa"/>
            <w:vAlign w:val="bottom"/>
          </w:tcPr>
          <w:p>
            <w:pPr>
              <w:spacing w:after="0"/>
              <w:rPr>
                <w:sz w:val="16"/>
                <w:szCs w:val="16"/>
                <w:color w:val="auto"/>
              </w:rPr>
            </w:pPr>
          </w:p>
        </w:tc>
        <w:tc>
          <w:tcPr>
            <w:tcW w:w="5260" w:type="dxa"/>
            <w:vAlign w:val="bottom"/>
          </w:tcPr>
          <w:p>
            <w:pPr>
              <w:jc w:val="center"/>
              <w:ind w:right="60"/>
              <w:spacing w:after="0"/>
              <w:rPr>
                <w:sz w:val="20"/>
                <w:szCs w:val="20"/>
                <w:color w:val="auto"/>
              </w:rPr>
            </w:pPr>
            <w:r>
              <w:rPr>
                <w:rFonts w:ascii="Arial" w:cs="Arial" w:eastAsia="Arial" w:hAnsi="Arial"/>
                <w:sz w:val="16"/>
                <w:szCs w:val="16"/>
                <w:b w:val="1"/>
                <w:bCs w:val="1"/>
                <w:color w:val="auto"/>
                <w:w w:val="94"/>
              </w:rPr>
              <w:t>London, W2 6LG</w:t>
            </w:r>
          </w:p>
        </w:tc>
        <w:tc>
          <w:tcPr>
            <w:tcW w:w="1780" w:type="dxa"/>
            <w:vAlign w:val="bottom"/>
          </w:tcPr>
          <w:p>
            <w:pPr>
              <w:spacing w:after="0"/>
              <w:rPr>
                <w:sz w:val="16"/>
                <w:szCs w:val="16"/>
                <w:color w:val="auto"/>
              </w:rPr>
            </w:pPr>
          </w:p>
        </w:tc>
      </w:tr>
      <w:tr>
        <w:trPr>
          <w:trHeight w:val="196"/>
        </w:trPr>
        <w:tc>
          <w:tcPr>
            <w:tcW w:w="2200" w:type="dxa"/>
            <w:vAlign w:val="bottom"/>
          </w:tcPr>
          <w:p>
            <w:pPr>
              <w:spacing w:after="0"/>
              <w:rPr>
                <w:sz w:val="17"/>
                <w:szCs w:val="17"/>
                <w:color w:val="auto"/>
              </w:rPr>
            </w:pPr>
          </w:p>
        </w:tc>
        <w:tc>
          <w:tcPr>
            <w:tcW w:w="5260" w:type="dxa"/>
            <w:vAlign w:val="bottom"/>
          </w:tcPr>
          <w:p>
            <w:pPr>
              <w:jc w:val="center"/>
              <w:ind w:right="80"/>
              <w:spacing w:after="0"/>
              <w:rPr>
                <w:sz w:val="20"/>
                <w:szCs w:val="20"/>
                <w:color w:val="auto"/>
              </w:rPr>
            </w:pPr>
            <w:r>
              <w:rPr>
                <w:rFonts w:ascii="Arial" w:cs="Arial" w:eastAsia="Arial" w:hAnsi="Arial"/>
                <w:sz w:val="16"/>
                <w:szCs w:val="16"/>
                <w:b w:val="1"/>
                <w:bCs w:val="1"/>
                <w:color w:val="auto"/>
                <w:w w:val="92"/>
              </w:rPr>
              <w:t>United Kingdom</w:t>
            </w:r>
          </w:p>
        </w:tc>
        <w:tc>
          <w:tcPr>
            <w:tcW w:w="1780" w:type="dxa"/>
            <w:vAlign w:val="bottom"/>
          </w:tcPr>
          <w:p>
            <w:pPr>
              <w:spacing w:after="0"/>
              <w:rPr>
                <w:sz w:val="17"/>
                <w:szCs w:val="17"/>
                <w:color w:val="auto"/>
              </w:rPr>
            </w:pPr>
          </w:p>
        </w:tc>
      </w:tr>
      <w:tr>
        <w:trPr>
          <w:trHeight w:val="204"/>
        </w:trPr>
        <w:tc>
          <w:tcPr>
            <w:tcW w:w="2200" w:type="dxa"/>
            <w:vAlign w:val="bottom"/>
          </w:tcPr>
          <w:p>
            <w:pPr>
              <w:spacing w:after="0"/>
              <w:rPr>
                <w:sz w:val="17"/>
                <w:szCs w:val="17"/>
                <w:color w:val="auto"/>
              </w:rPr>
            </w:pPr>
          </w:p>
        </w:tc>
        <w:tc>
          <w:tcPr>
            <w:tcW w:w="5260" w:type="dxa"/>
            <w:vAlign w:val="bottom"/>
          </w:tcPr>
          <w:p>
            <w:pPr>
              <w:jc w:val="center"/>
              <w:ind w:right="60"/>
              <w:spacing w:after="0"/>
              <w:rPr>
                <w:sz w:val="20"/>
                <w:szCs w:val="20"/>
                <w:color w:val="auto"/>
              </w:rPr>
            </w:pPr>
            <w:r>
              <w:rPr>
                <w:rFonts w:ascii="Arial" w:cs="Arial" w:eastAsia="Arial" w:hAnsi="Arial"/>
                <w:sz w:val="16"/>
                <w:szCs w:val="16"/>
                <w:color w:val="auto"/>
                <w:w w:val="92"/>
              </w:rPr>
              <w:t>(Address of Principal Executive Offices)</w:t>
            </w:r>
          </w:p>
        </w:tc>
        <w:tc>
          <w:tcPr>
            <w:tcW w:w="1780" w:type="dxa"/>
            <w:vAlign w:val="bottom"/>
          </w:tcPr>
          <w:p>
            <w:pPr>
              <w:spacing w:after="0"/>
              <w:rPr>
                <w:sz w:val="17"/>
                <w:szCs w:val="17"/>
                <w:color w:val="auto"/>
              </w:rPr>
            </w:pPr>
          </w:p>
        </w:tc>
      </w:tr>
      <w:tr>
        <w:trPr>
          <w:trHeight w:val="371"/>
        </w:trPr>
        <w:tc>
          <w:tcPr>
            <w:tcW w:w="2200" w:type="dxa"/>
            <w:vAlign w:val="bottom"/>
          </w:tcPr>
          <w:p>
            <w:pPr>
              <w:spacing w:after="0"/>
              <w:rPr>
                <w:sz w:val="24"/>
                <w:szCs w:val="24"/>
                <w:color w:val="auto"/>
              </w:rPr>
            </w:pPr>
          </w:p>
        </w:tc>
        <w:tc>
          <w:tcPr>
            <w:tcW w:w="5260" w:type="dxa"/>
            <w:vAlign w:val="bottom"/>
          </w:tcPr>
          <w:p>
            <w:pPr>
              <w:jc w:val="center"/>
              <w:ind w:right="80"/>
              <w:spacing w:after="0"/>
              <w:rPr>
                <w:sz w:val="20"/>
                <w:szCs w:val="20"/>
                <w:color w:val="auto"/>
              </w:rPr>
            </w:pPr>
            <w:r>
              <w:rPr>
                <w:rFonts w:ascii="Arial" w:cs="Arial" w:eastAsia="Arial" w:hAnsi="Arial"/>
                <w:sz w:val="16"/>
                <w:szCs w:val="16"/>
                <w:b w:val="1"/>
                <w:bCs w:val="1"/>
                <w:color w:val="auto"/>
                <w:w w:val="91"/>
              </w:rPr>
              <w:t>+44 20 33250660</w:t>
            </w:r>
          </w:p>
        </w:tc>
        <w:tc>
          <w:tcPr>
            <w:tcW w:w="1780" w:type="dxa"/>
            <w:vAlign w:val="bottom"/>
          </w:tcPr>
          <w:p>
            <w:pPr>
              <w:spacing w:after="0"/>
              <w:rPr>
                <w:sz w:val="24"/>
                <w:szCs w:val="24"/>
                <w:color w:val="auto"/>
              </w:rPr>
            </w:pPr>
          </w:p>
        </w:tc>
      </w:tr>
      <w:tr>
        <w:trPr>
          <w:trHeight w:val="204"/>
        </w:trPr>
        <w:tc>
          <w:tcPr>
            <w:tcW w:w="2200" w:type="dxa"/>
            <w:vAlign w:val="bottom"/>
          </w:tcPr>
          <w:p>
            <w:pPr>
              <w:spacing w:after="0"/>
              <w:rPr>
                <w:sz w:val="17"/>
                <w:szCs w:val="17"/>
                <w:color w:val="auto"/>
              </w:rPr>
            </w:pPr>
          </w:p>
        </w:tc>
        <w:tc>
          <w:tcPr>
            <w:tcW w:w="5260" w:type="dxa"/>
            <w:vAlign w:val="bottom"/>
          </w:tcPr>
          <w:p>
            <w:pPr>
              <w:jc w:val="center"/>
              <w:ind w:right="80"/>
              <w:spacing w:after="0"/>
              <w:rPr>
                <w:sz w:val="20"/>
                <w:szCs w:val="20"/>
                <w:color w:val="auto"/>
              </w:rPr>
            </w:pPr>
            <w:r>
              <w:rPr>
                <w:rFonts w:ascii="Arial" w:cs="Arial" w:eastAsia="Arial" w:hAnsi="Arial"/>
                <w:sz w:val="16"/>
                <w:szCs w:val="16"/>
                <w:color w:val="auto"/>
                <w:w w:val="90"/>
              </w:rPr>
              <w:t>(Registrant’s Telephone Number, Including Area Code)</w:t>
            </w:r>
          </w:p>
        </w:tc>
        <w:tc>
          <w:tcPr>
            <w:tcW w:w="1780" w:type="dxa"/>
            <w:vAlign w:val="bottom"/>
          </w:tcPr>
          <w:p>
            <w:pPr>
              <w:spacing w:after="0"/>
              <w:rPr>
                <w:sz w:val="17"/>
                <w:szCs w:val="17"/>
                <w:color w:val="auto"/>
              </w:rPr>
            </w:pPr>
          </w:p>
        </w:tc>
      </w:tr>
      <w:tr>
        <w:trPr>
          <w:trHeight w:val="371"/>
        </w:trPr>
        <w:tc>
          <w:tcPr>
            <w:tcW w:w="2200" w:type="dxa"/>
            <w:vAlign w:val="bottom"/>
          </w:tcPr>
          <w:p>
            <w:pPr>
              <w:spacing w:after="0"/>
              <w:rPr>
                <w:sz w:val="24"/>
                <w:szCs w:val="24"/>
                <w:color w:val="auto"/>
              </w:rPr>
            </w:pPr>
          </w:p>
        </w:tc>
        <w:tc>
          <w:tcPr>
            <w:tcW w:w="5260" w:type="dxa"/>
            <w:vAlign w:val="bottom"/>
          </w:tcPr>
          <w:p>
            <w:pPr>
              <w:jc w:val="center"/>
              <w:ind w:right="60"/>
              <w:spacing w:after="0"/>
              <w:rPr>
                <w:sz w:val="20"/>
                <w:szCs w:val="20"/>
                <w:color w:val="auto"/>
              </w:rPr>
            </w:pPr>
            <w:r>
              <w:rPr>
                <w:rFonts w:ascii="Arial" w:cs="Arial" w:eastAsia="Arial" w:hAnsi="Arial"/>
                <w:sz w:val="16"/>
                <w:szCs w:val="16"/>
                <w:b w:val="1"/>
                <w:bCs w:val="1"/>
                <w:color w:val="auto"/>
              </w:rPr>
              <w:t>N/A</w:t>
            </w:r>
          </w:p>
        </w:tc>
        <w:tc>
          <w:tcPr>
            <w:tcW w:w="1780" w:type="dxa"/>
            <w:vAlign w:val="bottom"/>
          </w:tcPr>
          <w:p>
            <w:pPr>
              <w:spacing w:after="0"/>
              <w:rPr>
                <w:sz w:val="24"/>
                <w:szCs w:val="24"/>
                <w:color w:val="auto"/>
              </w:rPr>
            </w:pPr>
          </w:p>
        </w:tc>
      </w:tr>
      <w:tr>
        <w:trPr>
          <w:trHeight w:val="204"/>
        </w:trPr>
        <w:tc>
          <w:tcPr>
            <w:tcW w:w="2200" w:type="dxa"/>
            <w:vAlign w:val="bottom"/>
          </w:tcPr>
          <w:p>
            <w:pPr>
              <w:spacing w:after="0"/>
              <w:rPr>
                <w:sz w:val="17"/>
                <w:szCs w:val="17"/>
                <w:color w:val="auto"/>
              </w:rPr>
            </w:pPr>
          </w:p>
        </w:tc>
        <w:tc>
          <w:tcPr>
            <w:tcW w:w="5260" w:type="dxa"/>
            <w:vAlign w:val="bottom"/>
          </w:tcPr>
          <w:p>
            <w:pPr>
              <w:jc w:val="center"/>
              <w:ind w:right="80"/>
              <w:spacing w:after="0"/>
              <w:rPr>
                <w:sz w:val="20"/>
                <w:szCs w:val="20"/>
                <w:color w:val="auto"/>
              </w:rPr>
            </w:pPr>
            <w:r>
              <w:rPr>
                <w:rFonts w:ascii="Arial" w:cs="Arial" w:eastAsia="Arial" w:hAnsi="Arial"/>
                <w:sz w:val="16"/>
                <w:szCs w:val="16"/>
                <w:color w:val="auto"/>
                <w:w w:val="90"/>
              </w:rPr>
              <w:t>(Former Name or Former Address, if Changed Since Last Report)</w:t>
            </w:r>
          </w:p>
        </w:tc>
        <w:tc>
          <w:tcPr>
            <w:tcW w:w="1780" w:type="dxa"/>
            <w:vAlign w:val="bottom"/>
          </w:tcPr>
          <w:p>
            <w:pPr>
              <w:spacing w:after="0"/>
              <w:rPr>
                <w:sz w:val="17"/>
                <w:szCs w:val="17"/>
                <w:color w:val="auto"/>
              </w:rPr>
            </w:pPr>
          </w:p>
        </w:tc>
      </w:tr>
    </w:tbl>
    <w:p>
      <w:pPr>
        <w:spacing w:after="0" w:line="179" w:lineRule="exact"/>
        <w:rPr>
          <w:sz w:val="24"/>
          <w:szCs w:val="24"/>
          <w:color w:val="auto"/>
        </w:rPr>
      </w:pPr>
    </w:p>
    <w:p>
      <w:pPr>
        <w:ind w:left="4" w:right="260"/>
        <w:spacing w:after="0" w:line="276" w:lineRule="auto"/>
        <w:rPr>
          <w:sz w:val="20"/>
          <w:szCs w:val="20"/>
          <w:color w:val="auto"/>
        </w:rPr>
      </w:pPr>
      <w:r>
        <w:rPr>
          <w:rFonts w:ascii="Arial" w:cs="Arial" w:eastAsia="Arial" w:hAnsi="Arial"/>
          <w:sz w:val="16"/>
          <w:szCs w:val="16"/>
          <w:color w:val="auto"/>
        </w:rPr>
        <w:t>Check the appropriate box below if the Form 8-K is intended to simultaneously satisfy the filing obligation of the registrant under any of the following provisions (see General Instructions A.2. below):</w:t>
      </w:r>
    </w:p>
    <w:p>
      <w:pPr>
        <w:spacing w:after="0" w:line="152" w:lineRule="exact"/>
        <w:rPr>
          <w:sz w:val="24"/>
          <w:szCs w:val="24"/>
          <w:color w:val="auto"/>
        </w:rPr>
      </w:pPr>
    </w:p>
    <w:p>
      <w:pPr>
        <w:ind w:left="184" w:hanging="184"/>
        <w:spacing w:after="0"/>
        <w:tabs>
          <w:tab w:leader="none" w:pos="18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9" w:lineRule="exact"/>
        <w:rPr>
          <w:rFonts w:ascii="MS PGothic" w:cs="MS PGothic" w:eastAsia="MS PGothic" w:hAnsi="MS PGothic"/>
          <w:sz w:val="16"/>
          <w:szCs w:val="16"/>
          <w:color w:val="auto"/>
        </w:rPr>
      </w:pPr>
    </w:p>
    <w:p>
      <w:pPr>
        <w:ind w:left="184" w:hanging="184"/>
        <w:spacing w:after="0"/>
        <w:tabs>
          <w:tab w:leader="none" w:pos="18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99" w:lineRule="exact"/>
        <w:rPr>
          <w:rFonts w:ascii="MS PGothic" w:cs="MS PGothic" w:eastAsia="MS PGothic" w:hAnsi="MS PGothic"/>
          <w:sz w:val="16"/>
          <w:szCs w:val="16"/>
          <w:color w:val="auto"/>
        </w:rPr>
      </w:pPr>
    </w:p>
    <w:p>
      <w:pPr>
        <w:ind w:left="184" w:hanging="184"/>
        <w:spacing w:after="0"/>
        <w:tabs>
          <w:tab w:leader="none" w:pos="18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9" w:lineRule="exact"/>
        <w:rPr>
          <w:rFonts w:ascii="MS PGothic" w:cs="MS PGothic" w:eastAsia="MS PGothic" w:hAnsi="MS PGothic"/>
          <w:sz w:val="16"/>
          <w:szCs w:val="16"/>
          <w:color w:val="auto"/>
        </w:rPr>
      </w:pPr>
    </w:p>
    <w:p>
      <w:pPr>
        <w:ind w:left="184" w:hanging="184"/>
        <w:spacing w:after="0"/>
        <w:tabs>
          <w:tab w:leader="none" w:pos="18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99" w:lineRule="exact"/>
        <w:rPr>
          <w:sz w:val="24"/>
          <w:szCs w:val="24"/>
          <w:color w:val="auto"/>
        </w:rPr>
      </w:pPr>
    </w:p>
    <w:p>
      <w:pPr>
        <w:ind w:left="4" w:right="20"/>
        <w:spacing w:after="0" w:line="276"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2" w:lineRule="exact"/>
        <w:rPr>
          <w:sz w:val="24"/>
          <w:szCs w:val="24"/>
          <w:color w:val="auto"/>
        </w:rPr>
      </w:pPr>
    </w:p>
    <w:p>
      <w:pPr>
        <w:ind w:left="7664"/>
        <w:spacing w:after="0"/>
        <w:tabs>
          <w:tab w:leader="none" w:pos="11264" w:val="left"/>
        </w:tabs>
        <w:rPr>
          <w:sz w:val="20"/>
          <w:szCs w:val="20"/>
          <w:color w:val="auto"/>
        </w:rPr>
      </w:pPr>
      <w:r>
        <w:rPr>
          <w:rFonts w:ascii="Arial" w:cs="Arial" w:eastAsia="Arial" w:hAnsi="Arial"/>
          <w:sz w:val="16"/>
          <w:szCs w:val="16"/>
          <w:color w:val="auto"/>
        </w:rPr>
        <w:t>Emerging growth company</w:t>
      </w:r>
      <w:r>
        <w:rPr>
          <w:sz w:val="20"/>
          <w:szCs w:val="20"/>
          <w:color w:val="auto"/>
        </w:rPr>
        <w:tab/>
      </w:r>
      <w:r>
        <w:rPr>
          <w:rFonts w:ascii="Arial" w:cs="Arial" w:eastAsia="Arial" w:hAnsi="Arial"/>
          <w:sz w:val="16"/>
          <w:szCs w:val="16"/>
          <w:color w:val="auto"/>
        </w:rPr>
        <w:t>o</w:t>
      </w:r>
    </w:p>
    <w:p>
      <w:pPr>
        <w:spacing w:after="0" w:line="237" w:lineRule="exact"/>
        <w:rPr>
          <w:sz w:val="24"/>
          <w:szCs w:val="24"/>
          <w:color w:val="auto"/>
        </w:rPr>
      </w:pPr>
    </w:p>
    <w:p>
      <w:pPr>
        <w:ind w:left="4"/>
        <w:spacing w:after="0" w:line="276"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02" w:lineRule="exact"/>
        <w:rPr>
          <w:sz w:val="24"/>
          <w:szCs w:val="24"/>
          <w:color w:val="auto"/>
        </w:rPr>
      </w:pPr>
    </w:p>
    <w:p>
      <w:pPr>
        <w:ind w:left="11284"/>
        <w:spacing w:after="0"/>
        <w:rPr>
          <w:sz w:val="20"/>
          <w:szCs w:val="20"/>
          <w:color w:val="auto"/>
        </w:rPr>
      </w:pPr>
      <w:r>
        <w:rPr>
          <w:rFonts w:ascii="Arial" w:cs="Arial" w:eastAsia="Arial" w:hAnsi="Arial"/>
          <w:sz w:val="18"/>
          <w:szCs w:val="18"/>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287260" cy="40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7260" cy="40640"/>
                    </a:xfrm>
                    <a:prstGeom prst="rect">
                      <a:avLst/>
                    </a:prstGeom>
                    <a:noFill/>
                  </pic:spPr>
                </pic:pic>
              </a:graphicData>
            </a:graphic>
          </wp:anchor>
        </w:drawing>
      </w:r>
    </w:p>
    <w:p>
      <w:pPr>
        <w:sectPr>
          <w:pgSz w:w="11900" w:h="16838" w:orient="portrait"/>
          <w:cols w:equalWidth="0" w:num="1">
            <w:col w:w="11444"/>
          </w:cols>
          <w:pgMar w:left="236" w:top="841" w:right="21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2.02 Results of Operations and Financial Condition.</w:t>
      </w:r>
    </w:p>
    <w:p>
      <w:pPr>
        <w:spacing w:after="0" w:line="203" w:lineRule="exact"/>
        <w:rPr>
          <w:sz w:val="20"/>
          <w:szCs w:val="20"/>
          <w:color w:val="auto"/>
        </w:rPr>
      </w:pPr>
    </w:p>
    <w:p>
      <w:pPr>
        <w:ind w:firstLine="575"/>
        <w:spacing w:after="0" w:line="256" w:lineRule="auto"/>
        <w:rPr>
          <w:sz w:val="20"/>
          <w:szCs w:val="20"/>
          <w:color w:val="auto"/>
        </w:rPr>
      </w:pPr>
      <w:r>
        <w:rPr>
          <w:rFonts w:ascii="Arial" w:cs="Arial" w:eastAsia="Arial" w:hAnsi="Arial"/>
          <w:sz w:val="16"/>
          <w:szCs w:val="16"/>
          <w:color w:val="auto"/>
        </w:rPr>
        <w:t>On February 27, 2019, LivaNova PLC (the “Company”) issued a press release announcing financial results for the fourth quarter and full year ended 2018 results. The Company will host a business update conference call and webcast today, February 27, 2019, at 1 p.m. London time (8 a.m. Eastern Standard Time), during which the Company will discuss the financial results. The conference call will be available to interested parties through a live audio webcast commencing at 8 a.m. Eastern Standard Time and accessible through the Investor Relations section of the LivaNova corporate website at www.livanova.com. A copy of the Company’s press release is furnished as Exhibit 99.1 on this Current Report on Form 8-K.</w:t>
      </w:r>
    </w:p>
    <w:p>
      <w:pPr>
        <w:spacing w:after="0" w:line="168" w:lineRule="exact"/>
        <w:rPr>
          <w:sz w:val="20"/>
          <w:szCs w:val="20"/>
          <w:color w:val="auto"/>
        </w:rPr>
      </w:pPr>
    </w:p>
    <w:p>
      <w:pPr>
        <w:jc w:val="both"/>
        <w:ind w:right="60" w:firstLine="575"/>
        <w:spacing w:after="0" w:line="263" w:lineRule="auto"/>
        <w:rPr>
          <w:sz w:val="20"/>
          <w:szCs w:val="20"/>
          <w:color w:val="auto"/>
        </w:rPr>
      </w:pPr>
      <w:r>
        <w:rPr>
          <w:rFonts w:ascii="Arial" w:cs="Arial" w:eastAsia="Arial" w:hAnsi="Arial"/>
          <w:sz w:val="16"/>
          <w:szCs w:val="16"/>
          <w:color w:val="auto"/>
        </w:rPr>
        <w:t>The information in Item 2.02 of this report is being furnished, not filed, for purposes of Section 18 of the Securities Exchange Act of 1934, as amended, and pursuant to General Instruction B.2 of Form 8-K, will not be incorporated by reference into any filing under the Securities Act of 1933, as amended, unless specifically identified therein as being incorporated therein by reference.</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203"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(d)</w:t>
        <w:tab/>
        <w:t>Exhibits.</w:t>
      </w:r>
    </w:p>
    <w:p>
      <w:pPr>
        <w:spacing w:after="0" w:line="339" w:lineRule="exact"/>
        <w:rPr>
          <w:sz w:val="20"/>
          <w:szCs w:val="20"/>
          <w:color w:val="auto"/>
        </w:rPr>
      </w:pPr>
    </w:p>
    <w:p>
      <w:pPr>
        <w:ind w:left="20"/>
        <w:spacing w:after="0"/>
        <w:tabs>
          <w:tab w:leader="none" w:pos="1500" w:val="left"/>
        </w:tabs>
        <w:rPr>
          <w:sz w:val="20"/>
          <w:szCs w:val="20"/>
          <w:color w:val="auto"/>
        </w:rPr>
      </w:pPr>
      <w:r>
        <w:rPr>
          <w:rFonts w:ascii="Arial" w:cs="Arial" w:eastAsia="Arial" w:hAnsi="Arial"/>
          <w:sz w:val="16"/>
          <w:szCs w:val="16"/>
          <w:b w:val="1"/>
          <w:bCs w:val="1"/>
          <w:u w:val="single" w:color="auto"/>
          <w:color w:val="auto"/>
        </w:rPr>
        <w:t>Exhibit</w:t>
      </w:r>
      <w:r>
        <w:rPr>
          <w:sz w:val="20"/>
          <w:szCs w:val="20"/>
          <w:color w:val="auto"/>
        </w:rPr>
        <w:tab/>
      </w:r>
      <w:r>
        <w:rPr>
          <w:rFonts w:ascii="Arial" w:cs="Arial" w:eastAsia="Arial" w:hAnsi="Arial"/>
          <w:sz w:val="16"/>
          <w:szCs w:val="16"/>
          <w:b w:val="1"/>
          <w:bCs w:val="1"/>
          <w:u w:val="single" w:color="auto"/>
          <w:color w:val="auto"/>
        </w:rPr>
        <w:t>Description</w:t>
      </w:r>
    </w:p>
    <w:p>
      <w:pPr>
        <w:spacing w:after="0" w:line="323" w:lineRule="exact"/>
        <w:rPr>
          <w:sz w:val="20"/>
          <w:szCs w:val="20"/>
          <w:color w:val="auto"/>
        </w:rPr>
      </w:pPr>
    </w:p>
    <w:p>
      <w:pPr>
        <w:ind w:left="20"/>
        <w:spacing w:after="0"/>
        <w:tabs>
          <w:tab w:leader="none" w:pos="1500" w:val="left"/>
        </w:tabs>
        <w:rPr>
          <w:rFonts w:ascii="Arial" w:cs="Arial" w:eastAsia="Arial" w:hAnsi="Arial"/>
          <w:sz w:val="14"/>
          <w:szCs w:val="14"/>
          <w:u w:val="single" w:color="auto"/>
          <w:color w:val="0000FF"/>
        </w:rPr>
      </w:pPr>
      <w:r>
        <w:rPr>
          <w:rFonts w:ascii="Arial" w:cs="Arial" w:eastAsia="Arial" w:hAnsi="Arial"/>
          <w:sz w:val="16"/>
          <w:szCs w:val="16"/>
          <w:color w:val="auto"/>
        </w:rPr>
        <w:t>99.1</w:t>
      </w:r>
      <w:r>
        <w:rPr>
          <w:sz w:val="20"/>
          <w:szCs w:val="20"/>
          <w:color w:val="auto"/>
        </w:rPr>
        <w:tab/>
      </w:r>
      <w:hyperlink w:anchor="page4">
        <w:r>
          <w:rPr>
            <w:rFonts w:ascii="Arial" w:cs="Arial" w:eastAsia="Arial" w:hAnsi="Arial"/>
            <w:sz w:val="14"/>
            <w:szCs w:val="14"/>
            <w:u w:val="single" w:color="auto"/>
            <w:color w:val="0000FF"/>
          </w:rPr>
          <w:t>Press Release issued by LivaNova PLC dated February 27, 2019</w:t>
        </w:r>
      </w:hyperlink>
    </w:p>
    <w:p>
      <w:pPr>
        <w:spacing w:after="0" w:line="200" w:lineRule="exact"/>
        <w:rPr>
          <w:sz w:val="20"/>
          <w:szCs w:val="20"/>
          <w:color w:val="auto"/>
        </w:rPr>
      </w:pPr>
    </w:p>
    <w:p>
      <w:pPr>
        <w:spacing w:after="0" w:line="2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360"/>
          </w:cols>
          <w:pgMar w:left="240" w:top="339" w:right="299" w:bottom="1440" w:gutter="0" w:footer="0" w:header="0"/>
        </w:sectPr>
      </w:pPr>
    </w:p>
    <w:bookmarkStart w:id="2" w:name="page3"/>
    <w:bookmarkEnd w:id="2"/>
    <w:p>
      <w:pPr>
        <w:jc w:val="center"/>
        <w:ind w:right="-279"/>
        <w:spacing w:after="0"/>
        <w:rPr>
          <w:sz w:val="20"/>
          <w:szCs w:val="20"/>
          <w:color w:val="auto"/>
        </w:rPr>
      </w:pPr>
      <w:r>
        <w:rPr>
          <w:rFonts w:ascii="Arial" w:cs="Arial" w:eastAsia="Arial" w:hAnsi="Arial"/>
          <w:sz w:val="16"/>
          <w:szCs w:val="16"/>
          <w:b w:val="1"/>
          <w:bCs w:val="1"/>
          <w:color w:val="auto"/>
        </w:rPr>
        <w:t>SIGNATURE</w:t>
      </w:r>
    </w:p>
    <w:p>
      <w:pPr>
        <w:spacing w:after="0" w:line="203" w:lineRule="exact"/>
        <w:rPr>
          <w:sz w:val="20"/>
          <w:szCs w:val="20"/>
          <w:color w:val="auto"/>
        </w:rPr>
      </w:pPr>
    </w:p>
    <w:p>
      <w:pPr>
        <w:ind w:firstLine="575"/>
        <w:spacing w:after="0" w:line="276"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295" w:lineRule="exact"/>
        <w:rPr>
          <w:sz w:val="20"/>
          <w:szCs w:val="20"/>
          <w:color w:val="auto"/>
        </w:rPr>
      </w:pPr>
    </w:p>
    <w:tbl>
      <w:tblPr>
        <w:tblLayout w:type="fixed"/>
        <w:tblInd w:w="20" w:type="dxa"/>
        <w:tblCellMar>
          <w:top w:w="0" w:type="dxa"/>
          <w:left w:w="0" w:type="dxa"/>
          <w:bottom w:w="0" w:type="dxa"/>
          <w:right w:w="0" w:type="dxa"/>
        </w:tblCellMar>
      </w:tblPr>
      <w:tr>
        <w:trPr>
          <w:trHeight w:val="204"/>
        </w:trPr>
        <w:tc>
          <w:tcPr>
            <w:tcW w:w="3640" w:type="dxa"/>
            <w:vAlign w:val="bottom"/>
          </w:tcPr>
          <w:p>
            <w:pPr>
              <w:spacing w:after="0"/>
              <w:rPr>
                <w:sz w:val="17"/>
                <w:szCs w:val="17"/>
                <w:color w:val="auto"/>
              </w:rPr>
            </w:pPr>
          </w:p>
        </w:tc>
        <w:tc>
          <w:tcPr>
            <w:tcW w:w="3920" w:type="dxa"/>
            <w:vAlign w:val="bottom"/>
            <w:gridSpan w:val="3"/>
          </w:tcPr>
          <w:p>
            <w:pPr>
              <w:ind w:left="2080"/>
              <w:spacing w:after="0"/>
              <w:rPr>
                <w:sz w:val="20"/>
                <w:szCs w:val="20"/>
                <w:color w:val="auto"/>
              </w:rPr>
            </w:pPr>
            <w:r>
              <w:rPr>
                <w:rFonts w:ascii="Arial" w:cs="Arial" w:eastAsia="Arial" w:hAnsi="Arial"/>
                <w:sz w:val="16"/>
                <w:szCs w:val="16"/>
                <w:color w:val="auto"/>
              </w:rPr>
              <w:t>LivaNova PLC</w:t>
            </w:r>
          </w:p>
        </w:tc>
      </w:tr>
      <w:tr>
        <w:trPr>
          <w:trHeight w:val="730"/>
        </w:trPr>
        <w:tc>
          <w:tcPr>
            <w:tcW w:w="3640" w:type="dxa"/>
            <w:vAlign w:val="bottom"/>
          </w:tcPr>
          <w:p>
            <w:pPr>
              <w:spacing w:after="0"/>
              <w:rPr>
                <w:sz w:val="20"/>
                <w:szCs w:val="20"/>
                <w:color w:val="auto"/>
              </w:rPr>
            </w:pPr>
            <w:r>
              <w:rPr>
                <w:rFonts w:ascii="Arial" w:cs="Arial" w:eastAsia="Arial" w:hAnsi="Arial"/>
                <w:sz w:val="16"/>
                <w:szCs w:val="16"/>
                <w:color w:val="auto"/>
              </w:rPr>
              <w:t>Date: February 27, 2019</w:t>
            </w:r>
          </w:p>
        </w:tc>
        <w:tc>
          <w:tcPr>
            <w:tcW w:w="3920" w:type="dxa"/>
            <w:vAlign w:val="bottom"/>
            <w:gridSpan w:val="3"/>
          </w:tcPr>
          <w:p>
            <w:pPr>
              <w:ind w:left="2080"/>
              <w:spacing w:after="0"/>
              <w:rPr>
                <w:sz w:val="20"/>
                <w:szCs w:val="20"/>
                <w:color w:val="auto"/>
              </w:rPr>
            </w:pPr>
            <w:r>
              <w:rPr>
                <w:rFonts w:ascii="Arial" w:cs="Arial" w:eastAsia="Arial" w:hAnsi="Arial"/>
                <w:sz w:val="16"/>
                <w:szCs w:val="16"/>
                <w:color w:val="auto"/>
              </w:rPr>
              <w:t>By:/s/ Catherine Moroz</w:t>
            </w:r>
          </w:p>
        </w:tc>
      </w:tr>
      <w:tr>
        <w:trPr>
          <w:trHeight w:val="20"/>
        </w:trPr>
        <w:tc>
          <w:tcPr>
            <w:tcW w:w="36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56"/>
        </w:trPr>
        <w:tc>
          <w:tcPr>
            <w:tcW w:w="3640" w:type="dxa"/>
            <w:vAlign w:val="bottom"/>
          </w:tcPr>
          <w:p>
            <w:pPr>
              <w:spacing w:after="0"/>
              <w:rPr>
                <w:sz w:val="22"/>
                <w:szCs w:val="22"/>
                <w:color w:val="auto"/>
              </w:rPr>
            </w:pPr>
          </w:p>
        </w:tc>
        <w:tc>
          <w:tcPr>
            <w:tcW w:w="3920" w:type="dxa"/>
            <w:vAlign w:val="bottom"/>
            <w:gridSpan w:val="3"/>
          </w:tcPr>
          <w:p>
            <w:pPr>
              <w:ind w:left="2280"/>
              <w:spacing w:after="0"/>
              <w:rPr>
                <w:sz w:val="20"/>
                <w:szCs w:val="20"/>
                <w:color w:val="auto"/>
              </w:rPr>
            </w:pPr>
            <w:r>
              <w:rPr>
                <w:rFonts w:ascii="Arial" w:cs="Arial" w:eastAsia="Arial" w:hAnsi="Arial"/>
                <w:sz w:val="16"/>
                <w:szCs w:val="16"/>
                <w:color w:val="auto"/>
                <w:w w:val="95"/>
              </w:rPr>
              <w:t>Name: Catherine Moroz</w:t>
            </w:r>
          </w:p>
        </w:tc>
      </w:tr>
      <w:tr>
        <w:trPr>
          <w:trHeight w:val="240"/>
        </w:trPr>
        <w:tc>
          <w:tcPr>
            <w:tcW w:w="3640" w:type="dxa"/>
            <w:vAlign w:val="bottom"/>
          </w:tcPr>
          <w:p>
            <w:pPr>
              <w:spacing w:after="0"/>
              <w:rPr>
                <w:sz w:val="20"/>
                <w:szCs w:val="20"/>
                <w:color w:val="auto"/>
              </w:rPr>
            </w:pPr>
          </w:p>
        </w:tc>
        <w:tc>
          <w:tcPr>
            <w:tcW w:w="3920" w:type="dxa"/>
            <w:vAlign w:val="bottom"/>
            <w:gridSpan w:val="3"/>
          </w:tcPr>
          <w:p>
            <w:pPr>
              <w:ind w:left="2280"/>
              <w:spacing w:after="0"/>
              <w:rPr>
                <w:sz w:val="20"/>
                <w:szCs w:val="20"/>
                <w:color w:val="auto"/>
              </w:rPr>
            </w:pPr>
            <w:r>
              <w:rPr>
                <w:rFonts w:ascii="Arial" w:cs="Arial" w:eastAsia="Arial" w:hAnsi="Arial"/>
                <w:sz w:val="16"/>
                <w:szCs w:val="16"/>
                <w:color w:val="auto"/>
                <w:w w:val="89"/>
              </w:rPr>
              <w:t>Title: Company Secretary</w:t>
            </w:r>
          </w:p>
        </w:tc>
      </w:tr>
    </w:tbl>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160"/>
          </w:cols>
          <w:pgMar w:left="240" w:top="339" w:right="4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u w:val="single" w:color="auto"/>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272415</wp:posOffset>
            </wp:positionV>
            <wp:extent cx="1490345" cy="4260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0345" cy="426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740"/>
        <w:spacing w:after="0"/>
        <w:rPr>
          <w:sz w:val="20"/>
          <w:szCs w:val="20"/>
          <w:color w:val="auto"/>
        </w:rPr>
      </w:pPr>
      <w:r>
        <w:rPr>
          <w:rFonts w:ascii="Arial" w:cs="Arial" w:eastAsia="Arial" w:hAnsi="Arial"/>
          <w:sz w:val="18"/>
          <w:szCs w:val="18"/>
          <w:color w:val="FF5C39"/>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48260</wp:posOffset>
            </wp:positionV>
            <wp:extent cx="7287260" cy="40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7260" cy="40640"/>
                    </a:xfrm>
                    <a:prstGeom prst="rect">
                      <a:avLst/>
                    </a:prstGeom>
                    <a:noFill/>
                  </pic:spPr>
                </pic:pic>
              </a:graphicData>
            </a:graphic>
          </wp:anchor>
        </w:drawing>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6"/>
          <w:szCs w:val="26"/>
          <w:b w:val="1"/>
          <w:bCs w:val="1"/>
          <w:color w:val="FF5C39"/>
        </w:rPr>
        <w:t>LivaNova Reports Fourth Quarter and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26"/>
          <w:szCs w:val="26"/>
          <w:b w:val="1"/>
          <w:bCs w:val="1"/>
          <w:color w:val="FF5C39"/>
        </w:rPr>
        <w:t>Full-Year 2018 Results</w:t>
      </w:r>
    </w:p>
    <w:p>
      <w:pPr>
        <w:spacing w:after="0" w:line="266" w:lineRule="exact"/>
        <w:rPr>
          <w:sz w:val="20"/>
          <w:szCs w:val="20"/>
          <w:color w:val="auto"/>
        </w:rPr>
      </w:pPr>
    </w:p>
    <w:p>
      <w:pPr>
        <w:jc w:val="both"/>
        <w:ind w:right="20"/>
        <w:spacing w:after="0" w:line="391" w:lineRule="auto"/>
        <w:rPr>
          <w:sz w:val="20"/>
          <w:szCs w:val="20"/>
          <w:color w:val="auto"/>
        </w:rPr>
      </w:pPr>
      <w:r>
        <w:rPr>
          <w:rFonts w:ascii="Arial" w:cs="Arial" w:eastAsia="Arial" w:hAnsi="Arial"/>
          <w:sz w:val="18"/>
          <w:szCs w:val="18"/>
          <w:b w:val="1"/>
          <w:bCs w:val="1"/>
          <w:color w:val="auto"/>
        </w:rPr>
        <w:t xml:space="preserve">London, February 27, 2019 – </w:t>
      </w:r>
      <w:r>
        <w:rPr>
          <w:rFonts w:ascii="Arial" w:cs="Arial" w:eastAsia="Arial" w:hAnsi="Arial"/>
          <w:sz w:val="18"/>
          <w:szCs w:val="18"/>
          <w:color w:val="auto"/>
        </w:rPr>
        <w:t>LivaNova PLC (NASDAQ:LIVN), a market-leading medical technology and innovation company, today reported</w:t>
      </w:r>
      <w:r>
        <w:rPr>
          <w:rFonts w:ascii="Arial" w:cs="Arial" w:eastAsia="Arial" w:hAnsi="Arial"/>
          <w:sz w:val="18"/>
          <w:szCs w:val="18"/>
          <w:b w:val="1"/>
          <w:bCs w:val="1"/>
          <w:color w:val="auto"/>
        </w:rPr>
        <w:t xml:space="preserve"> </w:t>
      </w:r>
      <w:r>
        <w:rPr>
          <w:rFonts w:ascii="Arial" w:cs="Arial" w:eastAsia="Arial" w:hAnsi="Arial"/>
          <w:sz w:val="18"/>
          <w:szCs w:val="18"/>
          <w:color w:val="auto"/>
        </w:rPr>
        <w:t>results for the quarter and full-year ended December 31, 2018.</w:t>
      </w:r>
    </w:p>
    <w:p>
      <w:pPr>
        <w:spacing w:after="0" w:line="282" w:lineRule="exact"/>
        <w:rPr>
          <w:sz w:val="20"/>
          <w:szCs w:val="20"/>
          <w:color w:val="auto"/>
        </w:rPr>
      </w:pPr>
    </w:p>
    <w:p>
      <w:pPr>
        <w:jc w:val="both"/>
        <w:spacing w:after="0" w:line="361" w:lineRule="auto"/>
        <w:rPr>
          <w:sz w:val="20"/>
          <w:szCs w:val="20"/>
          <w:color w:val="auto"/>
        </w:rPr>
      </w:pPr>
      <w:r>
        <w:rPr>
          <w:rFonts w:ascii="Arial" w:cs="Arial" w:eastAsia="Arial" w:hAnsi="Arial"/>
          <w:sz w:val="18"/>
          <w:szCs w:val="18"/>
          <w:color w:val="auto"/>
        </w:rPr>
        <w:t>For the fourth quarter of 2018, worldwide sales were $297.0 million, an increase of 6.7 percent on a reported basis and an increase of 9.2 percent on a constant-currency basis, as compared to the same quarter of the previous year. On the basis of U.S. Generally Accepted Accounting Principles (GAAP), fourth quarter 2018 diluted loss per share from continuing operations was $4.32. Fourth quarter 2018 adjusted diluted earnings per share from continuing operations were $1.12. For full-year 2018, worldwide sales from continuing operations were $1.1 billion, an increase of 9.4 percent on a reported basis and an increase of 8.8 percent on a constant-currency basis, as compared to the previous year. On a GAAP basis, full-year 2018 diluted loss per share from continuing operations was $3.68. Full-year 2018 adjusted diluted earnings per share from continuing operations were $3.55.</w:t>
      </w:r>
    </w:p>
    <w:p>
      <w:pPr>
        <w:spacing w:after="0" w:line="311" w:lineRule="exact"/>
        <w:rPr>
          <w:sz w:val="20"/>
          <w:szCs w:val="20"/>
          <w:color w:val="auto"/>
        </w:rPr>
      </w:pPr>
    </w:p>
    <w:p>
      <w:pPr>
        <w:ind w:right="60"/>
        <w:spacing w:after="0" w:line="348" w:lineRule="auto"/>
        <w:rPr>
          <w:sz w:val="20"/>
          <w:szCs w:val="20"/>
          <w:color w:val="auto"/>
        </w:rPr>
      </w:pPr>
      <w:r>
        <w:rPr>
          <w:rFonts w:ascii="Arial" w:cs="Arial" w:eastAsia="Arial" w:hAnsi="Arial"/>
          <w:sz w:val="18"/>
          <w:szCs w:val="18"/>
          <w:color w:val="auto"/>
        </w:rPr>
        <w:t>LivaNova determined, based on facts and circumstances, that it is now appropriate to book a provision in its financial statements for the 3T Heater-Cooler</w:t>
      </w:r>
      <w:r>
        <w:rPr>
          <w:rFonts w:ascii="Arial" w:cs="Arial" w:eastAsia="Arial" w:hAnsi="Arial"/>
          <w:sz w:val="22"/>
          <w:szCs w:val="22"/>
          <w:color w:val="auto"/>
          <w:vertAlign w:val="superscript"/>
        </w:rPr>
        <w:t>®</w:t>
      </w:r>
      <w:r>
        <w:rPr>
          <w:rFonts w:ascii="Arial" w:cs="Arial" w:eastAsia="Arial" w:hAnsi="Arial"/>
          <w:sz w:val="18"/>
          <w:szCs w:val="18"/>
          <w:color w:val="auto"/>
        </w:rPr>
        <w:t xml:space="preserve"> litigation previously disclosed in the Company's periodic filings. On a GAAP basis, fourth-quarter and full-year 2018 diluted loss per share includes a $294.0 million pre-tax provision ($223.4 million after-tax) for global litigation involving the 3T Heater-Cooler device. The Company believes the provision, which does not reflect any anticipated insurance proceeds, is sufficient to address these outstanding global legal claims. On February 25, 2019, the Company received $350 million in aggregate financing commitments from Bank of America Merrill Lynch, Barclays, BNP Paribas and Intesa Sanpaolo for a debt facility to increase its debt capacity and provide additional liquidity for estimated future cash payments related to this provision.</w:t>
      </w:r>
    </w:p>
    <w:p>
      <w:pPr>
        <w:spacing w:after="0" w:line="323" w:lineRule="exact"/>
        <w:rPr>
          <w:sz w:val="20"/>
          <w:szCs w:val="20"/>
          <w:color w:val="auto"/>
        </w:rPr>
      </w:pPr>
    </w:p>
    <w:p>
      <w:pPr>
        <w:ind w:right="700"/>
        <w:spacing w:after="0" w:line="365" w:lineRule="auto"/>
        <w:rPr>
          <w:sz w:val="20"/>
          <w:szCs w:val="20"/>
          <w:color w:val="auto"/>
        </w:rPr>
      </w:pPr>
      <w:r>
        <w:rPr>
          <w:rFonts w:ascii="Arial" w:cs="Arial" w:eastAsia="Arial" w:hAnsi="Arial"/>
          <w:sz w:val="18"/>
          <w:szCs w:val="18"/>
          <w:color w:val="auto"/>
        </w:rPr>
        <w:t>“We had a strong fourth quarter, which allowed us to achieve all of our targets for 2018,” said Damien McDonald, Chief Executive Officer of LivaNova. “Neuromodulation benefited from commercial expansion in our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w:t>
      </w:r>
    </w:p>
    <w:p>
      <w:pPr>
        <w:sectPr>
          <w:pgSz w:w="11900" w:h="16838" w:orient="portrait"/>
          <w:cols w:equalWidth="0" w:num="1">
            <w:col w:w="11440"/>
          </w:cols>
          <w:pgMar w:left="240" w:top="557" w:right="219" w:bottom="1440" w:gutter="0" w:footer="0" w:header="0"/>
        </w:sectPr>
      </w:pPr>
    </w:p>
    <w:bookmarkStart w:id="4" w:name="page5"/>
    <w:bookmarkEnd w:id="4"/>
    <w:p>
      <w:pPr>
        <w:ind w:left="4" w:right="40"/>
        <w:spacing w:after="0" w:line="345" w:lineRule="auto"/>
        <w:rPr>
          <w:sz w:val="20"/>
          <w:szCs w:val="20"/>
          <w:color w:val="auto"/>
        </w:rPr>
      </w:pPr>
      <w:r>
        <w:rPr>
          <w:rFonts w:ascii="Arial" w:cs="Arial" w:eastAsia="Arial" w:hAnsi="Arial"/>
          <w:sz w:val="18"/>
          <w:szCs w:val="18"/>
          <w:color w:val="auto"/>
        </w:rPr>
        <w:t>Rest of World region and continued strong performance of our SenTiva</w:t>
      </w:r>
      <w:r>
        <w:rPr>
          <w:rFonts w:ascii="Arial" w:cs="Arial" w:eastAsia="Arial" w:hAnsi="Arial"/>
          <w:sz w:val="22"/>
          <w:szCs w:val="22"/>
          <w:color w:val="auto"/>
          <w:vertAlign w:val="superscript"/>
        </w:rPr>
        <w:t>®</w:t>
      </w:r>
      <w:r>
        <w:rPr>
          <w:rFonts w:ascii="Arial" w:cs="Arial" w:eastAsia="Arial" w:hAnsi="Arial"/>
          <w:sz w:val="18"/>
          <w:szCs w:val="18"/>
          <w:color w:val="auto"/>
        </w:rPr>
        <w:t xml:space="preserve"> Vagus Nerve Stimulation (VNS) Therapy</w:t>
      </w:r>
      <w:r>
        <w:rPr>
          <w:rFonts w:ascii="Arial" w:cs="Arial" w:eastAsia="Arial" w:hAnsi="Arial"/>
          <w:sz w:val="22"/>
          <w:szCs w:val="22"/>
          <w:color w:val="auto"/>
          <w:vertAlign w:val="superscript"/>
        </w:rPr>
        <w:t>®</w:t>
      </w:r>
      <w:r>
        <w:rPr>
          <w:rFonts w:ascii="Arial" w:cs="Arial" w:eastAsia="Arial" w:hAnsi="Arial"/>
          <w:sz w:val="18"/>
          <w:szCs w:val="18"/>
          <w:color w:val="auto"/>
        </w:rPr>
        <w:t xml:space="preserve"> System, in the U.S. and Europe. Cardiovascular maintained solid growth, driven by double-digit sales growth for our S5</w:t>
      </w:r>
      <w:r>
        <w:rPr>
          <w:rFonts w:ascii="Arial" w:cs="Arial" w:eastAsia="Arial" w:hAnsi="Arial"/>
          <w:sz w:val="22"/>
          <w:szCs w:val="22"/>
          <w:color w:val="auto"/>
          <w:vertAlign w:val="superscript"/>
        </w:rPr>
        <w:t>®</w:t>
      </w:r>
      <w:r>
        <w:rPr>
          <w:rFonts w:ascii="Arial" w:cs="Arial" w:eastAsia="Arial" w:hAnsi="Arial"/>
          <w:sz w:val="18"/>
          <w:szCs w:val="18"/>
          <w:color w:val="auto"/>
        </w:rPr>
        <w:t xml:space="preserve"> heart-lung machine and our oxygenator businesses. We are pleased with the progress of our recently acquired advanced circulatory support business, which grew in the mid-20 percent range in the fourth quarter. All of this allowed LivaNova to increase our full-year adjusted diluted earnings per share from continuing operations by 7.3 percent compared to full-year 2017. We intend to continue this momentum throughout 2019, taking actions that strengthen LivaNova’s commitment to improving the lives of patients around the world.”</w:t>
      </w:r>
    </w:p>
    <w:p>
      <w:pPr>
        <w:spacing w:after="0" w:line="242"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Fourth Quarter 2018 Results</w:t>
      </w:r>
    </w:p>
    <w:p>
      <w:pPr>
        <w:spacing w:after="0" w:line="78" w:lineRule="exact"/>
        <w:rPr>
          <w:sz w:val="20"/>
          <w:szCs w:val="20"/>
          <w:color w:val="auto"/>
        </w:rPr>
      </w:pPr>
    </w:p>
    <w:p>
      <w:pPr>
        <w:ind w:left="4"/>
        <w:spacing w:after="0" w:line="365" w:lineRule="auto"/>
        <w:rPr>
          <w:sz w:val="20"/>
          <w:szCs w:val="20"/>
          <w:color w:val="auto"/>
        </w:rPr>
      </w:pPr>
      <w:r>
        <w:rPr>
          <w:rFonts w:ascii="Arial" w:cs="Arial" w:eastAsia="Arial" w:hAnsi="Arial"/>
          <w:sz w:val="18"/>
          <w:szCs w:val="18"/>
          <w:color w:val="auto"/>
        </w:rPr>
        <w:t>Worldwide sales from continuing operations for the fourth quarter were $297.0 million, up 9.2 percent on a constant-currency basis compared to the fourth quarter of 2017. The following table highlights worldwide sales for the fourth quarter of 2018 and by business:</w:t>
      </w:r>
    </w:p>
    <w:p>
      <w:pPr>
        <w:spacing w:after="0" w:line="228" w:lineRule="exact"/>
        <w:rPr>
          <w:sz w:val="20"/>
          <w:szCs w:val="20"/>
          <w:color w:val="auto"/>
        </w:rPr>
      </w:pPr>
    </w:p>
    <w:tbl>
      <w:tblPr>
        <w:tblLayout w:type="fixed"/>
        <w:tblInd w:w="14" w:type="dxa"/>
        <w:tblCellMar>
          <w:top w:w="0" w:type="dxa"/>
          <w:left w:w="0" w:type="dxa"/>
          <w:bottom w:w="0" w:type="dxa"/>
          <w:right w:w="0" w:type="dxa"/>
        </w:tblCellMar>
      </w:tblPr>
      <w:tr>
        <w:trPr>
          <w:trHeight w:val="239"/>
        </w:trPr>
        <w:tc>
          <w:tcPr>
            <w:tcW w:w="45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3"/>
                <w:szCs w:val="13"/>
                <w:i w:val="1"/>
                <w:iCs w:val="1"/>
                <w:color w:val="auto"/>
              </w:rPr>
              <w:t>$ in millions</w:t>
            </w:r>
          </w:p>
        </w:tc>
        <w:tc>
          <w:tcPr>
            <w:tcW w:w="3300" w:type="dxa"/>
            <w:vAlign w:val="bottom"/>
            <w:tcBorders>
              <w:top w:val="single" w:sz="8" w:color="auto"/>
              <w:bottom w:val="single" w:sz="8" w:color="auto"/>
              <w:right w:val="single" w:sz="8" w:color="auto"/>
            </w:tcBorders>
            <w:gridSpan w:val="2"/>
          </w:tcPr>
          <w:p>
            <w:pPr>
              <w:jc w:val="right"/>
              <w:ind w:right="299"/>
              <w:spacing w:after="0"/>
              <w:rPr>
                <w:sz w:val="20"/>
                <w:szCs w:val="20"/>
                <w:color w:val="auto"/>
              </w:rPr>
            </w:pPr>
            <w:r>
              <w:rPr>
                <w:rFonts w:ascii="Arial" w:cs="Arial" w:eastAsia="Arial" w:hAnsi="Arial"/>
                <w:sz w:val="16"/>
                <w:szCs w:val="16"/>
                <w:color w:val="auto"/>
              </w:rPr>
              <w:t>Three months ended December 31,</w:t>
            </w:r>
          </w:p>
        </w:tc>
        <w:tc>
          <w:tcPr>
            <w:tcW w:w="1680" w:type="dxa"/>
            <w:vAlign w:val="bottom"/>
            <w:tcBorders>
              <w:top w:val="single" w:sz="8" w:color="auto"/>
              <w:right w:val="single" w:sz="8" w:color="auto"/>
            </w:tcBorders>
          </w:tcPr>
          <w:p>
            <w:pPr>
              <w:jc w:val="right"/>
              <w:ind w:right="239"/>
              <w:spacing w:after="0"/>
              <w:rPr>
                <w:sz w:val="20"/>
                <w:szCs w:val="20"/>
                <w:color w:val="auto"/>
              </w:rPr>
            </w:pPr>
            <w:r>
              <w:rPr>
                <w:rFonts w:ascii="Arial" w:cs="Arial" w:eastAsia="Arial" w:hAnsi="Arial"/>
                <w:sz w:val="16"/>
                <w:szCs w:val="16"/>
                <w:color w:val="auto"/>
              </w:rPr>
              <w:t>As Reported %</w:t>
            </w:r>
          </w:p>
        </w:tc>
        <w:tc>
          <w:tcPr>
            <w:tcW w:w="1800" w:type="dxa"/>
            <w:vAlign w:val="bottom"/>
            <w:tcBorders>
              <w:top w:val="single" w:sz="8" w:color="auto"/>
              <w:right w:val="single" w:sz="8" w:color="auto"/>
            </w:tcBorders>
          </w:tcPr>
          <w:p>
            <w:pPr>
              <w:jc w:val="right"/>
              <w:ind w:right="159"/>
              <w:spacing w:after="0"/>
              <w:rPr>
                <w:sz w:val="20"/>
                <w:szCs w:val="20"/>
                <w:color w:val="auto"/>
              </w:rPr>
            </w:pPr>
            <w:r>
              <w:rPr>
                <w:rFonts w:ascii="Arial" w:cs="Arial" w:eastAsia="Arial" w:hAnsi="Arial"/>
                <w:sz w:val="16"/>
                <w:szCs w:val="16"/>
                <w:color w:val="auto"/>
              </w:rPr>
              <w:t>Constant Currency</w:t>
            </w:r>
          </w:p>
        </w:tc>
      </w:tr>
      <w:tr>
        <w:trPr>
          <w:trHeight w:val="214"/>
        </w:trPr>
        <w:tc>
          <w:tcPr>
            <w:tcW w:w="45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Business / Product Line:</w:t>
            </w:r>
          </w:p>
        </w:tc>
        <w:tc>
          <w:tcPr>
            <w:tcW w:w="1660" w:type="dxa"/>
            <w:vAlign w:val="bottom"/>
            <w:tcBorders>
              <w:bottom w:val="single" w:sz="8" w:color="auto"/>
              <w:right w:val="single" w:sz="8" w:color="auto"/>
            </w:tcBorders>
          </w:tcPr>
          <w:p>
            <w:pPr>
              <w:jc w:val="right"/>
              <w:ind w:right="580"/>
              <w:spacing w:after="0"/>
              <w:rPr>
                <w:sz w:val="20"/>
                <w:szCs w:val="20"/>
                <w:color w:val="auto"/>
              </w:rPr>
            </w:pPr>
            <w:r>
              <w:rPr>
                <w:rFonts w:ascii="Arial" w:cs="Arial" w:eastAsia="Arial" w:hAnsi="Arial"/>
                <w:sz w:val="16"/>
                <w:szCs w:val="16"/>
                <w:color w:val="auto"/>
              </w:rPr>
              <w:t>2018</w:t>
            </w:r>
          </w:p>
        </w:tc>
        <w:tc>
          <w:tcPr>
            <w:tcW w:w="1640" w:type="dxa"/>
            <w:vAlign w:val="bottom"/>
            <w:tcBorders>
              <w:bottom w:val="single" w:sz="8" w:color="auto"/>
              <w:right w:val="single" w:sz="8" w:color="auto"/>
            </w:tcBorders>
          </w:tcPr>
          <w:p>
            <w:pPr>
              <w:jc w:val="right"/>
              <w:ind w:right="579"/>
              <w:spacing w:after="0"/>
              <w:rPr>
                <w:sz w:val="20"/>
                <w:szCs w:val="20"/>
                <w:color w:val="auto"/>
              </w:rPr>
            </w:pPr>
            <w:r>
              <w:rPr>
                <w:rFonts w:ascii="Arial" w:cs="Arial" w:eastAsia="Arial" w:hAnsi="Arial"/>
                <w:sz w:val="16"/>
                <w:szCs w:val="16"/>
                <w:color w:val="auto"/>
              </w:rPr>
              <w:t>2017</w:t>
            </w:r>
          </w:p>
        </w:tc>
        <w:tc>
          <w:tcPr>
            <w:tcW w:w="1680" w:type="dxa"/>
            <w:vAlign w:val="bottom"/>
            <w:tcBorders>
              <w:bottom w:val="single" w:sz="8" w:color="auto"/>
              <w:right w:val="single" w:sz="8" w:color="auto"/>
            </w:tcBorders>
          </w:tcPr>
          <w:p>
            <w:pPr>
              <w:jc w:val="right"/>
              <w:ind w:right="479"/>
              <w:spacing w:after="0" w:line="172" w:lineRule="exact"/>
              <w:rPr>
                <w:sz w:val="20"/>
                <w:szCs w:val="20"/>
                <w:color w:val="auto"/>
              </w:rPr>
            </w:pPr>
            <w:r>
              <w:rPr>
                <w:rFonts w:ascii="Arial" w:cs="Arial" w:eastAsia="Arial" w:hAnsi="Arial"/>
                <w:sz w:val="16"/>
                <w:szCs w:val="16"/>
                <w:color w:val="auto"/>
              </w:rPr>
              <w:t>Change</w:t>
            </w:r>
          </w:p>
        </w:tc>
        <w:tc>
          <w:tcPr>
            <w:tcW w:w="1800" w:type="dxa"/>
            <w:vAlign w:val="bottom"/>
            <w:tcBorders>
              <w:bottom w:val="single" w:sz="8" w:color="auto"/>
              <w:right w:val="single" w:sz="8" w:color="auto"/>
            </w:tcBorders>
          </w:tcPr>
          <w:p>
            <w:pPr>
              <w:jc w:val="right"/>
              <w:ind w:right="459"/>
              <w:spacing w:after="0" w:line="172" w:lineRule="exact"/>
              <w:rPr>
                <w:sz w:val="20"/>
                <w:szCs w:val="20"/>
                <w:color w:val="auto"/>
              </w:rPr>
            </w:pPr>
            <w:r>
              <w:rPr>
                <w:rFonts w:ascii="Arial" w:cs="Arial" w:eastAsia="Arial" w:hAnsi="Arial"/>
                <w:sz w:val="16"/>
                <w:szCs w:val="16"/>
                <w:color w:val="auto"/>
              </w:rPr>
              <w:t>% Change</w:t>
            </w:r>
          </w:p>
        </w:tc>
      </w:tr>
      <w:tr>
        <w:trPr>
          <w:trHeight w:val="214"/>
        </w:trPr>
        <w:tc>
          <w:tcPr>
            <w:tcW w:w="45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i w:val="1"/>
                <w:iCs w:val="1"/>
                <w:color w:val="auto"/>
              </w:rPr>
              <w:t>Cardiopulmonary</w:t>
            </w:r>
          </w:p>
        </w:tc>
        <w:tc>
          <w:tcPr>
            <w:tcW w:w="1660" w:type="dxa"/>
            <w:vAlign w:val="bottom"/>
            <w:tcBorders>
              <w:right w:val="single" w:sz="8" w:color="auto"/>
            </w:tcBorders>
          </w:tcPr>
          <w:p>
            <w:pPr>
              <w:jc w:val="right"/>
              <w:ind w:right="60"/>
              <w:spacing w:after="0"/>
              <w:rPr>
                <w:sz w:val="20"/>
                <w:szCs w:val="20"/>
                <w:color w:val="auto"/>
              </w:rPr>
            </w:pPr>
            <w:r>
              <w:rPr>
                <w:rFonts w:ascii="Arial" w:cs="Arial" w:eastAsia="Arial" w:hAnsi="Arial"/>
                <w:sz w:val="16"/>
                <w:szCs w:val="16"/>
                <w:i w:val="1"/>
                <w:iCs w:val="1"/>
                <w:color w:val="auto"/>
              </w:rPr>
              <w:t>$146.7</w:t>
            </w:r>
          </w:p>
        </w:tc>
        <w:tc>
          <w:tcPr>
            <w:tcW w:w="164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i w:val="1"/>
                <w:iCs w:val="1"/>
                <w:color w:val="auto"/>
              </w:rPr>
              <w:t>$142.3</w:t>
            </w:r>
          </w:p>
        </w:tc>
        <w:tc>
          <w:tcPr>
            <w:tcW w:w="168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i w:val="1"/>
                <w:iCs w:val="1"/>
                <w:color w:val="auto"/>
              </w:rPr>
              <w:t>3.1%</w:t>
            </w:r>
          </w:p>
        </w:tc>
        <w:tc>
          <w:tcPr>
            <w:tcW w:w="180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i w:val="1"/>
                <w:iCs w:val="1"/>
                <w:color w:val="auto"/>
              </w:rPr>
              <w:t>6.8%</w:t>
            </w:r>
          </w:p>
        </w:tc>
      </w:tr>
      <w:tr>
        <w:trPr>
          <w:trHeight w:val="24"/>
        </w:trPr>
        <w:tc>
          <w:tcPr>
            <w:tcW w:w="4540" w:type="dxa"/>
            <w:vAlign w:val="bottom"/>
            <w:tcBorders>
              <w:left w:val="single" w:sz="8" w:color="auto"/>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r>
      <w:tr>
        <w:trPr>
          <w:trHeight w:val="214"/>
        </w:trPr>
        <w:tc>
          <w:tcPr>
            <w:tcW w:w="45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6"/>
                <w:szCs w:val="16"/>
                <w:i w:val="1"/>
                <w:iCs w:val="1"/>
                <w:color w:val="auto"/>
              </w:rPr>
              <w:t>Heart Valves</w:t>
            </w:r>
          </w:p>
        </w:tc>
        <w:tc>
          <w:tcPr>
            <w:tcW w:w="1660" w:type="dxa"/>
            <w:vAlign w:val="bottom"/>
            <w:tcBorders>
              <w:bottom w:val="single" w:sz="8" w:color="auto"/>
              <w:right w:val="single" w:sz="8" w:color="auto"/>
            </w:tcBorders>
          </w:tcPr>
          <w:p>
            <w:pPr>
              <w:jc w:val="right"/>
              <w:ind w:right="60"/>
              <w:spacing w:after="0"/>
              <w:rPr>
                <w:sz w:val="20"/>
                <w:szCs w:val="20"/>
                <w:color w:val="auto"/>
              </w:rPr>
            </w:pPr>
            <w:r>
              <w:rPr>
                <w:rFonts w:ascii="Arial" w:cs="Arial" w:eastAsia="Arial" w:hAnsi="Arial"/>
                <w:sz w:val="16"/>
                <w:szCs w:val="16"/>
                <w:i w:val="1"/>
                <w:iCs w:val="1"/>
                <w:color w:val="auto"/>
              </w:rPr>
              <w:t>28.6</w:t>
            </w:r>
          </w:p>
        </w:tc>
        <w:tc>
          <w:tcPr>
            <w:tcW w:w="164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16"/>
                <w:szCs w:val="16"/>
                <w:i w:val="1"/>
                <w:iCs w:val="1"/>
                <w:color w:val="auto"/>
              </w:rPr>
              <w:t>35.6</w:t>
            </w:r>
          </w:p>
        </w:tc>
        <w:tc>
          <w:tcPr>
            <w:tcW w:w="16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i w:val="1"/>
                <w:iCs w:val="1"/>
                <w:color w:val="auto"/>
              </w:rPr>
              <w:t>(19.7%)</w:t>
            </w:r>
          </w:p>
        </w:tc>
        <w:tc>
          <w:tcPr>
            <w:tcW w:w="18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i w:val="1"/>
                <w:iCs w:val="1"/>
                <w:color w:val="auto"/>
              </w:rPr>
              <w:t>(17.1%)</w:t>
            </w:r>
          </w:p>
        </w:tc>
      </w:tr>
      <w:tr>
        <w:trPr>
          <w:trHeight w:val="233"/>
        </w:trPr>
        <w:tc>
          <w:tcPr>
            <w:tcW w:w="45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6"/>
                <w:szCs w:val="16"/>
                <w:i w:val="1"/>
                <w:iCs w:val="1"/>
                <w:color w:val="auto"/>
              </w:rPr>
              <w:t>Advanced Circulatory Support</w:t>
            </w:r>
          </w:p>
        </w:tc>
        <w:tc>
          <w:tcPr>
            <w:tcW w:w="1660" w:type="dxa"/>
            <w:vAlign w:val="bottom"/>
            <w:tcBorders>
              <w:bottom w:val="single" w:sz="8" w:color="auto"/>
              <w:right w:val="single" w:sz="8" w:color="auto"/>
            </w:tcBorders>
          </w:tcPr>
          <w:p>
            <w:pPr>
              <w:jc w:val="right"/>
              <w:ind w:right="60"/>
              <w:spacing w:after="0"/>
              <w:rPr>
                <w:sz w:val="20"/>
                <w:szCs w:val="20"/>
                <w:color w:val="auto"/>
              </w:rPr>
            </w:pPr>
            <w:r>
              <w:rPr>
                <w:rFonts w:ascii="Arial" w:cs="Arial" w:eastAsia="Arial" w:hAnsi="Arial"/>
                <w:sz w:val="16"/>
                <w:szCs w:val="16"/>
                <w:i w:val="1"/>
                <w:iCs w:val="1"/>
                <w:color w:val="auto"/>
              </w:rPr>
              <w:t>7.4</w:t>
            </w:r>
          </w:p>
        </w:tc>
        <w:tc>
          <w:tcPr>
            <w:tcW w:w="164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18"/>
                <w:szCs w:val="18"/>
                <w:i w:val="1"/>
                <w:iCs w:val="1"/>
                <w:color w:val="auto"/>
              </w:rPr>
              <w:t>—</w:t>
            </w:r>
          </w:p>
        </w:tc>
        <w:tc>
          <w:tcPr>
            <w:tcW w:w="1680" w:type="dxa"/>
            <w:vAlign w:val="bottom"/>
            <w:tcBorders>
              <w:bottom w:val="single" w:sz="8" w:color="auto"/>
              <w:right w:val="single" w:sz="8" w:color="auto"/>
            </w:tcBorders>
          </w:tcPr>
          <w:p>
            <w:pPr>
              <w:jc w:val="right"/>
              <w:ind w:right="159"/>
              <w:spacing w:after="0"/>
              <w:rPr>
                <w:sz w:val="20"/>
                <w:szCs w:val="20"/>
                <w:color w:val="auto"/>
              </w:rPr>
            </w:pPr>
            <w:r>
              <w:rPr>
                <w:rFonts w:ascii="Arial" w:cs="Arial" w:eastAsia="Arial" w:hAnsi="Arial"/>
                <w:sz w:val="18"/>
                <w:szCs w:val="18"/>
                <w:i w:val="1"/>
                <w:iCs w:val="1"/>
                <w:color w:val="auto"/>
              </w:rPr>
              <w:t>N/A</w:t>
            </w:r>
          </w:p>
        </w:tc>
        <w:tc>
          <w:tcPr>
            <w:tcW w:w="1800" w:type="dxa"/>
            <w:vAlign w:val="bottom"/>
            <w:tcBorders>
              <w:bottom w:val="single" w:sz="8" w:color="auto"/>
              <w:right w:val="single" w:sz="8" w:color="auto"/>
            </w:tcBorders>
          </w:tcPr>
          <w:p>
            <w:pPr>
              <w:jc w:val="right"/>
              <w:ind w:right="159"/>
              <w:spacing w:after="0"/>
              <w:rPr>
                <w:sz w:val="20"/>
                <w:szCs w:val="20"/>
                <w:color w:val="auto"/>
              </w:rPr>
            </w:pPr>
            <w:r>
              <w:rPr>
                <w:rFonts w:ascii="Arial" w:cs="Arial" w:eastAsia="Arial" w:hAnsi="Arial"/>
                <w:sz w:val="18"/>
                <w:szCs w:val="18"/>
                <w:i w:val="1"/>
                <w:iCs w:val="1"/>
                <w:color w:val="auto"/>
              </w:rPr>
              <w:t>N/A</w:t>
            </w:r>
          </w:p>
        </w:tc>
      </w:tr>
      <w:tr>
        <w:trPr>
          <w:trHeight w:val="218"/>
        </w:trPr>
        <w:tc>
          <w:tcPr>
            <w:tcW w:w="45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Cardiovascular</w:t>
            </w:r>
          </w:p>
        </w:tc>
        <w:tc>
          <w:tcPr>
            <w:tcW w:w="1660" w:type="dxa"/>
            <w:vAlign w:val="bottom"/>
            <w:tcBorders>
              <w:bottom w:val="single" w:sz="8" w:color="auto"/>
              <w:right w:val="single" w:sz="8" w:color="auto"/>
            </w:tcBorders>
          </w:tcPr>
          <w:p>
            <w:pPr>
              <w:jc w:val="right"/>
              <w:ind w:right="60"/>
              <w:spacing w:after="0"/>
              <w:rPr>
                <w:sz w:val="20"/>
                <w:szCs w:val="20"/>
                <w:color w:val="auto"/>
              </w:rPr>
            </w:pPr>
            <w:r>
              <w:rPr>
                <w:rFonts w:ascii="Arial" w:cs="Arial" w:eastAsia="Arial" w:hAnsi="Arial"/>
                <w:sz w:val="16"/>
                <w:szCs w:val="16"/>
                <w:color w:val="auto"/>
              </w:rPr>
              <w:t>182.6</w:t>
            </w:r>
          </w:p>
        </w:tc>
        <w:tc>
          <w:tcPr>
            <w:tcW w:w="164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177.9</w:t>
            </w:r>
          </w:p>
        </w:tc>
        <w:tc>
          <w:tcPr>
            <w:tcW w:w="168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2.7%</w:t>
            </w:r>
          </w:p>
        </w:tc>
        <w:tc>
          <w:tcPr>
            <w:tcW w:w="180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6.1%</w:t>
            </w:r>
          </w:p>
        </w:tc>
      </w:tr>
      <w:tr>
        <w:trPr>
          <w:trHeight w:val="220"/>
        </w:trPr>
        <w:tc>
          <w:tcPr>
            <w:tcW w:w="45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Neuromodulation</w:t>
            </w:r>
          </w:p>
        </w:tc>
        <w:tc>
          <w:tcPr>
            <w:tcW w:w="1660" w:type="dxa"/>
            <w:vAlign w:val="bottom"/>
            <w:tcBorders>
              <w:bottom w:val="single" w:sz="8" w:color="auto"/>
              <w:right w:val="single" w:sz="8" w:color="auto"/>
            </w:tcBorders>
          </w:tcPr>
          <w:p>
            <w:pPr>
              <w:jc w:val="right"/>
              <w:ind w:right="60"/>
              <w:spacing w:after="0"/>
              <w:rPr>
                <w:sz w:val="20"/>
                <w:szCs w:val="20"/>
                <w:color w:val="auto"/>
              </w:rPr>
            </w:pPr>
            <w:r>
              <w:rPr>
                <w:rFonts w:ascii="Arial" w:cs="Arial" w:eastAsia="Arial" w:hAnsi="Arial"/>
                <w:sz w:val="16"/>
                <w:szCs w:val="16"/>
                <w:color w:val="auto"/>
              </w:rPr>
              <w:t>113.6</w:t>
            </w:r>
          </w:p>
        </w:tc>
        <w:tc>
          <w:tcPr>
            <w:tcW w:w="164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99.8</w:t>
            </w:r>
          </w:p>
        </w:tc>
        <w:tc>
          <w:tcPr>
            <w:tcW w:w="168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13.8%</w:t>
            </w:r>
          </w:p>
        </w:tc>
        <w:tc>
          <w:tcPr>
            <w:tcW w:w="180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14.5%</w:t>
            </w:r>
          </w:p>
        </w:tc>
      </w:tr>
      <w:tr>
        <w:trPr>
          <w:trHeight w:val="220"/>
        </w:trPr>
        <w:tc>
          <w:tcPr>
            <w:tcW w:w="45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Other</w:t>
            </w:r>
          </w:p>
        </w:tc>
        <w:tc>
          <w:tcPr>
            <w:tcW w:w="1660" w:type="dxa"/>
            <w:vAlign w:val="bottom"/>
            <w:tcBorders>
              <w:bottom w:val="single" w:sz="8" w:color="auto"/>
              <w:right w:val="single" w:sz="8" w:color="auto"/>
            </w:tcBorders>
          </w:tcPr>
          <w:p>
            <w:pPr>
              <w:jc w:val="right"/>
              <w:ind w:right="60"/>
              <w:spacing w:after="0"/>
              <w:rPr>
                <w:sz w:val="20"/>
                <w:szCs w:val="20"/>
                <w:color w:val="auto"/>
              </w:rPr>
            </w:pPr>
            <w:r>
              <w:rPr>
                <w:rFonts w:ascii="Arial" w:cs="Arial" w:eastAsia="Arial" w:hAnsi="Arial"/>
                <w:sz w:val="16"/>
                <w:szCs w:val="16"/>
                <w:color w:val="auto"/>
              </w:rPr>
              <w:t>0.8</w:t>
            </w:r>
          </w:p>
        </w:tc>
        <w:tc>
          <w:tcPr>
            <w:tcW w:w="164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0.7</w:t>
            </w:r>
          </w:p>
        </w:tc>
        <w:tc>
          <w:tcPr>
            <w:tcW w:w="168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20"/>
        </w:trPr>
        <w:tc>
          <w:tcPr>
            <w:tcW w:w="45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Total Net Sales</w:t>
            </w:r>
          </w:p>
        </w:tc>
        <w:tc>
          <w:tcPr>
            <w:tcW w:w="1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$297.0</w:t>
            </w:r>
          </w:p>
        </w:tc>
        <w:tc>
          <w:tcPr>
            <w:tcW w:w="16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$278.4</w:t>
            </w:r>
          </w:p>
        </w:tc>
        <w:tc>
          <w:tcPr>
            <w:tcW w:w="168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6.7%</w:t>
            </w:r>
          </w:p>
        </w:tc>
        <w:tc>
          <w:tcPr>
            <w:tcW w:w="180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9.2%</w:t>
            </w:r>
          </w:p>
        </w:tc>
      </w:tr>
    </w:tbl>
    <w:p>
      <w:pPr>
        <w:spacing w:after="0" w:line="169" w:lineRule="exact"/>
        <w:rPr>
          <w:sz w:val="20"/>
          <w:szCs w:val="20"/>
          <w:color w:val="auto"/>
        </w:rPr>
      </w:pPr>
    </w:p>
    <w:p>
      <w:pPr>
        <w:ind w:left="224" w:hanging="224"/>
        <w:spacing w:after="0"/>
        <w:tabs>
          <w:tab w:leader="none" w:pos="224" w:val="left"/>
        </w:tabs>
        <w:numPr>
          <w:ilvl w:val="0"/>
          <w:numId w:val="2"/>
        </w:numPr>
        <w:rPr>
          <w:rFonts w:ascii="Arial" w:cs="Arial" w:eastAsia="Arial" w:hAnsi="Arial"/>
          <w:sz w:val="14"/>
          <w:szCs w:val="14"/>
          <w:color w:val="auto"/>
        </w:rPr>
      </w:pPr>
      <w:r>
        <w:rPr>
          <w:rFonts w:ascii="Arial" w:cs="Arial" w:eastAsia="Arial" w:hAnsi="Arial"/>
          <w:sz w:val="14"/>
          <w:szCs w:val="14"/>
          <w:color w:val="auto"/>
        </w:rPr>
        <w:t>Note: Numbers may not add up precisely due to rounding. Constant-currency % change is considered a non-GAAP metric.</w:t>
      </w:r>
    </w:p>
    <w:p>
      <w:pPr>
        <w:spacing w:after="0" w:line="229" w:lineRule="exact"/>
        <w:rPr>
          <w:sz w:val="20"/>
          <w:szCs w:val="20"/>
          <w:color w:val="auto"/>
        </w:rPr>
      </w:pPr>
    </w:p>
    <w:p>
      <w:pPr>
        <w:ind w:left="4"/>
        <w:spacing w:after="0" w:line="365" w:lineRule="auto"/>
        <w:rPr>
          <w:sz w:val="20"/>
          <w:szCs w:val="20"/>
          <w:color w:val="auto"/>
        </w:rPr>
      </w:pPr>
      <w:r>
        <w:rPr>
          <w:rFonts w:ascii="Arial" w:cs="Arial" w:eastAsia="Arial" w:hAnsi="Arial"/>
          <w:sz w:val="18"/>
          <w:szCs w:val="18"/>
          <w:color w:val="auto"/>
        </w:rPr>
        <w:t>For discussion purposes, all sales growth rates below reflect comparable, constant-currency growth. Constant currency accounts for the impact from fluctuations in the various currencies in which the Company operates as compared to reported growth.</w:t>
      </w:r>
    </w:p>
    <w:p>
      <w:pPr>
        <w:spacing w:after="0" w:line="282"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Cardiovascular</w:t>
      </w:r>
    </w:p>
    <w:p>
      <w:pPr>
        <w:spacing w:after="0" w:line="126" w:lineRule="exact"/>
        <w:rPr>
          <w:sz w:val="20"/>
          <w:szCs w:val="20"/>
          <w:color w:val="auto"/>
        </w:rPr>
      </w:pPr>
    </w:p>
    <w:p>
      <w:pPr>
        <w:ind w:left="4"/>
        <w:spacing w:after="0" w:line="365" w:lineRule="auto"/>
        <w:rPr>
          <w:sz w:val="20"/>
          <w:szCs w:val="20"/>
          <w:color w:val="auto"/>
        </w:rPr>
      </w:pPr>
      <w:r>
        <w:rPr>
          <w:rFonts w:ascii="Arial" w:cs="Arial" w:eastAsia="Arial" w:hAnsi="Arial"/>
          <w:sz w:val="18"/>
          <w:szCs w:val="18"/>
          <w:color w:val="auto"/>
        </w:rPr>
        <w:t>Cardiovascular sales, which include cardiopulmonary products, heart valves and advanced circulatory support, were $182.6 million, representing a 6.1 percent increase versus the fourth quarter of 2017.</w:t>
      </w:r>
    </w:p>
    <w:p>
      <w:pPr>
        <w:spacing w:after="0" w:line="200" w:lineRule="exact"/>
        <w:rPr>
          <w:sz w:val="20"/>
          <w:szCs w:val="20"/>
          <w:color w:val="auto"/>
        </w:rPr>
      </w:pPr>
    </w:p>
    <w:p>
      <w:pPr>
        <w:spacing w:after="0" w:line="270" w:lineRule="exact"/>
        <w:rPr>
          <w:sz w:val="20"/>
          <w:szCs w:val="20"/>
          <w:color w:val="auto"/>
        </w:rPr>
      </w:pPr>
    </w:p>
    <w:p>
      <w:pPr>
        <w:jc w:val="center"/>
        <w:ind w:right="-3"/>
        <w:spacing w:after="0"/>
        <w:rPr>
          <w:sz w:val="20"/>
          <w:szCs w:val="20"/>
          <w:color w:val="auto"/>
        </w:rPr>
      </w:pPr>
      <w:r>
        <w:rPr>
          <w:rFonts w:ascii="Arial" w:cs="Arial" w:eastAsia="Arial" w:hAnsi="Arial"/>
          <w:sz w:val="19"/>
          <w:szCs w:val="19"/>
          <w:color w:val="auto"/>
        </w:rPr>
        <w:t>2</w:t>
      </w:r>
    </w:p>
    <w:p>
      <w:pPr>
        <w:sectPr>
          <w:pgSz w:w="11900" w:h="16838" w:orient="portrait"/>
          <w:cols w:equalWidth="0" w:num="1">
            <w:col w:w="11424"/>
          </w:cols>
          <w:pgMar w:left="236" w:top="577" w:right="239" w:bottom="1440" w:gutter="0" w:footer="0" w:header="0"/>
        </w:sectPr>
      </w:pPr>
    </w:p>
    <w:bookmarkStart w:id="5" w:name="page6"/>
    <w:bookmarkEnd w:id="5"/>
    <w:p>
      <w:pPr>
        <w:jc w:val="both"/>
        <w:spacing w:after="0" w:line="336" w:lineRule="auto"/>
        <w:rPr>
          <w:sz w:val="20"/>
          <w:szCs w:val="20"/>
          <w:color w:val="auto"/>
        </w:rPr>
      </w:pPr>
      <w:r>
        <w:rPr>
          <w:rFonts w:ascii="Arial" w:cs="Arial" w:eastAsia="Arial" w:hAnsi="Arial"/>
          <w:sz w:val="17"/>
          <w:szCs w:val="17"/>
          <w:color w:val="auto"/>
        </w:rPr>
        <w:t>Sales in cardiopulmonary products were $146.7 million, representing a 6.8 percent increase versus the fourth quarter of 2017. This was primarily due to customers upgrading from older S3</w:t>
      </w:r>
      <w:r>
        <w:rPr>
          <w:rFonts w:ascii="Arial" w:cs="Arial" w:eastAsia="Arial" w:hAnsi="Arial"/>
          <w:sz w:val="21"/>
          <w:szCs w:val="21"/>
          <w:color w:val="auto"/>
          <w:vertAlign w:val="superscript"/>
        </w:rPr>
        <w:t>®</w:t>
      </w:r>
      <w:r>
        <w:rPr>
          <w:rFonts w:ascii="Arial" w:cs="Arial" w:eastAsia="Arial" w:hAnsi="Arial"/>
          <w:sz w:val="17"/>
          <w:szCs w:val="17"/>
          <w:color w:val="auto"/>
        </w:rPr>
        <w:t xml:space="preserve"> heart-lung machines to the current S5 machines, as well as growth in Inspire</w:t>
      </w:r>
      <w:r>
        <w:rPr>
          <w:rFonts w:ascii="Arial" w:cs="Arial" w:eastAsia="Arial" w:hAnsi="Arial"/>
          <w:sz w:val="21"/>
          <w:szCs w:val="21"/>
          <w:color w:val="auto"/>
          <w:vertAlign w:val="superscript"/>
        </w:rPr>
        <w:t>®</w:t>
      </w:r>
      <w:r>
        <w:rPr>
          <w:rFonts w:ascii="Arial" w:cs="Arial" w:eastAsia="Arial" w:hAnsi="Arial"/>
          <w:sz w:val="17"/>
          <w:szCs w:val="17"/>
          <w:color w:val="auto"/>
        </w:rPr>
        <w:t xml:space="preserve"> oxygenators.</w:t>
      </w:r>
    </w:p>
    <w:p>
      <w:pPr>
        <w:spacing w:after="0" w:line="322" w:lineRule="exact"/>
        <w:rPr>
          <w:sz w:val="20"/>
          <w:szCs w:val="20"/>
          <w:color w:val="auto"/>
        </w:rPr>
      </w:pPr>
    </w:p>
    <w:p>
      <w:pPr>
        <w:jc w:val="both"/>
        <w:spacing w:after="0" w:line="363" w:lineRule="auto"/>
        <w:rPr>
          <w:sz w:val="20"/>
          <w:szCs w:val="20"/>
          <w:color w:val="auto"/>
        </w:rPr>
      </w:pPr>
      <w:r>
        <w:rPr>
          <w:rFonts w:ascii="Arial" w:cs="Arial" w:eastAsia="Arial" w:hAnsi="Arial"/>
          <w:sz w:val="18"/>
          <w:szCs w:val="18"/>
          <w:color w:val="auto"/>
        </w:rPr>
        <w:t>Heart valve sales, including tissue and mechanical heart valves, were $28.6 million, a decrease of 17.1 percent compared to the fourth quarter of 2017. This business was impacted by softness in the sales of the Perceval sutureless aortic heart valve in some international markets, the previously disclosed termination of a contract manufacturing agreement and global declines in traditional tissue heart valves.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Neuromodulation</w:t>
      </w:r>
    </w:p>
    <w:p>
      <w:pPr>
        <w:spacing w:after="0" w:line="126" w:lineRule="exact"/>
        <w:rPr>
          <w:sz w:val="20"/>
          <w:szCs w:val="20"/>
          <w:color w:val="auto"/>
        </w:rPr>
      </w:pPr>
    </w:p>
    <w:p>
      <w:pPr>
        <w:jc w:val="both"/>
        <w:ind w:right="20"/>
        <w:spacing w:after="0" w:line="365" w:lineRule="auto"/>
        <w:rPr>
          <w:sz w:val="20"/>
          <w:szCs w:val="20"/>
          <w:color w:val="auto"/>
        </w:rPr>
      </w:pPr>
      <w:r>
        <w:rPr>
          <w:rFonts w:ascii="Arial" w:cs="Arial" w:eastAsia="Arial" w:hAnsi="Arial"/>
          <w:sz w:val="18"/>
          <w:szCs w:val="18"/>
          <w:color w:val="auto"/>
        </w:rPr>
        <w:t>Neuromodulation sales were $113.6 million in the fourth quarter, representing a 14.5 percent increase versus the fourth quarter of 2017. Sales were driven by strong demand for the SenTiva VNS Therapy System in the U.S. and Europe and very strong growth in Rest of World.</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Performance</w:t>
      </w:r>
    </w:p>
    <w:p>
      <w:pPr>
        <w:spacing w:after="0" w:line="126" w:lineRule="exact"/>
        <w:rPr>
          <w:sz w:val="20"/>
          <w:szCs w:val="20"/>
          <w:color w:val="auto"/>
        </w:rPr>
      </w:pPr>
    </w:p>
    <w:p>
      <w:pPr>
        <w:jc w:val="both"/>
        <w:spacing w:after="0" w:line="361" w:lineRule="auto"/>
        <w:rPr>
          <w:sz w:val="20"/>
          <w:szCs w:val="20"/>
          <w:color w:val="auto"/>
        </w:rPr>
      </w:pPr>
      <w:r>
        <w:rPr>
          <w:rFonts w:ascii="Arial" w:cs="Arial" w:eastAsia="Arial" w:hAnsi="Arial"/>
          <w:sz w:val="18"/>
          <w:szCs w:val="18"/>
          <w:color w:val="auto"/>
        </w:rPr>
        <w:t>On a GAAP basis, fourth quarter 2018 operating loss from continuing operations was $276.5 million, which includes the $294.0 million pre-tax provision ($223.4 million after-tax) for litigation involving the Company's 3T Heater-Cooler device. Adjusted operating income from continuing operations for the fourth quarter of 2018 was $67.8 million, an increase of 21.5 percent as compared to the fourth quarter of 2017, primarily driven by favorable product mix and gross profit improvements, partially offset by expected increases in operating expenses due to increased R&amp;D investment to support strategic portfolio initiatives and commercial expansion for advanced circulatory support in the U.S. and infrastructure build in Rest of World.</w:t>
      </w:r>
    </w:p>
    <w:p>
      <w:pPr>
        <w:spacing w:after="0" w:line="311" w:lineRule="exact"/>
        <w:rPr>
          <w:sz w:val="20"/>
          <w:szCs w:val="20"/>
          <w:color w:val="auto"/>
        </w:rPr>
      </w:pPr>
    </w:p>
    <w:p>
      <w:pPr>
        <w:jc w:val="both"/>
        <w:ind w:right="20"/>
        <w:spacing w:after="0" w:line="365" w:lineRule="auto"/>
        <w:rPr>
          <w:sz w:val="20"/>
          <w:szCs w:val="20"/>
          <w:color w:val="auto"/>
        </w:rPr>
      </w:pPr>
      <w:r>
        <w:rPr>
          <w:rFonts w:ascii="Arial" w:cs="Arial" w:eastAsia="Arial" w:hAnsi="Arial"/>
          <w:sz w:val="18"/>
          <w:szCs w:val="18"/>
          <w:color w:val="auto"/>
        </w:rPr>
        <w:t>Fourth quarter 2018 adjusted diluted earnings per share from continuing operations were $1.12, an increase of 27.3 percent as compared to the fourth quarter of 2017.</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w:t>
      </w:r>
    </w:p>
    <w:p>
      <w:pPr>
        <w:sectPr>
          <w:pgSz w:w="11900" w:h="16838" w:orient="portrait"/>
          <w:cols w:equalWidth="0" w:num="1">
            <w:col w:w="11440"/>
          </w:cols>
          <w:pgMar w:left="240" w:top="639" w:right="219" w:bottom="1440" w:gutter="0" w:footer="0" w:header="0"/>
        </w:sectPr>
      </w:pPr>
    </w:p>
    <w:bookmarkStart w:id="6" w:name="page7"/>
    <w:bookmarkEnd w:id="6"/>
    <w:p>
      <w:pPr>
        <w:ind w:left="4"/>
        <w:spacing w:after="0"/>
        <w:rPr>
          <w:sz w:val="20"/>
          <w:szCs w:val="20"/>
          <w:color w:val="auto"/>
        </w:rPr>
      </w:pPr>
      <w:r>
        <w:rPr>
          <w:rFonts w:ascii="Arial" w:cs="Arial" w:eastAsia="Arial" w:hAnsi="Arial"/>
          <w:sz w:val="18"/>
          <w:szCs w:val="18"/>
          <w:b w:val="1"/>
          <w:bCs w:val="1"/>
          <w:u w:val="single" w:color="auto"/>
          <w:color w:val="auto"/>
        </w:rPr>
        <w:t>Full-Year 2018 Results</w:t>
      </w:r>
    </w:p>
    <w:p>
      <w:pPr>
        <w:spacing w:after="0" w:line="126" w:lineRule="exact"/>
        <w:rPr>
          <w:sz w:val="20"/>
          <w:szCs w:val="20"/>
          <w:color w:val="auto"/>
        </w:rPr>
      </w:pPr>
    </w:p>
    <w:p>
      <w:pPr>
        <w:ind w:left="4"/>
        <w:spacing w:after="0"/>
        <w:rPr>
          <w:sz w:val="20"/>
          <w:szCs w:val="20"/>
          <w:color w:val="auto"/>
        </w:rPr>
      </w:pPr>
      <w:r>
        <w:rPr>
          <w:rFonts w:ascii="Arial" w:cs="Arial" w:eastAsia="Arial" w:hAnsi="Arial"/>
          <w:sz w:val="16"/>
          <w:szCs w:val="16"/>
          <w:color w:val="auto"/>
        </w:rPr>
        <w:t>Worldwide sales for full-year 2018 from continuing operations were $1.1 billion, up 8.8 percent on a constant-currency basis compared to full-year</w:t>
      </w:r>
    </w:p>
    <w:p>
      <w:pPr>
        <w:spacing w:after="0" w:line="127" w:lineRule="exact"/>
        <w:rPr>
          <w:sz w:val="20"/>
          <w:szCs w:val="20"/>
          <w:color w:val="auto"/>
        </w:rPr>
      </w:pPr>
    </w:p>
    <w:p>
      <w:pPr>
        <w:ind w:left="4"/>
        <w:spacing w:after="0"/>
        <w:rPr>
          <w:sz w:val="20"/>
          <w:szCs w:val="20"/>
          <w:color w:val="auto"/>
        </w:rPr>
      </w:pPr>
      <w:r>
        <w:rPr>
          <w:rFonts w:ascii="Arial" w:cs="Arial" w:eastAsia="Arial" w:hAnsi="Arial"/>
          <w:sz w:val="18"/>
          <w:szCs w:val="18"/>
          <w:color w:val="auto"/>
        </w:rPr>
        <w:t>2017. The following table highlights worldwide sales for full-year 2018 and by business:</w:t>
      </w:r>
    </w:p>
    <w:p>
      <w:pPr>
        <w:spacing w:after="0" w:line="147" w:lineRule="exact"/>
        <w:rPr>
          <w:sz w:val="20"/>
          <w:szCs w:val="20"/>
          <w:color w:val="auto"/>
        </w:rPr>
      </w:pPr>
    </w:p>
    <w:tbl>
      <w:tblPr>
        <w:tblLayout w:type="fixed"/>
        <w:tblInd w:w="14" w:type="dxa"/>
        <w:tblCellMar>
          <w:top w:w="0" w:type="dxa"/>
          <w:left w:w="0" w:type="dxa"/>
          <w:bottom w:w="0" w:type="dxa"/>
          <w:right w:w="0" w:type="dxa"/>
        </w:tblCellMar>
      </w:tblPr>
      <w:tr>
        <w:trPr>
          <w:trHeight w:val="239"/>
        </w:trPr>
        <w:tc>
          <w:tcPr>
            <w:tcW w:w="44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3"/>
                <w:szCs w:val="13"/>
                <w:i w:val="1"/>
                <w:iCs w:val="1"/>
                <w:color w:val="auto"/>
              </w:rPr>
              <w:t>$ in millions</w:t>
            </w:r>
          </w:p>
        </w:tc>
        <w:tc>
          <w:tcPr>
            <w:tcW w:w="3580" w:type="dxa"/>
            <w:vAlign w:val="bottom"/>
            <w:tcBorders>
              <w:top w:val="single" w:sz="8" w:color="auto"/>
              <w:bottom w:val="single" w:sz="8" w:color="auto"/>
              <w:right w:val="single" w:sz="8" w:color="auto"/>
            </w:tcBorders>
            <w:gridSpan w:val="2"/>
          </w:tcPr>
          <w:p>
            <w:pPr>
              <w:jc w:val="right"/>
              <w:ind w:right="419"/>
              <w:spacing w:after="0"/>
              <w:rPr>
                <w:sz w:val="20"/>
                <w:szCs w:val="20"/>
                <w:color w:val="auto"/>
              </w:rPr>
            </w:pPr>
            <w:r>
              <w:rPr>
                <w:rFonts w:ascii="Arial" w:cs="Arial" w:eastAsia="Arial" w:hAnsi="Arial"/>
                <w:sz w:val="16"/>
                <w:szCs w:val="16"/>
                <w:color w:val="auto"/>
              </w:rPr>
              <w:t>Twelve months ended December 31,</w:t>
            </w:r>
          </w:p>
        </w:tc>
        <w:tc>
          <w:tcPr>
            <w:tcW w:w="1700" w:type="dxa"/>
            <w:vAlign w:val="bottom"/>
            <w:tcBorders>
              <w:top w:val="single" w:sz="8" w:color="auto"/>
              <w:right w:val="single" w:sz="8" w:color="auto"/>
            </w:tcBorders>
          </w:tcPr>
          <w:p>
            <w:pPr>
              <w:jc w:val="right"/>
              <w:ind w:right="259"/>
              <w:spacing w:after="0"/>
              <w:rPr>
                <w:sz w:val="20"/>
                <w:szCs w:val="20"/>
                <w:color w:val="auto"/>
              </w:rPr>
            </w:pPr>
            <w:r>
              <w:rPr>
                <w:rFonts w:ascii="Arial" w:cs="Arial" w:eastAsia="Arial" w:hAnsi="Arial"/>
                <w:sz w:val="16"/>
                <w:szCs w:val="16"/>
                <w:color w:val="auto"/>
              </w:rPr>
              <w:t>As Reported %</w:t>
            </w:r>
          </w:p>
        </w:tc>
        <w:tc>
          <w:tcPr>
            <w:tcW w:w="1700" w:type="dxa"/>
            <w:vAlign w:val="bottom"/>
            <w:tcBorders>
              <w:top w:val="single" w:sz="8" w:color="auto"/>
              <w:right w:val="single" w:sz="8" w:color="auto"/>
            </w:tcBorders>
          </w:tcPr>
          <w:p>
            <w:pPr>
              <w:jc w:val="right"/>
              <w:ind w:right="119"/>
              <w:spacing w:after="0"/>
              <w:rPr>
                <w:sz w:val="20"/>
                <w:szCs w:val="20"/>
                <w:color w:val="auto"/>
              </w:rPr>
            </w:pPr>
            <w:r>
              <w:rPr>
                <w:rFonts w:ascii="Arial" w:cs="Arial" w:eastAsia="Arial" w:hAnsi="Arial"/>
                <w:sz w:val="16"/>
                <w:szCs w:val="16"/>
                <w:color w:val="auto"/>
              </w:rPr>
              <w:t>Constant Currency</w:t>
            </w:r>
          </w:p>
        </w:tc>
      </w:tr>
      <w:tr>
        <w:trPr>
          <w:trHeight w:val="214"/>
        </w:trPr>
        <w:tc>
          <w:tcPr>
            <w:tcW w:w="4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Business / Product Line:</w:t>
            </w:r>
          </w:p>
        </w:tc>
        <w:tc>
          <w:tcPr>
            <w:tcW w:w="1780" w:type="dxa"/>
            <w:vAlign w:val="bottom"/>
            <w:tcBorders>
              <w:bottom w:val="single" w:sz="8" w:color="auto"/>
              <w:right w:val="single" w:sz="8" w:color="auto"/>
            </w:tcBorders>
          </w:tcPr>
          <w:p>
            <w:pPr>
              <w:jc w:val="right"/>
              <w:ind w:right="640"/>
              <w:spacing w:after="0"/>
              <w:rPr>
                <w:sz w:val="20"/>
                <w:szCs w:val="20"/>
                <w:color w:val="auto"/>
              </w:rPr>
            </w:pPr>
            <w:r>
              <w:rPr>
                <w:rFonts w:ascii="Arial" w:cs="Arial" w:eastAsia="Arial" w:hAnsi="Arial"/>
                <w:sz w:val="16"/>
                <w:szCs w:val="16"/>
                <w:color w:val="auto"/>
              </w:rPr>
              <w:t>2018</w:t>
            </w:r>
          </w:p>
        </w:tc>
        <w:tc>
          <w:tcPr>
            <w:tcW w:w="1800" w:type="dxa"/>
            <w:vAlign w:val="bottom"/>
            <w:tcBorders>
              <w:bottom w:val="single" w:sz="8" w:color="auto"/>
              <w:right w:val="single" w:sz="8" w:color="auto"/>
            </w:tcBorders>
          </w:tcPr>
          <w:p>
            <w:pPr>
              <w:jc w:val="right"/>
              <w:ind w:right="659"/>
              <w:spacing w:after="0"/>
              <w:rPr>
                <w:sz w:val="20"/>
                <w:szCs w:val="20"/>
                <w:color w:val="auto"/>
              </w:rPr>
            </w:pPr>
            <w:r>
              <w:rPr>
                <w:rFonts w:ascii="Arial" w:cs="Arial" w:eastAsia="Arial" w:hAnsi="Arial"/>
                <w:sz w:val="16"/>
                <w:szCs w:val="16"/>
                <w:color w:val="auto"/>
              </w:rPr>
              <w:t>2017</w:t>
            </w:r>
          </w:p>
        </w:tc>
        <w:tc>
          <w:tcPr>
            <w:tcW w:w="1700" w:type="dxa"/>
            <w:vAlign w:val="bottom"/>
            <w:tcBorders>
              <w:bottom w:val="single" w:sz="8" w:color="auto"/>
              <w:right w:val="single" w:sz="8" w:color="auto"/>
            </w:tcBorders>
          </w:tcPr>
          <w:p>
            <w:pPr>
              <w:jc w:val="right"/>
              <w:ind w:right="519"/>
              <w:spacing w:after="0" w:line="172" w:lineRule="exact"/>
              <w:rPr>
                <w:sz w:val="20"/>
                <w:szCs w:val="20"/>
                <w:color w:val="auto"/>
              </w:rPr>
            </w:pPr>
            <w:r>
              <w:rPr>
                <w:rFonts w:ascii="Arial" w:cs="Arial" w:eastAsia="Arial" w:hAnsi="Arial"/>
                <w:sz w:val="16"/>
                <w:szCs w:val="16"/>
                <w:color w:val="auto"/>
              </w:rPr>
              <w:t>Change</w:t>
            </w:r>
          </w:p>
        </w:tc>
        <w:tc>
          <w:tcPr>
            <w:tcW w:w="1700" w:type="dxa"/>
            <w:vAlign w:val="bottom"/>
            <w:tcBorders>
              <w:bottom w:val="single" w:sz="8" w:color="auto"/>
              <w:right w:val="single" w:sz="8" w:color="auto"/>
            </w:tcBorders>
          </w:tcPr>
          <w:p>
            <w:pPr>
              <w:jc w:val="right"/>
              <w:ind w:right="419"/>
              <w:spacing w:after="0" w:line="172" w:lineRule="exact"/>
              <w:rPr>
                <w:sz w:val="20"/>
                <w:szCs w:val="20"/>
                <w:color w:val="auto"/>
              </w:rPr>
            </w:pPr>
            <w:r>
              <w:rPr>
                <w:rFonts w:ascii="Arial" w:cs="Arial" w:eastAsia="Arial" w:hAnsi="Arial"/>
                <w:sz w:val="16"/>
                <w:szCs w:val="16"/>
                <w:color w:val="auto"/>
              </w:rPr>
              <w:t>% Change</w:t>
            </w:r>
          </w:p>
        </w:tc>
      </w:tr>
      <w:tr>
        <w:trPr>
          <w:trHeight w:val="214"/>
        </w:trPr>
        <w:tc>
          <w:tcPr>
            <w:tcW w:w="44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i w:val="1"/>
                <w:iCs w:val="1"/>
                <w:color w:val="auto"/>
              </w:rPr>
              <w:t>Cardiopulmonary</w:t>
            </w:r>
          </w:p>
        </w:tc>
        <w:tc>
          <w:tcPr>
            <w:tcW w:w="1780" w:type="dxa"/>
            <w:vAlign w:val="bottom"/>
            <w:tcBorders>
              <w:right w:val="single" w:sz="8" w:color="auto"/>
            </w:tcBorders>
          </w:tcPr>
          <w:p>
            <w:pPr>
              <w:jc w:val="right"/>
              <w:ind w:right="40"/>
              <w:spacing w:after="0"/>
              <w:rPr>
                <w:sz w:val="20"/>
                <w:szCs w:val="20"/>
                <w:color w:val="auto"/>
              </w:rPr>
            </w:pPr>
            <w:r>
              <w:rPr>
                <w:rFonts w:ascii="Arial" w:cs="Arial" w:eastAsia="Arial" w:hAnsi="Arial"/>
                <w:sz w:val="16"/>
                <w:szCs w:val="16"/>
                <w:i w:val="1"/>
                <w:iCs w:val="1"/>
                <w:color w:val="auto"/>
              </w:rPr>
              <w:t>$536.4</w:t>
            </w:r>
          </w:p>
        </w:tc>
        <w:tc>
          <w:tcPr>
            <w:tcW w:w="1800" w:type="dxa"/>
            <w:vAlign w:val="bottom"/>
            <w:tcBorders>
              <w:right w:val="single" w:sz="8" w:color="auto"/>
            </w:tcBorders>
          </w:tcPr>
          <w:p>
            <w:pPr>
              <w:jc w:val="right"/>
              <w:ind w:right="59"/>
              <w:spacing w:after="0"/>
              <w:rPr>
                <w:sz w:val="20"/>
                <w:szCs w:val="20"/>
                <w:color w:val="auto"/>
              </w:rPr>
            </w:pPr>
            <w:r>
              <w:rPr>
                <w:rFonts w:ascii="Arial" w:cs="Arial" w:eastAsia="Arial" w:hAnsi="Arial"/>
                <w:sz w:val="16"/>
                <w:szCs w:val="16"/>
                <w:i w:val="1"/>
                <w:iCs w:val="1"/>
                <w:color w:val="auto"/>
              </w:rPr>
              <w:t>$497.3</w:t>
            </w:r>
          </w:p>
        </w:tc>
        <w:tc>
          <w:tcPr>
            <w:tcW w:w="170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i w:val="1"/>
                <w:iCs w:val="1"/>
                <w:color w:val="auto"/>
              </w:rPr>
              <w:t>7.9%</w:t>
            </w:r>
          </w:p>
        </w:tc>
        <w:tc>
          <w:tcPr>
            <w:tcW w:w="170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i w:val="1"/>
                <w:iCs w:val="1"/>
                <w:color w:val="auto"/>
              </w:rPr>
              <w:t>7.2%</w:t>
            </w:r>
          </w:p>
        </w:tc>
      </w:tr>
      <w:tr>
        <w:trPr>
          <w:trHeight w:val="24"/>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r>
      <w:tr>
        <w:trPr>
          <w:trHeight w:val="214"/>
        </w:trPr>
        <w:tc>
          <w:tcPr>
            <w:tcW w:w="44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6"/>
                <w:szCs w:val="16"/>
                <w:i w:val="1"/>
                <w:iCs w:val="1"/>
                <w:color w:val="auto"/>
              </w:rPr>
              <w:t>Heart Valves</w:t>
            </w:r>
          </w:p>
        </w:tc>
        <w:tc>
          <w:tcPr>
            <w:tcW w:w="1780" w:type="dxa"/>
            <w:vAlign w:val="bottom"/>
            <w:tcBorders>
              <w:bottom w:val="single" w:sz="8" w:color="auto"/>
              <w:right w:val="single" w:sz="8" w:color="auto"/>
            </w:tcBorders>
          </w:tcPr>
          <w:p>
            <w:pPr>
              <w:jc w:val="right"/>
              <w:ind w:right="40"/>
              <w:spacing w:after="0"/>
              <w:rPr>
                <w:sz w:val="20"/>
                <w:szCs w:val="20"/>
                <w:color w:val="auto"/>
              </w:rPr>
            </w:pPr>
            <w:r>
              <w:rPr>
                <w:rFonts w:ascii="Arial" w:cs="Arial" w:eastAsia="Arial" w:hAnsi="Arial"/>
                <w:sz w:val="16"/>
                <w:szCs w:val="16"/>
                <w:i w:val="1"/>
                <w:iCs w:val="1"/>
                <w:color w:val="auto"/>
              </w:rPr>
              <w:t>126.0</w:t>
            </w:r>
          </w:p>
        </w:tc>
        <w:tc>
          <w:tcPr>
            <w:tcW w:w="180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i w:val="1"/>
                <w:iCs w:val="1"/>
                <w:color w:val="auto"/>
              </w:rPr>
              <w:t>138.2</w:t>
            </w:r>
          </w:p>
        </w:tc>
        <w:tc>
          <w:tcPr>
            <w:tcW w:w="17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i w:val="1"/>
                <w:iCs w:val="1"/>
                <w:color w:val="auto"/>
              </w:rPr>
              <w:t>(8.9%)</w:t>
            </w:r>
          </w:p>
        </w:tc>
        <w:tc>
          <w:tcPr>
            <w:tcW w:w="17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i w:val="1"/>
                <w:iCs w:val="1"/>
                <w:color w:val="auto"/>
              </w:rPr>
              <w:t>(9.4%)</w:t>
            </w:r>
          </w:p>
        </w:tc>
      </w:tr>
      <w:tr>
        <w:trPr>
          <w:trHeight w:val="233"/>
        </w:trPr>
        <w:tc>
          <w:tcPr>
            <w:tcW w:w="44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6"/>
                <w:szCs w:val="16"/>
                <w:i w:val="1"/>
                <w:iCs w:val="1"/>
                <w:color w:val="auto"/>
              </w:rPr>
              <w:t>Advanced Circulatory Support</w:t>
            </w:r>
          </w:p>
        </w:tc>
        <w:tc>
          <w:tcPr>
            <w:tcW w:w="1780" w:type="dxa"/>
            <w:vAlign w:val="bottom"/>
            <w:tcBorders>
              <w:bottom w:val="single" w:sz="8" w:color="auto"/>
              <w:right w:val="single" w:sz="8" w:color="auto"/>
            </w:tcBorders>
          </w:tcPr>
          <w:p>
            <w:pPr>
              <w:jc w:val="right"/>
              <w:ind w:right="40"/>
              <w:spacing w:after="0"/>
              <w:rPr>
                <w:sz w:val="20"/>
                <w:szCs w:val="20"/>
                <w:color w:val="auto"/>
              </w:rPr>
            </w:pPr>
            <w:r>
              <w:rPr>
                <w:rFonts w:ascii="Arial" w:cs="Arial" w:eastAsia="Arial" w:hAnsi="Arial"/>
                <w:sz w:val="16"/>
                <w:szCs w:val="16"/>
                <w:i w:val="1"/>
                <w:iCs w:val="1"/>
                <w:color w:val="auto"/>
              </w:rPr>
              <w:t>19.5</w:t>
            </w:r>
          </w:p>
        </w:tc>
        <w:tc>
          <w:tcPr>
            <w:tcW w:w="180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8"/>
                <w:szCs w:val="18"/>
                <w:i w:val="1"/>
                <w:iCs w:val="1"/>
                <w:color w:val="auto"/>
              </w:rPr>
              <w:t>—</w:t>
            </w:r>
          </w:p>
        </w:tc>
        <w:tc>
          <w:tcPr>
            <w:tcW w:w="1700" w:type="dxa"/>
            <w:vAlign w:val="bottom"/>
            <w:tcBorders>
              <w:bottom w:val="single" w:sz="8" w:color="auto"/>
              <w:right w:val="single" w:sz="8" w:color="auto"/>
            </w:tcBorders>
          </w:tcPr>
          <w:p>
            <w:pPr>
              <w:jc w:val="right"/>
              <w:ind w:right="179"/>
              <w:spacing w:after="0"/>
              <w:rPr>
                <w:sz w:val="20"/>
                <w:szCs w:val="20"/>
                <w:color w:val="auto"/>
              </w:rPr>
            </w:pPr>
            <w:r>
              <w:rPr>
                <w:rFonts w:ascii="Arial" w:cs="Arial" w:eastAsia="Arial" w:hAnsi="Arial"/>
                <w:sz w:val="18"/>
                <w:szCs w:val="18"/>
                <w:i w:val="1"/>
                <w:iCs w:val="1"/>
                <w:color w:val="auto"/>
              </w:rPr>
              <w:t>N/A</w:t>
            </w:r>
          </w:p>
        </w:tc>
        <w:tc>
          <w:tcPr>
            <w:tcW w:w="1700" w:type="dxa"/>
            <w:vAlign w:val="bottom"/>
            <w:tcBorders>
              <w:bottom w:val="single" w:sz="8" w:color="auto"/>
              <w:right w:val="single" w:sz="8" w:color="auto"/>
            </w:tcBorders>
          </w:tcPr>
          <w:p>
            <w:pPr>
              <w:jc w:val="right"/>
              <w:ind w:right="179"/>
              <w:spacing w:after="0"/>
              <w:rPr>
                <w:sz w:val="20"/>
                <w:szCs w:val="20"/>
                <w:color w:val="auto"/>
              </w:rPr>
            </w:pPr>
            <w:r>
              <w:rPr>
                <w:rFonts w:ascii="Arial" w:cs="Arial" w:eastAsia="Arial" w:hAnsi="Arial"/>
                <w:sz w:val="18"/>
                <w:szCs w:val="18"/>
                <w:i w:val="1"/>
                <w:iCs w:val="1"/>
                <w:color w:val="auto"/>
              </w:rPr>
              <w:t>N/A</w:t>
            </w:r>
          </w:p>
        </w:tc>
      </w:tr>
      <w:tr>
        <w:trPr>
          <w:trHeight w:val="218"/>
        </w:trPr>
        <w:tc>
          <w:tcPr>
            <w:tcW w:w="4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Cardiovascular</w:t>
            </w:r>
          </w:p>
        </w:tc>
        <w:tc>
          <w:tcPr>
            <w:tcW w:w="1780" w:type="dxa"/>
            <w:vAlign w:val="bottom"/>
            <w:tcBorders>
              <w:bottom w:val="single" w:sz="8" w:color="auto"/>
              <w:right w:val="single" w:sz="8" w:color="auto"/>
            </w:tcBorders>
          </w:tcPr>
          <w:p>
            <w:pPr>
              <w:jc w:val="right"/>
              <w:ind w:right="40"/>
              <w:spacing w:after="0"/>
              <w:rPr>
                <w:sz w:val="20"/>
                <w:szCs w:val="20"/>
                <w:color w:val="auto"/>
              </w:rPr>
            </w:pPr>
            <w:r>
              <w:rPr>
                <w:rFonts w:ascii="Arial" w:cs="Arial" w:eastAsia="Arial" w:hAnsi="Arial"/>
                <w:sz w:val="16"/>
                <w:szCs w:val="16"/>
                <w:color w:val="auto"/>
              </w:rPr>
              <w:t>681.8</w:t>
            </w:r>
          </w:p>
        </w:tc>
        <w:tc>
          <w:tcPr>
            <w:tcW w:w="180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635.5</w:t>
            </w:r>
          </w:p>
        </w:tc>
        <w:tc>
          <w:tcPr>
            <w:tcW w:w="170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7.3%</w:t>
            </w:r>
          </w:p>
        </w:tc>
        <w:tc>
          <w:tcPr>
            <w:tcW w:w="170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6.6%</w:t>
            </w:r>
          </w:p>
        </w:tc>
      </w:tr>
      <w:tr>
        <w:trPr>
          <w:trHeight w:val="220"/>
        </w:trPr>
        <w:tc>
          <w:tcPr>
            <w:tcW w:w="4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Neuromodulation</w:t>
            </w:r>
          </w:p>
        </w:tc>
        <w:tc>
          <w:tcPr>
            <w:tcW w:w="1780" w:type="dxa"/>
            <w:vAlign w:val="bottom"/>
            <w:tcBorders>
              <w:bottom w:val="single" w:sz="8" w:color="auto"/>
              <w:right w:val="single" w:sz="8" w:color="auto"/>
            </w:tcBorders>
          </w:tcPr>
          <w:p>
            <w:pPr>
              <w:jc w:val="right"/>
              <w:ind w:right="40"/>
              <w:spacing w:after="0"/>
              <w:rPr>
                <w:sz w:val="20"/>
                <w:szCs w:val="20"/>
                <w:color w:val="auto"/>
              </w:rPr>
            </w:pPr>
            <w:r>
              <w:rPr>
                <w:rFonts w:ascii="Arial" w:cs="Arial" w:eastAsia="Arial" w:hAnsi="Arial"/>
                <w:sz w:val="16"/>
                <w:szCs w:val="16"/>
                <w:color w:val="auto"/>
              </w:rPr>
              <w:t>423.0</w:t>
            </w:r>
          </w:p>
        </w:tc>
        <w:tc>
          <w:tcPr>
            <w:tcW w:w="180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375.0</w:t>
            </w:r>
          </w:p>
        </w:tc>
        <w:tc>
          <w:tcPr>
            <w:tcW w:w="170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12.8%</w:t>
            </w:r>
          </w:p>
        </w:tc>
        <w:tc>
          <w:tcPr>
            <w:tcW w:w="170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12.5%</w:t>
            </w:r>
          </w:p>
        </w:tc>
      </w:tr>
      <w:tr>
        <w:trPr>
          <w:trHeight w:val="220"/>
        </w:trPr>
        <w:tc>
          <w:tcPr>
            <w:tcW w:w="4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Other</w:t>
            </w:r>
          </w:p>
        </w:tc>
        <w:tc>
          <w:tcPr>
            <w:tcW w:w="1780" w:type="dxa"/>
            <w:vAlign w:val="bottom"/>
            <w:tcBorders>
              <w:bottom w:val="single" w:sz="8" w:color="auto"/>
              <w:right w:val="single" w:sz="8" w:color="auto"/>
            </w:tcBorders>
          </w:tcPr>
          <w:p>
            <w:pPr>
              <w:jc w:val="right"/>
              <w:ind w:right="40"/>
              <w:spacing w:after="0"/>
              <w:rPr>
                <w:sz w:val="20"/>
                <w:szCs w:val="20"/>
                <w:color w:val="auto"/>
              </w:rPr>
            </w:pPr>
            <w:r>
              <w:rPr>
                <w:rFonts w:ascii="Arial" w:cs="Arial" w:eastAsia="Arial" w:hAnsi="Arial"/>
                <w:sz w:val="16"/>
                <w:szCs w:val="16"/>
                <w:color w:val="auto"/>
              </w:rPr>
              <w:t>2.1</w:t>
            </w:r>
          </w:p>
        </w:tc>
        <w:tc>
          <w:tcPr>
            <w:tcW w:w="180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1.8</w:t>
            </w:r>
          </w:p>
        </w:tc>
        <w:tc>
          <w:tcPr>
            <w:tcW w:w="170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w:t>
            </w:r>
          </w:p>
        </w:tc>
      </w:tr>
      <w:tr>
        <w:trPr>
          <w:trHeight w:val="220"/>
        </w:trPr>
        <w:tc>
          <w:tcPr>
            <w:tcW w:w="4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Total Net Sales</w:t>
            </w:r>
          </w:p>
        </w:tc>
        <w:tc>
          <w:tcPr>
            <w:tcW w:w="1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$1,107.0</w:t>
            </w:r>
          </w:p>
        </w:tc>
        <w:tc>
          <w:tcPr>
            <w:tcW w:w="18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$1,012.3</w:t>
            </w:r>
          </w:p>
        </w:tc>
        <w:tc>
          <w:tcPr>
            <w:tcW w:w="170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9.4%</w:t>
            </w:r>
          </w:p>
        </w:tc>
        <w:tc>
          <w:tcPr>
            <w:tcW w:w="170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8.8%</w:t>
            </w:r>
          </w:p>
        </w:tc>
      </w:tr>
    </w:tbl>
    <w:p>
      <w:pPr>
        <w:spacing w:after="0" w:line="169" w:lineRule="exact"/>
        <w:rPr>
          <w:sz w:val="20"/>
          <w:szCs w:val="20"/>
          <w:color w:val="auto"/>
        </w:rPr>
      </w:pPr>
    </w:p>
    <w:p>
      <w:pPr>
        <w:ind w:left="224" w:hanging="224"/>
        <w:spacing w:after="0"/>
        <w:tabs>
          <w:tab w:leader="none" w:pos="224" w:val="left"/>
        </w:tabs>
        <w:numPr>
          <w:ilvl w:val="0"/>
          <w:numId w:val="3"/>
        </w:numPr>
        <w:rPr>
          <w:rFonts w:ascii="Arial" w:cs="Arial" w:eastAsia="Arial" w:hAnsi="Arial"/>
          <w:sz w:val="14"/>
          <w:szCs w:val="14"/>
          <w:color w:val="auto"/>
        </w:rPr>
      </w:pPr>
      <w:r>
        <w:rPr>
          <w:rFonts w:ascii="Arial" w:cs="Arial" w:eastAsia="Arial" w:hAnsi="Arial"/>
          <w:sz w:val="14"/>
          <w:szCs w:val="14"/>
          <w:color w:val="auto"/>
        </w:rPr>
        <w:t>Note: Numbers may not add up precisely due to rounding. Constant-currency % change is considered a non-GAAP metric.</w:t>
      </w:r>
    </w:p>
    <w:p>
      <w:pPr>
        <w:spacing w:after="0" w:line="229" w:lineRule="exact"/>
        <w:rPr>
          <w:sz w:val="20"/>
          <w:szCs w:val="20"/>
          <w:color w:val="auto"/>
        </w:rPr>
      </w:pPr>
    </w:p>
    <w:p>
      <w:pPr>
        <w:jc w:val="both"/>
        <w:ind w:left="4" w:right="20"/>
        <w:spacing w:after="0" w:line="365" w:lineRule="auto"/>
        <w:rPr>
          <w:sz w:val="20"/>
          <w:szCs w:val="20"/>
          <w:color w:val="auto"/>
        </w:rPr>
      </w:pPr>
      <w:r>
        <w:rPr>
          <w:rFonts w:ascii="Arial" w:cs="Arial" w:eastAsia="Arial" w:hAnsi="Arial"/>
          <w:sz w:val="18"/>
          <w:szCs w:val="18"/>
          <w:color w:val="auto"/>
        </w:rPr>
        <w:t>For discussion purposes, all sales growth rates below reflect comparable, constant-currency growth. Constant currency accounts for the impact from fluctuations in the various currencies in which the Company operates as compared to reported growth.</w:t>
      </w:r>
    </w:p>
    <w:p>
      <w:pPr>
        <w:spacing w:after="0" w:line="282"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Cardiovascular</w:t>
      </w:r>
    </w:p>
    <w:p>
      <w:pPr>
        <w:spacing w:after="0" w:line="126" w:lineRule="exact"/>
        <w:rPr>
          <w:sz w:val="20"/>
          <w:szCs w:val="20"/>
          <w:color w:val="auto"/>
        </w:rPr>
      </w:pPr>
    </w:p>
    <w:p>
      <w:pPr>
        <w:jc w:val="both"/>
        <w:ind w:left="4" w:right="20"/>
        <w:spacing w:after="0" w:line="365" w:lineRule="auto"/>
        <w:rPr>
          <w:sz w:val="20"/>
          <w:szCs w:val="20"/>
          <w:color w:val="auto"/>
        </w:rPr>
      </w:pPr>
      <w:r>
        <w:rPr>
          <w:rFonts w:ascii="Arial" w:cs="Arial" w:eastAsia="Arial" w:hAnsi="Arial"/>
          <w:sz w:val="18"/>
          <w:szCs w:val="18"/>
          <w:color w:val="auto"/>
        </w:rPr>
        <w:t>Cardiovascular sales, which include cardiopulmonary products, heart valves and advanced circulatory support, were $681.8 million, representing a 6.6 percent increase versus full-year 2017.</w:t>
      </w:r>
    </w:p>
    <w:p>
      <w:pPr>
        <w:spacing w:after="0" w:line="304" w:lineRule="exact"/>
        <w:rPr>
          <w:sz w:val="20"/>
          <w:szCs w:val="20"/>
          <w:color w:val="auto"/>
        </w:rPr>
      </w:pPr>
    </w:p>
    <w:p>
      <w:pPr>
        <w:jc w:val="both"/>
        <w:ind w:left="4" w:right="20"/>
        <w:spacing w:after="0" w:line="363" w:lineRule="auto"/>
        <w:rPr>
          <w:sz w:val="20"/>
          <w:szCs w:val="20"/>
          <w:color w:val="auto"/>
        </w:rPr>
      </w:pPr>
      <w:r>
        <w:rPr>
          <w:rFonts w:ascii="Arial" w:cs="Arial" w:eastAsia="Arial" w:hAnsi="Arial"/>
          <w:sz w:val="18"/>
          <w:szCs w:val="18"/>
          <w:color w:val="auto"/>
        </w:rPr>
        <w:t>Sales in cardiopulmonary products were $536.4 million, representing a 7.2 percent increase versus full-year 2017. This was due to record shipments in heart-lung machines, upgrading customers from older S3 machines to current S5 machines, as well as strong sales of the Inspire oxygenator.</w:t>
      </w:r>
    </w:p>
    <w:p>
      <w:pPr>
        <w:spacing w:after="0" w:line="306" w:lineRule="exact"/>
        <w:rPr>
          <w:sz w:val="20"/>
          <w:szCs w:val="20"/>
          <w:color w:val="auto"/>
        </w:rPr>
      </w:pPr>
    </w:p>
    <w:p>
      <w:pPr>
        <w:jc w:val="both"/>
        <w:ind w:left="4"/>
        <w:spacing w:after="0" w:line="363" w:lineRule="auto"/>
        <w:rPr>
          <w:sz w:val="20"/>
          <w:szCs w:val="20"/>
          <w:color w:val="auto"/>
        </w:rPr>
      </w:pPr>
      <w:r>
        <w:rPr>
          <w:rFonts w:ascii="Arial" w:cs="Arial" w:eastAsia="Arial" w:hAnsi="Arial"/>
          <w:sz w:val="18"/>
          <w:szCs w:val="18"/>
          <w:color w:val="auto"/>
        </w:rPr>
        <w:t>Heart valve sales, including tissue and mechanical heart valves, were $126.0 million, a decrease of 9.4 percent compared to full-year 2017 as double-digit growth in Perceval sales was more than offset by continuing global declines in traditional tissue and mechanical heart valves, the termination of a contract manufacturing customer agreement and a non-recurring return reserve for business model changes in Rest of World.</w:t>
      </w:r>
    </w:p>
    <w:p>
      <w:pPr>
        <w:spacing w:after="0" w:line="200" w:lineRule="exact"/>
        <w:rPr>
          <w:sz w:val="20"/>
          <w:szCs w:val="20"/>
          <w:color w:val="auto"/>
        </w:rPr>
      </w:pPr>
    </w:p>
    <w:p>
      <w:pPr>
        <w:spacing w:after="0" w:line="271" w:lineRule="exact"/>
        <w:rPr>
          <w:sz w:val="20"/>
          <w:szCs w:val="20"/>
          <w:color w:val="auto"/>
        </w:rPr>
      </w:pPr>
    </w:p>
    <w:p>
      <w:pPr>
        <w:jc w:val="center"/>
        <w:ind w:right="-3"/>
        <w:spacing w:after="0"/>
        <w:rPr>
          <w:sz w:val="20"/>
          <w:szCs w:val="20"/>
          <w:color w:val="auto"/>
        </w:rPr>
      </w:pPr>
      <w:r>
        <w:rPr>
          <w:rFonts w:ascii="Arial" w:cs="Arial" w:eastAsia="Arial" w:hAnsi="Arial"/>
          <w:sz w:val="19"/>
          <w:szCs w:val="19"/>
          <w:color w:val="auto"/>
        </w:rPr>
        <w:t>4</w:t>
      </w:r>
    </w:p>
    <w:p>
      <w:pPr>
        <w:sectPr>
          <w:pgSz w:w="11900" w:h="16838" w:orient="portrait"/>
          <w:cols w:equalWidth="0" w:num="1">
            <w:col w:w="11444"/>
          </w:cols>
          <w:pgMar w:left="236" w:top="929" w:right="219" w:bottom="1440" w:gutter="0" w:footer="0" w:header="0"/>
        </w:sectPr>
      </w:pPr>
    </w:p>
    <w:bookmarkStart w:id="7" w:name="page8"/>
    <w:bookmarkEnd w:id="7"/>
    <w:p>
      <w:pPr>
        <w:jc w:val="both"/>
        <w:ind w:right="20"/>
        <w:spacing w:after="0" w:line="365" w:lineRule="auto"/>
        <w:rPr>
          <w:sz w:val="20"/>
          <w:szCs w:val="20"/>
          <w:color w:val="auto"/>
        </w:rPr>
      </w:pPr>
      <w:r>
        <w:rPr>
          <w:rFonts w:ascii="Arial" w:cs="Arial" w:eastAsia="Arial" w:hAnsi="Arial"/>
          <w:sz w:val="18"/>
          <w:szCs w:val="18"/>
          <w:color w:val="auto"/>
        </w:rPr>
        <w:t>Sales in advanced circulatory support grew approximately 20 percent versus 2017. LivaNova completed the integration of TandemLife and continues to further expand its commercial capabilities.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Neuromodulation</w:t>
      </w:r>
    </w:p>
    <w:p>
      <w:pPr>
        <w:spacing w:after="0" w:line="126" w:lineRule="exact"/>
        <w:rPr>
          <w:sz w:val="20"/>
          <w:szCs w:val="20"/>
          <w:color w:val="auto"/>
        </w:rPr>
      </w:pPr>
    </w:p>
    <w:p>
      <w:pPr>
        <w:jc w:val="both"/>
        <w:ind w:right="20"/>
        <w:spacing w:after="0" w:line="363" w:lineRule="auto"/>
        <w:rPr>
          <w:sz w:val="20"/>
          <w:szCs w:val="20"/>
          <w:color w:val="auto"/>
        </w:rPr>
      </w:pPr>
      <w:r>
        <w:rPr>
          <w:rFonts w:ascii="Arial" w:cs="Arial" w:eastAsia="Arial" w:hAnsi="Arial"/>
          <w:sz w:val="18"/>
          <w:szCs w:val="18"/>
          <w:color w:val="auto"/>
        </w:rPr>
        <w:t>Neuromodulation sales were $423.0 million for full-year 2018, representing a 12.5 percent increase compared to full-year 2017. Sales were driven by increasing adoption for the SenTiva VNS Therapy System in the U.S. and Europe and very strong growth in Rest of World despite the short-term impact of some business model changes.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Performance</w:t>
      </w:r>
    </w:p>
    <w:p>
      <w:pPr>
        <w:spacing w:after="0" w:line="126" w:lineRule="exact"/>
        <w:rPr>
          <w:sz w:val="20"/>
          <w:szCs w:val="20"/>
          <w:color w:val="auto"/>
        </w:rPr>
      </w:pPr>
    </w:p>
    <w:p>
      <w:pPr>
        <w:jc w:val="both"/>
        <w:ind w:right="20"/>
        <w:spacing w:after="0" w:line="362" w:lineRule="auto"/>
        <w:rPr>
          <w:sz w:val="20"/>
          <w:szCs w:val="20"/>
          <w:color w:val="auto"/>
        </w:rPr>
      </w:pPr>
      <w:r>
        <w:rPr>
          <w:rFonts w:ascii="Arial" w:cs="Arial" w:eastAsia="Arial" w:hAnsi="Arial"/>
          <w:sz w:val="18"/>
          <w:szCs w:val="18"/>
          <w:color w:val="auto"/>
        </w:rPr>
        <w:t>On a GAAP basis, full-year 2018 operating loss from continuing operations was $248.1 million, which includes the $294.0 million pre-tax ($223.4 million after-tax) provision for litigation involving the 3T Heater-Cooler device. Adjusted operating income from continuing operations for the full-year 2018 was $216.2 million, a decrease of 1.5 percent as compared to full-year 2017, primarily driven by favorable product mix and gross profit improvements, offset by expected increases in operating expenses due to increased R&amp;D investment to support strategic portfolio initiatives and commercial expansions in advanced circulatory support and Rest of World.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Form 10-K Filing</w:t>
      </w:r>
    </w:p>
    <w:p>
      <w:pPr>
        <w:spacing w:after="0" w:line="126" w:lineRule="exact"/>
        <w:rPr>
          <w:sz w:val="20"/>
          <w:szCs w:val="20"/>
          <w:color w:val="auto"/>
        </w:rPr>
      </w:pPr>
    </w:p>
    <w:p>
      <w:pPr>
        <w:jc w:val="both"/>
        <w:spacing w:after="0" w:line="361" w:lineRule="auto"/>
        <w:rPr>
          <w:sz w:val="20"/>
          <w:szCs w:val="20"/>
          <w:color w:val="auto"/>
        </w:rPr>
      </w:pPr>
      <w:r>
        <w:rPr>
          <w:rFonts w:ascii="Arial" w:cs="Arial" w:eastAsia="Arial" w:hAnsi="Arial"/>
          <w:sz w:val="18"/>
          <w:szCs w:val="18"/>
          <w:color w:val="auto"/>
        </w:rPr>
        <w:t>The Company expects to file a Form 12b-25 with the Securities and Exchange Commission providing a 15-calendar-day extension for its Annual Report on Form 10-K for the year ended December 31, 2018 (Form 10-K), and also expects to file the Form 10-K within the extension period. As the Company was preparing to file the Form 10-K, certain deficiencies were identified in the design of its internal control over financial reporting. These controls related to IT and end-user access of the financial reporting system and the review of price and quantity in the billing process. LivaNova is still completing its evaluation of effectiveness of its internal control over financial reporting and expects to report these two deficiencies as material weaknesses in its Form 10-K. As of the date of this release, there have been no misstatements identified in the financial statements as a result of these deficiencies. LivaNova has begun remediation efforts and currently expects to complete such remediation efforts prior to the end of fiscal year 2019.</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w:t>
      </w:r>
    </w:p>
    <w:p>
      <w:pPr>
        <w:sectPr>
          <w:pgSz w:w="11900" w:h="16838" w:orient="portrait"/>
          <w:cols w:equalWidth="0" w:num="1">
            <w:col w:w="11440"/>
          </w:cols>
          <w:pgMar w:left="240" w:top="639" w:right="21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auto"/>
        </w:rPr>
        <w:t>2019 Guidance</w:t>
      </w:r>
    </w:p>
    <w:p>
      <w:pPr>
        <w:spacing w:after="0" w:line="126" w:lineRule="exact"/>
        <w:rPr>
          <w:sz w:val="20"/>
          <w:szCs w:val="20"/>
          <w:color w:val="auto"/>
        </w:rPr>
      </w:pPr>
    </w:p>
    <w:p>
      <w:pPr>
        <w:jc w:val="both"/>
        <w:spacing w:after="0" w:line="363" w:lineRule="auto"/>
        <w:rPr>
          <w:sz w:val="20"/>
          <w:szCs w:val="20"/>
          <w:color w:val="auto"/>
        </w:rPr>
      </w:pPr>
      <w:r>
        <w:rPr>
          <w:rFonts w:ascii="Arial" w:cs="Arial" w:eastAsia="Arial" w:hAnsi="Arial"/>
          <w:sz w:val="18"/>
          <w:szCs w:val="18"/>
          <w:color w:val="auto"/>
        </w:rPr>
        <w:t>LivaNova expects worldwide net sales from continuing operations for full-year 2019 to grow between 5 and 7 percent on a constant-currency basis, which includes the impact of exiting a low-margin distribution agreement in Canada. Adjusted diluted earnings per share from continuing operations for 2019 are expected to be in the range of $3.55 to $3.75.</w:t>
      </w:r>
    </w:p>
    <w:p>
      <w:pPr>
        <w:spacing w:after="0" w:line="282" w:lineRule="exact"/>
        <w:rPr>
          <w:sz w:val="20"/>
          <w:szCs w:val="20"/>
          <w:color w:val="auto"/>
        </w:rPr>
      </w:pPr>
    </w:p>
    <w:p>
      <w:pPr>
        <w:ind w:right="100"/>
        <w:spacing w:after="0" w:line="365" w:lineRule="auto"/>
        <w:rPr>
          <w:sz w:val="20"/>
          <w:szCs w:val="20"/>
          <w:color w:val="auto"/>
        </w:rPr>
      </w:pPr>
      <w:r>
        <w:rPr>
          <w:rFonts w:ascii="Arial" w:cs="Arial" w:eastAsia="Arial" w:hAnsi="Arial"/>
          <w:sz w:val="18"/>
          <w:szCs w:val="18"/>
          <w:color w:val="auto"/>
        </w:rPr>
        <w:t>In 2019, the Company estimates that adjusted cash flow from operations, excluding integration, restructuring and litigation payments, will be in the range of $180 to $200 million. Capital expenditures are projected to range between $38 million to $42 million.</w:t>
      </w:r>
    </w:p>
    <w:p>
      <w:pPr>
        <w:spacing w:after="0" w:line="304" w:lineRule="exact"/>
        <w:rPr>
          <w:sz w:val="20"/>
          <w:szCs w:val="20"/>
          <w:color w:val="auto"/>
        </w:rPr>
      </w:pPr>
    </w:p>
    <w:p>
      <w:pPr>
        <w:ind w:right="180"/>
        <w:spacing w:after="0" w:line="362" w:lineRule="auto"/>
        <w:rPr>
          <w:sz w:val="20"/>
          <w:szCs w:val="20"/>
          <w:color w:val="auto"/>
        </w:rPr>
      </w:pPr>
      <w:r>
        <w:rPr>
          <w:rFonts w:ascii="Arial" w:cs="Arial" w:eastAsia="Arial" w:hAnsi="Arial"/>
          <w:sz w:val="18"/>
          <w:szCs w:val="18"/>
          <w:color w:val="auto"/>
        </w:rPr>
        <w:t>"We are entering 2019 with significant momentum to accelerate growth. We continue to focus on our initiatives to fuel sales growth, invest in our TRD program, launch new products and improve our margins," said McDonald. "We are investing in advancing our pipeline and implementing programs to reach new patient populations around the globe. We believe these efforts will enable LivaNova to most effectively serve the needs of our customers and patients and create quality, long-term value for our shareholders."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Webcast and Conference Call Instructions</w:t>
      </w:r>
    </w:p>
    <w:p>
      <w:pPr>
        <w:spacing w:after="0" w:line="126" w:lineRule="exact"/>
        <w:rPr>
          <w:sz w:val="20"/>
          <w:szCs w:val="20"/>
          <w:color w:val="auto"/>
        </w:rPr>
      </w:pPr>
    </w:p>
    <w:p>
      <w:pPr>
        <w:jc w:val="both"/>
        <w:spacing w:after="0" w:line="362" w:lineRule="auto"/>
        <w:rPr>
          <w:sz w:val="20"/>
          <w:szCs w:val="20"/>
          <w:color w:val="auto"/>
        </w:rPr>
      </w:pPr>
      <w:r>
        <w:rPr>
          <w:rFonts w:ascii="Arial" w:cs="Arial" w:eastAsia="Arial" w:hAnsi="Arial"/>
          <w:sz w:val="18"/>
          <w:szCs w:val="18"/>
          <w:color w:val="auto"/>
        </w:rPr>
        <w:t xml:space="preserve">The Company will host a live audio webcast for interested parties commencing at 1 p.m. London time (8 a.m. Eastern Time) on Wednesday, February 27 that will be accessible through the Investor Relations section of the LivaNova corporate website at </w:t>
      </w:r>
      <w:r>
        <w:rPr>
          <w:rFonts w:ascii="Arial" w:cs="Arial" w:eastAsia="Arial" w:hAnsi="Arial"/>
          <w:sz w:val="18"/>
          <w:szCs w:val="18"/>
          <w:u w:val="single" w:color="auto"/>
          <w:color w:val="1443BF"/>
        </w:rPr>
        <w:t>www.livanova.com</w:t>
      </w:r>
      <w:r>
        <w:rPr>
          <w:rFonts w:ascii="Arial" w:cs="Arial" w:eastAsia="Arial" w:hAnsi="Arial"/>
          <w:sz w:val="18"/>
          <w:szCs w:val="18"/>
          <w:color w:val="auto"/>
        </w:rPr>
        <w:t>. To listen to the conference call live by telephone, dial (844) 601-5111 (if dialing from within the U.S.) or (647) 253-8650 (if dialing from outside the U.S.). The conference ID is 9270818.</w:t>
      </w:r>
    </w:p>
    <w:p>
      <w:pPr>
        <w:spacing w:after="0" w:line="308" w:lineRule="exact"/>
        <w:rPr>
          <w:sz w:val="20"/>
          <w:szCs w:val="20"/>
          <w:color w:val="auto"/>
        </w:rPr>
      </w:pPr>
    </w:p>
    <w:p>
      <w:pPr>
        <w:jc w:val="both"/>
        <w:spacing w:after="0" w:line="365" w:lineRule="auto"/>
        <w:rPr>
          <w:sz w:val="20"/>
          <w:szCs w:val="20"/>
          <w:color w:val="auto"/>
        </w:rPr>
      </w:pPr>
      <w:r>
        <w:rPr>
          <w:rFonts w:ascii="Arial" w:cs="Arial" w:eastAsia="Arial" w:hAnsi="Arial"/>
          <w:sz w:val="18"/>
          <w:szCs w:val="18"/>
          <w:color w:val="auto"/>
        </w:rPr>
        <w:t>Within 24 hours of the webcast, a replay will be available under the "News &amp; Events / Presentations" section of the Investor Relations portion of the LivaNova website, where it will be archived and accessible for approximately 12 months.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w:t>
      </w:r>
    </w:p>
    <w:p>
      <w:pPr>
        <w:sectPr>
          <w:pgSz w:w="11900" w:h="16838" w:orient="portrait"/>
          <w:cols w:equalWidth="0" w:num="1">
            <w:col w:w="11420"/>
          </w:cols>
          <w:pgMar w:left="240" w:top="617"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FF5C39"/>
        </w:rPr>
        <w:t>About LivaNova</w:t>
      </w:r>
    </w:p>
    <w:p>
      <w:pPr>
        <w:spacing w:after="0" w:line="188" w:lineRule="exact"/>
        <w:rPr>
          <w:sz w:val="20"/>
          <w:szCs w:val="20"/>
          <w:color w:val="auto"/>
        </w:rPr>
      </w:pPr>
    </w:p>
    <w:p>
      <w:pPr>
        <w:jc w:val="both"/>
        <w:spacing w:after="0" w:line="348" w:lineRule="auto"/>
        <w:rPr>
          <w:sz w:val="20"/>
          <w:szCs w:val="20"/>
          <w:color w:val="auto"/>
        </w:rPr>
      </w:pPr>
      <w:r>
        <w:rPr>
          <w:rFonts w:ascii="Arial" w:cs="Arial" w:eastAsia="Arial" w:hAnsi="Arial"/>
          <w:sz w:val="18"/>
          <w:szCs w:val="18"/>
          <w:color w:val="auto"/>
        </w:rPr>
        <w:t>LivaNova PLC is a global medical technology company built on nearly five decades of experience and a relentless commitment to improve the lives of patients around the world. LivaNova’s advanced technologies and breakthrough treatments provide meaningful solutions for the benefit of patients, healthcare professionals and healthcare systems. Headquartered in London, LivaNova has a presence in more than 100 countries worldwide. The Company currently employs approximately 4,000 employees. LivaNova operates as two businesses: Cardiovascular and Neuromodulation, with operating headquarters in Mirandola (Italy) and Houston (U.S.),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For more information, please visit </w:t>
      </w:r>
      <w:r>
        <w:rPr>
          <w:rFonts w:ascii="Arial" w:cs="Arial" w:eastAsia="Arial" w:hAnsi="Arial"/>
          <w:sz w:val="18"/>
          <w:szCs w:val="18"/>
          <w:u w:val="single" w:color="auto"/>
          <w:color w:val="1443BF"/>
        </w:rPr>
        <w:t>www.livanova.com</w:t>
      </w:r>
      <w:r>
        <w:rPr>
          <w:rFonts w:ascii="Arial" w:cs="Arial" w:eastAsia="Arial" w:hAnsi="Arial"/>
          <w:sz w:val="18"/>
          <w:szCs w:val="18"/>
          <w:color w:val="auto"/>
        </w:rPr>
        <w:t>.</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FF5C39"/>
        </w:rPr>
        <w:t>Use of Non-GAAP Financial Measures</w:t>
      </w:r>
    </w:p>
    <w:p>
      <w:pPr>
        <w:spacing w:after="0" w:line="92" w:lineRule="exact"/>
        <w:rPr>
          <w:sz w:val="20"/>
          <w:szCs w:val="20"/>
          <w:color w:val="auto"/>
        </w:rPr>
      </w:pPr>
    </w:p>
    <w:p>
      <w:pPr>
        <w:jc w:val="both"/>
        <w:spacing w:after="0" w:line="348" w:lineRule="auto"/>
        <w:rPr>
          <w:sz w:val="20"/>
          <w:szCs w:val="20"/>
          <w:color w:val="auto"/>
        </w:rPr>
      </w:pPr>
      <w:r>
        <w:rPr>
          <w:rFonts w:ascii="Arial" w:cs="Arial" w:eastAsia="Arial" w:hAnsi="Arial"/>
          <w:sz w:val="18"/>
          <w:szCs w:val="18"/>
          <w:color w:val="auto"/>
        </w:rPr>
        <w:t>In this press release, management has disclosed financial measurements that present financial information not necessarily in accordance with GAAP. Company management uses these measurements as aids in monitoring the Company’s ongoing financial performance from quarter to quarter and year to year on a regular basis and for benchmarking against other medical technology companies. Non-GAAP financial measures used by the Company may be calculated differently from, and therefore may not be comparable to, similarly titled measures used by other companies. These non-GAAP financial measures should be considered along with, but not as alternatives to, the operating performance measure as prescribed by GAAP.</w:t>
      </w:r>
    </w:p>
    <w:p>
      <w:pPr>
        <w:spacing w:after="0" w:line="187" w:lineRule="exact"/>
        <w:rPr>
          <w:sz w:val="20"/>
          <w:szCs w:val="20"/>
          <w:color w:val="auto"/>
        </w:rPr>
      </w:pPr>
    </w:p>
    <w:p>
      <w:pPr>
        <w:jc w:val="both"/>
        <w:spacing w:after="0" w:line="348" w:lineRule="auto"/>
        <w:rPr>
          <w:sz w:val="20"/>
          <w:szCs w:val="20"/>
          <w:color w:val="auto"/>
        </w:rPr>
      </w:pPr>
      <w:r>
        <w:rPr>
          <w:rFonts w:ascii="Arial" w:cs="Arial" w:eastAsia="Arial" w:hAnsi="Arial"/>
          <w:sz w:val="18"/>
          <w:szCs w:val="18"/>
          <w:color w:val="auto"/>
        </w:rPr>
        <w:t>Unless otherwise noted, all sales growth rates in this release reflect comparable, constant-currency growth. Management believes that referring to comparable, constant-currency growth is the most useful way to evaluate the sales performance of LivaNova and to compare the sales performance of current periods to prior periods on a consistent basis. Constant-currency growth, a non-GAAP financial measure, measures the change in sales between current and prior-year periods using average exchange rates in effect during the applicable prior-year period.</w:t>
      </w:r>
    </w:p>
    <w:p>
      <w:pPr>
        <w:spacing w:after="0" w:line="189" w:lineRule="exact"/>
        <w:rPr>
          <w:sz w:val="20"/>
          <w:szCs w:val="20"/>
          <w:color w:val="auto"/>
        </w:rPr>
      </w:pPr>
    </w:p>
    <w:p>
      <w:pPr>
        <w:jc w:val="both"/>
        <w:ind w:right="20"/>
        <w:spacing w:after="0" w:line="347" w:lineRule="auto"/>
        <w:rPr>
          <w:sz w:val="20"/>
          <w:szCs w:val="20"/>
          <w:color w:val="auto"/>
        </w:rPr>
      </w:pPr>
      <w:r>
        <w:rPr>
          <w:rFonts w:ascii="Arial" w:cs="Arial" w:eastAsia="Arial" w:hAnsi="Arial"/>
          <w:sz w:val="18"/>
          <w:szCs w:val="18"/>
          <w:color w:val="auto"/>
        </w:rPr>
        <w:t>LivaNova calculates forward-looking non-GAAP financial measures based on internal forecasts that omit certain amounts that would be included in GAAP financial measures. For example, forward-looking net sales growth projections are estimated on a constant-currency basis and exclude the impact of foreign currency fluctuations. Forward-looking non-GAAP adjusted tax rate and adjusted diluted earnings per share guidance exclude other items such as, but not limited to, changes in fair value of contingent consideration arrangements, asset impairment charges and product remediation costs that would be included in comparable GAAP financial measures. The most directly comparable GAAP measure for constant-currency net sales, non-GAAP adjusted tax rate and adjusted diluted earnings per share are net sales, the effective tax rate, and earnings per share, respectively.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w:t>
      </w:r>
    </w:p>
    <w:p>
      <w:pPr>
        <w:sectPr>
          <w:pgSz w:w="11900" w:h="16838" w:orient="portrait"/>
          <w:cols w:equalWidth="0" w:num="1">
            <w:col w:w="11440"/>
          </w:cols>
          <w:pgMar w:left="240" w:top="627" w:right="219" w:bottom="1440" w:gutter="0" w:footer="0" w:header="0"/>
        </w:sectPr>
      </w:pPr>
    </w:p>
    <w:bookmarkStart w:id="10" w:name="page11"/>
    <w:bookmarkEnd w:id="10"/>
    <w:p>
      <w:pPr>
        <w:jc w:val="both"/>
        <w:spacing w:after="0" w:line="348" w:lineRule="auto"/>
        <w:rPr>
          <w:sz w:val="20"/>
          <w:szCs w:val="20"/>
          <w:color w:val="auto"/>
        </w:rPr>
      </w:pPr>
      <w:r>
        <w:rPr>
          <w:rFonts w:ascii="Arial" w:cs="Arial" w:eastAsia="Arial" w:hAnsi="Arial"/>
          <w:sz w:val="18"/>
          <w:szCs w:val="18"/>
          <w:color w:val="auto"/>
        </w:rPr>
        <w:t>However, non-GAAP financial adjustments on a forward-looking basis are subject to uncertainty and variability as they are dependent on many factors, including but not limited to, the effect of foreign currency exchange fluctuations, impacts from potential acquisitions or divestitures, gains or losses on the potential sale of businesses or other assets, restructuring costs, merger and integration activities, changes in fair value of contingent consideration arrangements, product remediation costs, asset impairment charges, and the tax impact of the items above and the tax impact of tax law changes or other tax matters. Accordingly, reconciliations to the most directly comparable forward-looking GAAP financial measures are not available without unreasonable effort.</w:t>
      </w:r>
    </w:p>
    <w:p>
      <w:pPr>
        <w:spacing w:after="0" w:line="295" w:lineRule="exact"/>
        <w:rPr>
          <w:sz w:val="20"/>
          <w:szCs w:val="20"/>
          <w:color w:val="auto"/>
        </w:rPr>
      </w:pPr>
    </w:p>
    <w:p>
      <w:pPr>
        <w:jc w:val="both"/>
        <w:spacing w:after="0" w:line="347" w:lineRule="auto"/>
        <w:rPr>
          <w:sz w:val="20"/>
          <w:szCs w:val="20"/>
          <w:color w:val="auto"/>
        </w:rPr>
      </w:pPr>
      <w:r>
        <w:rPr>
          <w:rFonts w:ascii="Arial" w:cs="Arial" w:eastAsia="Arial" w:hAnsi="Arial"/>
          <w:sz w:val="18"/>
          <w:szCs w:val="18"/>
          <w:color w:val="auto"/>
        </w:rPr>
        <w:t>The Company also believes adjusted financial measures such as adjusted gross profit; adjusted selling, general and administrative expense; adjusted research and development expense; adjusted other operating expenses; adjusted operating income from continued operations; adjusted income tax expense; adjusted net income from continuing operations; and adjusted diluted earnings per share, are measures by which LivaNova generally uses to facilitate management review of the operational performance of the company, to serve as a basis for strategic planning, and to assist in the design of compensation incentive plans. Furthermore, adjusted financial measures allow investors to evaluate the Company’s core performance for different periods on a more comparable and consistent basis, and with other entities in the medical technology industry by adjusting for items that are not related to the ongoing operations of the Company or incurred in the ordinary course of business.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FF5C39"/>
        </w:rPr>
        <w:t>Safe Harbor Statement</w:t>
      </w:r>
    </w:p>
    <w:p>
      <w:pPr>
        <w:spacing w:after="0" w:line="104" w:lineRule="exact"/>
        <w:rPr>
          <w:sz w:val="20"/>
          <w:szCs w:val="20"/>
          <w:color w:val="auto"/>
        </w:rPr>
      </w:pPr>
    </w:p>
    <w:p>
      <w:pPr>
        <w:jc w:val="both"/>
        <w:spacing w:after="0" w:line="361" w:lineRule="auto"/>
        <w:rPr>
          <w:sz w:val="20"/>
          <w:szCs w:val="20"/>
          <w:color w:val="auto"/>
        </w:rPr>
      </w:pPr>
      <w:r>
        <w:rPr>
          <w:rFonts w:ascii="Arial" w:cs="Arial" w:eastAsia="Arial" w:hAnsi="Arial"/>
          <w:sz w:val="18"/>
          <w:szCs w:val="18"/>
          <w:color w:val="auto"/>
        </w:rPr>
        <w:t>Certain statements in this press release, other than purely historical information, are “forward-looking statements” within the meaning of the Private Securities Litigation Reform Act of 1995, Section 27A of the Securities Act of 1933 and Section 21E of the Securities Exchange Act of 1934, as amended. These statements include, but are not limited to, LivaNova’s plans, objectives, strategies, financial performance and outlook, trends, the amount and timing of future cash distributions, prospects or future events and involve known and unknown risks that are difficult to predict. As a result, our actual financial results, performance, achievements or prospects may differ materially from those expressed or implied by these forward-looking statements. In some cases, you can identify forward-looking statements by the use of words such as “may,” “could,” “seek,” “guidance,” “predict,” “potential,” “likely,” “believe,” “will,” “should,” “expect,” “anticipate,” “estimate,” “plan,” “intend,” “forecast,” “foresee,” or variations of these terms and similar expressions, or the negative of these terms or similar expressions. Such forward-looking statements are necessarily based on estimates and assumptions that, while considered reasonable by LivaNova and its management based on their knowledge and understanding of the business and industry, are inherently uncertain. These statements are not guarantees of future performance, and stockholders should not place undue reliance on forward-looking statements. Investors are cautioned that all such statements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w:t>
      </w:r>
    </w:p>
    <w:p>
      <w:pPr>
        <w:sectPr>
          <w:pgSz w:w="11900" w:h="16838" w:orient="portrait"/>
          <w:cols w:equalWidth="0" w:num="1">
            <w:col w:w="11440"/>
          </w:cols>
          <w:pgMar w:left="240" w:top="627" w:right="219" w:bottom="1440" w:gutter="0" w:footer="0" w:header="0"/>
        </w:sectPr>
      </w:pPr>
    </w:p>
    <w:bookmarkStart w:id="11" w:name="page12"/>
    <w:bookmarkEnd w:id="11"/>
    <w:p>
      <w:pPr>
        <w:jc w:val="both"/>
        <w:spacing w:after="0" w:line="361" w:lineRule="auto"/>
        <w:rPr>
          <w:sz w:val="20"/>
          <w:szCs w:val="20"/>
          <w:color w:val="auto"/>
        </w:rPr>
      </w:pPr>
      <w:r>
        <w:rPr>
          <w:rFonts w:ascii="Arial" w:cs="Arial" w:eastAsia="Arial" w:hAnsi="Arial"/>
          <w:sz w:val="18"/>
          <w:szCs w:val="18"/>
          <w:color w:val="auto"/>
        </w:rPr>
        <w:t>involve risks and uncertainties, including without limitation, statements concerning achieving a stronger future, driving sustainable growth and value to our shareholders, projected net sales, adjusted diluted earnings per share, cash flow from operations, capital expenditures, and depreciation and amortization for 2018, advancing our growth, driving product launches and funding our equity investments, executing on our synergy targets and retaining our focus, energy and discipline as a company, filing our Form 10-K on a timely basis, remediating any known material weaknesses or deficiencies, serving the needs of our customers and patients, and delivering strong value to our shareholders. Important factors that may cause actual results to differ include, but are not limited to: (i) the inability of LivaNova to meet expectations regarding the timing, completion and accounting of tax treatments; (ii) organizational and governance structure; (iii) reductions in customer spending, a slowdown in customer payments and changes in customer demand for products and services; (iv) unanticipated changes relating to competitive factors in the industries in which LivaNova operates; (v) the ability to hire and retain key personnel; (vi) the ability to attract new customers and retain existing customers in the manner anticipated; (vii) changes in legislation or governmental regulations affecting LivaNova; (viii) international, national or local economic, social or political conditions that could adversely affect LivaNova, its partners or its customers; (ix) conditions in the credit markets; (x) business and other financial risks inherent to the industries in which LivaNova operates; (xi) risks associated with settlement of litigation and assumptions made in connection with critical accounting estimates and legal proceedings; (xii) LivaNova’s international operations, which are subject to the risks of currency fluctuations and foreign exchange controls; (xiii) and the potential for international unrest, economic downturn or effects of currencies, tax assessments, tax adjustments, anticipated tax rates, raw material costs or availability, benefit or retirement plan costs, or other regulatory compliance costs. The foregoing list of factors is not exhaustive. You should carefully consider the foregoing factors and the other risks and uncertainties that affect the Company’s business, including those described in the “Risk Factors” section of Annual Reports on Form 10-K, Quarterly Reports on Form 10-Q and other documents filed from time to time with the United States Securities and Exchange Commission by LivaNova.</w:t>
      </w:r>
    </w:p>
    <w:p>
      <w:pPr>
        <w:spacing w:after="0" w:line="192" w:lineRule="exact"/>
        <w:rPr>
          <w:sz w:val="20"/>
          <w:szCs w:val="20"/>
          <w:color w:val="auto"/>
        </w:rPr>
      </w:pPr>
    </w:p>
    <w:p>
      <w:pPr>
        <w:jc w:val="both"/>
        <w:spacing w:after="0" w:line="362" w:lineRule="auto"/>
        <w:rPr>
          <w:sz w:val="20"/>
          <w:szCs w:val="20"/>
          <w:color w:val="auto"/>
        </w:rPr>
      </w:pPr>
      <w:r>
        <w:rPr>
          <w:rFonts w:ascii="Arial" w:cs="Arial" w:eastAsia="Arial" w:hAnsi="Arial"/>
          <w:sz w:val="18"/>
          <w:szCs w:val="18"/>
          <w:color w:val="auto"/>
        </w:rPr>
        <w:t>We caution you not to place undue reliance on any forward-looking statements, which are made only as of the date of this press release. The Company does not undertake or assume any obligation to update publicly any of the forward-looking statements in this press release to reflect actual results, new information or future events, changes in assumptions or changes in other factors affecting forward-looking statements, except to the extent required by applicable law. If we update one or more forward-looking statements, no inference should be drawn</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w:t>
      </w:r>
    </w:p>
    <w:p>
      <w:pPr>
        <w:sectPr>
          <w:pgSz w:w="11900" w:h="16838" w:orient="portrait"/>
          <w:cols w:equalWidth="0" w:num="1">
            <w:col w:w="11440"/>
          </w:cols>
          <w:pgMar w:left="240" w:top="639" w:right="219" w:bottom="1440" w:gutter="0" w:footer="0" w:header="0"/>
        </w:sectPr>
      </w:pPr>
    </w:p>
    <w:bookmarkStart w:id="12" w:name="page13"/>
    <w:bookmarkEnd w:id="12"/>
    <w:p>
      <w:pPr>
        <w:spacing w:after="0"/>
        <w:rPr>
          <w:sz w:val="20"/>
          <w:szCs w:val="20"/>
          <w:color w:val="auto"/>
        </w:rPr>
      </w:pPr>
      <w:r>
        <w:rPr>
          <w:rFonts w:ascii="Arial" w:cs="Arial" w:eastAsia="Arial" w:hAnsi="Arial"/>
          <w:sz w:val="16"/>
          <w:szCs w:val="16"/>
          <w:color w:val="auto"/>
        </w:rPr>
        <w:t>that we will make additional updates with respect to those or other forward-looking statements.</w:t>
      </w:r>
    </w:p>
    <w:p>
      <w:pPr>
        <w:sectPr>
          <w:pgSz w:w="11900" w:h="16838" w:orient="portrait"/>
          <w:cols w:equalWidth="0" w:num="1">
            <w:col w:w="10219"/>
          </w:cols>
          <w:pgMar w:left="240" w:top="831" w:right="1440" w:bottom="1440" w:gutter="0" w:footer="0" w:header="0"/>
        </w:sectPr>
      </w:pPr>
    </w:p>
    <w:p>
      <w:pPr>
        <w:spacing w:after="0" w:line="2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Melissa Farina</w:t>
      </w:r>
    </w:p>
    <w:p>
      <w:pPr>
        <w:ind w:left="60"/>
        <w:spacing w:after="0" w:line="229" w:lineRule="auto"/>
        <w:rPr>
          <w:sz w:val="20"/>
          <w:szCs w:val="20"/>
          <w:color w:val="auto"/>
        </w:rPr>
      </w:pPr>
      <w:r>
        <w:rPr>
          <w:rFonts w:ascii="Arial" w:cs="Arial" w:eastAsia="Arial" w:hAnsi="Arial"/>
          <w:sz w:val="18"/>
          <w:szCs w:val="18"/>
          <w:color w:val="auto"/>
        </w:rPr>
        <w:t>Vice President, Investor Relations</w:t>
      </w:r>
    </w:p>
    <w:p>
      <w:pPr>
        <w:ind w:left="60"/>
        <w:spacing w:after="0" w:line="223" w:lineRule="auto"/>
        <w:rPr>
          <w:sz w:val="20"/>
          <w:szCs w:val="20"/>
          <w:color w:val="auto"/>
        </w:rPr>
      </w:pPr>
      <w:r>
        <w:rPr>
          <w:rFonts w:ascii="Arial" w:cs="Arial" w:eastAsia="Arial" w:hAnsi="Arial"/>
          <w:sz w:val="18"/>
          <w:szCs w:val="18"/>
          <w:color w:val="auto"/>
        </w:rPr>
        <w:t>Phone: +1 (281) 228 7262</w:t>
      </w:r>
    </w:p>
    <w:p>
      <w:pPr>
        <w:ind w:left="60"/>
        <w:spacing w:after="0"/>
        <w:rPr>
          <w:sz w:val="20"/>
          <w:szCs w:val="20"/>
          <w:color w:val="auto"/>
        </w:rPr>
      </w:pPr>
      <w:r>
        <w:rPr>
          <w:rFonts w:ascii="Arial" w:cs="Arial" w:eastAsia="Arial" w:hAnsi="Arial"/>
          <w:sz w:val="18"/>
          <w:szCs w:val="18"/>
          <w:color w:val="auto"/>
        </w:rPr>
        <w:t>e-mail: investorrelations@LivaNova.com</w:t>
      </w:r>
    </w:p>
    <w:p>
      <w:pPr>
        <w:spacing w:after="0" w:line="200" w:lineRule="exact"/>
        <w:rPr>
          <w:sz w:val="20"/>
          <w:szCs w:val="20"/>
          <w:color w:val="auto"/>
        </w:rPr>
      </w:pPr>
    </w:p>
    <w:p>
      <w:pPr>
        <w:spacing w:after="0" w:line="333" w:lineRule="exact"/>
        <w:rPr>
          <w:sz w:val="20"/>
          <w:szCs w:val="20"/>
          <w:color w:val="auto"/>
        </w:rPr>
      </w:pPr>
    </w:p>
    <w:p>
      <w:pPr>
        <w:jc w:val="right"/>
        <w:ind w:right="4399"/>
        <w:spacing w:after="0"/>
        <w:rPr>
          <w:sz w:val="20"/>
          <w:szCs w:val="20"/>
          <w:color w:val="auto"/>
        </w:rPr>
      </w:pPr>
      <w:r>
        <w:rPr>
          <w:rFonts w:ascii="Arial" w:cs="Arial" w:eastAsia="Arial" w:hAnsi="Arial"/>
          <w:sz w:val="19"/>
          <w:szCs w:val="19"/>
          <w:color w:val="auto"/>
        </w:rPr>
        <w:t>10</w:t>
      </w:r>
    </w:p>
    <w:p>
      <w:pPr>
        <w:sectPr>
          <w:pgSz w:w="11900" w:h="16838" w:orient="portrait"/>
          <w:cols w:equalWidth="0" w:num="1">
            <w:col w:w="10219"/>
          </w:cols>
          <w:pgMar w:left="240" w:top="831" w:right="1440"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6"/>
          <w:szCs w:val="16"/>
          <w:b w:val="1"/>
          <w:bCs w:val="1"/>
          <w:color w:val="auto"/>
        </w:rPr>
        <w:t>LIVANOVA PLC</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QUARTERLY SALES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 dollars in millions)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10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0" w:type="dxa"/>
            <w:vAlign w:val="bottom"/>
            <w:tcBorders>
              <w:bottom w:val="single" w:sz="8" w:color="auto"/>
            </w:tcBorders>
            <w:gridSpan w:val="4"/>
          </w:tcPr>
          <w:p>
            <w:pPr>
              <w:ind w:left="780"/>
              <w:spacing w:after="0"/>
              <w:rPr>
                <w:sz w:val="20"/>
                <w:szCs w:val="20"/>
                <w:color w:val="auto"/>
              </w:rPr>
            </w:pPr>
            <w:r>
              <w:rPr>
                <w:rFonts w:ascii="Arial" w:cs="Arial" w:eastAsia="Arial" w:hAnsi="Arial"/>
                <w:sz w:val="16"/>
                <w:szCs w:val="16"/>
                <w:b w:val="1"/>
                <w:bCs w:val="1"/>
                <w:color w:val="auto"/>
              </w:rPr>
              <w:t>Three Months Ended December 31,</w:t>
            </w:r>
          </w:p>
        </w:tc>
        <w:tc>
          <w:tcPr>
            <w:tcW w:w="2160" w:type="dxa"/>
            <w:vAlign w:val="bottom"/>
            <w:tcBorders>
              <w:bottom w:val="single" w:sz="8" w:color="auto"/>
            </w:tcBorders>
          </w:tcPr>
          <w:p>
            <w:pPr>
              <w:spacing w:after="0"/>
              <w:rPr>
                <w:sz w:val="18"/>
                <w:szCs w:val="18"/>
                <w:color w:val="auto"/>
              </w:rPr>
            </w:pPr>
          </w:p>
        </w:tc>
      </w:tr>
      <w:tr>
        <w:trPr>
          <w:trHeight w:val="181"/>
        </w:trPr>
        <w:tc>
          <w:tcPr>
            <w:tcW w:w="4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20" w:type="dxa"/>
            <w:vAlign w:val="bottom"/>
            <w:gridSpan w:val="2"/>
          </w:tcPr>
          <w:p>
            <w:pPr>
              <w:ind w:left="220"/>
              <w:spacing w:after="0" w:line="181" w:lineRule="exact"/>
              <w:rPr>
                <w:sz w:val="20"/>
                <w:szCs w:val="20"/>
                <w:color w:val="auto"/>
              </w:rPr>
            </w:pPr>
            <w:r>
              <w:rPr>
                <w:rFonts w:ascii="Arial" w:cs="Arial" w:eastAsia="Arial" w:hAnsi="Arial"/>
                <w:sz w:val="16"/>
                <w:szCs w:val="16"/>
                <w:b w:val="1"/>
                <w:bCs w:val="1"/>
                <w:color w:val="auto"/>
              </w:rPr>
              <w:t>% Change at Actual</w:t>
            </w:r>
          </w:p>
        </w:tc>
        <w:tc>
          <w:tcPr>
            <w:tcW w:w="2160" w:type="dxa"/>
            <w:vAlign w:val="bottom"/>
          </w:tcPr>
          <w:p>
            <w:pPr>
              <w:jc w:val="right"/>
              <w:ind w:right="160"/>
              <w:spacing w:after="0" w:line="181" w:lineRule="exact"/>
              <w:rPr>
                <w:sz w:val="20"/>
                <w:szCs w:val="20"/>
                <w:color w:val="auto"/>
              </w:rPr>
            </w:pPr>
            <w:r>
              <w:rPr>
                <w:rFonts w:ascii="Arial" w:cs="Arial" w:eastAsia="Arial" w:hAnsi="Arial"/>
                <w:sz w:val="16"/>
                <w:szCs w:val="16"/>
                <w:b w:val="1"/>
                <w:bCs w:val="1"/>
                <w:color w:val="auto"/>
              </w:rPr>
              <w:t>% Change at Constant</w:t>
            </w:r>
          </w:p>
        </w:tc>
      </w:tr>
      <w:tr>
        <w:trPr>
          <w:trHeight w:val="224"/>
        </w:trPr>
        <w:tc>
          <w:tcPr>
            <w:tcW w:w="410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5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Borders>
              <w:bottom w:val="single" w:sz="8" w:color="auto"/>
            </w:tcBorders>
          </w:tcPr>
          <w:p>
            <w:pPr>
              <w:jc w:val="right"/>
              <w:ind w:right="460"/>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9"/>
                <w:szCs w:val="19"/>
                <w:color w:val="auto"/>
              </w:rPr>
            </w:pPr>
          </w:p>
        </w:tc>
        <w:tc>
          <w:tcPr>
            <w:tcW w:w="192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b w:val="1"/>
                <w:bCs w:val="1"/>
                <w:color w:val="auto"/>
              </w:rPr>
              <w:t>Currency Rates</w:t>
            </w:r>
          </w:p>
        </w:tc>
        <w:tc>
          <w:tcPr>
            <w:tcW w:w="100" w:type="dxa"/>
            <w:vAlign w:val="bottom"/>
          </w:tcPr>
          <w:p>
            <w:pPr>
              <w:spacing w:after="0"/>
              <w:rPr>
                <w:sz w:val="19"/>
                <w:szCs w:val="19"/>
                <w:color w:val="auto"/>
              </w:rPr>
            </w:pPr>
          </w:p>
        </w:tc>
        <w:tc>
          <w:tcPr>
            <w:tcW w:w="216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 xml:space="preserve">Currency Rates </w:t>
            </w:r>
            <w:r>
              <w:rPr>
                <w:rFonts w:ascii="Arial" w:cs="Arial" w:eastAsia="Arial" w:hAnsi="Arial"/>
                <w:sz w:val="19"/>
                <w:szCs w:val="19"/>
                <w:b w:val="1"/>
                <w:bCs w:val="1"/>
                <w:color w:val="auto"/>
                <w:vertAlign w:val="superscript"/>
              </w:rPr>
              <w:t>(1)</w:t>
            </w:r>
          </w:p>
        </w:tc>
      </w:tr>
      <w:tr>
        <w:trPr>
          <w:trHeight w:val="220"/>
        </w:trPr>
        <w:tc>
          <w:tcPr>
            <w:tcW w:w="5020" w:type="dxa"/>
            <w:vAlign w:val="bottom"/>
            <w:gridSpan w:val="2"/>
          </w:tcPr>
          <w:p>
            <w:pPr>
              <w:spacing w:after="0"/>
              <w:rPr>
                <w:sz w:val="20"/>
                <w:szCs w:val="20"/>
                <w:color w:val="auto"/>
              </w:rPr>
            </w:pPr>
            <w:r>
              <w:rPr>
                <w:rFonts w:ascii="Arial" w:cs="Arial" w:eastAsia="Arial" w:hAnsi="Arial"/>
                <w:sz w:val="16"/>
                <w:szCs w:val="16"/>
                <w:b w:val="1"/>
                <w:bCs w:val="1"/>
                <w:color w:val="auto"/>
              </w:rPr>
              <w:t>Cardiopulmonary</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240"/>
        </w:trPr>
        <w:tc>
          <w:tcPr>
            <w:tcW w:w="5020" w:type="dxa"/>
            <w:vAlign w:val="bottom"/>
            <w:gridSpan w:val="2"/>
          </w:tcPr>
          <w:p>
            <w:pPr>
              <w:spacing w:after="0"/>
              <w:rPr>
                <w:sz w:val="20"/>
                <w:szCs w:val="20"/>
                <w:color w:val="auto"/>
              </w:rPr>
            </w:pPr>
            <w:r>
              <w:rPr>
                <w:rFonts w:ascii="Arial" w:cs="Arial" w:eastAsia="Arial" w:hAnsi="Arial"/>
                <w:sz w:val="16"/>
                <w:szCs w:val="16"/>
                <w:color w:val="auto"/>
              </w:rPr>
              <w:t>US</w:t>
            </w:r>
          </w:p>
        </w:tc>
        <w:tc>
          <w:tcPr>
            <w:tcW w:w="540" w:type="dxa"/>
            <w:vAlign w:val="bottom"/>
          </w:tcPr>
          <w:p>
            <w:pPr>
              <w:jc w:val="right"/>
              <w:spacing w:after="0"/>
              <w:rPr>
                <w:sz w:val="20"/>
                <w:szCs w:val="20"/>
                <w:color w:val="auto"/>
              </w:rPr>
            </w:pPr>
            <w:r>
              <w:rPr>
                <w:rFonts w:ascii="Arial" w:cs="Arial" w:eastAsia="Arial" w:hAnsi="Arial"/>
                <w:sz w:val="16"/>
                <w:szCs w:val="16"/>
                <w:color w:val="auto"/>
              </w:rPr>
              <w:t>$40.2</w:t>
            </w:r>
          </w:p>
        </w:tc>
        <w:tc>
          <w:tcPr>
            <w:tcW w:w="1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$42.6</w:t>
            </w:r>
          </w:p>
        </w:tc>
        <w:tc>
          <w:tcPr>
            <w:tcW w:w="2040" w:type="dxa"/>
            <w:vAlign w:val="bottom"/>
            <w:gridSpan w:val="2"/>
          </w:tcPr>
          <w:p>
            <w:pPr>
              <w:jc w:val="right"/>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(5.6%)</w:t>
            </w:r>
          </w:p>
        </w:tc>
      </w:tr>
      <w:tr>
        <w:trPr>
          <w:trHeight w:val="240"/>
        </w:trPr>
        <w:tc>
          <w:tcPr>
            <w:tcW w:w="5020" w:type="dxa"/>
            <w:vAlign w:val="bottom"/>
            <w:gridSpan w:val="2"/>
          </w:tcPr>
          <w:p>
            <w:pPr>
              <w:spacing w:after="0"/>
              <w:rPr>
                <w:sz w:val="20"/>
                <w:szCs w:val="20"/>
                <w:color w:val="auto"/>
              </w:rPr>
            </w:pPr>
            <w:r>
              <w:rPr>
                <w:rFonts w:ascii="Arial" w:cs="Arial" w:eastAsia="Arial" w:hAnsi="Arial"/>
                <w:sz w:val="16"/>
                <w:szCs w:val="16"/>
                <w:color w:val="auto"/>
              </w:rPr>
              <w:t>Europe</w:t>
            </w:r>
          </w:p>
        </w:tc>
        <w:tc>
          <w:tcPr>
            <w:tcW w:w="540" w:type="dxa"/>
            <w:vAlign w:val="bottom"/>
          </w:tcPr>
          <w:p>
            <w:pPr>
              <w:jc w:val="right"/>
              <w:ind w:right="40"/>
              <w:spacing w:after="0"/>
              <w:rPr>
                <w:sz w:val="20"/>
                <w:szCs w:val="20"/>
                <w:color w:val="auto"/>
              </w:rPr>
            </w:pPr>
            <w:r>
              <w:rPr>
                <w:rFonts w:ascii="Arial" w:cs="Arial" w:eastAsia="Arial" w:hAnsi="Arial"/>
                <w:sz w:val="16"/>
                <w:szCs w:val="16"/>
                <w:color w:val="auto"/>
              </w:rPr>
              <w:t>36.7</w:t>
            </w:r>
          </w:p>
        </w:tc>
        <w:tc>
          <w:tcPr>
            <w:tcW w:w="100" w:type="dxa"/>
            <w:vAlign w:val="bottom"/>
          </w:tcPr>
          <w:p>
            <w:pPr>
              <w:spacing w:after="0"/>
              <w:rPr>
                <w:sz w:val="20"/>
                <w:szCs w:val="20"/>
                <w:color w:val="auto"/>
              </w:rPr>
            </w:pPr>
          </w:p>
        </w:tc>
        <w:tc>
          <w:tcPr>
            <w:tcW w:w="1460" w:type="dxa"/>
            <w:vAlign w:val="bottom"/>
          </w:tcPr>
          <w:p>
            <w:pPr>
              <w:jc w:val="right"/>
              <w:ind w:right="20"/>
              <w:spacing w:after="0"/>
              <w:rPr>
                <w:sz w:val="20"/>
                <w:szCs w:val="20"/>
                <w:color w:val="auto"/>
              </w:rPr>
            </w:pPr>
            <w:r>
              <w:rPr>
                <w:rFonts w:ascii="Arial" w:cs="Arial" w:eastAsia="Arial" w:hAnsi="Arial"/>
                <w:sz w:val="16"/>
                <w:szCs w:val="16"/>
                <w:color w:val="auto"/>
              </w:rPr>
              <w:t>38.5</w:t>
            </w:r>
          </w:p>
        </w:tc>
        <w:tc>
          <w:tcPr>
            <w:tcW w:w="2040" w:type="dxa"/>
            <w:vAlign w:val="bottom"/>
            <w:gridSpan w:val="2"/>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43"/>
        </w:trPr>
        <w:tc>
          <w:tcPr>
            <w:tcW w:w="4100" w:type="dxa"/>
            <w:vAlign w:val="bottom"/>
          </w:tcPr>
          <w:p>
            <w:pPr>
              <w:spacing w:after="0"/>
              <w:rPr>
                <w:sz w:val="20"/>
                <w:szCs w:val="20"/>
                <w:color w:val="auto"/>
              </w:rPr>
            </w:pPr>
            <w:r>
              <w:rPr>
                <w:rFonts w:ascii="Arial" w:cs="Arial" w:eastAsia="Arial" w:hAnsi="Arial"/>
                <w:sz w:val="16"/>
                <w:szCs w:val="16"/>
                <w:color w:val="auto"/>
              </w:rPr>
              <w:t>Rest of World</w:t>
            </w:r>
          </w:p>
        </w:tc>
        <w:tc>
          <w:tcPr>
            <w:tcW w:w="9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69.8</w:t>
            </w:r>
          </w:p>
        </w:tc>
        <w:tc>
          <w:tcPr>
            <w:tcW w:w="100" w:type="dxa"/>
            <w:vAlign w:val="bottom"/>
          </w:tcPr>
          <w:p>
            <w:pPr>
              <w:spacing w:after="0"/>
              <w:rPr>
                <w:sz w:val="21"/>
                <w:szCs w:val="21"/>
                <w:color w:val="auto"/>
              </w:rPr>
            </w:pPr>
          </w:p>
        </w:tc>
        <w:tc>
          <w:tcPr>
            <w:tcW w:w="14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61.3</w:t>
            </w:r>
          </w:p>
        </w:tc>
        <w:tc>
          <w:tcPr>
            <w:tcW w:w="2040" w:type="dxa"/>
            <w:vAlign w:val="bottom"/>
            <w:gridSpan w:val="2"/>
          </w:tcPr>
          <w:p>
            <w:pPr>
              <w:jc w:val="right"/>
              <w:spacing w:after="0"/>
              <w:rPr>
                <w:sz w:val="20"/>
                <w:szCs w:val="20"/>
                <w:color w:val="auto"/>
              </w:rPr>
            </w:pPr>
            <w:r>
              <w:rPr>
                <w:rFonts w:ascii="Arial" w:cs="Arial" w:eastAsia="Arial" w:hAnsi="Arial"/>
                <w:sz w:val="16"/>
                <w:szCs w:val="16"/>
                <w:color w:val="auto"/>
              </w:rPr>
              <w:t>13.9%</w:t>
            </w:r>
          </w:p>
        </w:tc>
        <w:tc>
          <w:tcPr>
            <w:tcW w:w="100" w:type="dxa"/>
            <w:vAlign w:val="bottom"/>
          </w:tcPr>
          <w:p>
            <w:pPr>
              <w:spacing w:after="0"/>
              <w:rPr>
                <w:sz w:val="21"/>
                <w:szCs w:val="21"/>
                <w:color w:val="auto"/>
              </w:rPr>
            </w:pPr>
          </w:p>
        </w:tc>
        <w:tc>
          <w:tcPr>
            <w:tcW w:w="2160" w:type="dxa"/>
            <w:vAlign w:val="bottom"/>
          </w:tcPr>
          <w:p>
            <w:pPr>
              <w:jc w:val="right"/>
              <w:ind w:right="20"/>
              <w:spacing w:after="0"/>
              <w:rPr>
                <w:sz w:val="20"/>
                <w:szCs w:val="20"/>
                <w:color w:val="auto"/>
              </w:rPr>
            </w:pPr>
            <w:r>
              <w:rPr>
                <w:rFonts w:ascii="Arial" w:cs="Arial" w:eastAsia="Arial" w:hAnsi="Arial"/>
                <w:sz w:val="16"/>
                <w:szCs w:val="16"/>
                <w:color w:val="auto"/>
              </w:rPr>
              <w:t>20.4%</w:t>
            </w:r>
          </w:p>
        </w:tc>
      </w:tr>
      <w:tr>
        <w:trPr>
          <w:trHeight w:val="222"/>
        </w:trPr>
        <w:tc>
          <w:tcPr>
            <w:tcW w:w="4100" w:type="dxa"/>
            <w:vAlign w:val="bottom"/>
          </w:tcPr>
          <w:p>
            <w:pPr>
              <w:spacing w:after="0"/>
              <w:rPr>
                <w:sz w:val="20"/>
                <w:szCs w:val="20"/>
                <w:color w:val="auto"/>
              </w:rPr>
            </w:pPr>
            <w:r>
              <w:rPr>
                <w:rFonts w:ascii="Arial" w:cs="Arial" w:eastAsia="Arial" w:hAnsi="Arial"/>
                <w:sz w:val="16"/>
                <w:szCs w:val="16"/>
                <w:color w:val="auto"/>
              </w:rPr>
              <w:t>Total</w:t>
            </w:r>
          </w:p>
        </w:tc>
        <w:tc>
          <w:tcPr>
            <w:tcW w:w="9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w w:val="99"/>
              </w:rPr>
              <w:t>146.7</w:t>
            </w:r>
          </w:p>
        </w:tc>
        <w:tc>
          <w:tcPr>
            <w:tcW w:w="100" w:type="dxa"/>
            <w:vAlign w:val="bottom"/>
          </w:tcPr>
          <w:p>
            <w:pPr>
              <w:spacing w:after="0"/>
              <w:rPr>
                <w:sz w:val="19"/>
                <w:szCs w:val="19"/>
                <w:color w:val="auto"/>
              </w:rPr>
            </w:pPr>
          </w:p>
        </w:tc>
        <w:tc>
          <w:tcPr>
            <w:tcW w:w="14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142.3</w:t>
            </w:r>
          </w:p>
        </w:tc>
        <w:tc>
          <w:tcPr>
            <w:tcW w:w="2040" w:type="dxa"/>
            <w:vAlign w:val="bottom"/>
            <w:gridSpan w:val="2"/>
          </w:tcPr>
          <w:p>
            <w:pPr>
              <w:jc w:val="right"/>
              <w:spacing w:after="0"/>
              <w:rPr>
                <w:sz w:val="20"/>
                <w:szCs w:val="20"/>
                <w:color w:val="auto"/>
              </w:rPr>
            </w:pPr>
            <w:r>
              <w:rPr>
                <w:rFonts w:ascii="Arial" w:cs="Arial" w:eastAsia="Arial" w:hAnsi="Arial"/>
                <w:sz w:val="16"/>
                <w:szCs w:val="16"/>
                <w:b w:val="1"/>
                <w:bCs w:val="1"/>
                <w:color w:val="auto"/>
              </w:rPr>
              <w:t>3.1%</w:t>
            </w:r>
          </w:p>
        </w:tc>
        <w:tc>
          <w:tcPr>
            <w:tcW w:w="100" w:type="dxa"/>
            <w:vAlign w:val="bottom"/>
          </w:tcPr>
          <w:p>
            <w:pPr>
              <w:spacing w:after="0"/>
              <w:rPr>
                <w:sz w:val="19"/>
                <w:szCs w:val="19"/>
                <w:color w:val="auto"/>
              </w:rPr>
            </w:pPr>
          </w:p>
        </w:tc>
        <w:tc>
          <w:tcPr>
            <w:tcW w:w="2160" w:type="dxa"/>
            <w:vAlign w:val="bottom"/>
          </w:tcPr>
          <w:p>
            <w:pPr>
              <w:jc w:val="right"/>
              <w:ind w:right="20"/>
              <w:spacing w:after="0"/>
              <w:rPr>
                <w:sz w:val="20"/>
                <w:szCs w:val="20"/>
                <w:color w:val="auto"/>
              </w:rPr>
            </w:pPr>
            <w:r>
              <w:rPr>
                <w:rFonts w:ascii="Arial" w:cs="Arial" w:eastAsia="Arial" w:hAnsi="Arial"/>
                <w:sz w:val="16"/>
                <w:szCs w:val="16"/>
                <w:b w:val="1"/>
                <w:bCs w:val="1"/>
                <w:color w:val="auto"/>
              </w:rPr>
              <w:t>6.8%</w:t>
            </w:r>
          </w:p>
        </w:tc>
      </w:tr>
      <w:tr>
        <w:trPr>
          <w:trHeight w:val="226"/>
        </w:trPr>
        <w:tc>
          <w:tcPr>
            <w:tcW w:w="5020" w:type="dxa"/>
            <w:vAlign w:val="bottom"/>
            <w:gridSpan w:val="2"/>
          </w:tcPr>
          <w:p>
            <w:pPr>
              <w:spacing w:after="0"/>
              <w:rPr>
                <w:sz w:val="20"/>
                <w:szCs w:val="20"/>
                <w:color w:val="auto"/>
              </w:rPr>
            </w:pPr>
            <w:r>
              <w:rPr>
                <w:rFonts w:ascii="Arial" w:cs="Arial" w:eastAsia="Arial" w:hAnsi="Arial"/>
                <w:sz w:val="16"/>
                <w:szCs w:val="16"/>
                <w:b w:val="1"/>
                <w:bCs w:val="1"/>
                <w:color w:val="auto"/>
              </w:rPr>
              <w:t>Heart Valves</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240"/>
        </w:trPr>
        <w:tc>
          <w:tcPr>
            <w:tcW w:w="5020" w:type="dxa"/>
            <w:vAlign w:val="bottom"/>
            <w:gridSpan w:val="2"/>
          </w:tcPr>
          <w:p>
            <w:pPr>
              <w:spacing w:after="0"/>
              <w:rPr>
                <w:sz w:val="20"/>
                <w:szCs w:val="20"/>
                <w:color w:val="auto"/>
              </w:rPr>
            </w:pPr>
            <w:r>
              <w:rPr>
                <w:rFonts w:ascii="Arial" w:cs="Arial" w:eastAsia="Arial" w:hAnsi="Arial"/>
                <w:sz w:val="16"/>
                <w:szCs w:val="16"/>
                <w:color w:val="auto"/>
              </w:rPr>
              <w:t>US</w:t>
            </w:r>
          </w:p>
        </w:tc>
        <w:tc>
          <w:tcPr>
            <w:tcW w:w="540" w:type="dxa"/>
            <w:vAlign w:val="bottom"/>
          </w:tcPr>
          <w:p>
            <w:pPr>
              <w:jc w:val="right"/>
              <w:ind w:right="40"/>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20"/>
                <w:szCs w:val="20"/>
                <w:color w:val="auto"/>
              </w:rPr>
            </w:pPr>
          </w:p>
        </w:tc>
        <w:tc>
          <w:tcPr>
            <w:tcW w:w="1460" w:type="dxa"/>
            <w:vAlign w:val="bottom"/>
          </w:tcPr>
          <w:p>
            <w:pPr>
              <w:jc w:val="right"/>
              <w:ind w:right="20"/>
              <w:spacing w:after="0"/>
              <w:rPr>
                <w:sz w:val="20"/>
                <w:szCs w:val="20"/>
                <w:color w:val="auto"/>
              </w:rPr>
            </w:pPr>
            <w:r>
              <w:rPr>
                <w:rFonts w:ascii="Arial" w:cs="Arial" w:eastAsia="Arial" w:hAnsi="Arial"/>
                <w:sz w:val="16"/>
                <w:szCs w:val="16"/>
                <w:color w:val="auto"/>
              </w:rPr>
              <w:t>6.1</w:t>
            </w:r>
          </w:p>
        </w:tc>
        <w:tc>
          <w:tcPr>
            <w:tcW w:w="2040" w:type="dxa"/>
            <w:vAlign w:val="bottom"/>
            <w:gridSpan w:val="2"/>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240"/>
        </w:trPr>
        <w:tc>
          <w:tcPr>
            <w:tcW w:w="5020" w:type="dxa"/>
            <w:vAlign w:val="bottom"/>
            <w:gridSpan w:val="2"/>
          </w:tcPr>
          <w:p>
            <w:pPr>
              <w:spacing w:after="0"/>
              <w:rPr>
                <w:sz w:val="20"/>
                <w:szCs w:val="20"/>
                <w:color w:val="auto"/>
              </w:rPr>
            </w:pPr>
            <w:r>
              <w:rPr>
                <w:rFonts w:ascii="Arial" w:cs="Arial" w:eastAsia="Arial" w:hAnsi="Arial"/>
                <w:sz w:val="16"/>
                <w:szCs w:val="16"/>
                <w:color w:val="auto"/>
              </w:rPr>
              <w:t>Europe</w:t>
            </w:r>
          </w:p>
        </w:tc>
        <w:tc>
          <w:tcPr>
            <w:tcW w:w="540" w:type="dxa"/>
            <w:vAlign w:val="bottom"/>
          </w:tcPr>
          <w:p>
            <w:pPr>
              <w:jc w:val="right"/>
              <w:ind w:right="40"/>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20"/>
                <w:szCs w:val="20"/>
                <w:color w:val="auto"/>
              </w:rPr>
            </w:pPr>
          </w:p>
        </w:tc>
        <w:tc>
          <w:tcPr>
            <w:tcW w:w="1460" w:type="dxa"/>
            <w:vAlign w:val="bottom"/>
          </w:tcPr>
          <w:p>
            <w:pPr>
              <w:jc w:val="right"/>
              <w:ind w:right="20"/>
              <w:spacing w:after="0"/>
              <w:rPr>
                <w:sz w:val="20"/>
                <w:szCs w:val="20"/>
                <w:color w:val="auto"/>
              </w:rPr>
            </w:pPr>
            <w:r>
              <w:rPr>
                <w:rFonts w:ascii="Arial" w:cs="Arial" w:eastAsia="Arial" w:hAnsi="Arial"/>
                <w:sz w:val="16"/>
                <w:szCs w:val="16"/>
                <w:color w:val="auto"/>
              </w:rPr>
              <w:t>11.2</w:t>
            </w:r>
          </w:p>
        </w:tc>
        <w:tc>
          <w:tcPr>
            <w:tcW w:w="2040" w:type="dxa"/>
            <w:vAlign w:val="bottom"/>
            <w:gridSpan w:val="2"/>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0"/>
                <w:szCs w:val="20"/>
                <w:color w:val="auto"/>
              </w:rPr>
            </w:pPr>
          </w:p>
        </w:tc>
        <w:tc>
          <w:tcPr>
            <w:tcW w:w="2160" w:type="dxa"/>
            <w:vAlign w:val="bottom"/>
          </w:tcPr>
          <w:p>
            <w:pPr>
              <w:jc w:val="right"/>
              <w:ind w:right="20"/>
              <w:spacing w:after="0"/>
              <w:rPr>
                <w:sz w:val="20"/>
                <w:szCs w:val="20"/>
                <w:color w:val="auto"/>
              </w:rPr>
            </w:pPr>
            <w:r>
              <w:rPr>
                <w:rFonts w:ascii="Arial" w:cs="Arial" w:eastAsia="Arial" w:hAnsi="Arial"/>
                <w:sz w:val="16"/>
                <w:szCs w:val="16"/>
                <w:color w:val="auto"/>
              </w:rPr>
              <w:t>0.2%</w:t>
            </w:r>
          </w:p>
        </w:tc>
      </w:tr>
      <w:tr>
        <w:trPr>
          <w:trHeight w:val="243"/>
        </w:trPr>
        <w:tc>
          <w:tcPr>
            <w:tcW w:w="4100" w:type="dxa"/>
            <w:vAlign w:val="bottom"/>
          </w:tcPr>
          <w:p>
            <w:pPr>
              <w:spacing w:after="0"/>
              <w:rPr>
                <w:sz w:val="20"/>
                <w:szCs w:val="20"/>
                <w:color w:val="auto"/>
              </w:rPr>
            </w:pPr>
            <w:r>
              <w:rPr>
                <w:rFonts w:ascii="Arial" w:cs="Arial" w:eastAsia="Arial" w:hAnsi="Arial"/>
                <w:sz w:val="16"/>
                <w:szCs w:val="16"/>
                <w:color w:val="auto"/>
              </w:rPr>
              <w:t>Rest of World</w:t>
            </w:r>
          </w:p>
        </w:tc>
        <w:tc>
          <w:tcPr>
            <w:tcW w:w="9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11.8</w:t>
            </w:r>
          </w:p>
        </w:tc>
        <w:tc>
          <w:tcPr>
            <w:tcW w:w="100" w:type="dxa"/>
            <w:vAlign w:val="bottom"/>
          </w:tcPr>
          <w:p>
            <w:pPr>
              <w:spacing w:after="0"/>
              <w:rPr>
                <w:sz w:val="21"/>
                <w:szCs w:val="21"/>
                <w:color w:val="auto"/>
              </w:rPr>
            </w:pPr>
          </w:p>
        </w:tc>
        <w:tc>
          <w:tcPr>
            <w:tcW w:w="14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18.3</w:t>
            </w:r>
          </w:p>
        </w:tc>
        <w:tc>
          <w:tcPr>
            <w:tcW w:w="2040" w:type="dxa"/>
            <w:vAlign w:val="bottom"/>
            <w:gridSpan w:val="2"/>
          </w:tcPr>
          <w:p>
            <w:pPr>
              <w:jc w:val="right"/>
              <w:spacing w:after="0"/>
              <w:rPr>
                <w:sz w:val="20"/>
                <w:szCs w:val="20"/>
                <w:color w:val="auto"/>
              </w:rPr>
            </w:pPr>
            <w:r>
              <w:rPr>
                <w:rFonts w:ascii="Arial" w:cs="Arial" w:eastAsia="Arial" w:hAnsi="Arial"/>
                <w:sz w:val="16"/>
                <w:szCs w:val="16"/>
                <w:color w:val="auto"/>
              </w:rPr>
              <w:t>(35.4%)</w:t>
            </w:r>
          </w:p>
        </w:tc>
        <w:tc>
          <w:tcPr>
            <w:tcW w:w="100" w:type="dxa"/>
            <w:vAlign w:val="bottom"/>
          </w:tcPr>
          <w:p>
            <w:pPr>
              <w:spacing w:after="0"/>
              <w:rPr>
                <w:sz w:val="21"/>
                <w:szCs w:val="21"/>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(32.2%)</w:t>
            </w:r>
          </w:p>
        </w:tc>
      </w:tr>
      <w:tr>
        <w:trPr>
          <w:trHeight w:val="222"/>
        </w:trPr>
        <w:tc>
          <w:tcPr>
            <w:tcW w:w="4100" w:type="dxa"/>
            <w:vAlign w:val="bottom"/>
          </w:tcPr>
          <w:p>
            <w:pPr>
              <w:spacing w:after="0"/>
              <w:rPr>
                <w:sz w:val="20"/>
                <w:szCs w:val="20"/>
                <w:color w:val="auto"/>
              </w:rPr>
            </w:pPr>
            <w:r>
              <w:rPr>
                <w:rFonts w:ascii="Arial" w:cs="Arial" w:eastAsia="Arial" w:hAnsi="Arial"/>
                <w:sz w:val="16"/>
                <w:szCs w:val="16"/>
                <w:color w:val="auto"/>
              </w:rPr>
              <w:t>Total</w:t>
            </w:r>
          </w:p>
        </w:tc>
        <w:tc>
          <w:tcPr>
            <w:tcW w:w="9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28.6</w:t>
            </w:r>
          </w:p>
        </w:tc>
        <w:tc>
          <w:tcPr>
            <w:tcW w:w="100" w:type="dxa"/>
            <w:vAlign w:val="bottom"/>
          </w:tcPr>
          <w:p>
            <w:pPr>
              <w:spacing w:after="0"/>
              <w:rPr>
                <w:sz w:val="19"/>
                <w:szCs w:val="19"/>
                <w:color w:val="auto"/>
              </w:rPr>
            </w:pPr>
          </w:p>
        </w:tc>
        <w:tc>
          <w:tcPr>
            <w:tcW w:w="14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35.6</w:t>
            </w:r>
          </w:p>
        </w:tc>
        <w:tc>
          <w:tcPr>
            <w:tcW w:w="2040" w:type="dxa"/>
            <w:vAlign w:val="bottom"/>
            <w:gridSpan w:val="2"/>
          </w:tcPr>
          <w:p>
            <w:pPr>
              <w:jc w:val="right"/>
              <w:spacing w:after="0"/>
              <w:rPr>
                <w:sz w:val="20"/>
                <w:szCs w:val="20"/>
                <w:color w:val="auto"/>
              </w:rPr>
            </w:pPr>
            <w:r>
              <w:rPr>
                <w:rFonts w:ascii="Arial" w:cs="Arial" w:eastAsia="Arial" w:hAnsi="Arial"/>
                <w:sz w:val="16"/>
                <w:szCs w:val="16"/>
                <w:b w:val="1"/>
                <w:bCs w:val="1"/>
                <w:color w:val="auto"/>
              </w:rPr>
              <w:t>(19.7%)</w:t>
            </w:r>
          </w:p>
        </w:tc>
        <w:tc>
          <w:tcPr>
            <w:tcW w:w="10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6"/>
                <w:szCs w:val="16"/>
                <w:b w:val="1"/>
                <w:bCs w:val="1"/>
                <w:color w:val="auto"/>
              </w:rPr>
              <w:t>(17.1%)</w:t>
            </w:r>
          </w:p>
        </w:tc>
      </w:tr>
      <w:tr>
        <w:trPr>
          <w:trHeight w:val="226"/>
        </w:trPr>
        <w:tc>
          <w:tcPr>
            <w:tcW w:w="5020" w:type="dxa"/>
            <w:vAlign w:val="bottom"/>
            <w:gridSpan w:val="2"/>
          </w:tcPr>
          <w:p>
            <w:pPr>
              <w:spacing w:after="0"/>
              <w:rPr>
                <w:sz w:val="20"/>
                <w:szCs w:val="20"/>
                <w:color w:val="auto"/>
              </w:rPr>
            </w:pPr>
            <w:r>
              <w:rPr>
                <w:rFonts w:ascii="Arial" w:cs="Arial" w:eastAsia="Arial" w:hAnsi="Arial"/>
                <w:sz w:val="16"/>
                <w:szCs w:val="16"/>
                <w:b w:val="1"/>
                <w:bCs w:val="1"/>
                <w:color w:val="auto"/>
              </w:rPr>
              <w:t>Advanced Circulatory Support</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240"/>
        </w:trPr>
        <w:tc>
          <w:tcPr>
            <w:tcW w:w="5020" w:type="dxa"/>
            <w:vAlign w:val="bottom"/>
            <w:gridSpan w:val="2"/>
          </w:tcPr>
          <w:p>
            <w:pPr>
              <w:spacing w:after="0"/>
              <w:rPr>
                <w:sz w:val="20"/>
                <w:szCs w:val="20"/>
                <w:color w:val="auto"/>
              </w:rPr>
            </w:pPr>
            <w:r>
              <w:rPr>
                <w:rFonts w:ascii="Arial" w:cs="Arial" w:eastAsia="Arial" w:hAnsi="Arial"/>
                <w:sz w:val="16"/>
                <w:szCs w:val="16"/>
                <w:color w:val="auto"/>
              </w:rPr>
              <w:t>US</w:t>
            </w:r>
          </w:p>
        </w:tc>
        <w:tc>
          <w:tcPr>
            <w:tcW w:w="540" w:type="dxa"/>
            <w:vAlign w:val="bottom"/>
          </w:tcPr>
          <w:p>
            <w:pPr>
              <w:jc w:val="right"/>
              <w:ind w:right="40"/>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20"/>
                <w:szCs w:val="20"/>
                <w:color w:val="auto"/>
              </w:rPr>
            </w:pPr>
          </w:p>
        </w:tc>
        <w:tc>
          <w:tcPr>
            <w:tcW w:w="14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020" w:type="dxa"/>
            <w:vAlign w:val="bottom"/>
            <w:gridSpan w:val="2"/>
          </w:tcPr>
          <w:p>
            <w:pPr>
              <w:ind w:left="1420"/>
              <w:spacing w:after="0"/>
              <w:rPr>
                <w:sz w:val="20"/>
                <w:szCs w:val="20"/>
                <w:color w:val="auto"/>
              </w:rPr>
            </w:pPr>
            <w:r>
              <w:rPr>
                <w:rFonts w:ascii="Arial" w:cs="Arial" w:eastAsia="Arial" w:hAnsi="Arial"/>
                <w:sz w:val="16"/>
                <w:szCs w:val="16"/>
                <w:color w:val="auto"/>
              </w:rPr>
              <w:t>N/A</w:t>
            </w:r>
          </w:p>
        </w:tc>
        <w:tc>
          <w:tcPr>
            <w:tcW w:w="2160" w:type="dxa"/>
            <w:vAlign w:val="bottom"/>
          </w:tcPr>
          <w:p>
            <w:pPr>
              <w:jc w:val="right"/>
              <w:ind w:right="160"/>
              <w:spacing w:after="0"/>
              <w:rPr>
                <w:sz w:val="20"/>
                <w:szCs w:val="20"/>
                <w:color w:val="auto"/>
              </w:rPr>
            </w:pPr>
            <w:r>
              <w:rPr>
                <w:rFonts w:ascii="Arial" w:cs="Arial" w:eastAsia="Arial" w:hAnsi="Arial"/>
                <w:sz w:val="16"/>
                <w:szCs w:val="16"/>
                <w:color w:val="auto"/>
              </w:rPr>
              <w:t>N/A</w:t>
            </w:r>
          </w:p>
        </w:tc>
      </w:tr>
      <w:tr>
        <w:trPr>
          <w:trHeight w:val="240"/>
        </w:trPr>
        <w:tc>
          <w:tcPr>
            <w:tcW w:w="5020" w:type="dxa"/>
            <w:vAlign w:val="bottom"/>
            <w:gridSpan w:val="2"/>
          </w:tcPr>
          <w:p>
            <w:pPr>
              <w:spacing w:after="0"/>
              <w:rPr>
                <w:sz w:val="20"/>
                <w:szCs w:val="20"/>
                <w:color w:val="auto"/>
              </w:rPr>
            </w:pPr>
            <w:r>
              <w:rPr>
                <w:rFonts w:ascii="Arial" w:cs="Arial" w:eastAsia="Arial" w:hAnsi="Arial"/>
                <w:sz w:val="16"/>
                <w:szCs w:val="16"/>
                <w:color w:val="auto"/>
              </w:rPr>
              <w:t>Europe</w:t>
            </w:r>
          </w:p>
        </w:tc>
        <w:tc>
          <w:tcPr>
            <w:tcW w:w="540" w:type="dxa"/>
            <w:vAlign w:val="bottom"/>
          </w:tcPr>
          <w:p>
            <w:pPr>
              <w:jc w:val="right"/>
              <w:ind w:right="40"/>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0"/>
                <w:szCs w:val="20"/>
                <w:color w:val="auto"/>
              </w:rPr>
            </w:pPr>
          </w:p>
        </w:tc>
        <w:tc>
          <w:tcPr>
            <w:tcW w:w="14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020" w:type="dxa"/>
            <w:vAlign w:val="bottom"/>
            <w:gridSpan w:val="2"/>
          </w:tcPr>
          <w:p>
            <w:pPr>
              <w:ind w:left="1420"/>
              <w:spacing w:after="0"/>
              <w:rPr>
                <w:sz w:val="20"/>
                <w:szCs w:val="20"/>
                <w:color w:val="auto"/>
              </w:rPr>
            </w:pPr>
            <w:r>
              <w:rPr>
                <w:rFonts w:ascii="Arial" w:cs="Arial" w:eastAsia="Arial" w:hAnsi="Arial"/>
                <w:sz w:val="16"/>
                <w:szCs w:val="16"/>
                <w:color w:val="auto"/>
              </w:rPr>
              <w:t>N/A</w:t>
            </w:r>
          </w:p>
        </w:tc>
        <w:tc>
          <w:tcPr>
            <w:tcW w:w="2160" w:type="dxa"/>
            <w:vAlign w:val="bottom"/>
          </w:tcPr>
          <w:p>
            <w:pPr>
              <w:jc w:val="right"/>
              <w:ind w:right="160"/>
              <w:spacing w:after="0"/>
              <w:rPr>
                <w:sz w:val="20"/>
                <w:szCs w:val="20"/>
                <w:color w:val="auto"/>
              </w:rPr>
            </w:pPr>
            <w:r>
              <w:rPr>
                <w:rFonts w:ascii="Arial" w:cs="Arial" w:eastAsia="Arial" w:hAnsi="Arial"/>
                <w:sz w:val="16"/>
                <w:szCs w:val="16"/>
                <w:color w:val="auto"/>
              </w:rPr>
              <w:t>N/A</w:t>
            </w:r>
          </w:p>
        </w:tc>
      </w:tr>
      <w:tr>
        <w:trPr>
          <w:trHeight w:val="245"/>
        </w:trPr>
        <w:tc>
          <w:tcPr>
            <w:tcW w:w="4100" w:type="dxa"/>
            <w:vAlign w:val="bottom"/>
          </w:tcPr>
          <w:p>
            <w:pPr>
              <w:spacing w:after="0"/>
              <w:rPr>
                <w:sz w:val="20"/>
                <w:szCs w:val="20"/>
                <w:color w:val="auto"/>
              </w:rPr>
            </w:pPr>
            <w:r>
              <w:rPr>
                <w:rFonts w:ascii="Arial" w:cs="Arial" w:eastAsia="Arial" w:hAnsi="Arial"/>
                <w:sz w:val="16"/>
                <w:szCs w:val="16"/>
                <w:color w:val="auto"/>
              </w:rPr>
              <w:t>Rest of world</w:t>
            </w:r>
          </w:p>
        </w:tc>
        <w:tc>
          <w:tcPr>
            <w:tcW w:w="9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4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2020" w:type="dxa"/>
            <w:vAlign w:val="bottom"/>
            <w:gridSpan w:val="2"/>
          </w:tcPr>
          <w:p>
            <w:pPr>
              <w:ind w:left="1420"/>
              <w:spacing w:after="0"/>
              <w:rPr>
                <w:sz w:val="20"/>
                <w:szCs w:val="20"/>
                <w:color w:val="auto"/>
              </w:rPr>
            </w:pPr>
            <w:r>
              <w:rPr>
                <w:rFonts w:ascii="Arial" w:cs="Arial" w:eastAsia="Arial" w:hAnsi="Arial"/>
                <w:sz w:val="16"/>
                <w:szCs w:val="16"/>
                <w:color w:val="auto"/>
              </w:rPr>
              <w:t>N/A</w:t>
            </w:r>
          </w:p>
        </w:tc>
        <w:tc>
          <w:tcPr>
            <w:tcW w:w="2160" w:type="dxa"/>
            <w:vAlign w:val="bottom"/>
          </w:tcPr>
          <w:p>
            <w:pPr>
              <w:jc w:val="right"/>
              <w:ind w:right="160"/>
              <w:spacing w:after="0"/>
              <w:rPr>
                <w:sz w:val="20"/>
                <w:szCs w:val="20"/>
                <w:color w:val="auto"/>
              </w:rPr>
            </w:pPr>
            <w:r>
              <w:rPr>
                <w:rFonts w:ascii="Arial" w:cs="Arial" w:eastAsia="Arial" w:hAnsi="Arial"/>
                <w:sz w:val="16"/>
                <w:szCs w:val="16"/>
                <w:color w:val="auto"/>
              </w:rPr>
              <w:t>N/A</w:t>
            </w:r>
          </w:p>
        </w:tc>
      </w:tr>
      <w:tr>
        <w:trPr>
          <w:trHeight w:val="220"/>
        </w:trPr>
        <w:tc>
          <w:tcPr>
            <w:tcW w:w="4100" w:type="dxa"/>
            <w:vAlign w:val="bottom"/>
          </w:tcPr>
          <w:p>
            <w:pPr>
              <w:spacing w:after="0"/>
              <w:rPr>
                <w:sz w:val="20"/>
                <w:szCs w:val="20"/>
                <w:color w:val="auto"/>
              </w:rPr>
            </w:pPr>
            <w:r>
              <w:rPr>
                <w:rFonts w:ascii="Arial" w:cs="Arial" w:eastAsia="Arial" w:hAnsi="Arial"/>
                <w:sz w:val="16"/>
                <w:szCs w:val="16"/>
                <w:color w:val="auto"/>
              </w:rPr>
              <w:t>Total</w:t>
            </w:r>
          </w:p>
        </w:tc>
        <w:tc>
          <w:tcPr>
            <w:tcW w:w="9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19"/>
                <w:szCs w:val="19"/>
                <w:color w:val="auto"/>
              </w:rPr>
            </w:pPr>
          </w:p>
        </w:tc>
        <w:tc>
          <w:tcPr>
            <w:tcW w:w="14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2020" w:type="dxa"/>
            <w:vAlign w:val="bottom"/>
            <w:gridSpan w:val="2"/>
          </w:tcPr>
          <w:p>
            <w:pPr>
              <w:ind w:left="1420"/>
              <w:spacing w:after="0"/>
              <w:rPr>
                <w:sz w:val="20"/>
                <w:szCs w:val="20"/>
                <w:color w:val="auto"/>
              </w:rPr>
            </w:pPr>
            <w:r>
              <w:rPr>
                <w:rFonts w:ascii="Arial" w:cs="Arial" w:eastAsia="Arial" w:hAnsi="Arial"/>
                <w:sz w:val="16"/>
                <w:szCs w:val="16"/>
                <w:color w:val="auto"/>
              </w:rPr>
              <w:t>N/A</w:t>
            </w:r>
          </w:p>
        </w:tc>
        <w:tc>
          <w:tcPr>
            <w:tcW w:w="2160" w:type="dxa"/>
            <w:vAlign w:val="bottom"/>
          </w:tcPr>
          <w:p>
            <w:pPr>
              <w:jc w:val="right"/>
              <w:ind w:right="160"/>
              <w:spacing w:after="0"/>
              <w:rPr>
                <w:sz w:val="20"/>
                <w:szCs w:val="20"/>
                <w:color w:val="auto"/>
              </w:rPr>
            </w:pPr>
            <w:r>
              <w:rPr>
                <w:rFonts w:ascii="Arial" w:cs="Arial" w:eastAsia="Arial" w:hAnsi="Arial"/>
                <w:sz w:val="16"/>
                <w:szCs w:val="16"/>
                <w:color w:val="auto"/>
              </w:rPr>
              <w:t>N/A</w:t>
            </w:r>
          </w:p>
        </w:tc>
      </w:tr>
      <w:tr>
        <w:trPr>
          <w:trHeight w:val="226"/>
        </w:trPr>
        <w:tc>
          <w:tcPr>
            <w:tcW w:w="5020" w:type="dxa"/>
            <w:vAlign w:val="bottom"/>
            <w:gridSpan w:val="2"/>
          </w:tcPr>
          <w:p>
            <w:pPr>
              <w:spacing w:after="0"/>
              <w:rPr>
                <w:sz w:val="20"/>
                <w:szCs w:val="20"/>
                <w:color w:val="auto"/>
              </w:rPr>
            </w:pPr>
            <w:r>
              <w:rPr>
                <w:rFonts w:ascii="Arial" w:cs="Arial" w:eastAsia="Arial" w:hAnsi="Arial"/>
                <w:sz w:val="16"/>
                <w:szCs w:val="16"/>
                <w:b w:val="1"/>
                <w:bCs w:val="1"/>
                <w:color w:val="auto"/>
              </w:rPr>
              <w:t>Cardiovascular</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240"/>
        </w:trPr>
        <w:tc>
          <w:tcPr>
            <w:tcW w:w="5020" w:type="dxa"/>
            <w:vAlign w:val="bottom"/>
            <w:gridSpan w:val="2"/>
          </w:tcPr>
          <w:p>
            <w:pPr>
              <w:spacing w:after="0"/>
              <w:rPr>
                <w:sz w:val="20"/>
                <w:szCs w:val="20"/>
                <w:color w:val="auto"/>
              </w:rPr>
            </w:pPr>
            <w:r>
              <w:rPr>
                <w:rFonts w:ascii="Arial" w:cs="Arial" w:eastAsia="Arial" w:hAnsi="Arial"/>
                <w:sz w:val="16"/>
                <w:szCs w:val="16"/>
                <w:color w:val="auto"/>
              </w:rPr>
              <w:t>US</w:t>
            </w:r>
          </w:p>
        </w:tc>
        <w:tc>
          <w:tcPr>
            <w:tcW w:w="540" w:type="dxa"/>
            <w:vAlign w:val="bottom"/>
          </w:tcPr>
          <w:p>
            <w:pPr>
              <w:jc w:val="right"/>
              <w:ind w:right="40"/>
              <w:spacing w:after="0"/>
              <w:rPr>
                <w:sz w:val="20"/>
                <w:szCs w:val="20"/>
                <w:color w:val="auto"/>
              </w:rPr>
            </w:pPr>
            <w:r>
              <w:rPr>
                <w:rFonts w:ascii="Arial" w:cs="Arial" w:eastAsia="Arial" w:hAnsi="Arial"/>
                <w:sz w:val="16"/>
                <w:szCs w:val="16"/>
                <w:color w:val="auto"/>
              </w:rPr>
              <w:t>53.2</w:t>
            </w:r>
          </w:p>
        </w:tc>
        <w:tc>
          <w:tcPr>
            <w:tcW w:w="100" w:type="dxa"/>
            <w:vAlign w:val="bottom"/>
          </w:tcPr>
          <w:p>
            <w:pPr>
              <w:spacing w:after="0"/>
              <w:rPr>
                <w:sz w:val="20"/>
                <w:szCs w:val="20"/>
                <w:color w:val="auto"/>
              </w:rPr>
            </w:pPr>
          </w:p>
        </w:tc>
        <w:tc>
          <w:tcPr>
            <w:tcW w:w="1460" w:type="dxa"/>
            <w:vAlign w:val="bottom"/>
          </w:tcPr>
          <w:p>
            <w:pPr>
              <w:jc w:val="right"/>
              <w:ind w:right="20"/>
              <w:spacing w:after="0"/>
              <w:rPr>
                <w:sz w:val="20"/>
                <w:szCs w:val="20"/>
                <w:color w:val="auto"/>
              </w:rPr>
            </w:pPr>
            <w:r>
              <w:rPr>
                <w:rFonts w:ascii="Arial" w:cs="Arial" w:eastAsia="Arial" w:hAnsi="Arial"/>
                <w:sz w:val="16"/>
                <w:szCs w:val="16"/>
                <w:color w:val="auto"/>
              </w:rPr>
              <w:t>48.6</w:t>
            </w:r>
          </w:p>
        </w:tc>
        <w:tc>
          <w:tcPr>
            <w:tcW w:w="2040" w:type="dxa"/>
            <w:vAlign w:val="bottom"/>
            <w:gridSpan w:val="2"/>
          </w:tcPr>
          <w:p>
            <w:pPr>
              <w:jc w:val="right"/>
              <w:spacing w:after="0"/>
              <w:rPr>
                <w:sz w:val="20"/>
                <w:szCs w:val="20"/>
                <w:color w:val="auto"/>
              </w:rPr>
            </w:pPr>
            <w:r>
              <w:rPr>
                <w:rFonts w:ascii="Arial" w:cs="Arial" w:eastAsia="Arial" w:hAnsi="Arial"/>
                <w:sz w:val="16"/>
                <w:szCs w:val="16"/>
                <w:color w:val="auto"/>
              </w:rPr>
              <w:t>9.4%</w:t>
            </w:r>
          </w:p>
        </w:tc>
        <w:tc>
          <w:tcPr>
            <w:tcW w:w="100" w:type="dxa"/>
            <w:vAlign w:val="bottom"/>
          </w:tcPr>
          <w:p>
            <w:pPr>
              <w:spacing w:after="0"/>
              <w:rPr>
                <w:sz w:val="20"/>
                <w:szCs w:val="20"/>
                <w:color w:val="auto"/>
              </w:rPr>
            </w:pPr>
          </w:p>
        </w:tc>
        <w:tc>
          <w:tcPr>
            <w:tcW w:w="2160" w:type="dxa"/>
            <w:vAlign w:val="bottom"/>
          </w:tcPr>
          <w:p>
            <w:pPr>
              <w:jc w:val="right"/>
              <w:ind w:right="20"/>
              <w:spacing w:after="0"/>
              <w:rPr>
                <w:sz w:val="20"/>
                <w:szCs w:val="20"/>
                <w:color w:val="auto"/>
              </w:rPr>
            </w:pPr>
            <w:r>
              <w:rPr>
                <w:rFonts w:ascii="Arial" w:cs="Arial" w:eastAsia="Arial" w:hAnsi="Arial"/>
                <w:sz w:val="16"/>
                <w:szCs w:val="16"/>
                <w:color w:val="auto"/>
              </w:rPr>
              <w:t>9.4%</w:t>
            </w:r>
          </w:p>
        </w:tc>
      </w:tr>
      <w:tr>
        <w:trPr>
          <w:trHeight w:val="240"/>
        </w:trPr>
        <w:tc>
          <w:tcPr>
            <w:tcW w:w="5020" w:type="dxa"/>
            <w:vAlign w:val="bottom"/>
            <w:gridSpan w:val="2"/>
          </w:tcPr>
          <w:p>
            <w:pPr>
              <w:spacing w:after="0"/>
              <w:rPr>
                <w:sz w:val="20"/>
                <w:szCs w:val="20"/>
                <w:color w:val="auto"/>
              </w:rPr>
            </w:pPr>
            <w:r>
              <w:rPr>
                <w:rFonts w:ascii="Arial" w:cs="Arial" w:eastAsia="Arial" w:hAnsi="Arial"/>
                <w:sz w:val="16"/>
                <w:szCs w:val="16"/>
                <w:color w:val="auto"/>
              </w:rPr>
              <w:t>Europe</w:t>
            </w:r>
          </w:p>
        </w:tc>
        <w:tc>
          <w:tcPr>
            <w:tcW w:w="540" w:type="dxa"/>
            <w:vAlign w:val="bottom"/>
          </w:tcPr>
          <w:p>
            <w:pPr>
              <w:jc w:val="right"/>
              <w:ind w:right="40"/>
              <w:spacing w:after="0"/>
              <w:rPr>
                <w:sz w:val="20"/>
                <w:szCs w:val="20"/>
                <w:color w:val="auto"/>
              </w:rPr>
            </w:pPr>
            <w:r>
              <w:rPr>
                <w:rFonts w:ascii="Arial" w:cs="Arial" w:eastAsia="Arial" w:hAnsi="Arial"/>
                <w:sz w:val="16"/>
                <w:szCs w:val="16"/>
                <w:color w:val="auto"/>
              </w:rPr>
              <w:t>47.8</w:t>
            </w:r>
          </w:p>
        </w:tc>
        <w:tc>
          <w:tcPr>
            <w:tcW w:w="100" w:type="dxa"/>
            <w:vAlign w:val="bottom"/>
          </w:tcPr>
          <w:p>
            <w:pPr>
              <w:spacing w:after="0"/>
              <w:rPr>
                <w:sz w:val="20"/>
                <w:szCs w:val="20"/>
                <w:color w:val="auto"/>
              </w:rPr>
            </w:pPr>
          </w:p>
        </w:tc>
        <w:tc>
          <w:tcPr>
            <w:tcW w:w="1460" w:type="dxa"/>
            <w:vAlign w:val="bottom"/>
          </w:tcPr>
          <w:p>
            <w:pPr>
              <w:jc w:val="right"/>
              <w:ind w:right="20"/>
              <w:spacing w:after="0"/>
              <w:rPr>
                <w:sz w:val="20"/>
                <w:szCs w:val="20"/>
                <w:color w:val="auto"/>
              </w:rPr>
            </w:pPr>
            <w:r>
              <w:rPr>
                <w:rFonts w:ascii="Arial" w:cs="Arial" w:eastAsia="Arial" w:hAnsi="Arial"/>
                <w:sz w:val="16"/>
                <w:szCs w:val="16"/>
                <w:color w:val="auto"/>
              </w:rPr>
              <w:t>49.7</w:t>
            </w:r>
          </w:p>
        </w:tc>
        <w:tc>
          <w:tcPr>
            <w:tcW w:w="2040" w:type="dxa"/>
            <w:vAlign w:val="bottom"/>
            <w:gridSpan w:val="2"/>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(0.6%)</w:t>
            </w:r>
          </w:p>
        </w:tc>
      </w:tr>
      <w:tr>
        <w:trPr>
          <w:trHeight w:val="243"/>
        </w:trPr>
        <w:tc>
          <w:tcPr>
            <w:tcW w:w="4100" w:type="dxa"/>
            <w:vAlign w:val="bottom"/>
          </w:tcPr>
          <w:p>
            <w:pPr>
              <w:spacing w:after="0"/>
              <w:rPr>
                <w:sz w:val="20"/>
                <w:szCs w:val="20"/>
                <w:color w:val="auto"/>
              </w:rPr>
            </w:pPr>
            <w:r>
              <w:rPr>
                <w:rFonts w:ascii="Arial" w:cs="Arial" w:eastAsia="Arial" w:hAnsi="Arial"/>
                <w:sz w:val="16"/>
                <w:szCs w:val="16"/>
                <w:color w:val="auto"/>
              </w:rPr>
              <w:t>Rest of World</w:t>
            </w:r>
          </w:p>
        </w:tc>
        <w:tc>
          <w:tcPr>
            <w:tcW w:w="9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81.6</w:t>
            </w:r>
          </w:p>
        </w:tc>
        <w:tc>
          <w:tcPr>
            <w:tcW w:w="100" w:type="dxa"/>
            <w:vAlign w:val="bottom"/>
          </w:tcPr>
          <w:p>
            <w:pPr>
              <w:spacing w:after="0"/>
              <w:rPr>
                <w:sz w:val="21"/>
                <w:szCs w:val="21"/>
                <w:color w:val="auto"/>
              </w:rPr>
            </w:pPr>
          </w:p>
        </w:tc>
        <w:tc>
          <w:tcPr>
            <w:tcW w:w="14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79.6</w:t>
            </w:r>
          </w:p>
        </w:tc>
        <w:tc>
          <w:tcPr>
            <w:tcW w:w="2040" w:type="dxa"/>
            <w:vAlign w:val="bottom"/>
            <w:gridSpan w:val="2"/>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1"/>
                <w:szCs w:val="21"/>
                <w:color w:val="auto"/>
              </w:rPr>
            </w:pPr>
          </w:p>
        </w:tc>
        <w:tc>
          <w:tcPr>
            <w:tcW w:w="2160" w:type="dxa"/>
            <w:vAlign w:val="bottom"/>
          </w:tcPr>
          <w:p>
            <w:pPr>
              <w:jc w:val="right"/>
              <w:ind w:right="20"/>
              <w:spacing w:after="0"/>
              <w:rPr>
                <w:sz w:val="20"/>
                <w:szCs w:val="20"/>
                <w:color w:val="auto"/>
              </w:rPr>
            </w:pPr>
            <w:r>
              <w:rPr>
                <w:rFonts w:ascii="Arial" w:cs="Arial" w:eastAsia="Arial" w:hAnsi="Arial"/>
                <w:sz w:val="16"/>
                <w:szCs w:val="16"/>
                <w:color w:val="auto"/>
              </w:rPr>
              <w:t>8.3%</w:t>
            </w:r>
          </w:p>
        </w:tc>
      </w:tr>
      <w:tr>
        <w:trPr>
          <w:trHeight w:val="222"/>
        </w:trPr>
        <w:tc>
          <w:tcPr>
            <w:tcW w:w="4100" w:type="dxa"/>
            <w:vAlign w:val="bottom"/>
          </w:tcPr>
          <w:p>
            <w:pPr>
              <w:spacing w:after="0"/>
              <w:rPr>
                <w:sz w:val="20"/>
                <w:szCs w:val="20"/>
                <w:color w:val="auto"/>
              </w:rPr>
            </w:pPr>
            <w:r>
              <w:rPr>
                <w:rFonts w:ascii="Arial" w:cs="Arial" w:eastAsia="Arial" w:hAnsi="Arial"/>
                <w:sz w:val="16"/>
                <w:szCs w:val="16"/>
                <w:color w:val="auto"/>
              </w:rPr>
              <w:t>Total</w:t>
            </w:r>
          </w:p>
        </w:tc>
        <w:tc>
          <w:tcPr>
            <w:tcW w:w="9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w w:val="99"/>
              </w:rPr>
              <w:t>182.6</w:t>
            </w:r>
          </w:p>
        </w:tc>
        <w:tc>
          <w:tcPr>
            <w:tcW w:w="100" w:type="dxa"/>
            <w:vAlign w:val="bottom"/>
          </w:tcPr>
          <w:p>
            <w:pPr>
              <w:spacing w:after="0"/>
              <w:rPr>
                <w:sz w:val="19"/>
                <w:szCs w:val="19"/>
                <w:color w:val="auto"/>
              </w:rPr>
            </w:pPr>
          </w:p>
        </w:tc>
        <w:tc>
          <w:tcPr>
            <w:tcW w:w="14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177.9</w:t>
            </w:r>
          </w:p>
        </w:tc>
        <w:tc>
          <w:tcPr>
            <w:tcW w:w="2040" w:type="dxa"/>
            <w:vAlign w:val="bottom"/>
            <w:gridSpan w:val="2"/>
          </w:tcPr>
          <w:p>
            <w:pPr>
              <w:jc w:val="right"/>
              <w:spacing w:after="0"/>
              <w:rPr>
                <w:sz w:val="20"/>
                <w:szCs w:val="20"/>
                <w:color w:val="auto"/>
              </w:rPr>
            </w:pPr>
            <w:r>
              <w:rPr>
                <w:rFonts w:ascii="Arial" w:cs="Arial" w:eastAsia="Arial" w:hAnsi="Arial"/>
                <w:sz w:val="16"/>
                <w:szCs w:val="16"/>
                <w:b w:val="1"/>
                <w:bCs w:val="1"/>
                <w:color w:val="auto"/>
              </w:rPr>
              <w:t>2.7%</w:t>
            </w:r>
          </w:p>
        </w:tc>
        <w:tc>
          <w:tcPr>
            <w:tcW w:w="100" w:type="dxa"/>
            <w:vAlign w:val="bottom"/>
          </w:tcPr>
          <w:p>
            <w:pPr>
              <w:spacing w:after="0"/>
              <w:rPr>
                <w:sz w:val="19"/>
                <w:szCs w:val="19"/>
                <w:color w:val="auto"/>
              </w:rPr>
            </w:pPr>
          </w:p>
        </w:tc>
        <w:tc>
          <w:tcPr>
            <w:tcW w:w="2160" w:type="dxa"/>
            <w:vAlign w:val="bottom"/>
          </w:tcPr>
          <w:p>
            <w:pPr>
              <w:jc w:val="right"/>
              <w:ind w:right="20"/>
              <w:spacing w:after="0"/>
              <w:rPr>
                <w:sz w:val="20"/>
                <w:szCs w:val="20"/>
                <w:color w:val="auto"/>
              </w:rPr>
            </w:pPr>
            <w:r>
              <w:rPr>
                <w:rFonts w:ascii="Arial" w:cs="Arial" w:eastAsia="Arial" w:hAnsi="Arial"/>
                <w:sz w:val="16"/>
                <w:szCs w:val="16"/>
                <w:b w:val="1"/>
                <w:bCs w:val="1"/>
                <w:color w:val="auto"/>
              </w:rPr>
              <w:t>6.1%</w:t>
            </w:r>
          </w:p>
        </w:tc>
      </w:tr>
      <w:tr>
        <w:trPr>
          <w:trHeight w:val="226"/>
        </w:trPr>
        <w:tc>
          <w:tcPr>
            <w:tcW w:w="5020" w:type="dxa"/>
            <w:vAlign w:val="bottom"/>
            <w:gridSpan w:val="2"/>
          </w:tcPr>
          <w:p>
            <w:pPr>
              <w:spacing w:after="0"/>
              <w:rPr>
                <w:sz w:val="20"/>
                <w:szCs w:val="20"/>
                <w:color w:val="auto"/>
              </w:rPr>
            </w:pPr>
            <w:r>
              <w:rPr>
                <w:rFonts w:ascii="Arial" w:cs="Arial" w:eastAsia="Arial" w:hAnsi="Arial"/>
                <w:sz w:val="16"/>
                <w:szCs w:val="16"/>
                <w:b w:val="1"/>
                <w:bCs w:val="1"/>
                <w:color w:val="auto"/>
              </w:rPr>
              <w:t>Neuromodulation</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240"/>
        </w:trPr>
        <w:tc>
          <w:tcPr>
            <w:tcW w:w="5020" w:type="dxa"/>
            <w:vAlign w:val="bottom"/>
            <w:gridSpan w:val="2"/>
          </w:tcPr>
          <w:p>
            <w:pPr>
              <w:spacing w:after="0"/>
              <w:rPr>
                <w:sz w:val="20"/>
                <w:szCs w:val="20"/>
                <w:color w:val="auto"/>
              </w:rPr>
            </w:pPr>
            <w:r>
              <w:rPr>
                <w:rFonts w:ascii="Arial" w:cs="Arial" w:eastAsia="Arial" w:hAnsi="Arial"/>
                <w:sz w:val="16"/>
                <w:szCs w:val="16"/>
                <w:color w:val="auto"/>
              </w:rPr>
              <w:t>US</w:t>
            </w:r>
          </w:p>
        </w:tc>
        <w:tc>
          <w:tcPr>
            <w:tcW w:w="540" w:type="dxa"/>
            <w:vAlign w:val="bottom"/>
          </w:tcPr>
          <w:p>
            <w:pPr>
              <w:jc w:val="right"/>
              <w:ind w:right="40"/>
              <w:spacing w:after="0"/>
              <w:rPr>
                <w:sz w:val="20"/>
                <w:szCs w:val="20"/>
                <w:color w:val="auto"/>
              </w:rPr>
            </w:pPr>
            <w:r>
              <w:rPr>
                <w:rFonts w:ascii="Arial" w:cs="Arial" w:eastAsia="Arial" w:hAnsi="Arial"/>
                <w:sz w:val="16"/>
                <w:szCs w:val="16"/>
                <w:color w:val="auto"/>
              </w:rPr>
              <w:t>94.4</w:t>
            </w:r>
          </w:p>
        </w:tc>
        <w:tc>
          <w:tcPr>
            <w:tcW w:w="100" w:type="dxa"/>
            <w:vAlign w:val="bottom"/>
          </w:tcPr>
          <w:p>
            <w:pPr>
              <w:spacing w:after="0"/>
              <w:rPr>
                <w:sz w:val="20"/>
                <w:szCs w:val="20"/>
                <w:color w:val="auto"/>
              </w:rPr>
            </w:pPr>
          </w:p>
        </w:tc>
        <w:tc>
          <w:tcPr>
            <w:tcW w:w="1460" w:type="dxa"/>
            <w:vAlign w:val="bottom"/>
          </w:tcPr>
          <w:p>
            <w:pPr>
              <w:jc w:val="right"/>
              <w:ind w:right="20"/>
              <w:spacing w:after="0"/>
              <w:rPr>
                <w:sz w:val="20"/>
                <w:szCs w:val="20"/>
                <w:color w:val="auto"/>
              </w:rPr>
            </w:pPr>
            <w:r>
              <w:rPr>
                <w:rFonts w:ascii="Arial" w:cs="Arial" w:eastAsia="Arial" w:hAnsi="Arial"/>
                <w:sz w:val="16"/>
                <w:szCs w:val="16"/>
                <w:color w:val="auto"/>
              </w:rPr>
              <w:t>85.6</w:t>
            </w:r>
          </w:p>
        </w:tc>
        <w:tc>
          <w:tcPr>
            <w:tcW w:w="2040" w:type="dxa"/>
            <w:vAlign w:val="bottom"/>
            <w:gridSpan w:val="2"/>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20"/>
                <w:szCs w:val="20"/>
                <w:color w:val="auto"/>
              </w:rPr>
            </w:pPr>
          </w:p>
        </w:tc>
        <w:tc>
          <w:tcPr>
            <w:tcW w:w="2160" w:type="dxa"/>
            <w:vAlign w:val="bottom"/>
          </w:tcPr>
          <w:p>
            <w:pPr>
              <w:jc w:val="right"/>
              <w:ind w:right="20"/>
              <w:spacing w:after="0"/>
              <w:rPr>
                <w:sz w:val="20"/>
                <w:szCs w:val="20"/>
                <w:color w:val="auto"/>
              </w:rPr>
            </w:pPr>
            <w:r>
              <w:rPr>
                <w:rFonts w:ascii="Arial" w:cs="Arial" w:eastAsia="Arial" w:hAnsi="Arial"/>
                <w:sz w:val="16"/>
                <w:szCs w:val="16"/>
                <w:color w:val="auto"/>
              </w:rPr>
              <w:t>10.3%</w:t>
            </w:r>
          </w:p>
        </w:tc>
      </w:tr>
      <w:tr>
        <w:trPr>
          <w:trHeight w:val="240"/>
        </w:trPr>
        <w:tc>
          <w:tcPr>
            <w:tcW w:w="5020" w:type="dxa"/>
            <w:vAlign w:val="bottom"/>
            <w:gridSpan w:val="2"/>
          </w:tcPr>
          <w:p>
            <w:pPr>
              <w:spacing w:after="0"/>
              <w:rPr>
                <w:sz w:val="20"/>
                <w:szCs w:val="20"/>
                <w:color w:val="auto"/>
              </w:rPr>
            </w:pPr>
            <w:r>
              <w:rPr>
                <w:rFonts w:ascii="Arial" w:cs="Arial" w:eastAsia="Arial" w:hAnsi="Arial"/>
                <w:sz w:val="16"/>
                <w:szCs w:val="16"/>
                <w:color w:val="auto"/>
              </w:rPr>
              <w:t>Europe</w:t>
            </w:r>
          </w:p>
        </w:tc>
        <w:tc>
          <w:tcPr>
            <w:tcW w:w="540" w:type="dxa"/>
            <w:vAlign w:val="bottom"/>
          </w:tcPr>
          <w:p>
            <w:pPr>
              <w:jc w:val="right"/>
              <w:ind w:right="40"/>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20"/>
                <w:szCs w:val="20"/>
                <w:color w:val="auto"/>
              </w:rPr>
            </w:pPr>
          </w:p>
        </w:tc>
        <w:tc>
          <w:tcPr>
            <w:tcW w:w="1460" w:type="dxa"/>
            <w:vAlign w:val="bottom"/>
          </w:tcPr>
          <w:p>
            <w:pPr>
              <w:jc w:val="right"/>
              <w:ind w:right="20"/>
              <w:spacing w:after="0"/>
              <w:rPr>
                <w:sz w:val="20"/>
                <w:szCs w:val="20"/>
                <w:color w:val="auto"/>
              </w:rPr>
            </w:pPr>
            <w:r>
              <w:rPr>
                <w:rFonts w:ascii="Arial" w:cs="Arial" w:eastAsia="Arial" w:hAnsi="Arial"/>
                <w:sz w:val="16"/>
                <w:szCs w:val="16"/>
                <w:color w:val="auto"/>
              </w:rPr>
              <w:t>9.3</w:t>
            </w:r>
          </w:p>
        </w:tc>
        <w:tc>
          <w:tcPr>
            <w:tcW w:w="2040" w:type="dxa"/>
            <w:vAlign w:val="bottom"/>
            <w:gridSpan w:val="2"/>
          </w:tcPr>
          <w:p>
            <w:pPr>
              <w:jc w:val="right"/>
              <w:spacing w:after="0"/>
              <w:rPr>
                <w:sz w:val="20"/>
                <w:szCs w:val="20"/>
                <w:color w:val="auto"/>
              </w:rPr>
            </w:pPr>
            <w:r>
              <w:rPr>
                <w:rFonts w:ascii="Arial" w:cs="Arial" w:eastAsia="Arial" w:hAnsi="Arial"/>
                <w:sz w:val="16"/>
                <w:szCs w:val="16"/>
                <w:color w:val="auto"/>
              </w:rPr>
              <w:t>15.6%</w:t>
            </w:r>
          </w:p>
        </w:tc>
        <w:tc>
          <w:tcPr>
            <w:tcW w:w="100" w:type="dxa"/>
            <w:vAlign w:val="bottom"/>
          </w:tcPr>
          <w:p>
            <w:pPr>
              <w:spacing w:after="0"/>
              <w:rPr>
                <w:sz w:val="20"/>
                <w:szCs w:val="20"/>
                <w:color w:val="auto"/>
              </w:rPr>
            </w:pPr>
          </w:p>
        </w:tc>
        <w:tc>
          <w:tcPr>
            <w:tcW w:w="2160" w:type="dxa"/>
            <w:vAlign w:val="bottom"/>
          </w:tcPr>
          <w:p>
            <w:pPr>
              <w:jc w:val="right"/>
              <w:ind w:right="20"/>
              <w:spacing w:after="0"/>
              <w:rPr>
                <w:sz w:val="20"/>
                <w:szCs w:val="20"/>
                <w:color w:val="auto"/>
              </w:rPr>
            </w:pPr>
            <w:r>
              <w:rPr>
                <w:rFonts w:ascii="Arial" w:cs="Arial" w:eastAsia="Arial" w:hAnsi="Arial"/>
                <w:sz w:val="16"/>
                <w:szCs w:val="16"/>
                <w:color w:val="auto"/>
              </w:rPr>
              <w:t>19.7%</w:t>
            </w:r>
          </w:p>
        </w:tc>
      </w:tr>
      <w:tr>
        <w:trPr>
          <w:trHeight w:val="243"/>
        </w:trPr>
        <w:tc>
          <w:tcPr>
            <w:tcW w:w="4100" w:type="dxa"/>
            <w:vAlign w:val="bottom"/>
          </w:tcPr>
          <w:p>
            <w:pPr>
              <w:spacing w:after="0"/>
              <w:rPr>
                <w:sz w:val="20"/>
                <w:szCs w:val="20"/>
                <w:color w:val="auto"/>
              </w:rPr>
            </w:pPr>
            <w:r>
              <w:rPr>
                <w:rFonts w:ascii="Arial" w:cs="Arial" w:eastAsia="Arial" w:hAnsi="Arial"/>
                <w:sz w:val="16"/>
                <w:szCs w:val="16"/>
                <w:color w:val="auto"/>
              </w:rPr>
              <w:t>Rest of World</w:t>
            </w:r>
          </w:p>
        </w:tc>
        <w:tc>
          <w:tcPr>
            <w:tcW w:w="9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21"/>
                <w:szCs w:val="21"/>
                <w:color w:val="auto"/>
              </w:rPr>
            </w:pPr>
          </w:p>
        </w:tc>
        <w:tc>
          <w:tcPr>
            <w:tcW w:w="14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5.0</w:t>
            </w:r>
          </w:p>
        </w:tc>
        <w:tc>
          <w:tcPr>
            <w:tcW w:w="2040" w:type="dxa"/>
            <w:vAlign w:val="bottom"/>
            <w:gridSpan w:val="2"/>
          </w:tcPr>
          <w:p>
            <w:pPr>
              <w:jc w:val="right"/>
              <w:spacing w:after="0"/>
              <w:rPr>
                <w:sz w:val="20"/>
                <w:szCs w:val="20"/>
                <w:color w:val="auto"/>
              </w:rPr>
            </w:pPr>
            <w:r>
              <w:rPr>
                <w:rFonts w:ascii="Arial" w:cs="Arial" w:eastAsia="Arial" w:hAnsi="Arial"/>
                <w:sz w:val="16"/>
                <w:szCs w:val="16"/>
                <w:color w:val="auto"/>
              </w:rPr>
              <w:t>70.3%</w:t>
            </w:r>
          </w:p>
        </w:tc>
        <w:tc>
          <w:tcPr>
            <w:tcW w:w="100" w:type="dxa"/>
            <w:vAlign w:val="bottom"/>
          </w:tcPr>
          <w:p>
            <w:pPr>
              <w:spacing w:after="0"/>
              <w:rPr>
                <w:sz w:val="21"/>
                <w:szCs w:val="21"/>
                <w:color w:val="auto"/>
              </w:rPr>
            </w:pPr>
          </w:p>
        </w:tc>
        <w:tc>
          <w:tcPr>
            <w:tcW w:w="2160" w:type="dxa"/>
            <w:vAlign w:val="bottom"/>
          </w:tcPr>
          <w:p>
            <w:pPr>
              <w:jc w:val="right"/>
              <w:ind w:right="20"/>
              <w:spacing w:after="0"/>
              <w:rPr>
                <w:sz w:val="20"/>
                <w:szCs w:val="20"/>
                <w:color w:val="auto"/>
              </w:rPr>
            </w:pPr>
            <w:r>
              <w:rPr>
                <w:rFonts w:ascii="Arial" w:cs="Arial" w:eastAsia="Arial" w:hAnsi="Arial"/>
                <w:sz w:val="16"/>
                <w:szCs w:val="16"/>
                <w:color w:val="auto"/>
              </w:rPr>
              <w:t>76.7%</w:t>
            </w:r>
          </w:p>
        </w:tc>
      </w:tr>
      <w:tr>
        <w:trPr>
          <w:trHeight w:val="222"/>
        </w:trPr>
        <w:tc>
          <w:tcPr>
            <w:tcW w:w="4100" w:type="dxa"/>
            <w:vAlign w:val="bottom"/>
          </w:tcPr>
          <w:p>
            <w:pPr>
              <w:spacing w:after="0"/>
              <w:rPr>
                <w:sz w:val="20"/>
                <w:szCs w:val="20"/>
                <w:color w:val="auto"/>
              </w:rPr>
            </w:pPr>
            <w:r>
              <w:rPr>
                <w:rFonts w:ascii="Arial" w:cs="Arial" w:eastAsia="Arial" w:hAnsi="Arial"/>
                <w:sz w:val="16"/>
                <w:szCs w:val="16"/>
                <w:color w:val="auto"/>
              </w:rPr>
              <w:t>Total</w:t>
            </w:r>
          </w:p>
        </w:tc>
        <w:tc>
          <w:tcPr>
            <w:tcW w:w="9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w w:val="99"/>
              </w:rPr>
              <w:t>113.6</w:t>
            </w:r>
          </w:p>
        </w:tc>
        <w:tc>
          <w:tcPr>
            <w:tcW w:w="100" w:type="dxa"/>
            <w:vAlign w:val="bottom"/>
          </w:tcPr>
          <w:p>
            <w:pPr>
              <w:spacing w:after="0"/>
              <w:rPr>
                <w:sz w:val="19"/>
                <w:szCs w:val="19"/>
                <w:color w:val="auto"/>
              </w:rPr>
            </w:pPr>
          </w:p>
        </w:tc>
        <w:tc>
          <w:tcPr>
            <w:tcW w:w="14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99.8</w:t>
            </w:r>
          </w:p>
        </w:tc>
        <w:tc>
          <w:tcPr>
            <w:tcW w:w="2040" w:type="dxa"/>
            <w:vAlign w:val="bottom"/>
            <w:gridSpan w:val="2"/>
          </w:tcPr>
          <w:p>
            <w:pPr>
              <w:jc w:val="right"/>
              <w:spacing w:after="0"/>
              <w:rPr>
                <w:sz w:val="20"/>
                <w:szCs w:val="20"/>
                <w:color w:val="auto"/>
              </w:rPr>
            </w:pPr>
            <w:r>
              <w:rPr>
                <w:rFonts w:ascii="Arial" w:cs="Arial" w:eastAsia="Arial" w:hAnsi="Arial"/>
                <w:sz w:val="16"/>
                <w:szCs w:val="16"/>
                <w:b w:val="1"/>
                <w:bCs w:val="1"/>
                <w:color w:val="auto"/>
              </w:rPr>
              <w:t>13.8%</w:t>
            </w:r>
          </w:p>
        </w:tc>
        <w:tc>
          <w:tcPr>
            <w:tcW w:w="100" w:type="dxa"/>
            <w:vAlign w:val="bottom"/>
          </w:tcPr>
          <w:p>
            <w:pPr>
              <w:spacing w:after="0"/>
              <w:rPr>
                <w:sz w:val="19"/>
                <w:szCs w:val="19"/>
                <w:color w:val="auto"/>
              </w:rPr>
            </w:pPr>
          </w:p>
        </w:tc>
        <w:tc>
          <w:tcPr>
            <w:tcW w:w="2160" w:type="dxa"/>
            <w:vAlign w:val="bottom"/>
          </w:tcPr>
          <w:p>
            <w:pPr>
              <w:jc w:val="right"/>
              <w:ind w:right="20"/>
              <w:spacing w:after="0"/>
              <w:rPr>
                <w:sz w:val="20"/>
                <w:szCs w:val="20"/>
                <w:color w:val="auto"/>
              </w:rPr>
            </w:pPr>
            <w:r>
              <w:rPr>
                <w:rFonts w:ascii="Arial" w:cs="Arial" w:eastAsia="Arial" w:hAnsi="Arial"/>
                <w:sz w:val="16"/>
                <w:szCs w:val="16"/>
                <w:b w:val="1"/>
                <w:bCs w:val="1"/>
                <w:color w:val="auto"/>
              </w:rPr>
              <w:t>14.5%</w:t>
            </w:r>
          </w:p>
        </w:tc>
      </w:tr>
      <w:tr>
        <w:trPr>
          <w:trHeight w:val="226"/>
        </w:trPr>
        <w:tc>
          <w:tcPr>
            <w:tcW w:w="5020" w:type="dxa"/>
            <w:vAlign w:val="bottom"/>
            <w:gridSpan w:val="2"/>
          </w:tcPr>
          <w:p>
            <w:pPr>
              <w:spacing w:after="0"/>
              <w:rPr>
                <w:sz w:val="20"/>
                <w:szCs w:val="20"/>
                <w:color w:val="auto"/>
              </w:rPr>
            </w:pPr>
            <w:r>
              <w:rPr>
                <w:rFonts w:ascii="Arial" w:cs="Arial" w:eastAsia="Arial" w:hAnsi="Arial"/>
                <w:sz w:val="16"/>
                <w:szCs w:val="16"/>
                <w:b w:val="1"/>
                <w:bCs w:val="1"/>
                <w:color w:val="auto"/>
              </w:rPr>
              <w:t>Other</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240"/>
        </w:trPr>
        <w:tc>
          <w:tcPr>
            <w:tcW w:w="5020" w:type="dxa"/>
            <w:vAlign w:val="bottom"/>
            <w:gridSpan w:val="2"/>
          </w:tcPr>
          <w:p>
            <w:pPr>
              <w:spacing w:after="0"/>
              <w:rPr>
                <w:sz w:val="20"/>
                <w:szCs w:val="20"/>
                <w:color w:val="auto"/>
              </w:rPr>
            </w:pPr>
            <w:r>
              <w:rPr>
                <w:rFonts w:ascii="Arial" w:cs="Arial" w:eastAsia="Arial" w:hAnsi="Arial"/>
                <w:sz w:val="16"/>
                <w:szCs w:val="16"/>
                <w:color w:val="auto"/>
              </w:rPr>
              <w:t>US</w:t>
            </w: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020" w:type="dxa"/>
            <w:vAlign w:val="bottom"/>
            <w:gridSpan w:val="2"/>
          </w:tcPr>
          <w:p>
            <w:pPr>
              <w:ind w:left="1420"/>
              <w:spacing w:after="0"/>
              <w:rPr>
                <w:sz w:val="20"/>
                <w:szCs w:val="20"/>
                <w:color w:val="auto"/>
              </w:rPr>
            </w:pPr>
            <w:r>
              <w:rPr>
                <w:rFonts w:ascii="Arial" w:cs="Arial" w:eastAsia="Arial" w:hAnsi="Arial"/>
                <w:sz w:val="16"/>
                <w:szCs w:val="16"/>
                <w:color w:val="auto"/>
              </w:rPr>
              <w:t>N/A</w:t>
            </w:r>
          </w:p>
        </w:tc>
        <w:tc>
          <w:tcPr>
            <w:tcW w:w="2160" w:type="dxa"/>
            <w:vAlign w:val="bottom"/>
          </w:tcPr>
          <w:p>
            <w:pPr>
              <w:jc w:val="right"/>
              <w:ind w:right="160"/>
              <w:spacing w:after="0"/>
              <w:rPr>
                <w:sz w:val="20"/>
                <w:szCs w:val="20"/>
                <w:color w:val="auto"/>
              </w:rPr>
            </w:pPr>
            <w:r>
              <w:rPr>
                <w:rFonts w:ascii="Arial" w:cs="Arial" w:eastAsia="Arial" w:hAnsi="Arial"/>
                <w:sz w:val="16"/>
                <w:szCs w:val="16"/>
                <w:color w:val="auto"/>
              </w:rPr>
              <w:t>N/A</w:t>
            </w:r>
          </w:p>
        </w:tc>
      </w:tr>
      <w:tr>
        <w:trPr>
          <w:trHeight w:val="240"/>
        </w:trPr>
        <w:tc>
          <w:tcPr>
            <w:tcW w:w="5020" w:type="dxa"/>
            <w:vAlign w:val="bottom"/>
            <w:gridSpan w:val="2"/>
          </w:tcPr>
          <w:p>
            <w:pPr>
              <w:spacing w:after="0"/>
              <w:rPr>
                <w:sz w:val="20"/>
                <w:szCs w:val="20"/>
                <w:color w:val="auto"/>
              </w:rPr>
            </w:pPr>
            <w:r>
              <w:rPr>
                <w:rFonts w:ascii="Arial" w:cs="Arial" w:eastAsia="Arial" w:hAnsi="Arial"/>
                <w:sz w:val="16"/>
                <w:szCs w:val="16"/>
                <w:color w:val="auto"/>
              </w:rPr>
              <w:t>Europe</w:t>
            </w: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020" w:type="dxa"/>
            <w:vAlign w:val="bottom"/>
            <w:gridSpan w:val="2"/>
          </w:tcPr>
          <w:p>
            <w:pPr>
              <w:ind w:left="1420"/>
              <w:spacing w:after="0"/>
              <w:rPr>
                <w:sz w:val="20"/>
                <w:szCs w:val="20"/>
                <w:color w:val="auto"/>
              </w:rPr>
            </w:pPr>
            <w:r>
              <w:rPr>
                <w:rFonts w:ascii="Arial" w:cs="Arial" w:eastAsia="Arial" w:hAnsi="Arial"/>
                <w:sz w:val="16"/>
                <w:szCs w:val="16"/>
                <w:color w:val="auto"/>
              </w:rPr>
              <w:t>N/A</w:t>
            </w:r>
          </w:p>
        </w:tc>
        <w:tc>
          <w:tcPr>
            <w:tcW w:w="2160" w:type="dxa"/>
            <w:vAlign w:val="bottom"/>
          </w:tcPr>
          <w:p>
            <w:pPr>
              <w:jc w:val="right"/>
              <w:ind w:right="160"/>
              <w:spacing w:after="0"/>
              <w:rPr>
                <w:sz w:val="20"/>
                <w:szCs w:val="20"/>
                <w:color w:val="auto"/>
              </w:rPr>
            </w:pPr>
            <w:r>
              <w:rPr>
                <w:rFonts w:ascii="Arial" w:cs="Arial" w:eastAsia="Arial" w:hAnsi="Arial"/>
                <w:sz w:val="16"/>
                <w:szCs w:val="16"/>
                <w:color w:val="auto"/>
              </w:rPr>
              <w:t>N/A</w:t>
            </w:r>
          </w:p>
        </w:tc>
      </w:tr>
      <w:tr>
        <w:trPr>
          <w:trHeight w:val="243"/>
        </w:trPr>
        <w:tc>
          <w:tcPr>
            <w:tcW w:w="4100" w:type="dxa"/>
            <w:vAlign w:val="bottom"/>
          </w:tcPr>
          <w:p>
            <w:pPr>
              <w:spacing w:after="0"/>
              <w:rPr>
                <w:sz w:val="20"/>
                <w:szCs w:val="20"/>
                <w:color w:val="auto"/>
              </w:rPr>
            </w:pPr>
            <w:r>
              <w:rPr>
                <w:rFonts w:ascii="Arial" w:cs="Arial" w:eastAsia="Arial" w:hAnsi="Arial"/>
                <w:sz w:val="16"/>
                <w:szCs w:val="16"/>
                <w:color w:val="auto"/>
              </w:rPr>
              <w:t>Rest of World</w:t>
            </w:r>
          </w:p>
        </w:tc>
        <w:tc>
          <w:tcPr>
            <w:tcW w:w="9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21"/>
                <w:szCs w:val="21"/>
                <w:color w:val="auto"/>
              </w:rPr>
            </w:pPr>
          </w:p>
        </w:tc>
        <w:tc>
          <w:tcPr>
            <w:tcW w:w="14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0.7</w:t>
            </w:r>
          </w:p>
        </w:tc>
        <w:tc>
          <w:tcPr>
            <w:tcW w:w="2040" w:type="dxa"/>
            <w:vAlign w:val="bottom"/>
            <w:gridSpan w:val="2"/>
          </w:tcPr>
          <w:p>
            <w:pPr>
              <w:jc w:val="right"/>
              <w:spacing w:after="0"/>
              <w:rPr>
                <w:sz w:val="20"/>
                <w:szCs w:val="20"/>
                <w:color w:val="auto"/>
              </w:rPr>
            </w:pPr>
            <w:r>
              <w:rPr>
                <w:rFonts w:ascii="Arial" w:cs="Arial" w:eastAsia="Arial" w:hAnsi="Arial"/>
                <w:sz w:val="16"/>
                <w:szCs w:val="16"/>
                <w:color w:val="auto"/>
              </w:rPr>
              <w:t>19.8%</w:t>
            </w:r>
          </w:p>
        </w:tc>
        <w:tc>
          <w:tcPr>
            <w:tcW w:w="100" w:type="dxa"/>
            <w:vAlign w:val="bottom"/>
          </w:tcPr>
          <w:p>
            <w:pPr>
              <w:spacing w:after="0"/>
              <w:rPr>
                <w:sz w:val="21"/>
                <w:szCs w:val="21"/>
                <w:color w:val="auto"/>
              </w:rPr>
            </w:pPr>
          </w:p>
        </w:tc>
        <w:tc>
          <w:tcPr>
            <w:tcW w:w="2160" w:type="dxa"/>
            <w:vAlign w:val="bottom"/>
          </w:tcPr>
          <w:p>
            <w:pPr>
              <w:jc w:val="right"/>
              <w:ind w:right="20"/>
              <w:spacing w:after="0"/>
              <w:rPr>
                <w:sz w:val="20"/>
                <w:szCs w:val="20"/>
                <w:color w:val="auto"/>
              </w:rPr>
            </w:pPr>
            <w:r>
              <w:rPr>
                <w:rFonts w:ascii="Arial" w:cs="Arial" w:eastAsia="Arial" w:hAnsi="Arial"/>
                <w:sz w:val="16"/>
                <w:szCs w:val="16"/>
                <w:color w:val="auto"/>
              </w:rPr>
              <w:t>23.7%</w:t>
            </w:r>
          </w:p>
        </w:tc>
      </w:tr>
      <w:tr>
        <w:trPr>
          <w:trHeight w:val="222"/>
        </w:trPr>
        <w:tc>
          <w:tcPr>
            <w:tcW w:w="4100" w:type="dxa"/>
            <w:vAlign w:val="bottom"/>
          </w:tcPr>
          <w:p>
            <w:pPr>
              <w:spacing w:after="0"/>
              <w:rPr>
                <w:sz w:val="20"/>
                <w:szCs w:val="20"/>
                <w:color w:val="auto"/>
              </w:rPr>
            </w:pPr>
            <w:r>
              <w:rPr>
                <w:rFonts w:ascii="Arial" w:cs="Arial" w:eastAsia="Arial" w:hAnsi="Arial"/>
                <w:sz w:val="16"/>
                <w:szCs w:val="16"/>
                <w:color w:val="auto"/>
              </w:rPr>
              <w:t>Total</w:t>
            </w:r>
          </w:p>
        </w:tc>
        <w:tc>
          <w:tcPr>
            <w:tcW w:w="9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19"/>
                <w:szCs w:val="19"/>
                <w:color w:val="auto"/>
              </w:rPr>
            </w:pPr>
          </w:p>
        </w:tc>
        <w:tc>
          <w:tcPr>
            <w:tcW w:w="14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0.7</w:t>
            </w:r>
          </w:p>
        </w:tc>
        <w:tc>
          <w:tcPr>
            <w:tcW w:w="2040" w:type="dxa"/>
            <w:vAlign w:val="bottom"/>
            <w:gridSpan w:val="2"/>
          </w:tcPr>
          <w:p>
            <w:pPr>
              <w:jc w:val="right"/>
              <w:spacing w:after="0"/>
              <w:rPr>
                <w:sz w:val="20"/>
                <w:szCs w:val="20"/>
                <w:color w:val="auto"/>
              </w:rPr>
            </w:pPr>
            <w:r>
              <w:rPr>
                <w:rFonts w:ascii="Arial" w:cs="Arial" w:eastAsia="Arial" w:hAnsi="Arial"/>
                <w:sz w:val="16"/>
                <w:szCs w:val="16"/>
                <w:b w:val="1"/>
                <w:bCs w:val="1"/>
                <w:color w:val="auto"/>
              </w:rPr>
              <w:t>19.8%</w:t>
            </w:r>
          </w:p>
        </w:tc>
        <w:tc>
          <w:tcPr>
            <w:tcW w:w="100" w:type="dxa"/>
            <w:vAlign w:val="bottom"/>
          </w:tcPr>
          <w:p>
            <w:pPr>
              <w:spacing w:after="0"/>
              <w:rPr>
                <w:sz w:val="19"/>
                <w:szCs w:val="19"/>
                <w:color w:val="auto"/>
              </w:rPr>
            </w:pPr>
          </w:p>
        </w:tc>
        <w:tc>
          <w:tcPr>
            <w:tcW w:w="2160" w:type="dxa"/>
            <w:vAlign w:val="bottom"/>
          </w:tcPr>
          <w:p>
            <w:pPr>
              <w:jc w:val="right"/>
              <w:ind w:right="20"/>
              <w:spacing w:after="0"/>
              <w:rPr>
                <w:sz w:val="20"/>
                <w:szCs w:val="20"/>
                <w:color w:val="auto"/>
              </w:rPr>
            </w:pPr>
            <w:r>
              <w:rPr>
                <w:rFonts w:ascii="Arial" w:cs="Arial" w:eastAsia="Arial" w:hAnsi="Arial"/>
                <w:sz w:val="16"/>
                <w:szCs w:val="16"/>
                <w:color w:val="auto"/>
              </w:rPr>
              <w:t>23.7%</w:t>
            </w:r>
          </w:p>
        </w:tc>
      </w:tr>
      <w:tr>
        <w:trPr>
          <w:trHeight w:val="226"/>
        </w:trPr>
        <w:tc>
          <w:tcPr>
            <w:tcW w:w="5020" w:type="dxa"/>
            <w:vAlign w:val="bottom"/>
            <w:gridSpan w:val="2"/>
          </w:tcPr>
          <w:p>
            <w:pPr>
              <w:spacing w:after="0"/>
              <w:rPr>
                <w:sz w:val="20"/>
                <w:szCs w:val="20"/>
                <w:color w:val="auto"/>
              </w:rPr>
            </w:pPr>
            <w:r>
              <w:rPr>
                <w:rFonts w:ascii="Arial" w:cs="Arial" w:eastAsia="Arial" w:hAnsi="Arial"/>
                <w:sz w:val="16"/>
                <w:szCs w:val="16"/>
                <w:b w:val="1"/>
                <w:bCs w:val="1"/>
                <w:color w:val="auto"/>
              </w:rPr>
              <w:t>Total</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240"/>
        </w:trPr>
        <w:tc>
          <w:tcPr>
            <w:tcW w:w="5020" w:type="dxa"/>
            <w:vAlign w:val="bottom"/>
            <w:gridSpan w:val="2"/>
          </w:tcPr>
          <w:p>
            <w:pPr>
              <w:spacing w:after="0"/>
              <w:rPr>
                <w:sz w:val="20"/>
                <w:szCs w:val="20"/>
                <w:color w:val="auto"/>
              </w:rPr>
            </w:pPr>
            <w:r>
              <w:rPr>
                <w:rFonts w:ascii="Arial" w:cs="Arial" w:eastAsia="Arial" w:hAnsi="Arial"/>
                <w:sz w:val="16"/>
                <w:szCs w:val="16"/>
                <w:color w:val="auto"/>
              </w:rPr>
              <w:t>US</w:t>
            </w:r>
          </w:p>
        </w:tc>
        <w:tc>
          <w:tcPr>
            <w:tcW w:w="540" w:type="dxa"/>
            <w:vAlign w:val="bottom"/>
          </w:tcPr>
          <w:p>
            <w:pPr>
              <w:jc w:val="right"/>
              <w:ind w:right="40"/>
              <w:spacing w:after="0"/>
              <w:rPr>
                <w:sz w:val="20"/>
                <w:szCs w:val="20"/>
                <w:color w:val="auto"/>
              </w:rPr>
            </w:pPr>
            <w:r>
              <w:rPr>
                <w:rFonts w:ascii="Arial" w:cs="Arial" w:eastAsia="Arial" w:hAnsi="Arial"/>
                <w:sz w:val="16"/>
                <w:szCs w:val="16"/>
                <w:color w:val="auto"/>
                <w:w w:val="99"/>
              </w:rPr>
              <w:t>147.6</w:t>
            </w:r>
          </w:p>
        </w:tc>
        <w:tc>
          <w:tcPr>
            <w:tcW w:w="100" w:type="dxa"/>
            <w:vAlign w:val="bottom"/>
          </w:tcPr>
          <w:p>
            <w:pPr>
              <w:spacing w:after="0"/>
              <w:rPr>
                <w:sz w:val="20"/>
                <w:szCs w:val="20"/>
                <w:color w:val="auto"/>
              </w:rPr>
            </w:pPr>
          </w:p>
        </w:tc>
        <w:tc>
          <w:tcPr>
            <w:tcW w:w="1460" w:type="dxa"/>
            <w:vAlign w:val="bottom"/>
          </w:tcPr>
          <w:p>
            <w:pPr>
              <w:jc w:val="right"/>
              <w:ind w:right="20"/>
              <w:spacing w:after="0"/>
              <w:rPr>
                <w:sz w:val="20"/>
                <w:szCs w:val="20"/>
                <w:color w:val="auto"/>
              </w:rPr>
            </w:pPr>
            <w:r>
              <w:rPr>
                <w:rFonts w:ascii="Arial" w:cs="Arial" w:eastAsia="Arial" w:hAnsi="Arial"/>
                <w:sz w:val="16"/>
                <w:szCs w:val="16"/>
                <w:color w:val="auto"/>
              </w:rPr>
              <w:t>134.2</w:t>
            </w:r>
          </w:p>
        </w:tc>
        <w:tc>
          <w:tcPr>
            <w:tcW w:w="2040" w:type="dxa"/>
            <w:vAlign w:val="bottom"/>
            <w:gridSpan w:val="2"/>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20"/>
                <w:szCs w:val="20"/>
                <w:color w:val="auto"/>
              </w:rPr>
            </w:pPr>
          </w:p>
        </w:tc>
        <w:tc>
          <w:tcPr>
            <w:tcW w:w="2160" w:type="dxa"/>
            <w:vAlign w:val="bottom"/>
          </w:tcPr>
          <w:p>
            <w:pPr>
              <w:jc w:val="right"/>
              <w:ind w:right="20"/>
              <w:spacing w:after="0"/>
              <w:rPr>
                <w:sz w:val="20"/>
                <w:szCs w:val="20"/>
                <w:color w:val="auto"/>
              </w:rPr>
            </w:pPr>
            <w:r>
              <w:rPr>
                <w:rFonts w:ascii="Arial" w:cs="Arial" w:eastAsia="Arial" w:hAnsi="Arial"/>
                <w:sz w:val="16"/>
                <w:szCs w:val="16"/>
                <w:color w:val="auto"/>
              </w:rPr>
              <w:t>10.0%</w:t>
            </w:r>
          </w:p>
        </w:tc>
      </w:tr>
      <w:tr>
        <w:trPr>
          <w:trHeight w:val="240"/>
        </w:trPr>
        <w:tc>
          <w:tcPr>
            <w:tcW w:w="5020" w:type="dxa"/>
            <w:vAlign w:val="bottom"/>
            <w:gridSpan w:val="2"/>
          </w:tcPr>
          <w:p>
            <w:pPr>
              <w:spacing w:after="0"/>
              <w:rPr>
                <w:sz w:val="20"/>
                <w:szCs w:val="20"/>
                <w:color w:val="auto"/>
              </w:rPr>
            </w:pPr>
            <w:r>
              <w:rPr>
                <w:rFonts w:ascii="Arial" w:cs="Arial" w:eastAsia="Arial" w:hAnsi="Arial"/>
                <w:sz w:val="16"/>
                <w:szCs w:val="16"/>
                <w:color w:val="auto"/>
              </w:rPr>
              <w:t>Europe</w:t>
            </w:r>
          </w:p>
        </w:tc>
        <w:tc>
          <w:tcPr>
            <w:tcW w:w="540" w:type="dxa"/>
            <w:vAlign w:val="bottom"/>
          </w:tcPr>
          <w:p>
            <w:pPr>
              <w:jc w:val="right"/>
              <w:ind w:right="40"/>
              <w:spacing w:after="0"/>
              <w:rPr>
                <w:sz w:val="20"/>
                <w:szCs w:val="20"/>
                <w:color w:val="auto"/>
              </w:rPr>
            </w:pPr>
            <w:r>
              <w:rPr>
                <w:rFonts w:ascii="Arial" w:cs="Arial" w:eastAsia="Arial" w:hAnsi="Arial"/>
                <w:sz w:val="16"/>
                <w:szCs w:val="16"/>
                <w:color w:val="auto"/>
              </w:rPr>
              <w:t>58.5</w:t>
            </w:r>
          </w:p>
        </w:tc>
        <w:tc>
          <w:tcPr>
            <w:tcW w:w="100" w:type="dxa"/>
            <w:vAlign w:val="bottom"/>
          </w:tcPr>
          <w:p>
            <w:pPr>
              <w:spacing w:after="0"/>
              <w:rPr>
                <w:sz w:val="20"/>
                <w:szCs w:val="20"/>
                <w:color w:val="auto"/>
              </w:rPr>
            </w:pPr>
          </w:p>
        </w:tc>
        <w:tc>
          <w:tcPr>
            <w:tcW w:w="1460" w:type="dxa"/>
            <w:vAlign w:val="bottom"/>
          </w:tcPr>
          <w:p>
            <w:pPr>
              <w:jc w:val="right"/>
              <w:ind w:right="20"/>
              <w:spacing w:after="0"/>
              <w:rPr>
                <w:sz w:val="20"/>
                <w:szCs w:val="20"/>
                <w:color w:val="auto"/>
              </w:rPr>
            </w:pPr>
            <w:r>
              <w:rPr>
                <w:rFonts w:ascii="Arial" w:cs="Arial" w:eastAsia="Arial" w:hAnsi="Arial"/>
                <w:sz w:val="16"/>
                <w:szCs w:val="16"/>
                <w:color w:val="auto"/>
              </w:rPr>
              <w:t>58.9</w:t>
            </w:r>
          </w:p>
        </w:tc>
        <w:tc>
          <w:tcPr>
            <w:tcW w:w="2040" w:type="dxa"/>
            <w:vAlign w:val="bottom"/>
            <w:gridSpan w:val="2"/>
          </w:tcPr>
          <w:p>
            <w:pPr>
              <w:jc w:val="right"/>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20"/>
                <w:szCs w:val="20"/>
                <w:color w:val="auto"/>
              </w:rPr>
            </w:pPr>
          </w:p>
        </w:tc>
        <w:tc>
          <w:tcPr>
            <w:tcW w:w="2160" w:type="dxa"/>
            <w:vAlign w:val="bottom"/>
          </w:tcPr>
          <w:p>
            <w:pPr>
              <w:jc w:val="right"/>
              <w:ind w:right="20"/>
              <w:spacing w:after="0"/>
              <w:rPr>
                <w:sz w:val="20"/>
                <w:szCs w:val="20"/>
                <w:color w:val="auto"/>
              </w:rPr>
            </w:pPr>
            <w:r>
              <w:rPr>
                <w:rFonts w:ascii="Arial" w:cs="Arial" w:eastAsia="Arial" w:hAnsi="Arial"/>
                <w:sz w:val="16"/>
                <w:szCs w:val="16"/>
                <w:color w:val="auto"/>
              </w:rPr>
              <w:t>2.6%</w:t>
            </w:r>
          </w:p>
        </w:tc>
      </w:tr>
      <w:tr>
        <w:trPr>
          <w:trHeight w:val="245"/>
        </w:trPr>
        <w:tc>
          <w:tcPr>
            <w:tcW w:w="4100" w:type="dxa"/>
            <w:vAlign w:val="bottom"/>
          </w:tcPr>
          <w:p>
            <w:pPr>
              <w:spacing w:after="0"/>
              <w:rPr>
                <w:sz w:val="20"/>
                <w:szCs w:val="20"/>
                <w:color w:val="auto"/>
              </w:rPr>
            </w:pPr>
            <w:r>
              <w:rPr>
                <w:rFonts w:ascii="Arial" w:cs="Arial" w:eastAsia="Arial" w:hAnsi="Arial"/>
                <w:sz w:val="16"/>
                <w:szCs w:val="16"/>
                <w:color w:val="auto"/>
              </w:rPr>
              <w:t>Rest of World</w:t>
            </w:r>
          </w:p>
        </w:tc>
        <w:tc>
          <w:tcPr>
            <w:tcW w:w="9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90.9</w:t>
            </w:r>
          </w:p>
        </w:tc>
        <w:tc>
          <w:tcPr>
            <w:tcW w:w="100" w:type="dxa"/>
            <w:vAlign w:val="bottom"/>
          </w:tcPr>
          <w:p>
            <w:pPr>
              <w:spacing w:after="0"/>
              <w:rPr>
                <w:sz w:val="21"/>
                <w:szCs w:val="21"/>
                <w:color w:val="auto"/>
              </w:rPr>
            </w:pPr>
          </w:p>
        </w:tc>
        <w:tc>
          <w:tcPr>
            <w:tcW w:w="14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85.2</w:t>
            </w:r>
          </w:p>
        </w:tc>
        <w:tc>
          <w:tcPr>
            <w:tcW w:w="2040" w:type="dxa"/>
            <w:vAlign w:val="bottom"/>
            <w:gridSpan w:val="2"/>
          </w:tcPr>
          <w:p>
            <w:pPr>
              <w:jc w:val="right"/>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21"/>
                <w:szCs w:val="21"/>
                <w:color w:val="auto"/>
              </w:rPr>
            </w:pPr>
          </w:p>
        </w:tc>
        <w:tc>
          <w:tcPr>
            <w:tcW w:w="2160" w:type="dxa"/>
            <w:vAlign w:val="bottom"/>
          </w:tcPr>
          <w:p>
            <w:pPr>
              <w:jc w:val="right"/>
              <w:ind w:right="20"/>
              <w:spacing w:after="0"/>
              <w:rPr>
                <w:sz w:val="20"/>
                <w:szCs w:val="20"/>
                <w:color w:val="auto"/>
              </w:rPr>
            </w:pPr>
            <w:r>
              <w:rPr>
                <w:rFonts w:ascii="Arial" w:cs="Arial" w:eastAsia="Arial" w:hAnsi="Arial"/>
                <w:sz w:val="16"/>
                <w:szCs w:val="16"/>
                <w:color w:val="auto"/>
              </w:rPr>
              <w:t>12.4%</w:t>
            </w:r>
          </w:p>
        </w:tc>
      </w:tr>
      <w:tr>
        <w:trPr>
          <w:trHeight w:val="225"/>
        </w:trPr>
        <w:tc>
          <w:tcPr>
            <w:tcW w:w="5020" w:type="dxa"/>
            <w:vAlign w:val="bottom"/>
            <w:gridSpan w:val="2"/>
          </w:tcPr>
          <w:p>
            <w:pPr>
              <w:spacing w:after="0"/>
              <w:rPr>
                <w:sz w:val="20"/>
                <w:szCs w:val="20"/>
                <w:color w:val="auto"/>
              </w:rPr>
            </w:pPr>
            <w:r>
              <w:rPr>
                <w:rFonts w:ascii="Arial" w:cs="Arial" w:eastAsia="Arial" w:hAnsi="Arial"/>
                <w:sz w:val="16"/>
                <w:szCs w:val="16"/>
                <w:color w:val="auto"/>
              </w:rPr>
              <w:t>Total</w:t>
            </w: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$297.0</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$278.4</w:t>
            </w:r>
          </w:p>
        </w:tc>
        <w:tc>
          <w:tcPr>
            <w:tcW w:w="2040" w:type="dxa"/>
            <w:vAlign w:val="bottom"/>
            <w:gridSpan w:val="2"/>
          </w:tcPr>
          <w:p>
            <w:pPr>
              <w:jc w:val="right"/>
              <w:spacing w:after="0"/>
              <w:rPr>
                <w:sz w:val="20"/>
                <w:szCs w:val="20"/>
                <w:color w:val="auto"/>
              </w:rPr>
            </w:pPr>
            <w:r>
              <w:rPr>
                <w:rFonts w:ascii="Arial" w:cs="Arial" w:eastAsia="Arial" w:hAnsi="Arial"/>
                <w:sz w:val="16"/>
                <w:szCs w:val="16"/>
                <w:b w:val="1"/>
                <w:bCs w:val="1"/>
                <w:color w:val="auto"/>
              </w:rPr>
              <w:t>6.7%</w:t>
            </w:r>
          </w:p>
        </w:tc>
        <w:tc>
          <w:tcPr>
            <w:tcW w:w="100" w:type="dxa"/>
            <w:vAlign w:val="bottom"/>
          </w:tcPr>
          <w:p>
            <w:pPr>
              <w:spacing w:after="0"/>
              <w:rPr>
                <w:sz w:val="19"/>
                <w:szCs w:val="19"/>
                <w:color w:val="auto"/>
              </w:rPr>
            </w:pPr>
          </w:p>
        </w:tc>
        <w:tc>
          <w:tcPr>
            <w:tcW w:w="2160" w:type="dxa"/>
            <w:vAlign w:val="bottom"/>
          </w:tcPr>
          <w:p>
            <w:pPr>
              <w:jc w:val="right"/>
              <w:ind w:right="20"/>
              <w:spacing w:after="0"/>
              <w:rPr>
                <w:sz w:val="20"/>
                <w:szCs w:val="20"/>
                <w:color w:val="auto"/>
              </w:rPr>
            </w:pPr>
            <w:r>
              <w:rPr>
                <w:rFonts w:ascii="Arial" w:cs="Arial" w:eastAsia="Arial" w:hAnsi="Arial"/>
                <w:sz w:val="16"/>
                <w:szCs w:val="16"/>
                <w:b w:val="1"/>
                <w:bCs w:val="1"/>
                <w:color w:val="auto"/>
              </w:rPr>
              <w:t>9.2%</w:t>
            </w:r>
          </w:p>
        </w:tc>
      </w:tr>
      <w:tr>
        <w:trPr>
          <w:trHeight w:val="20"/>
        </w:trPr>
        <w:tc>
          <w:tcPr>
            <w:tcW w:w="4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13"/>
          <w:szCs w:val="13"/>
          <w:color w:val="auto"/>
        </w:rPr>
        <w:t>* The sales results presented are unaudited. Numbers may not add up precisely due to rounding.</w:t>
      </w:r>
    </w:p>
    <w:p>
      <w:pPr>
        <w:spacing w:after="0" w:line="60" w:lineRule="exact"/>
        <w:rPr>
          <w:sz w:val="20"/>
          <w:szCs w:val="20"/>
          <w:color w:val="auto"/>
        </w:rPr>
      </w:pPr>
    </w:p>
    <w:p>
      <w:pPr>
        <w:ind w:left="140" w:hanging="140"/>
        <w:spacing w:after="0"/>
        <w:tabs>
          <w:tab w:leader="none" w:pos="140" w:val="left"/>
        </w:tabs>
        <w:numPr>
          <w:ilvl w:val="0"/>
          <w:numId w:val="4"/>
        </w:numPr>
        <w:rPr>
          <w:rFonts w:ascii="Arial" w:cs="Arial" w:eastAsia="Arial" w:hAnsi="Arial"/>
          <w:sz w:val="16"/>
          <w:szCs w:val="16"/>
          <w:color w:val="auto"/>
          <w:vertAlign w:val="superscript"/>
        </w:rPr>
      </w:pPr>
      <w:r>
        <w:rPr>
          <w:rFonts w:ascii="Arial" w:cs="Arial" w:eastAsia="Arial" w:hAnsi="Arial"/>
          <w:sz w:val="13"/>
          <w:szCs w:val="13"/>
          <w:color w:val="auto"/>
        </w:rPr>
        <w:t>Constant currency is a non-GAAP measure.</w:t>
      </w:r>
    </w:p>
    <w:p>
      <w:pPr>
        <w:spacing w:after="0" w:line="232" w:lineRule="exact"/>
        <w:rPr>
          <w:sz w:val="20"/>
          <w:szCs w:val="20"/>
          <w:color w:val="auto"/>
        </w:rPr>
      </w:pPr>
    </w:p>
    <w:p>
      <w:pPr>
        <w:jc w:val="center"/>
        <w:ind w:right="40"/>
        <w:spacing w:after="0"/>
        <w:rPr>
          <w:sz w:val="20"/>
          <w:szCs w:val="20"/>
          <w:color w:val="auto"/>
        </w:rPr>
      </w:pPr>
      <w:r>
        <w:rPr>
          <w:rFonts w:ascii="Arial" w:cs="Arial" w:eastAsia="Arial" w:hAnsi="Arial"/>
          <w:sz w:val="19"/>
          <w:szCs w:val="19"/>
          <w:color w:val="auto"/>
        </w:rPr>
        <w:t>11</w:t>
      </w:r>
    </w:p>
    <w:p>
      <w:pPr>
        <w:sectPr>
          <w:pgSz w:w="11900" w:h="16838" w:orient="portrait"/>
          <w:cols w:equalWidth="0" w:num="1">
            <w:col w:w="11420"/>
          </w:cols>
          <w:pgMar w:left="260" w:top="706" w:right="219" w:bottom="1440" w:gutter="0" w:footer="0" w:header="0"/>
        </w:sectPr>
      </w:pPr>
    </w:p>
    <w:bookmarkStart w:id="14" w:name="page15"/>
    <w:bookmarkEnd w:id="14"/>
    <w:p>
      <w:pPr>
        <w:spacing w:after="0"/>
        <w:rPr>
          <w:sz w:val="20"/>
          <w:szCs w:val="20"/>
          <w:color w:val="auto"/>
        </w:rPr>
      </w:pPr>
      <w:r>
        <w:rPr>
          <w:rFonts w:ascii="Arial" w:cs="Arial" w:eastAsia="Arial" w:hAnsi="Arial"/>
          <w:sz w:val="16"/>
          <w:szCs w:val="16"/>
          <w:b w:val="1"/>
          <w:bCs w:val="1"/>
          <w:color w:val="auto"/>
        </w:rPr>
        <w:t>LIVANOVA PLC</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TWELVE MONTH SALES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 dollars in millions)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100" w:type="dxa"/>
            <w:vAlign w:val="bottom"/>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580" w:type="dxa"/>
            <w:vAlign w:val="bottom"/>
            <w:tcBorders>
              <w:bottom w:val="single" w:sz="8" w:color="auto"/>
            </w:tcBorders>
            <w:gridSpan w:val="4"/>
          </w:tcPr>
          <w:p>
            <w:pPr>
              <w:ind w:left="720"/>
              <w:spacing w:after="0"/>
              <w:rPr>
                <w:sz w:val="20"/>
                <w:szCs w:val="20"/>
                <w:color w:val="auto"/>
              </w:rPr>
            </w:pPr>
            <w:r>
              <w:rPr>
                <w:rFonts w:ascii="Arial" w:cs="Arial" w:eastAsia="Arial" w:hAnsi="Arial"/>
                <w:sz w:val="16"/>
                <w:szCs w:val="16"/>
                <w:b w:val="1"/>
                <w:bCs w:val="1"/>
                <w:color w:val="auto"/>
              </w:rPr>
              <w:t>Twelve Months Ended December 31,</w:t>
            </w:r>
          </w:p>
        </w:tc>
        <w:tc>
          <w:tcPr>
            <w:tcW w:w="2160" w:type="dxa"/>
            <w:vAlign w:val="bottom"/>
            <w:tcBorders>
              <w:bottom w:val="single" w:sz="8" w:color="auto"/>
            </w:tcBorders>
          </w:tcPr>
          <w:p>
            <w:pPr>
              <w:spacing w:after="0"/>
              <w:rPr>
                <w:sz w:val="18"/>
                <w:szCs w:val="18"/>
                <w:color w:val="auto"/>
              </w:rPr>
            </w:pPr>
          </w:p>
        </w:tc>
      </w:tr>
      <w:tr>
        <w:trPr>
          <w:trHeight w:val="181"/>
        </w:trPr>
        <w:tc>
          <w:tcPr>
            <w:tcW w:w="4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20" w:type="dxa"/>
            <w:vAlign w:val="bottom"/>
            <w:gridSpan w:val="2"/>
          </w:tcPr>
          <w:p>
            <w:pPr>
              <w:ind w:left="220"/>
              <w:spacing w:after="0" w:line="181" w:lineRule="exact"/>
              <w:rPr>
                <w:sz w:val="20"/>
                <w:szCs w:val="20"/>
                <w:color w:val="auto"/>
              </w:rPr>
            </w:pPr>
            <w:r>
              <w:rPr>
                <w:rFonts w:ascii="Arial" w:cs="Arial" w:eastAsia="Arial" w:hAnsi="Arial"/>
                <w:sz w:val="16"/>
                <w:szCs w:val="16"/>
                <w:b w:val="1"/>
                <w:bCs w:val="1"/>
                <w:color w:val="auto"/>
              </w:rPr>
              <w:t>% Change at Actual</w:t>
            </w:r>
          </w:p>
        </w:tc>
        <w:tc>
          <w:tcPr>
            <w:tcW w:w="2160" w:type="dxa"/>
            <w:vAlign w:val="bottom"/>
          </w:tcPr>
          <w:p>
            <w:pPr>
              <w:jc w:val="right"/>
              <w:ind w:right="160"/>
              <w:spacing w:after="0" w:line="181" w:lineRule="exact"/>
              <w:rPr>
                <w:sz w:val="20"/>
                <w:szCs w:val="20"/>
                <w:color w:val="auto"/>
              </w:rPr>
            </w:pPr>
            <w:r>
              <w:rPr>
                <w:rFonts w:ascii="Arial" w:cs="Arial" w:eastAsia="Arial" w:hAnsi="Arial"/>
                <w:sz w:val="16"/>
                <w:szCs w:val="16"/>
                <w:b w:val="1"/>
                <w:bCs w:val="1"/>
                <w:color w:val="auto"/>
              </w:rPr>
              <w:t>% Change at Constant</w:t>
            </w:r>
          </w:p>
        </w:tc>
      </w:tr>
      <w:tr>
        <w:trPr>
          <w:trHeight w:val="224"/>
        </w:trPr>
        <w:tc>
          <w:tcPr>
            <w:tcW w:w="4100" w:type="dxa"/>
            <w:vAlign w:val="bottom"/>
          </w:tcPr>
          <w:p>
            <w:pPr>
              <w:spacing w:after="0"/>
              <w:rPr>
                <w:sz w:val="19"/>
                <w:szCs w:val="19"/>
                <w:color w:val="auto"/>
              </w:rPr>
            </w:pPr>
          </w:p>
        </w:tc>
        <w:tc>
          <w:tcPr>
            <w:tcW w:w="1460" w:type="dxa"/>
            <w:vAlign w:val="bottom"/>
          </w:tcPr>
          <w:p>
            <w:pPr>
              <w:jc w:val="right"/>
              <w:ind w:right="460"/>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9"/>
                <w:szCs w:val="19"/>
                <w:color w:val="auto"/>
              </w:rPr>
            </w:pPr>
          </w:p>
        </w:tc>
        <w:tc>
          <w:tcPr>
            <w:tcW w:w="1460" w:type="dxa"/>
            <w:vAlign w:val="bottom"/>
          </w:tcPr>
          <w:p>
            <w:pPr>
              <w:jc w:val="right"/>
              <w:ind w:right="480"/>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9"/>
                <w:szCs w:val="19"/>
                <w:color w:val="auto"/>
              </w:rPr>
            </w:pPr>
          </w:p>
        </w:tc>
        <w:tc>
          <w:tcPr>
            <w:tcW w:w="2020" w:type="dxa"/>
            <w:vAlign w:val="bottom"/>
            <w:gridSpan w:val="2"/>
          </w:tcPr>
          <w:p>
            <w:pPr>
              <w:ind w:left="380"/>
              <w:spacing w:after="0"/>
              <w:rPr>
                <w:sz w:val="20"/>
                <w:szCs w:val="20"/>
                <w:color w:val="auto"/>
              </w:rPr>
            </w:pPr>
            <w:r>
              <w:rPr>
                <w:rFonts w:ascii="Arial" w:cs="Arial" w:eastAsia="Arial" w:hAnsi="Arial"/>
                <w:sz w:val="16"/>
                <w:szCs w:val="16"/>
                <w:b w:val="1"/>
                <w:bCs w:val="1"/>
                <w:color w:val="auto"/>
              </w:rPr>
              <w:t>Currency Rates</w:t>
            </w:r>
          </w:p>
        </w:tc>
        <w:tc>
          <w:tcPr>
            <w:tcW w:w="2160" w:type="dxa"/>
            <w:vAlign w:val="bottom"/>
          </w:tcPr>
          <w:p>
            <w:pPr>
              <w:jc w:val="right"/>
              <w:ind w:right="320"/>
              <w:spacing w:after="0"/>
              <w:rPr>
                <w:sz w:val="20"/>
                <w:szCs w:val="20"/>
                <w:color w:val="auto"/>
              </w:rPr>
            </w:pPr>
            <w:r>
              <w:rPr>
                <w:rFonts w:ascii="Arial" w:cs="Arial" w:eastAsia="Arial" w:hAnsi="Arial"/>
                <w:sz w:val="16"/>
                <w:szCs w:val="16"/>
                <w:b w:val="1"/>
                <w:bCs w:val="1"/>
                <w:color w:val="auto"/>
              </w:rPr>
              <w:t xml:space="preserve">Currency Rates </w:t>
            </w:r>
            <w:r>
              <w:rPr>
                <w:rFonts w:ascii="Arial" w:cs="Arial" w:eastAsia="Arial" w:hAnsi="Arial"/>
                <w:sz w:val="19"/>
                <w:szCs w:val="19"/>
                <w:b w:val="1"/>
                <w:bCs w:val="1"/>
                <w:color w:val="auto"/>
                <w:vertAlign w:val="superscript"/>
              </w:rPr>
              <w:t>(1)</w:t>
            </w:r>
          </w:p>
        </w:tc>
      </w:tr>
      <w:tr>
        <w:trPr>
          <w:trHeight w:val="220"/>
        </w:trPr>
        <w:tc>
          <w:tcPr>
            <w:tcW w:w="4100" w:type="dxa"/>
            <w:vAlign w:val="bottom"/>
          </w:tcPr>
          <w:p>
            <w:pPr>
              <w:spacing w:after="0"/>
              <w:rPr>
                <w:sz w:val="20"/>
                <w:szCs w:val="20"/>
                <w:color w:val="auto"/>
              </w:rPr>
            </w:pPr>
            <w:r>
              <w:rPr>
                <w:rFonts w:ascii="Arial" w:cs="Arial" w:eastAsia="Arial" w:hAnsi="Arial"/>
                <w:sz w:val="16"/>
                <w:szCs w:val="16"/>
                <w:b w:val="1"/>
                <w:bCs w:val="1"/>
                <w:color w:val="auto"/>
              </w:rPr>
              <w:t>Cardiopulmonary</w:t>
            </w:r>
          </w:p>
        </w:tc>
        <w:tc>
          <w:tcPr>
            <w:tcW w:w="14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Borders>
              <w:top w:val="single" w:sz="8" w:color="auto"/>
            </w:tcBorders>
          </w:tcPr>
          <w:p>
            <w:pPr>
              <w:spacing w:after="0"/>
              <w:rPr>
                <w:sz w:val="19"/>
                <w:szCs w:val="19"/>
                <w:color w:val="auto"/>
              </w:rPr>
            </w:pPr>
          </w:p>
        </w:tc>
      </w:tr>
      <w:tr>
        <w:trPr>
          <w:trHeight w:val="240"/>
        </w:trPr>
        <w:tc>
          <w:tcPr>
            <w:tcW w:w="4100" w:type="dxa"/>
            <w:vAlign w:val="bottom"/>
          </w:tcPr>
          <w:p>
            <w:pPr>
              <w:spacing w:after="0"/>
              <w:rPr>
                <w:sz w:val="20"/>
                <w:szCs w:val="20"/>
                <w:color w:val="auto"/>
              </w:rPr>
            </w:pPr>
            <w:r>
              <w:rPr>
                <w:rFonts w:ascii="Arial" w:cs="Arial" w:eastAsia="Arial" w:hAnsi="Arial"/>
                <w:sz w:val="16"/>
                <w:szCs w:val="16"/>
                <w:color w:val="auto"/>
              </w:rPr>
              <w:t>US</w:t>
            </w:r>
          </w:p>
        </w:tc>
        <w:tc>
          <w:tcPr>
            <w:tcW w:w="1460" w:type="dxa"/>
            <w:vAlign w:val="bottom"/>
          </w:tcPr>
          <w:p>
            <w:pPr>
              <w:jc w:val="right"/>
              <w:spacing w:after="0"/>
              <w:rPr>
                <w:sz w:val="20"/>
                <w:szCs w:val="20"/>
                <w:color w:val="auto"/>
              </w:rPr>
            </w:pPr>
            <w:r>
              <w:rPr>
                <w:rFonts w:ascii="Arial" w:cs="Arial" w:eastAsia="Arial" w:hAnsi="Arial"/>
                <w:sz w:val="16"/>
                <w:szCs w:val="16"/>
                <w:color w:val="auto"/>
              </w:rPr>
              <w:t>$161.1</w:t>
            </w: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$152.8</w:t>
            </w:r>
          </w:p>
        </w:tc>
        <w:tc>
          <w:tcPr>
            <w:tcW w:w="2020" w:type="dxa"/>
            <w:vAlign w:val="bottom"/>
            <w:gridSpan w:val="2"/>
          </w:tcPr>
          <w:p>
            <w:pPr>
              <w:jc w:val="right"/>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20"/>
                <w:szCs w:val="20"/>
                <w:color w:val="auto"/>
              </w:rPr>
            </w:pPr>
          </w:p>
        </w:tc>
        <w:tc>
          <w:tcPr>
            <w:tcW w:w="2160" w:type="dxa"/>
            <w:vAlign w:val="bottom"/>
          </w:tcPr>
          <w:p>
            <w:pPr>
              <w:jc w:val="right"/>
              <w:ind w:right="20"/>
              <w:spacing w:after="0"/>
              <w:rPr>
                <w:sz w:val="20"/>
                <w:szCs w:val="20"/>
                <w:color w:val="auto"/>
              </w:rPr>
            </w:pPr>
            <w:r>
              <w:rPr>
                <w:rFonts w:ascii="Arial" w:cs="Arial" w:eastAsia="Arial" w:hAnsi="Arial"/>
                <w:sz w:val="16"/>
                <w:szCs w:val="16"/>
                <w:color w:val="auto"/>
              </w:rPr>
              <w:t>5.4%</w:t>
            </w:r>
          </w:p>
        </w:tc>
      </w:tr>
      <w:tr>
        <w:trPr>
          <w:trHeight w:val="240"/>
        </w:trPr>
        <w:tc>
          <w:tcPr>
            <w:tcW w:w="4100" w:type="dxa"/>
            <w:vAlign w:val="bottom"/>
          </w:tcPr>
          <w:p>
            <w:pPr>
              <w:spacing w:after="0"/>
              <w:rPr>
                <w:sz w:val="20"/>
                <w:szCs w:val="20"/>
                <w:color w:val="auto"/>
              </w:rPr>
            </w:pPr>
            <w:r>
              <w:rPr>
                <w:rFonts w:ascii="Arial" w:cs="Arial" w:eastAsia="Arial" w:hAnsi="Arial"/>
                <w:sz w:val="16"/>
                <w:szCs w:val="16"/>
                <w:color w:val="auto"/>
              </w:rPr>
              <w:t>Europe</w:t>
            </w:r>
          </w:p>
        </w:tc>
        <w:tc>
          <w:tcPr>
            <w:tcW w:w="1460" w:type="dxa"/>
            <w:vAlign w:val="bottom"/>
          </w:tcPr>
          <w:p>
            <w:pPr>
              <w:jc w:val="right"/>
              <w:ind w:right="20"/>
              <w:spacing w:after="0"/>
              <w:rPr>
                <w:sz w:val="20"/>
                <w:szCs w:val="20"/>
                <w:color w:val="auto"/>
              </w:rPr>
            </w:pPr>
            <w:r>
              <w:rPr>
                <w:rFonts w:ascii="Arial" w:cs="Arial" w:eastAsia="Arial" w:hAnsi="Arial"/>
                <w:sz w:val="16"/>
                <w:szCs w:val="16"/>
                <w:color w:val="auto"/>
              </w:rPr>
              <w:t>141.7</w:t>
            </w:r>
          </w:p>
        </w:tc>
        <w:tc>
          <w:tcPr>
            <w:tcW w:w="120" w:type="dxa"/>
            <w:vAlign w:val="bottom"/>
          </w:tcPr>
          <w:p>
            <w:pPr>
              <w:spacing w:after="0"/>
              <w:rPr>
                <w:sz w:val="20"/>
                <w:szCs w:val="20"/>
                <w:color w:val="auto"/>
              </w:rPr>
            </w:pPr>
          </w:p>
        </w:tc>
        <w:tc>
          <w:tcPr>
            <w:tcW w:w="1460" w:type="dxa"/>
            <w:vAlign w:val="bottom"/>
          </w:tcPr>
          <w:p>
            <w:pPr>
              <w:jc w:val="right"/>
              <w:ind w:right="40"/>
              <w:spacing w:after="0"/>
              <w:rPr>
                <w:sz w:val="20"/>
                <w:szCs w:val="20"/>
                <w:color w:val="auto"/>
              </w:rPr>
            </w:pPr>
            <w:r>
              <w:rPr>
                <w:rFonts w:ascii="Arial" w:cs="Arial" w:eastAsia="Arial" w:hAnsi="Arial"/>
                <w:sz w:val="16"/>
                <w:szCs w:val="16"/>
                <w:color w:val="auto"/>
              </w:rPr>
              <w:t>133.6</w:t>
            </w:r>
          </w:p>
        </w:tc>
        <w:tc>
          <w:tcPr>
            <w:tcW w:w="2020" w:type="dxa"/>
            <w:vAlign w:val="bottom"/>
            <w:gridSpan w:val="2"/>
          </w:tcPr>
          <w:p>
            <w:pPr>
              <w:jc w:val="right"/>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20"/>
                <w:szCs w:val="20"/>
                <w:color w:val="auto"/>
              </w:rPr>
            </w:pPr>
          </w:p>
        </w:tc>
        <w:tc>
          <w:tcPr>
            <w:tcW w:w="2160" w:type="dxa"/>
            <w:vAlign w:val="bottom"/>
          </w:tcPr>
          <w:p>
            <w:pPr>
              <w:jc w:val="right"/>
              <w:ind w:right="20"/>
              <w:spacing w:after="0"/>
              <w:rPr>
                <w:sz w:val="20"/>
                <w:szCs w:val="20"/>
                <w:color w:val="auto"/>
              </w:rPr>
            </w:pPr>
            <w:r>
              <w:rPr>
                <w:rFonts w:ascii="Arial" w:cs="Arial" w:eastAsia="Arial" w:hAnsi="Arial"/>
                <w:sz w:val="16"/>
                <w:szCs w:val="16"/>
                <w:color w:val="auto"/>
              </w:rPr>
              <w:t>2.0%</w:t>
            </w:r>
          </w:p>
        </w:tc>
      </w:tr>
      <w:tr>
        <w:trPr>
          <w:trHeight w:val="243"/>
        </w:trPr>
        <w:tc>
          <w:tcPr>
            <w:tcW w:w="4100" w:type="dxa"/>
            <w:vAlign w:val="bottom"/>
          </w:tcPr>
          <w:p>
            <w:pPr>
              <w:spacing w:after="0"/>
              <w:rPr>
                <w:sz w:val="20"/>
                <w:szCs w:val="20"/>
                <w:color w:val="auto"/>
              </w:rPr>
            </w:pPr>
            <w:r>
              <w:rPr>
                <w:rFonts w:ascii="Arial" w:cs="Arial" w:eastAsia="Arial" w:hAnsi="Arial"/>
                <w:sz w:val="16"/>
                <w:szCs w:val="16"/>
                <w:color w:val="auto"/>
              </w:rPr>
              <w:t>Rest of World</w:t>
            </w:r>
          </w:p>
        </w:tc>
        <w:tc>
          <w:tcPr>
            <w:tcW w:w="14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233.6</w:t>
            </w:r>
          </w:p>
        </w:tc>
        <w:tc>
          <w:tcPr>
            <w:tcW w:w="120" w:type="dxa"/>
            <w:vAlign w:val="bottom"/>
          </w:tcPr>
          <w:p>
            <w:pPr>
              <w:spacing w:after="0"/>
              <w:rPr>
                <w:sz w:val="21"/>
                <w:szCs w:val="21"/>
                <w:color w:val="auto"/>
              </w:rPr>
            </w:pPr>
          </w:p>
        </w:tc>
        <w:tc>
          <w:tcPr>
            <w:tcW w:w="14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210.9</w:t>
            </w:r>
          </w:p>
        </w:tc>
        <w:tc>
          <w:tcPr>
            <w:tcW w:w="2020" w:type="dxa"/>
            <w:vAlign w:val="bottom"/>
            <w:gridSpan w:val="2"/>
          </w:tcPr>
          <w:p>
            <w:pPr>
              <w:jc w:val="right"/>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21"/>
                <w:szCs w:val="21"/>
                <w:color w:val="auto"/>
              </w:rPr>
            </w:pPr>
          </w:p>
        </w:tc>
        <w:tc>
          <w:tcPr>
            <w:tcW w:w="2160" w:type="dxa"/>
            <w:vAlign w:val="bottom"/>
          </w:tcPr>
          <w:p>
            <w:pPr>
              <w:jc w:val="right"/>
              <w:ind w:right="20"/>
              <w:spacing w:after="0"/>
              <w:rPr>
                <w:sz w:val="20"/>
                <w:szCs w:val="20"/>
                <w:color w:val="auto"/>
              </w:rPr>
            </w:pPr>
            <w:r>
              <w:rPr>
                <w:rFonts w:ascii="Arial" w:cs="Arial" w:eastAsia="Arial" w:hAnsi="Arial"/>
                <w:sz w:val="16"/>
                <w:szCs w:val="16"/>
                <w:color w:val="auto"/>
              </w:rPr>
              <w:t>11.7%</w:t>
            </w:r>
          </w:p>
        </w:tc>
      </w:tr>
      <w:tr>
        <w:trPr>
          <w:trHeight w:val="220"/>
        </w:trPr>
        <w:tc>
          <w:tcPr>
            <w:tcW w:w="4100" w:type="dxa"/>
            <w:vAlign w:val="bottom"/>
          </w:tcPr>
          <w:p>
            <w:pPr>
              <w:spacing w:after="0"/>
              <w:rPr>
                <w:sz w:val="20"/>
                <w:szCs w:val="20"/>
                <w:color w:val="auto"/>
              </w:rPr>
            </w:pPr>
            <w:r>
              <w:rPr>
                <w:rFonts w:ascii="Arial" w:cs="Arial" w:eastAsia="Arial" w:hAnsi="Arial"/>
                <w:sz w:val="16"/>
                <w:szCs w:val="16"/>
                <w:color w:val="auto"/>
              </w:rPr>
              <w:t>Total</w:t>
            </w:r>
          </w:p>
        </w:tc>
        <w:tc>
          <w:tcPr>
            <w:tcW w:w="14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536.4</w:t>
            </w:r>
          </w:p>
        </w:tc>
        <w:tc>
          <w:tcPr>
            <w:tcW w:w="120" w:type="dxa"/>
            <w:vAlign w:val="bottom"/>
          </w:tcPr>
          <w:p>
            <w:pPr>
              <w:spacing w:after="0"/>
              <w:rPr>
                <w:sz w:val="19"/>
                <w:szCs w:val="19"/>
                <w:color w:val="auto"/>
              </w:rPr>
            </w:pPr>
          </w:p>
        </w:tc>
        <w:tc>
          <w:tcPr>
            <w:tcW w:w="14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497.3</w:t>
            </w:r>
          </w:p>
        </w:tc>
        <w:tc>
          <w:tcPr>
            <w:tcW w:w="2020" w:type="dxa"/>
            <w:vAlign w:val="bottom"/>
            <w:gridSpan w:val="2"/>
          </w:tcPr>
          <w:p>
            <w:pPr>
              <w:jc w:val="right"/>
              <w:spacing w:after="0"/>
              <w:rPr>
                <w:sz w:val="20"/>
                <w:szCs w:val="20"/>
                <w:color w:val="auto"/>
              </w:rPr>
            </w:pPr>
            <w:r>
              <w:rPr>
                <w:rFonts w:ascii="Arial" w:cs="Arial" w:eastAsia="Arial" w:hAnsi="Arial"/>
                <w:sz w:val="16"/>
                <w:szCs w:val="16"/>
                <w:b w:val="1"/>
                <w:bCs w:val="1"/>
                <w:color w:val="auto"/>
              </w:rPr>
              <w:t>7.9%</w:t>
            </w:r>
          </w:p>
        </w:tc>
        <w:tc>
          <w:tcPr>
            <w:tcW w:w="100" w:type="dxa"/>
            <w:vAlign w:val="bottom"/>
          </w:tcPr>
          <w:p>
            <w:pPr>
              <w:spacing w:after="0"/>
              <w:rPr>
                <w:sz w:val="19"/>
                <w:szCs w:val="19"/>
                <w:color w:val="auto"/>
              </w:rPr>
            </w:pPr>
          </w:p>
        </w:tc>
        <w:tc>
          <w:tcPr>
            <w:tcW w:w="2160" w:type="dxa"/>
            <w:vAlign w:val="bottom"/>
          </w:tcPr>
          <w:p>
            <w:pPr>
              <w:jc w:val="right"/>
              <w:ind w:right="20"/>
              <w:spacing w:after="0"/>
              <w:rPr>
                <w:sz w:val="20"/>
                <w:szCs w:val="20"/>
                <w:color w:val="auto"/>
              </w:rPr>
            </w:pPr>
            <w:r>
              <w:rPr>
                <w:rFonts w:ascii="Arial" w:cs="Arial" w:eastAsia="Arial" w:hAnsi="Arial"/>
                <w:sz w:val="16"/>
                <w:szCs w:val="16"/>
                <w:b w:val="1"/>
                <w:bCs w:val="1"/>
                <w:color w:val="auto"/>
              </w:rPr>
              <w:t>7.2%</w:t>
            </w:r>
          </w:p>
        </w:tc>
      </w:tr>
      <w:tr>
        <w:trPr>
          <w:trHeight w:val="228"/>
        </w:trPr>
        <w:tc>
          <w:tcPr>
            <w:tcW w:w="4100" w:type="dxa"/>
            <w:vAlign w:val="bottom"/>
          </w:tcPr>
          <w:p>
            <w:pPr>
              <w:spacing w:after="0"/>
              <w:rPr>
                <w:sz w:val="20"/>
                <w:szCs w:val="20"/>
                <w:color w:val="auto"/>
              </w:rPr>
            </w:pPr>
            <w:r>
              <w:rPr>
                <w:rFonts w:ascii="Arial" w:cs="Arial" w:eastAsia="Arial" w:hAnsi="Arial"/>
                <w:sz w:val="16"/>
                <w:szCs w:val="16"/>
                <w:b w:val="1"/>
                <w:bCs w:val="1"/>
                <w:color w:val="auto"/>
              </w:rPr>
              <w:t>Heart Valves</w:t>
            </w: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240"/>
        </w:trPr>
        <w:tc>
          <w:tcPr>
            <w:tcW w:w="4100" w:type="dxa"/>
            <w:vAlign w:val="bottom"/>
          </w:tcPr>
          <w:p>
            <w:pPr>
              <w:spacing w:after="0"/>
              <w:rPr>
                <w:sz w:val="20"/>
                <w:szCs w:val="20"/>
                <w:color w:val="auto"/>
              </w:rPr>
            </w:pPr>
            <w:r>
              <w:rPr>
                <w:rFonts w:ascii="Arial" w:cs="Arial" w:eastAsia="Arial" w:hAnsi="Arial"/>
                <w:sz w:val="16"/>
                <w:szCs w:val="16"/>
                <w:color w:val="auto"/>
              </w:rPr>
              <w:t>US</w:t>
            </w:r>
          </w:p>
        </w:tc>
        <w:tc>
          <w:tcPr>
            <w:tcW w:w="1460" w:type="dxa"/>
            <w:vAlign w:val="bottom"/>
          </w:tcPr>
          <w:p>
            <w:pPr>
              <w:jc w:val="right"/>
              <w:ind w:right="20"/>
              <w:spacing w:after="0"/>
              <w:rPr>
                <w:sz w:val="20"/>
                <w:szCs w:val="20"/>
                <w:color w:val="auto"/>
              </w:rPr>
            </w:pPr>
            <w:r>
              <w:rPr>
                <w:rFonts w:ascii="Arial" w:cs="Arial" w:eastAsia="Arial" w:hAnsi="Arial"/>
                <w:sz w:val="16"/>
                <w:szCs w:val="16"/>
                <w:color w:val="auto"/>
              </w:rPr>
              <w:t>24.7</w:t>
            </w:r>
          </w:p>
        </w:tc>
        <w:tc>
          <w:tcPr>
            <w:tcW w:w="120" w:type="dxa"/>
            <w:vAlign w:val="bottom"/>
          </w:tcPr>
          <w:p>
            <w:pPr>
              <w:spacing w:after="0"/>
              <w:rPr>
                <w:sz w:val="20"/>
                <w:szCs w:val="20"/>
                <w:color w:val="auto"/>
              </w:rPr>
            </w:pPr>
          </w:p>
        </w:tc>
        <w:tc>
          <w:tcPr>
            <w:tcW w:w="1460" w:type="dxa"/>
            <w:vAlign w:val="bottom"/>
          </w:tcPr>
          <w:p>
            <w:pPr>
              <w:jc w:val="right"/>
              <w:ind w:right="40"/>
              <w:spacing w:after="0"/>
              <w:rPr>
                <w:sz w:val="20"/>
                <w:szCs w:val="20"/>
                <w:color w:val="auto"/>
              </w:rPr>
            </w:pPr>
            <w:r>
              <w:rPr>
                <w:rFonts w:ascii="Arial" w:cs="Arial" w:eastAsia="Arial" w:hAnsi="Arial"/>
                <w:sz w:val="16"/>
                <w:szCs w:val="16"/>
                <w:color w:val="auto"/>
              </w:rPr>
              <w:t>25.0</w:t>
            </w:r>
          </w:p>
        </w:tc>
        <w:tc>
          <w:tcPr>
            <w:tcW w:w="2020" w:type="dxa"/>
            <w:vAlign w:val="bottom"/>
            <w:gridSpan w:val="2"/>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40"/>
        </w:trPr>
        <w:tc>
          <w:tcPr>
            <w:tcW w:w="4100" w:type="dxa"/>
            <w:vAlign w:val="bottom"/>
          </w:tcPr>
          <w:p>
            <w:pPr>
              <w:spacing w:after="0"/>
              <w:rPr>
                <w:sz w:val="20"/>
                <w:szCs w:val="20"/>
                <w:color w:val="auto"/>
              </w:rPr>
            </w:pPr>
            <w:r>
              <w:rPr>
                <w:rFonts w:ascii="Arial" w:cs="Arial" w:eastAsia="Arial" w:hAnsi="Arial"/>
                <w:sz w:val="16"/>
                <w:szCs w:val="16"/>
                <w:color w:val="auto"/>
              </w:rPr>
              <w:t>Europe</w:t>
            </w:r>
          </w:p>
        </w:tc>
        <w:tc>
          <w:tcPr>
            <w:tcW w:w="1460" w:type="dxa"/>
            <w:vAlign w:val="bottom"/>
          </w:tcPr>
          <w:p>
            <w:pPr>
              <w:jc w:val="right"/>
              <w:ind w:right="20"/>
              <w:spacing w:after="0"/>
              <w:rPr>
                <w:sz w:val="20"/>
                <w:szCs w:val="20"/>
                <w:color w:val="auto"/>
              </w:rPr>
            </w:pPr>
            <w:r>
              <w:rPr>
                <w:rFonts w:ascii="Arial" w:cs="Arial" w:eastAsia="Arial" w:hAnsi="Arial"/>
                <w:sz w:val="16"/>
                <w:szCs w:val="16"/>
                <w:color w:val="auto"/>
              </w:rPr>
              <w:t>44.3</w:t>
            </w:r>
          </w:p>
        </w:tc>
        <w:tc>
          <w:tcPr>
            <w:tcW w:w="120" w:type="dxa"/>
            <w:vAlign w:val="bottom"/>
          </w:tcPr>
          <w:p>
            <w:pPr>
              <w:spacing w:after="0"/>
              <w:rPr>
                <w:sz w:val="20"/>
                <w:szCs w:val="20"/>
                <w:color w:val="auto"/>
              </w:rPr>
            </w:pPr>
          </w:p>
        </w:tc>
        <w:tc>
          <w:tcPr>
            <w:tcW w:w="1460" w:type="dxa"/>
            <w:vAlign w:val="bottom"/>
          </w:tcPr>
          <w:p>
            <w:pPr>
              <w:jc w:val="right"/>
              <w:ind w:right="40"/>
              <w:spacing w:after="0"/>
              <w:rPr>
                <w:sz w:val="20"/>
                <w:szCs w:val="20"/>
                <w:color w:val="auto"/>
              </w:rPr>
            </w:pPr>
            <w:r>
              <w:rPr>
                <w:rFonts w:ascii="Arial" w:cs="Arial" w:eastAsia="Arial" w:hAnsi="Arial"/>
                <w:sz w:val="16"/>
                <w:szCs w:val="16"/>
                <w:color w:val="auto"/>
              </w:rPr>
              <w:t>42.1</w:t>
            </w:r>
          </w:p>
        </w:tc>
        <w:tc>
          <w:tcPr>
            <w:tcW w:w="2020" w:type="dxa"/>
            <w:vAlign w:val="bottom"/>
            <w:gridSpan w:val="2"/>
          </w:tcPr>
          <w:p>
            <w:pPr>
              <w:jc w:val="right"/>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20"/>
                <w:szCs w:val="20"/>
                <w:color w:val="auto"/>
              </w:rPr>
            </w:pPr>
          </w:p>
        </w:tc>
        <w:tc>
          <w:tcPr>
            <w:tcW w:w="2160" w:type="dxa"/>
            <w:vAlign w:val="bottom"/>
          </w:tcPr>
          <w:p>
            <w:pPr>
              <w:jc w:val="right"/>
              <w:ind w:right="20"/>
              <w:spacing w:after="0"/>
              <w:rPr>
                <w:sz w:val="20"/>
                <w:szCs w:val="20"/>
                <w:color w:val="auto"/>
              </w:rPr>
            </w:pPr>
            <w:r>
              <w:rPr>
                <w:rFonts w:ascii="Arial" w:cs="Arial" w:eastAsia="Arial" w:hAnsi="Arial"/>
                <w:sz w:val="16"/>
                <w:szCs w:val="16"/>
                <w:color w:val="auto"/>
              </w:rPr>
              <w:t>0.4%</w:t>
            </w:r>
          </w:p>
        </w:tc>
      </w:tr>
      <w:tr>
        <w:trPr>
          <w:trHeight w:val="243"/>
        </w:trPr>
        <w:tc>
          <w:tcPr>
            <w:tcW w:w="4100" w:type="dxa"/>
            <w:vAlign w:val="bottom"/>
          </w:tcPr>
          <w:p>
            <w:pPr>
              <w:spacing w:after="0"/>
              <w:rPr>
                <w:sz w:val="20"/>
                <w:szCs w:val="20"/>
                <w:color w:val="auto"/>
              </w:rPr>
            </w:pPr>
            <w:r>
              <w:rPr>
                <w:rFonts w:ascii="Arial" w:cs="Arial" w:eastAsia="Arial" w:hAnsi="Arial"/>
                <w:sz w:val="16"/>
                <w:szCs w:val="16"/>
                <w:color w:val="auto"/>
              </w:rPr>
              <w:t>Rest of World</w:t>
            </w:r>
          </w:p>
        </w:tc>
        <w:tc>
          <w:tcPr>
            <w:tcW w:w="14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57.0</w:t>
            </w:r>
          </w:p>
        </w:tc>
        <w:tc>
          <w:tcPr>
            <w:tcW w:w="120" w:type="dxa"/>
            <w:vAlign w:val="bottom"/>
          </w:tcPr>
          <w:p>
            <w:pPr>
              <w:spacing w:after="0"/>
              <w:rPr>
                <w:sz w:val="21"/>
                <w:szCs w:val="21"/>
                <w:color w:val="auto"/>
              </w:rPr>
            </w:pPr>
          </w:p>
        </w:tc>
        <w:tc>
          <w:tcPr>
            <w:tcW w:w="14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71.1</w:t>
            </w:r>
          </w:p>
        </w:tc>
        <w:tc>
          <w:tcPr>
            <w:tcW w:w="2020" w:type="dxa"/>
            <w:vAlign w:val="bottom"/>
            <w:gridSpan w:val="2"/>
          </w:tcPr>
          <w:p>
            <w:pPr>
              <w:jc w:val="right"/>
              <w:spacing w:after="0"/>
              <w:rPr>
                <w:sz w:val="20"/>
                <w:szCs w:val="20"/>
                <w:color w:val="auto"/>
              </w:rPr>
            </w:pPr>
            <w:r>
              <w:rPr>
                <w:rFonts w:ascii="Arial" w:cs="Arial" w:eastAsia="Arial" w:hAnsi="Arial"/>
                <w:sz w:val="16"/>
                <w:szCs w:val="16"/>
                <w:color w:val="auto"/>
              </w:rPr>
              <w:t>(19.8%)</w:t>
            </w:r>
          </w:p>
        </w:tc>
        <w:tc>
          <w:tcPr>
            <w:tcW w:w="100" w:type="dxa"/>
            <w:vAlign w:val="bottom"/>
          </w:tcPr>
          <w:p>
            <w:pPr>
              <w:spacing w:after="0"/>
              <w:rPr>
                <w:sz w:val="21"/>
                <w:szCs w:val="21"/>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(18.1%)</w:t>
            </w:r>
          </w:p>
        </w:tc>
      </w:tr>
      <w:tr>
        <w:trPr>
          <w:trHeight w:val="220"/>
        </w:trPr>
        <w:tc>
          <w:tcPr>
            <w:tcW w:w="4100" w:type="dxa"/>
            <w:vAlign w:val="bottom"/>
          </w:tcPr>
          <w:p>
            <w:pPr>
              <w:spacing w:after="0"/>
              <w:rPr>
                <w:sz w:val="20"/>
                <w:szCs w:val="20"/>
                <w:color w:val="auto"/>
              </w:rPr>
            </w:pPr>
            <w:r>
              <w:rPr>
                <w:rFonts w:ascii="Arial" w:cs="Arial" w:eastAsia="Arial" w:hAnsi="Arial"/>
                <w:sz w:val="16"/>
                <w:szCs w:val="16"/>
                <w:color w:val="auto"/>
              </w:rPr>
              <w:t>Total</w:t>
            </w:r>
          </w:p>
        </w:tc>
        <w:tc>
          <w:tcPr>
            <w:tcW w:w="14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126.0</w:t>
            </w:r>
          </w:p>
        </w:tc>
        <w:tc>
          <w:tcPr>
            <w:tcW w:w="120" w:type="dxa"/>
            <w:vAlign w:val="bottom"/>
          </w:tcPr>
          <w:p>
            <w:pPr>
              <w:spacing w:after="0"/>
              <w:rPr>
                <w:sz w:val="19"/>
                <w:szCs w:val="19"/>
                <w:color w:val="auto"/>
              </w:rPr>
            </w:pPr>
          </w:p>
        </w:tc>
        <w:tc>
          <w:tcPr>
            <w:tcW w:w="14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138.2</w:t>
            </w:r>
          </w:p>
        </w:tc>
        <w:tc>
          <w:tcPr>
            <w:tcW w:w="2020" w:type="dxa"/>
            <w:vAlign w:val="bottom"/>
            <w:gridSpan w:val="2"/>
          </w:tcPr>
          <w:p>
            <w:pPr>
              <w:jc w:val="right"/>
              <w:spacing w:after="0"/>
              <w:rPr>
                <w:sz w:val="20"/>
                <w:szCs w:val="20"/>
                <w:color w:val="auto"/>
              </w:rPr>
            </w:pPr>
            <w:r>
              <w:rPr>
                <w:rFonts w:ascii="Arial" w:cs="Arial" w:eastAsia="Arial" w:hAnsi="Arial"/>
                <w:sz w:val="16"/>
                <w:szCs w:val="16"/>
                <w:b w:val="1"/>
                <w:bCs w:val="1"/>
                <w:color w:val="auto"/>
              </w:rPr>
              <w:t>(8.9%)</w:t>
            </w:r>
          </w:p>
        </w:tc>
        <w:tc>
          <w:tcPr>
            <w:tcW w:w="10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6"/>
                <w:szCs w:val="16"/>
                <w:b w:val="1"/>
                <w:bCs w:val="1"/>
                <w:color w:val="auto"/>
              </w:rPr>
              <w:t>(9.4%)</w:t>
            </w:r>
          </w:p>
        </w:tc>
      </w:tr>
      <w:tr>
        <w:trPr>
          <w:trHeight w:val="228"/>
        </w:trPr>
        <w:tc>
          <w:tcPr>
            <w:tcW w:w="4100" w:type="dxa"/>
            <w:vAlign w:val="bottom"/>
          </w:tcPr>
          <w:p>
            <w:pPr>
              <w:spacing w:after="0"/>
              <w:rPr>
                <w:sz w:val="20"/>
                <w:szCs w:val="20"/>
                <w:color w:val="auto"/>
              </w:rPr>
            </w:pPr>
            <w:r>
              <w:rPr>
                <w:rFonts w:ascii="Arial" w:cs="Arial" w:eastAsia="Arial" w:hAnsi="Arial"/>
                <w:sz w:val="16"/>
                <w:szCs w:val="16"/>
                <w:b w:val="1"/>
                <w:bCs w:val="1"/>
                <w:color w:val="auto"/>
              </w:rPr>
              <w:t>Advanced Circulatory Support</w:t>
            </w: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240"/>
        </w:trPr>
        <w:tc>
          <w:tcPr>
            <w:tcW w:w="4100" w:type="dxa"/>
            <w:vAlign w:val="bottom"/>
          </w:tcPr>
          <w:p>
            <w:pPr>
              <w:spacing w:after="0"/>
              <w:rPr>
                <w:sz w:val="20"/>
                <w:szCs w:val="20"/>
                <w:color w:val="auto"/>
              </w:rPr>
            </w:pPr>
            <w:r>
              <w:rPr>
                <w:rFonts w:ascii="Arial" w:cs="Arial" w:eastAsia="Arial" w:hAnsi="Arial"/>
                <w:sz w:val="16"/>
                <w:szCs w:val="16"/>
                <w:color w:val="auto"/>
              </w:rPr>
              <w:t>US</w:t>
            </w:r>
          </w:p>
        </w:tc>
        <w:tc>
          <w:tcPr>
            <w:tcW w:w="1460" w:type="dxa"/>
            <w:vAlign w:val="bottom"/>
          </w:tcPr>
          <w:p>
            <w:pPr>
              <w:jc w:val="right"/>
              <w:ind w:right="20"/>
              <w:spacing w:after="0"/>
              <w:rPr>
                <w:sz w:val="20"/>
                <w:szCs w:val="20"/>
                <w:color w:val="auto"/>
              </w:rPr>
            </w:pPr>
            <w:r>
              <w:rPr>
                <w:rFonts w:ascii="Arial" w:cs="Arial" w:eastAsia="Arial" w:hAnsi="Arial"/>
                <w:sz w:val="16"/>
                <w:szCs w:val="16"/>
                <w:color w:val="auto"/>
              </w:rPr>
              <w:t>18.6</w:t>
            </w:r>
          </w:p>
        </w:tc>
        <w:tc>
          <w:tcPr>
            <w:tcW w:w="120" w:type="dxa"/>
            <w:vAlign w:val="bottom"/>
          </w:tcPr>
          <w:p>
            <w:pPr>
              <w:spacing w:after="0"/>
              <w:rPr>
                <w:sz w:val="20"/>
                <w:szCs w:val="20"/>
                <w:color w:val="auto"/>
              </w:rPr>
            </w:pPr>
          </w:p>
        </w:tc>
        <w:tc>
          <w:tcPr>
            <w:tcW w:w="14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2020" w:type="dxa"/>
            <w:vAlign w:val="bottom"/>
            <w:gridSpan w:val="2"/>
          </w:tcPr>
          <w:p>
            <w:pPr>
              <w:ind w:left="1420"/>
              <w:spacing w:after="0"/>
              <w:rPr>
                <w:sz w:val="20"/>
                <w:szCs w:val="20"/>
                <w:color w:val="auto"/>
              </w:rPr>
            </w:pPr>
            <w:r>
              <w:rPr>
                <w:rFonts w:ascii="Arial" w:cs="Arial" w:eastAsia="Arial" w:hAnsi="Arial"/>
                <w:sz w:val="16"/>
                <w:szCs w:val="16"/>
                <w:color w:val="auto"/>
              </w:rPr>
              <w:t>N/A</w:t>
            </w:r>
          </w:p>
        </w:tc>
        <w:tc>
          <w:tcPr>
            <w:tcW w:w="2160" w:type="dxa"/>
            <w:vAlign w:val="bottom"/>
          </w:tcPr>
          <w:p>
            <w:pPr>
              <w:jc w:val="right"/>
              <w:ind w:right="160"/>
              <w:spacing w:after="0"/>
              <w:rPr>
                <w:sz w:val="20"/>
                <w:szCs w:val="20"/>
                <w:color w:val="auto"/>
              </w:rPr>
            </w:pPr>
            <w:r>
              <w:rPr>
                <w:rFonts w:ascii="Arial" w:cs="Arial" w:eastAsia="Arial" w:hAnsi="Arial"/>
                <w:sz w:val="16"/>
                <w:szCs w:val="16"/>
                <w:color w:val="auto"/>
              </w:rPr>
              <w:t>N/A</w:t>
            </w:r>
          </w:p>
        </w:tc>
      </w:tr>
      <w:tr>
        <w:trPr>
          <w:trHeight w:val="240"/>
        </w:trPr>
        <w:tc>
          <w:tcPr>
            <w:tcW w:w="4100" w:type="dxa"/>
            <w:vAlign w:val="bottom"/>
          </w:tcPr>
          <w:p>
            <w:pPr>
              <w:spacing w:after="0"/>
              <w:rPr>
                <w:sz w:val="20"/>
                <w:szCs w:val="20"/>
                <w:color w:val="auto"/>
              </w:rPr>
            </w:pPr>
            <w:r>
              <w:rPr>
                <w:rFonts w:ascii="Arial" w:cs="Arial" w:eastAsia="Arial" w:hAnsi="Arial"/>
                <w:sz w:val="16"/>
                <w:szCs w:val="16"/>
                <w:color w:val="auto"/>
              </w:rPr>
              <w:t>Europe</w:t>
            </w:r>
          </w:p>
        </w:tc>
        <w:tc>
          <w:tcPr>
            <w:tcW w:w="1460" w:type="dxa"/>
            <w:vAlign w:val="bottom"/>
          </w:tcPr>
          <w:p>
            <w:pPr>
              <w:jc w:val="right"/>
              <w:ind w:right="20"/>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20"/>
                <w:szCs w:val="20"/>
                <w:color w:val="auto"/>
              </w:rPr>
            </w:pPr>
          </w:p>
        </w:tc>
        <w:tc>
          <w:tcPr>
            <w:tcW w:w="14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2020" w:type="dxa"/>
            <w:vAlign w:val="bottom"/>
            <w:gridSpan w:val="2"/>
          </w:tcPr>
          <w:p>
            <w:pPr>
              <w:ind w:left="1420"/>
              <w:spacing w:after="0"/>
              <w:rPr>
                <w:sz w:val="20"/>
                <w:szCs w:val="20"/>
                <w:color w:val="auto"/>
              </w:rPr>
            </w:pPr>
            <w:r>
              <w:rPr>
                <w:rFonts w:ascii="Arial" w:cs="Arial" w:eastAsia="Arial" w:hAnsi="Arial"/>
                <w:sz w:val="16"/>
                <w:szCs w:val="16"/>
                <w:color w:val="auto"/>
              </w:rPr>
              <w:t>N/A</w:t>
            </w:r>
          </w:p>
        </w:tc>
        <w:tc>
          <w:tcPr>
            <w:tcW w:w="2160" w:type="dxa"/>
            <w:vAlign w:val="bottom"/>
          </w:tcPr>
          <w:p>
            <w:pPr>
              <w:jc w:val="right"/>
              <w:ind w:right="160"/>
              <w:spacing w:after="0"/>
              <w:rPr>
                <w:sz w:val="20"/>
                <w:szCs w:val="20"/>
                <w:color w:val="auto"/>
              </w:rPr>
            </w:pPr>
            <w:r>
              <w:rPr>
                <w:rFonts w:ascii="Arial" w:cs="Arial" w:eastAsia="Arial" w:hAnsi="Arial"/>
                <w:sz w:val="16"/>
                <w:szCs w:val="16"/>
                <w:color w:val="auto"/>
              </w:rPr>
              <w:t>N/A</w:t>
            </w:r>
          </w:p>
        </w:tc>
      </w:tr>
      <w:tr>
        <w:trPr>
          <w:trHeight w:val="245"/>
        </w:trPr>
        <w:tc>
          <w:tcPr>
            <w:tcW w:w="4100" w:type="dxa"/>
            <w:vAlign w:val="bottom"/>
          </w:tcPr>
          <w:p>
            <w:pPr>
              <w:spacing w:after="0"/>
              <w:rPr>
                <w:sz w:val="20"/>
                <w:szCs w:val="20"/>
                <w:color w:val="auto"/>
              </w:rPr>
            </w:pPr>
            <w:r>
              <w:rPr>
                <w:rFonts w:ascii="Arial" w:cs="Arial" w:eastAsia="Arial" w:hAnsi="Arial"/>
                <w:sz w:val="16"/>
                <w:szCs w:val="16"/>
                <w:color w:val="auto"/>
              </w:rPr>
              <w:t>Rest of world</w:t>
            </w:r>
          </w:p>
        </w:tc>
        <w:tc>
          <w:tcPr>
            <w:tcW w:w="14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1"/>
                <w:szCs w:val="21"/>
                <w:color w:val="auto"/>
              </w:rPr>
            </w:pPr>
          </w:p>
        </w:tc>
        <w:tc>
          <w:tcPr>
            <w:tcW w:w="14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2020" w:type="dxa"/>
            <w:vAlign w:val="bottom"/>
            <w:gridSpan w:val="2"/>
          </w:tcPr>
          <w:p>
            <w:pPr>
              <w:ind w:left="1420"/>
              <w:spacing w:after="0"/>
              <w:rPr>
                <w:sz w:val="20"/>
                <w:szCs w:val="20"/>
                <w:color w:val="auto"/>
              </w:rPr>
            </w:pPr>
            <w:r>
              <w:rPr>
                <w:rFonts w:ascii="Arial" w:cs="Arial" w:eastAsia="Arial" w:hAnsi="Arial"/>
                <w:sz w:val="16"/>
                <w:szCs w:val="16"/>
                <w:color w:val="auto"/>
              </w:rPr>
              <w:t>N/A</w:t>
            </w:r>
          </w:p>
        </w:tc>
        <w:tc>
          <w:tcPr>
            <w:tcW w:w="2160" w:type="dxa"/>
            <w:vAlign w:val="bottom"/>
          </w:tcPr>
          <w:p>
            <w:pPr>
              <w:jc w:val="right"/>
              <w:ind w:right="160"/>
              <w:spacing w:after="0"/>
              <w:rPr>
                <w:sz w:val="20"/>
                <w:szCs w:val="20"/>
                <w:color w:val="auto"/>
              </w:rPr>
            </w:pPr>
            <w:r>
              <w:rPr>
                <w:rFonts w:ascii="Arial" w:cs="Arial" w:eastAsia="Arial" w:hAnsi="Arial"/>
                <w:sz w:val="16"/>
                <w:szCs w:val="16"/>
                <w:color w:val="auto"/>
              </w:rPr>
              <w:t>N/A</w:t>
            </w:r>
          </w:p>
        </w:tc>
      </w:tr>
      <w:tr>
        <w:trPr>
          <w:trHeight w:val="217"/>
        </w:trPr>
        <w:tc>
          <w:tcPr>
            <w:tcW w:w="4100" w:type="dxa"/>
            <w:vAlign w:val="bottom"/>
          </w:tcPr>
          <w:p>
            <w:pPr>
              <w:spacing w:after="0"/>
              <w:rPr>
                <w:sz w:val="20"/>
                <w:szCs w:val="20"/>
                <w:color w:val="auto"/>
              </w:rPr>
            </w:pPr>
            <w:r>
              <w:rPr>
                <w:rFonts w:ascii="Arial" w:cs="Arial" w:eastAsia="Arial" w:hAnsi="Arial"/>
                <w:sz w:val="16"/>
                <w:szCs w:val="16"/>
                <w:color w:val="auto"/>
              </w:rPr>
              <w:t>Total</w:t>
            </w:r>
          </w:p>
        </w:tc>
        <w:tc>
          <w:tcPr>
            <w:tcW w:w="14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19.5</w:t>
            </w:r>
          </w:p>
        </w:tc>
        <w:tc>
          <w:tcPr>
            <w:tcW w:w="120" w:type="dxa"/>
            <w:vAlign w:val="bottom"/>
          </w:tcPr>
          <w:p>
            <w:pPr>
              <w:spacing w:after="0"/>
              <w:rPr>
                <w:sz w:val="18"/>
                <w:szCs w:val="18"/>
                <w:color w:val="auto"/>
              </w:rPr>
            </w:pPr>
          </w:p>
        </w:tc>
        <w:tc>
          <w:tcPr>
            <w:tcW w:w="14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20" w:type="dxa"/>
            <w:vAlign w:val="bottom"/>
            <w:gridSpan w:val="2"/>
          </w:tcPr>
          <w:p>
            <w:pPr>
              <w:ind w:left="1420"/>
              <w:spacing w:after="0"/>
              <w:rPr>
                <w:sz w:val="20"/>
                <w:szCs w:val="20"/>
                <w:color w:val="auto"/>
              </w:rPr>
            </w:pPr>
            <w:r>
              <w:rPr>
                <w:rFonts w:ascii="Arial" w:cs="Arial" w:eastAsia="Arial" w:hAnsi="Arial"/>
                <w:sz w:val="16"/>
                <w:szCs w:val="16"/>
                <w:color w:val="auto"/>
              </w:rPr>
              <w:t>N/A</w:t>
            </w:r>
          </w:p>
        </w:tc>
        <w:tc>
          <w:tcPr>
            <w:tcW w:w="2160" w:type="dxa"/>
            <w:vAlign w:val="bottom"/>
          </w:tcPr>
          <w:p>
            <w:pPr>
              <w:jc w:val="right"/>
              <w:ind w:right="160"/>
              <w:spacing w:after="0"/>
              <w:rPr>
                <w:sz w:val="20"/>
                <w:szCs w:val="20"/>
                <w:color w:val="auto"/>
              </w:rPr>
            </w:pPr>
            <w:r>
              <w:rPr>
                <w:rFonts w:ascii="Arial" w:cs="Arial" w:eastAsia="Arial" w:hAnsi="Arial"/>
                <w:sz w:val="16"/>
                <w:szCs w:val="16"/>
                <w:color w:val="auto"/>
              </w:rPr>
              <w:t>N/A</w:t>
            </w:r>
          </w:p>
        </w:tc>
      </w:tr>
      <w:tr>
        <w:trPr>
          <w:trHeight w:val="228"/>
        </w:trPr>
        <w:tc>
          <w:tcPr>
            <w:tcW w:w="4100" w:type="dxa"/>
            <w:vAlign w:val="bottom"/>
          </w:tcPr>
          <w:p>
            <w:pPr>
              <w:spacing w:after="0"/>
              <w:rPr>
                <w:sz w:val="20"/>
                <w:szCs w:val="20"/>
                <w:color w:val="auto"/>
              </w:rPr>
            </w:pPr>
            <w:r>
              <w:rPr>
                <w:rFonts w:ascii="Arial" w:cs="Arial" w:eastAsia="Arial" w:hAnsi="Arial"/>
                <w:sz w:val="16"/>
                <w:szCs w:val="16"/>
                <w:b w:val="1"/>
                <w:bCs w:val="1"/>
                <w:color w:val="auto"/>
              </w:rPr>
              <w:t>Cardiovascular</w:t>
            </w: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240"/>
        </w:trPr>
        <w:tc>
          <w:tcPr>
            <w:tcW w:w="4100" w:type="dxa"/>
            <w:vAlign w:val="bottom"/>
          </w:tcPr>
          <w:p>
            <w:pPr>
              <w:spacing w:after="0"/>
              <w:rPr>
                <w:sz w:val="20"/>
                <w:szCs w:val="20"/>
                <w:color w:val="auto"/>
              </w:rPr>
            </w:pPr>
            <w:r>
              <w:rPr>
                <w:rFonts w:ascii="Arial" w:cs="Arial" w:eastAsia="Arial" w:hAnsi="Arial"/>
                <w:sz w:val="16"/>
                <w:szCs w:val="16"/>
                <w:color w:val="auto"/>
              </w:rPr>
              <w:t>US</w:t>
            </w:r>
          </w:p>
        </w:tc>
        <w:tc>
          <w:tcPr>
            <w:tcW w:w="1460" w:type="dxa"/>
            <w:vAlign w:val="bottom"/>
          </w:tcPr>
          <w:p>
            <w:pPr>
              <w:jc w:val="right"/>
              <w:ind w:right="20"/>
              <w:spacing w:after="0"/>
              <w:rPr>
                <w:sz w:val="20"/>
                <w:szCs w:val="20"/>
                <w:color w:val="auto"/>
              </w:rPr>
            </w:pPr>
            <w:r>
              <w:rPr>
                <w:rFonts w:ascii="Arial" w:cs="Arial" w:eastAsia="Arial" w:hAnsi="Arial"/>
                <w:sz w:val="16"/>
                <w:szCs w:val="16"/>
                <w:color w:val="auto"/>
              </w:rPr>
              <w:t>204.4</w:t>
            </w:r>
          </w:p>
        </w:tc>
        <w:tc>
          <w:tcPr>
            <w:tcW w:w="120" w:type="dxa"/>
            <w:vAlign w:val="bottom"/>
          </w:tcPr>
          <w:p>
            <w:pPr>
              <w:spacing w:after="0"/>
              <w:rPr>
                <w:sz w:val="20"/>
                <w:szCs w:val="20"/>
                <w:color w:val="auto"/>
              </w:rPr>
            </w:pPr>
          </w:p>
        </w:tc>
        <w:tc>
          <w:tcPr>
            <w:tcW w:w="1460" w:type="dxa"/>
            <w:vAlign w:val="bottom"/>
          </w:tcPr>
          <w:p>
            <w:pPr>
              <w:jc w:val="right"/>
              <w:ind w:right="40"/>
              <w:spacing w:after="0"/>
              <w:rPr>
                <w:sz w:val="20"/>
                <w:szCs w:val="20"/>
                <w:color w:val="auto"/>
              </w:rPr>
            </w:pPr>
            <w:r>
              <w:rPr>
                <w:rFonts w:ascii="Arial" w:cs="Arial" w:eastAsia="Arial" w:hAnsi="Arial"/>
                <w:sz w:val="16"/>
                <w:szCs w:val="16"/>
                <w:color w:val="auto"/>
              </w:rPr>
              <w:t>177.8</w:t>
            </w:r>
          </w:p>
        </w:tc>
        <w:tc>
          <w:tcPr>
            <w:tcW w:w="2020" w:type="dxa"/>
            <w:vAlign w:val="bottom"/>
            <w:gridSpan w:val="2"/>
          </w:tcPr>
          <w:p>
            <w:pPr>
              <w:jc w:val="right"/>
              <w:spacing w:after="0"/>
              <w:rPr>
                <w:sz w:val="20"/>
                <w:szCs w:val="20"/>
                <w:color w:val="auto"/>
              </w:rPr>
            </w:pPr>
            <w:r>
              <w:rPr>
                <w:rFonts w:ascii="Arial" w:cs="Arial" w:eastAsia="Arial" w:hAnsi="Arial"/>
                <w:sz w:val="16"/>
                <w:szCs w:val="16"/>
                <w:color w:val="auto"/>
              </w:rPr>
              <w:t>15.0%</w:t>
            </w:r>
          </w:p>
        </w:tc>
        <w:tc>
          <w:tcPr>
            <w:tcW w:w="100" w:type="dxa"/>
            <w:vAlign w:val="bottom"/>
          </w:tcPr>
          <w:p>
            <w:pPr>
              <w:spacing w:after="0"/>
              <w:rPr>
                <w:sz w:val="20"/>
                <w:szCs w:val="20"/>
                <w:color w:val="auto"/>
              </w:rPr>
            </w:pPr>
          </w:p>
        </w:tc>
        <w:tc>
          <w:tcPr>
            <w:tcW w:w="2160" w:type="dxa"/>
            <w:vAlign w:val="bottom"/>
          </w:tcPr>
          <w:p>
            <w:pPr>
              <w:jc w:val="right"/>
              <w:ind w:right="20"/>
              <w:spacing w:after="0"/>
              <w:rPr>
                <w:sz w:val="20"/>
                <w:szCs w:val="20"/>
                <w:color w:val="auto"/>
              </w:rPr>
            </w:pPr>
            <w:r>
              <w:rPr>
                <w:rFonts w:ascii="Arial" w:cs="Arial" w:eastAsia="Arial" w:hAnsi="Arial"/>
                <w:sz w:val="16"/>
                <w:szCs w:val="16"/>
                <w:color w:val="auto"/>
              </w:rPr>
              <w:t>15.0%</w:t>
            </w:r>
          </w:p>
        </w:tc>
      </w:tr>
      <w:tr>
        <w:trPr>
          <w:trHeight w:val="240"/>
        </w:trPr>
        <w:tc>
          <w:tcPr>
            <w:tcW w:w="4100" w:type="dxa"/>
            <w:vAlign w:val="bottom"/>
          </w:tcPr>
          <w:p>
            <w:pPr>
              <w:spacing w:after="0"/>
              <w:rPr>
                <w:sz w:val="20"/>
                <w:szCs w:val="20"/>
                <w:color w:val="auto"/>
              </w:rPr>
            </w:pPr>
            <w:r>
              <w:rPr>
                <w:rFonts w:ascii="Arial" w:cs="Arial" w:eastAsia="Arial" w:hAnsi="Arial"/>
                <w:sz w:val="16"/>
                <w:szCs w:val="16"/>
                <w:color w:val="auto"/>
              </w:rPr>
              <w:t>Europe</w:t>
            </w:r>
          </w:p>
        </w:tc>
        <w:tc>
          <w:tcPr>
            <w:tcW w:w="1460" w:type="dxa"/>
            <w:vAlign w:val="bottom"/>
          </w:tcPr>
          <w:p>
            <w:pPr>
              <w:jc w:val="right"/>
              <w:ind w:right="20"/>
              <w:spacing w:after="0"/>
              <w:rPr>
                <w:sz w:val="20"/>
                <w:szCs w:val="20"/>
                <w:color w:val="auto"/>
              </w:rPr>
            </w:pPr>
            <w:r>
              <w:rPr>
                <w:rFonts w:ascii="Arial" w:cs="Arial" w:eastAsia="Arial" w:hAnsi="Arial"/>
                <w:sz w:val="16"/>
                <w:szCs w:val="16"/>
                <w:color w:val="auto"/>
              </w:rPr>
              <w:t>186.6</w:t>
            </w:r>
          </w:p>
        </w:tc>
        <w:tc>
          <w:tcPr>
            <w:tcW w:w="120" w:type="dxa"/>
            <w:vAlign w:val="bottom"/>
          </w:tcPr>
          <w:p>
            <w:pPr>
              <w:spacing w:after="0"/>
              <w:rPr>
                <w:sz w:val="20"/>
                <w:szCs w:val="20"/>
                <w:color w:val="auto"/>
              </w:rPr>
            </w:pPr>
          </w:p>
        </w:tc>
        <w:tc>
          <w:tcPr>
            <w:tcW w:w="1460" w:type="dxa"/>
            <w:vAlign w:val="bottom"/>
          </w:tcPr>
          <w:p>
            <w:pPr>
              <w:jc w:val="right"/>
              <w:ind w:right="40"/>
              <w:spacing w:after="0"/>
              <w:rPr>
                <w:sz w:val="20"/>
                <w:szCs w:val="20"/>
                <w:color w:val="auto"/>
              </w:rPr>
            </w:pPr>
            <w:r>
              <w:rPr>
                <w:rFonts w:ascii="Arial" w:cs="Arial" w:eastAsia="Arial" w:hAnsi="Arial"/>
                <w:sz w:val="16"/>
                <w:szCs w:val="16"/>
                <w:color w:val="auto"/>
              </w:rPr>
              <w:t>175.7</w:t>
            </w:r>
          </w:p>
        </w:tc>
        <w:tc>
          <w:tcPr>
            <w:tcW w:w="2020" w:type="dxa"/>
            <w:vAlign w:val="bottom"/>
            <w:gridSpan w:val="2"/>
          </w:tcPr>
          <w:p>
            <w:pPr>
              <w:jc w:val="right"/>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20"/>
                <w:szCs w:val="20"/>
                <w:color w:val="auto"/>
              </w:rPr>
            </w:pPr>
          </w:p>
        </w:tc>
        <w:tc>
          <w:tcPr>
            <w:tcW w:w="2160" w:type="dxa"/>
            <w:vAlign w:val="bottom"/>
          </w:tcPr>
          <w:p>
            <w:pPr>
              <w:jc w:val="right"/>
              <w:ind w:right="20"/>
              <w:spacing w:after="0"/>
              <w:rPr>
                <w:sz w:val="20"/>
                <w:szCs w:val="20"/>
                <w:color w:val="auto"/>
              </w:rPr>
            </w:pPr>
            <w:r>
              <w:rPr>
                <w:rFonts w:ascii="Arial" w:cs="Arial" w:eastAsia="Arial" w:hAnsi="Arial"/>
                <w:sz w:val="16"/>
                <w:szCs w:val="16"/>
                <w:color w:val="auto"/>
              </w:rPr>
              <w:t>1.9%</w:t>
            </w:r>
          </w:p>
        </w:tc>
      </w:tr>
      <w:tr>
        <w:trPr>
          <w:trHeight w:val="243"/>
        </w:trPr>
        <w:tc>
          <w:tcPr>
            <w:tcW w:w="4100" w:type="dxa"/>
            <w:vAlign w:val="bottom"/>
          </w:tcPr>
          <w:p>
            <w:pPr>
              <w:spacing w:after="0"/>
              <w:rPr>
                <w:sz w:val="20"/>
                <w:szCs w:val="20"/>
                <w:color w:val="auto"/>
              </w:rPr>
            </w:pPr>
            <w:r>
              <w:rPr>
                <w:rFonts w:ascii="Arial" w:cs="Arial" w:eastAsia="Arial" w:hAnsi="Arial"/>
                <w:sz w:val="16"/>
                <w:szCs w:val="16"/>
                <w:color w:val="auto"/>
              </w:rPr>
              <w:t>Rest of World</w:t>
            </w:r>
          </w:p>
        </w:tc>
        <w:tc>
          <w:tcPr>
            <w:tcW w:w="14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290.8</w:t>
            </w:r>
          </w:p>
        </w:tc>
        <w:tc>
          <w:tcPr>
            <w:tcW w:w="120" w:type="dxa"/>
            <w:vAlign w:val="bottom"/>
          </w:tcPr>
          <w:p>
            <w:pPr>
              <w:spacing w:after="0"/>
              <w:rPr>
                <w:sz w:val="21"/>
                <w:szCs w:val="21"/>
                <w:color w:val="auto"/>
              </w:rPr>
            </w:pPr>
          </w:p>
        </w:tc>
        <w:tc>
          <w:tcPr>
            <w:tcW w:w="14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282.0</w:t>
            </w:r>
          </w:p>
        </w:tc>
        <w:tc>
          <w:tcPr>
            <w:tcW w:w="2020" w:type="dxa"/>
            <w:vAlign w:val="bottom"/>
            <w:gridSpan w:val="2"/>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1"/>
                <w:szCs w:val="21"/>
                <w:color w:val="auto"/>
              </w:rPr>
            </w:pPr>
          </w:p>
        </w:tc>
        <w:tc>
          <w:tcPr>
            <w:tcW w:w="2160" w:type="dxa"/>
            <w:vAlign w:val="bottom"/>
          </w:tcPr>
          <w:p>
            <w:pPr>
              <w:jc w:val="right"/>
              <w:ind w:right="20"/>
              <w:spacing w:after="0"/>
              <w:rPr>
                <w:sz w:val="20"/>
                <w:szCs w:val="20"/>
                <w:color w:val="auto"/>
              </w:rPr>
            </w:pPr>
            <w:r>
              <w:rPr>
                <w:rFonts w:ascii="Arial" w:cs="Arial" w:eastAsia="Arial" w:hAnsi="Arial"/>
                <w:sz w:val="16"/>
                <w:szCs w:val="16"/>
                <w:color w:val="auto"/>
              </w:rPr>
              <w:t>4.3%</w:t>
            </w:r>
          </w:p>
        </w:tc>
      </w:tr>
      <w:tr>
        <w:trPr>
          <w:trHeight w:val="220"/>
        </w:trPr>
        <w:tc>
          <w:tcPr>
            <w:tcW w:w="4100" w:type="dxa"/>
            <w:vAlign w:val="bottom"/>
          </w:tcPr>
          <w:p>
            <w:pPr>
              <w:spacing w:after="0"/>
              <w:rPr>
                <w:sz w:val="20"/>
                <w:szCs w:val="20"/>
                <w:color w:val="auto"/>
              </w:rPr>
            </w:pPr>
            <w:r>
              <w:rPr>
                <w:rFonts w:ascii="Arial" w:cs="Arial" w:eastAsia="Arial" w:hAnsi="Arial"/>
                <w:sz w:val="16"/>
                <w:szCs w:val="16"/>
                <w:color w:val="auto"/>
              </w:rPr>
              <w:t>Total</w:t>
            </w:r>
          </w:p>
        </w:tc>
        <w:tc>
          <w:tcPr>
            <w:tcW w:w="14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681.8</w:t>
            </w:r>
          </w:p>
        </w:tc>
        <w:tc>
          <w:tcPr>
            <w:tcW w:w="120" w:type="dxa"/>
            <w:vAlign w:val="bottom"/>
          </w:tcPr>
          <w:p>
            <w:pPr>
              <w:spacing w:after="0"/>
              <w:rPr>
                <w:sz w:val="19"/>
                <w:szCs w:val="19"/>
                <w:color w:val="auto"/>
              </w:rPr>
            </w:pPr>
          </w:p>
        </w:tc>
        <w:tc>
          <w:tcPr>
            <w:tcW w:w="14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635.5</w:t>
            </w:r>
          </w:p>
        </w:tc>
        <w:tc>
          <w:tcPr>
            <w:tcW w:w="2020" w:type="dxa"/>
            <w:vAlign w:val="bottom"/>
            <w:gridSpan w:val="2"/>
          </w:tcPr>
          <w:p>
            <w:pPr>
              <w:jc w:val="right"/>
              <w:spacing w:after="0"/>
              <w:rPr>
                <w:sz w:val="20"/>
                <w:szCs w:val="20"/>
                <w:color w:val="auto"/>
              </w:rPr>
            </w:pPr>
            <w:r>
              <w:rPr>
                <w:rFonts w:ascii="Arial" w:cs="Arial" w:eastAsia="Arial" w:hAnsi="Arial"/>
                <w:sz w:val="16"/>
                <w:szCs w:val="16"/>
                <w:b w:val="1"/>
                <w:bCs w:val="1"/>
                <w:color w:val="auto"/>
              </w:rPr>
              <w:t>7.3%</w:t>
            </w:r>
          </w:p>
        </w:tc>
        <w:tc>
          <w:tcPr>
            <w:tcW w:w="100" w:type="dxa"/>
            <w:vAlign w:val="bottom"/>
          </w:tcPr>
          <w:p>
            <w:pPr>
              <w:spacing w:after="0"/>
              <w:rPr>
                <w:sz w:val="19"/>
                <w:szCs w:val="19"/>
                <w:color w:val="auto"/>
              </w:rPr>
            </w:pPr>
          </w:p>
        </w:tc>
        <w:tc>
          <w:tcPr>
            <w:tcW w:w="2160" w:type="dxa"/>
            <w:vAlign w:val="bottom"/>
          </w:tcPr>
          <w:p>
            <w:pPr>
              <w:jc w:val="right"/>
              <w:ind w:right="20"/>
              <w:spacing w:after="0"/>
              <w:rPr>
                <w:sz w:val="20"/>
                <w:szCs w:val="20"/>
                <w:color w:val="auto"/>
              </w:rPr>
            </w:pPr>
            <w:r>
              <w:rPr>
                <w:rFonts w:ascii="Arial" w:cs="Arial" w:eastAsia="Arial" w:hAnsi="Arial"/>
                <w:sz w:val="16"/>
                <w:szCs w:val="16"/>
                <w:b w:val="1"/>
                <w:bCs w:val="1"/>
                <w:color w:val="auto"/>
              </w:rPr>
              <w:t>6.6%</w:t>
            </w:r>
          </w:p>
        </w:tc>
      </w:tr>
      <w:tr>
        <w:trPr>
          <w:trHeight w:val="228"/>
        </w:trPr>
        <w:tc>
          <w:tcPr>
            <w:tcW w:w="4100" w:type="dxa"/>
            <w:vAlign w:val="bottom"/>
          </w:tcPr>
          <w:p>
            <w:pPr>
              <w:spacing w:after="0"/>
              <w:rPr>
                <w:sz w:val="20"/>
                <w:szCs w:val="20"/>
                <w:color w:val="auto"/>
              </w:rPr>
            </w:pPr>
            <w:r>
              <w:rPr>
                <w:rFonts w:ascii="Arial" w:cs="Arial" w:eastAsia="Arial" w:hAnsi="Arial"/>
                <w:sz w:val="16"/>
                <w:szCs w:val="16"/>
                <w:b w:val="1"/>
                <w:bCs w:val="1"/>
                <w:color w:val="auto"/>
              </w:rPr>
              <w:t>Neuromodulation</w:t>
            </w: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240"/>
        </w:trPr>
        <w:tc>
          <w:tcPr>
            <w:tcW w:w="4100" w:type="dxa"/>
            <w:vAlign w:val="bottom"/>
          </w:tcPr>
          <w:p>
            <w:pPr>
              <w:spacing w:after="0"/>
              <w:rPr>
                <w:sz w:val="20"/>
                <w:szCs w:val="20"/>
                <w:color w:val="auto"/>
              </w:rPr>
            </w:pPr>
            <w:r>
              <w:rPr>
                <w:rFonts w:ascii="Arial" w:cs="Arial" w:eastAsia="Arial" w:hAnsi="Arial"/>
                <w:sz w:val="16"/>
                <w:szCs w:val="16"/>
                <w:color w:val="auto"/>
              </w:rPr>
              <w:t>US</w:t>
            </w:r>
          </w:p>
        </w:tc>
        <w:tc>
          <w:tcPr>
            <w:tcW w:w="1460" w:type="dxa"/>
            <w:vAlign w:val="bottom"/>
          </w:tcPr>
          <w:p>
            <w:pPr>
              <w:jc w:val="right"/>
              <w:ind w:right="20"/>
              <w:spacing w:after="0"/>
              <w:rPr>
                <w:sz w:val="20"/>
                <w:szCs w:val="20"/>
                <w:color w:val="auto"/>
              </w:rPr>
            </w:pPr>
            <w:r>
              <w:rPr>
                <w:rFonts w:ascii="Arial" w:cs="Arial" w:eastAsia="Arial" w:hAnsi="Arial"/>
                <w:sz w:val="16"/>
                <w:szCs w:val="16"/>
                <w:color w:val="auto"/>
              </w:rPr>
              <w:t>349.0</w:t>
            </w:r>
          </w:p>
        </w:tc>
        <w:tc>
          <w:tcPr>
            <w:tcW w:w="120" w:type="dxa"/>
            <w:vAlign w:val="bottom"/>
          </w:tcPr>
          <w:p>
            <w:pPr>
              <w:spacing w:after="0"/>
              <w:rPr>
                <w:sz w:val="20"/>
                <w:szCs w:val="20"/>
                <w:color w:val="auto"/>
              </w:rPr>
            </w:pPr>
          </w:p>
        </w:tc>
        <w:tc>
          <w:tcPr>
            <w:tcW w:w="1460" w:type="dxa"/>
            <w:vAlign w:val="bottom"/>
          </w:tcPr>
          <w:p>
            <w:pPr>
              <w:jc w:val="right"/>
              <w:ind w:right="40"/>
              <w:spacing w:after="0"/>
              <w:rPr>
                <w:sz w:val="20"/>
                <w:szCs w:val="20"/>
                <w:color w:val="auto"/>
              </w:rPr>
            </w:pPr>
            <w:r>
              <w:rPr>
                <w:rFonts w:ascii="Arial" w:cs="Arial" w:eastAsia="Arial" w:hAnsi="Arial"/>
                <w:sz w:val="16"/>
                <w:szCs w:val="16"/>
                <w:color w:val="auto"/>
              </w:rPr>
              <w:t>316.9</w:t>
            </w:r>
          </w:p>
        </w:tc>
        <w:tc>
          <w:tcPr>
            <w:tcW w:w="2020" w:type="dxa"/>
            <w:vAlign w:val="bottom"/>
            <w:gridSpan w:val="2"/>
          </w:tcPr>
          <w:p>
            <w:pPr>
              <w:jc w:val="right"/>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20"/>
                <w:szCs w:val="20"/>
                <w:color w:val="auto"/>
              </w:rPr>
            </w:pPr>
          </w:p>
        </w:tc>
        <w:tc>
          <w:tcPr>
            <w:tcW w:w="2160" w:type="dxa"/>
            <w:vAlign w:val="bottom"/>
          </w:tcPr>
          <w:p>
            <w:pPr>
              <w:jc w:val="right"/>
              <w:ind w:right="20"/>
              <w:spacing w:after="0"/>
              <w:rPr>
                <w:sz w:val="20"/>
                <w:szCs w:val="20"/>
                <w:color w:val="auto"/>
              </w:rPr>
            </w:pPr>
            <w:r>
              <w:rPr>
                <w:rFonts w:ascii="Arial" w:cs="Arial" w:eastAsia="Arial" w:hAnsi="Arial"/>
                <w:sz w:val="16"/>
                <w:szCs w:val="16"/>
                <w:color w:val="auto"/>
              </w:rPr>
              <w:t>10.1%</w:t>
            </w:r>
          </w:p>
        </w:tc>
      </w:tr>
      <w:tr>
        <w:trPr>
          <w:trHeight w:val="240"/>
        </w:trPr>
        <w:tc>
          <w:tcPr>
            <w:tcW w:w="4100" w:type="dxa"/>
            <w:vAlign w:val="bottom"/>
          </w:tcPr>
          <w:p>
            <w:pPr>
              <w:spacing w:after="0"/>
              <w:rPr>
                <w:sz w:val="20"/>
                <w:szCs w:val="20"/>
                <w:color w:val="auto"/>
              </w:rPr>
            </w:pPr>
            <w:r>
              <w:rPr>
                <w:rFonts w:ascii="Arial" w:cs="Arial" w:eastAsia="Arial" w:hAnsi="Arial"/>
                <w:sz w:val="16"/>
                <w:szCs w:val="16"/>
                <w:color w:val="auto"/>
              </w:rPr>
              <w:t>Europe</w:t>
            </w:r>
          </w:p>
        </w:tc>
        <w:tc>
          <w:tcPr>
            <w:tcW w:w="1460" w:type="dxa"/>
            <w:vAlign w:val="bottom"/>
          </w:tcPr>
          <w:p>
            <w:pPr>
              <w:jc w:val="right"/>
              <w:ind w:right="20"/>
              <w:spacing w:after="0"/>
              <w:rPr>
                <w:sz w:val="20"/>
                <w:szCs w:val="20"/>
                <w:color w:val="auto"/>
              </w:rPr>
            </w:pPr>
            <w:r>
              <w:rPr>
                <w:rFonts w:ascii="Arial" w:cs="Arial" w:eastAsia="Arial" w:hAnsi="Arial"/>
                <w:sz w:val="16"/>
                <w:szCs w:val="16"/>
                <w:color w:val="auto"/>
              </w:rPr>
              <w:t>42.4</w:t>
            </w:r>
          </w:p>
        </w:tc>
        <w:tc>
          <w:tcPr>
            <w:tcW w:w="120" w:type="dxa"/>
            <w:vAlign w:val="bottom"/>
          </w:tcPr>
          <w:p>
            <w:pPr>
              <w:spacing w:after="0"/>
              <w:rPr>
                <w:sz w:val="20"/>
                <w:szCs w:val="20"/>
                <w:color w:val="auto"/>
              </w:rPr>
            </w:pPr>
          </w:p>
        </w:tc>
        <w:tc>
          <w:tcPr>
            <w:tcW w:w="1460" w:type="dxa"/>
            <w:vAlign w:val="bottom"/>
          </w:tcPr>
          <w:p>
            <w:pPr>
              <w:jc w:val="right"/>
              <w:ind w:right="40"/>
              <w:spacing w:after="0"/>
              <w:rPr>
                <w:sz w:val="20"/>
                <w:szCs w:val="20"/>
                <w:color w:val="auto"/>
              </w:rPr>
            </w:pPr>
            <w:r>
              <w:rPr>
                <w:rFonts w:ascii="Arial" w:cs="Arial" w:eastAsia="Arial" w:hAnsi="Arial"/>
                <w:sz w:val="16"/>
                <w:szCs w:val="16"/>
                <w:color w:val="auto"/>
              </w:rPr>
              <w:t>34.8</w:t>
            </w:r>
          </w:p>
        </w:tc>
        <w:tc>
          <w:tcPr>
            <w:tcW w:w="2020" w:type="dxa"/>
            <w:vAlign w:val="bottom"/>
            <w:gridSpan w:val="2"/>
          </w:tcPr>
          <w:p>
            <w:pPr>
              <w:jc w:val="right"/>
              <w:spacing w:after="0"/>
              <w:rPr>
                <w:sz w:val="20"/>
                <w:szCs w:val="20"/>
                <w:color w:val="auto"/>
              </w:rPr>
            </w:pPr>
            <w:r>
              <w:rPr>
                <w:rFonts w:ascii="Arial" w:cs="Arial" w:eastAsia="Arial" w:hAnsi="Arial"/>
                <w:sz w:val="16"/>
                <w:szCs w:val="16"/>
                <w:color w:val="auto"/>
              </w:rPr>
              <w:t>22.1%</w:t>
            </w:r>
          </w:p>
        </w:tc>
        <w:tc>
          <w:tcPr>
            <w:tcW w:w="100" w:type="dxa"/>
            <w:vAlign w:val="bottom"/>
          </w:tcPr>
          <w:p>
            <w:pPr>
              <w:spacing w:after="0"/>
              <w:rPr>
                <w:sz w:val="20"/>
                <w:szCs w:val="20"/>
                <w:color w:val="auto"/>
              </w:rPr>
            </w:pPr>
          </w:p>
        </w:tc>
        <w:tc>
          <w:tcPr>
            <w:tcW w:w="2160" w:type="dxa"/>
            <w:vAlign w:val="bottom"/>
          </w:tcPr>
          <w:p>
            <w:pPr>
              <w:jc w:val="right"/>
              <w:ind w:right="20"/>
              <w:spacing w:after="0"/>
              <w:rPr>
                <w:sz w:val="20"/>
                <w:szCs w:val="20"/>
                <w:color w:val="auto"/>
              </w:rPr>
            </w:pPr>
            <w:r>
              <w:rPr>
                <w:rFonts w:ascii="Arial" w:cs="Arial" w:eastAsia="Arial" w:hAnsi="Arial"/>
                <w:sz w:val="16"/>
                <w:szCs w:val="16"/>
                <w:color w:val="auto"/>
              </w:rPr>
              <w:t>18.0%</w:t>
            </w:r>
          </w:p>
        </w:tc>
      </w:tr>
      <w:tr>
        <w:trPr>
          <w:trHeight w:val="243"/>
        </w:trPr>
        <w:tc>
          <w:tcPr>
            <w:tcW w:w="4100" w:type="dxa"/>
            <w:vAlign w:val="bottom"/>
          </w:tcPr>
          <w:p>
            <w:pPr>
              <w:spacing w:after="0"/>
              <w:rPr>
                <w:sz w:val="20"/>
                <w:szCs w:val="20"/>
                <w:color w:val="auto"/>
              </w:rPr>
            </w:pPr>
            <w:r>
              <w:rPr>
                <w:rFonts w:ascii="Arial" w:cs="Arial" w:eastAsia="Arial" w:hAnsi="Arial"/>
                <w:sz w:val="16"/>
                <w:szCs w:val="16"/>
                <w:color w:val="auto"/>
              </w:rPr>
              <w:t>Rest of World</w:t>
            </w:r>
          </w:p>
        </w:tc>
        <w:tc>
          <w:tcPr>
            <w:tcW w:w="14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31.6</w:t>
            </w:r>
          </w:p>
        </w:tc>
        <w:tc>
          <w:tcPr>
            <w:tcW w:w="120" w:type="dxa"/>
            <w:vAlign w:val="bottom"/>
          </w:tcPr>
          <w:p>
            <w:pPr>
              <w:spacing w:after="0"/>
              <w:rPr>
                <w:sz w:val="21"/>
                <w:szCs w:val="21"/>
                <w:color w:val="auto"/>
              </w:rPr>
            </w:pPr>
          </w:p>
        </w:tc>
        <w:tc>
          <w:tcPr>
            <w:tcW w:w="14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23.3</w:t>
            </w:r>
          </w:p>
        </w:tc>
        <w:tc>
          <w:tcPr>
            <w:tcW w:w="2020" w:type="dxa"/>
            <w:vAlign w:val="bottom"/>
            <w:gridSpan w:val="2"/>
          </w:tcPr>
          <w:p>
            <w:pPr>
              <w:jc w:val="right"/>
              <w:spacing w:after="0"/>
              <w:rPr>
                <w:sz w:val="20"/>
                <w:szCs w:val="20"/>
                <w:color w:val="auto"/>
              </w:rPr>
            </w:pPr>
            <w:r>
              <w:rPr>
                <w:rFonts w:ascii="Arial" w:cs="Arial" w:eastAsia="Arial" w:hAnsi="Arial"/>
                <w:sz w:val="16"/>
                <w:szCs w:val="16"/>
                <w:color w:val="auto"/>
              </w:rPr>
              <w:t>35.5%</w:t>
            </w:r>
          </w:p>
        </w:tc>
        <w:tc>
          <w:tcPr>
            <w:tcW w:w="100" w:type="dxa"/>
            <w:vAlign w:val="bottom"/>
          </w:tcPr>
          <w:p>
            <w:pPr>
              <w:spacing w:after="0"/>
              <w:rPr>
                <w:sz w:val="21"/>
                <w:szCs w:val="21"/>
                <w:color w:val="auto"/>
              </w:rPr>
            </w:pPr>
          </w:p>
        </w:tc>
        <w:tc>
          <w:tcPr>
            <w:tcW w:w="2160" w:type="dxa"/>
            <w:vAlign w:val="bottom"/>
          </w:tcPr>
          <w:p>
            <w:pPr>
              <w:jc w:val="right"/>
              <w:ind w:right="20"/>
              <w:spacing w:after="0"/>
              <w:rPr>
                <w:sz w:val="20"/>
                <w:szCs w:val="20"/>
                <w:color w:val="auto"/>
              </w:rPr>
            </w:pPr>
            <w:r>
              <w:rPr>
                <w:rFonts w:ascii="Arial" w:cs="Arial" w:eastAsia="Arial" w:hAnsi="Arial"/>
                <w:sz w:val="16"/>
                <w:szCs w:val="16"/>
                <w:color w:val="auto"/>
              </w:rPr>
              <w:t>37.5%</w:t>
            </w:r>
          </w:p>
        </w:tc>
      </w:tr>
      <w:tr>
        <w:trPr>
          <w:trHeight w:val="220"/>
        </w:trPr>
        <w:tc>
          <w:tcPr>
            <w:tcW w:w="4100" w:type="dxa"/>
            <w:vAlign w:val="bottom"/>
          </w:tcPr>
          <w:p>
            <w:pPr>
              <w:spacing w:after="0"/>
              <w:rPr>
                <w:sz w:val="20"/>
                <w:szCs w:val="20"/>
                <w:color w:val="auto"/>
              </w:rPr>
            </w:pPr>
            <w:r>
              <w:rPr>
                <w:rFonts w:ascii="Arial" w:cs="Arial" w:eastAsia="Arial" w:hAnsi="Arial"/>
                <w:sz w:val="16"/>
                <w:szCs w:val="16"/>
                <w:color w:val="auto"/>
              </w:rPr>
              <w:t>Total</w:t>
            </w:r>
          </w:p>
        </w:tc>
        <w:tc>
          <w:tcPr>
            <w:tcW w:w="14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423.0</w:t>
            </w:r>
          </w:p>
        </w:tc>
        <w:tc>
          <w:tcPr>
            <w:tcW w:w="120" w:type="dxa"/>
            <w:vAlign w:val="bottom"/>
          </w:tcPr>
          <w:p>
            <w:pPr>
              <w:spacing w:after="0"/>
              <w:rPr>
                <w:sz w:val="19"/>
                <w:szCs w:val="19"/>
                <w:color w:val="auto"/>
              </w:rPr>
            </w:pPr>
          </w:p>
        </w:tc>
        <w:tc>
          <w:tcPr>
            <w:tcW w:w="14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375.0</w:t>
            </w:r>
          </w:p>
        </w:tc>
        <w:tc>
          <w:tcPr>
            <w:tcW w:w="2020" w:type="dxa"/>
            <w:vAlign w:val="bottom"/>
            <w:gridSpan w:val="2"/>
          </w:tcPr>
          <w:p>
            <w:pPr>
              <w:jc w:val="right"/>
              <w:spacing w:after="0"/>
              <w:rPr>
                <w:sz w:val="20"/>
                <w:szCs w:val="20"/>
                <w:color w:val="auto"/>
              </w:rPr>
            </w:pPr>
            <w:r>
              <w:rPr>
                <w:rFonts w:ascii="Arial" w:cs="Arial" w:eastAsia="Arial" w:hAnsi="Arial"/>
                <w:sz w:val="16"/>
                <w:szCs w:val="16"/>
                <w:b w:val="1"/>
                <w:bCs w:val="1"/>
                <w:color w:val="auto"/>
              </w:rPr>
              <w:t>12.8%</w:t>
            </w:r>
          </w:p>
        </w:tc>
        <w:tc>
          <w:tcPr>
            <w:tcW w:w="100" w:type="dxa"/>
            <w:vAlign w:val="bottom"/>
          </w:tcPr>
          <w:p>
            <w:pPr>
              <w:spacing w:after="0"/>
              <w:rPr>
                <w:sz w:val="19"/>
                <w:szCs w:val="19"/>
                <w:color w:val="auto"/>
              </w:rPr>
            </w:pPr>
          </w:p>
        </w:tc>
        <w:tc>
          <w:tcPr>
            <w:tcW w:w="2160" w:type="dxa"/>
            <w:vAlign w:val="bottom"/>
          </w:tcPr>
          <w:p>
            <w:pPr>
              <w:jc w:val="right"/>
              <w:ind w:right="20"/>
              <w:spacing w:after="0"/>
              <w:rPr>
                <w:sz w:val="20"/>
                <w:szCs w:val="20"/>
                <w:color w:val="auto"/>
              </w:rPr>
            </w:pPr>
            <w:r>
              <w:rPr>
                <w:rFonts w:ascii="Arial" w:cs="Arial" w:eastAsia="Arial" w:hAnsi="Arial"/>
                <w:sz w:val="16"/>
                <w:szCs w:val="16"/>
                <w:b w:val="1"/>
                <w:bCs w:val="1"/>
                <w:color w:val="auto"/>
              </w:rPr>
              <w:t>12.5%</w:t>
            </w:r>
          </w:p>
        </w:tc>
      </w:tr>
      <w:tr>
        <w:trPr>
          <w:trHeight w:val="228"/>
        </w:trPr>
        <w:tc>
          <w:tcPr>
            <w:tcW w:w="4100" w:type="dxa"/>
            <w:vAlign w:val="bottom"/>
          </w:tcPr>
          <w:p>
            <w:pPr>
              <w:spacing w:after="0"/>
              <w:rPr>
                <w:sz w:val="20"/>
                <w:szCs w:val="20"/>
                <w:color w:val="auto"/>
              </w:rPr>
            </w:pPr>
            <w:r>
              <w:rPr>
                <w:rFonts w:ascii="Arial" w:cs="Arial" w:eastAsia="Arial" w:hAnsi="Arial"/>
                <w:sz w:val="16"/>
                <w:szCs w:val="16"/>
                <w:b w:val="1"/>
                <w:bCs w:val="1"/>
                <w:color w:val="auto"/>
              </w:rPr>
              <w:t>Other</w:t>
            </w: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240"/>
        </w:trPr>
        <w:tc>
          <w:tcPr>
            <w:tcW w:w="4100" w:type="dxa"/>
            <w:vAlign w:val="bottom"/>
          </w:tcPr>
          <w:p>
            <w:pPr>
              <w:spacing w:after="0"/>
              <w:rPr>
                <w:sz w:val="20"/>
                <w:szCs w:val="20"/>
                <w:color w:val="auto"/>
              </w:rPr>
            </w:pPr>
            <w:r>
              <w:rPr>
                <w:rFonts w:ascii="Arial" w:cs="Arial" w:eastAsia="Arial" w:hAnsi="Arial"/>
                <w:sz w:val="16"/>
                <w:szCs w:val="16"/>
                <w:color w:val="auto"/>
              </w:rPr>
              <w:t>US</w:t>
            </w: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2020" w:type="dxa"/>
            <w:vAlign w:val="bottom"/>
            <w:gridSpan w:val="2"/>
          </w:tcPr>
          <w:p>
            <w:pPr>
              <w:ind w:left="1420"/>
              <w:spacing w:after="0"/>
              <w:rPr>
                <w:sz w:val="20"/>
                <w:szCs w:val="20"/>
                <w:color w:val="auto"/>
              </w:rPr>
            </w:pPr>
            <w:r>
              <w:rPr>
                <w:rFonts w:ascii="Arial" w:cs="Arial" w:eastAsia="Arial" w:hAnsi="Arial"/>
                <w:sz w:val="16"/>
                <w:szCs w:val="16"/>
                <w:color w:val="auto"/>
              </w:rPr>
              <w:t>N/A</w:t>
            </w:r>
          </w:p>
        </w:tc>
        <w:tc>
          <w:tcPr>
            <w:tcW w:w="2160" w:type="dxa"/>
            <w:vAlign w:val="bottom"/>
          </w:tcPr>
          <w:p>
            <w:pPr>
              <w:jc w:val="right"/>
              <w:ind w:right="160"/>
              <w:spacing w:after="0"/>
              <w:rPr>
                <w:sz w:val="20"/>
                <w:szCs w:val="20"/>
                <w:color w:val="auto"/>
              </w:rPr>
            </w:pPr>
            <w:r>
              <w:rPr>
                <w:rFonts w:ascii="Arial" w:cs="Arial" w:eastAsia="Arial" w:hAnsi="Arial"/>
                <w:sz w:val="16"/>
                <w:szCs w:val="16"/>
                <w:color w:val="auto"/>
              </w:rPr>
              <w:t>N/A</w:t>
            </w:r>
          </w:p>
        </w:tc>
      </w:tr>
      <w:tr>
        <w:trPr>
          <w:trHeight w:val="240"/>
        </w:trPr>
        <w:tc>
          <w:tcPr>
            <w:tcW w:w="4100" w:type="dxa"/>
            <w:vAlign w:val="bottom"/>
          </w:tcPr>
          <w:p>
            <w:pPr>
              <w:spacing w:after="0"/>
              <w:rPr>
                <w:sz w:val="20"/>
                <w:szCs w:val="20"/>
                <w:color w:val="auto"/>
              </w:rPr>
            </w:pPr>
            <w:r>
              <w:rPr>
                <w:rFonts w:ascii="Arial" w:cs="Arial" w:eastAsia="Arial" w:hAnsi="Arial"/>
                <w:sz w:val="16"/>
                <w:szCs w:val="16"/>
                <w:color w:val="auto"/>
              </w:rPr>
              <w:t>Europe</w:t>
            </w: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2020" w:type="dxa"/>
            <w:vAlign w:val="bottom"/>
            <w:gridSpan w:val="2"/>
          </w:tcPr>
          <w:p>
            <w:pPr>
              <w:ind w:left="1420"/>
              <w:spacing w:after="0"/>
              <w:rPr>
                <w:sz w:val="20"/>
                <w:szCs w:val="20"/>
                <w:color w:val="auto"/>
              </w:rPr>
            </w:pPr>
            <w:r>
              <w:rPr>
                <w:rFonts w:ascii="Arial" w:cs="Arial" w:eastAsia="Arial" w:hAnsi="Arial"/>
                <w:sz w:val="16"/>
                <w:szCs w:val="16"/>
                <w:color w:val="auto"/>
              </w:rPr>
              <w:t>N/A</w:t>
            </w:r>
          </w:p>
        </w:tc>
        <w:tc>
          <w:tcPr>
            <w:tcW w:w="2160" w:type="dxa"/>
            <w:vAlign w:val="bottom"/>
          </w:tcPr>
          <w:p>
            <w:pPr>
              <w:jc w:val="right"/>
              <w:ind w:right="160"/>
              <w:spacing w:after="0"/>
              <w:rPr>
                <w:sz w:val="20"/>
                <w:szCs w:val="20"/>
                <w:color w:val="auto"/>
              </w:rPr>
            </w:pPr>
            <w:r>
              <w:rPr>
                <w:rFonts w:ascii="Arial" w:cs="Arial" w:eastAsia="Arial" w:hAnsi="Arial"/>
                <w:sz w:val="16"/>
                <w:szCs w:val="16"/>
                <w:color w:val="auto"/>
              </w:rPr>
              <w:t>N/A</w:t>
            </w:r>
          </w:p>
        </w:tc>
      </w:tr>
      <w:tr>
        <w:trPr>
          <w:trHeight w:val="243"/>
        </w:trPr>
        <w:tc>
          <w:tcPr>
            <w:tcW w:w="4100" w:type="dxa"/>
            <w:vAlign w:val="bottom"/>
          </w:tcPr>
          <w:p>
            <w:pPr>
              <w:spacing w:after="0"/>
              <w:rPr>
                <w:sz w:val="20"/>
                <w:szCs w:val="20"/>
                <w:color w:val="auto"/>
              </w:rPr>
            </w:pPr>
            <w:r>
              <w:rPr>
                <w:rFonts w:ascii="Arial" w:cs="Arial" w:eastAsia="Arial" w:hAnsi="Arial"/>
                <w:sz w:val="16"/>
                <w:szCs w:val="16"/>
                <w:color w:val="auto"/>
              </w:rPr>
              <w:t>Rest of World</w:t>
            </w:r>
          </w:p>
        </w:tc>
        <w:tc>
          <w:tcPr>
            <w:tcW w:w="14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1"/>
                <w:szCs w:val="21"/>
                <w:color w:val="auto"/>
              </w:rPr>
            </w:pPr>
          </w:p>
        </w:tc>
        <w:tc>
          <w:tcPr>
            <w:tcW w:w="14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1.8</w:t>
            </w:r>
          </w:p>
        </w:tc>
        <w:tc>
          <w:tcPr>
            <w:tcW w:w="2020" w:type="dxa"/>
            <w:vAlign w:val="bottom"/>
            <w:gridSpan w:val="2"/>
          </w:tcPr>
          <w:p>
            <w:pPr>
              <w:jc w:val="right"/>
              <w:spacing w:after="0"/>
              <w:rPr>
                <w:sz w:val="20"/>
                <w:szCs w:val="20"/>
                <w:color w:val="auto"/>
              </w:rPr>
            </w:pPr>
            <w:r>
              <w:rPr>
                <w:rFonts w:ascii="Arial" w:cs="Arial" w:eastAsia="Arial" w:hAnsi="Arial"/>
                <w:sz w:val="16"/>
                <w:szCs w:val="16"/>
                <w:color w:val="auto"/>
              </w:rPr>
              <w:t>20.3%</w:t>
            </w:r>
          </w:p>
        </w:tc>
        <w:tc>
          <w:tcPr>
            <w:tcW w:w="100" w:type="dxa"/>
            <w:vAlign w:val="bottom"/>
          </w:tcPr>
          <w:p>
            <w:pPr>
              <w:spacing w:after="0"/>
              <w:rPr>
                <w:sz w:val="21"/>
                <w:szCs w:val="21"/>
                <w:color w:val="auto"/>
              </w:rPr>
            </w:pPr>
          </w:p>
        </w:tc>
        <w:tc>
          <w:tcPr>
            <w:tcW w:w="2160" w:type="dxa"/>
            <w:vAlign w:val="bottom"/>
          </w:tcPr>
          <w:p>
            <w:pPr>
              <w:jc w:val="right"/>
              <w:ind w:right="20"/>
              <w:spacing w:after="0"/>
              <w:rPr>
                <w:sz w:val="20"/>
                <w:szCs w:val="20"/>
                <w:color w:val="auto"/>
              </w:rPr>
            </w:pPr>
            <w:r>
              <w:rPr>
                <w:rFonts w:ascii="Arial" w:cs="Arial" w:eastAsia="Arial" w:hAnsi="Arial"/>
                <w:sz w:val="16"/>
                <w:szCs w:val="16"/>
                <w:color w:val="auto"/>
              </w:rPr>
              <w:t>17.8%</w:t>
            </w:r>
          </w:p>
        </w:tc>
      </w:tr>
      <w:tr>
        <w:trPr>
          <w:trHeight w:val="220"/>
        </w:trPr>
        <w:tc>
          <w:tcPr>
            <w:tcW w:w="4100" w:type="dxa"/>
            <w:vAlign w:val="bottom"/>
          </w:tcPr>
          <w:p>
            <w:pPr>
              <w:spacing w:after="0"/>
              <w:rPr>
                <w:sz w:val="20"/>
                <w:szCs w:val="20"/>
                <w:color w:val="auto"/>
              </w:rPr>
            </w:pPr>
            <w:r>
              <w:rPr>
                <w:rFonts w:ascii="Arial" w:cs="Arial" w:eastAsia="Arial" w:hAnsi="Arial"/>
                <w:sz w:val="16"/>
                <w:szCs w:val="16"/>
                <w:color w:val="auto"/>
              </w:rPr>
              <w:t>Total</w:t>
            </w:r>
          </w:p>
        </w:tc>
        <w:tc>
          <w:tcPr>
            <w:tcW w:w="14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9"/>
                <w:szCs w:val="19"/>
                <w:color w:val="auto"/>
              </w:rPr>
            </w:pPr>
          </w:p>
        </w:tc>
        <w:tc>
          <w:tcPr>
            <w:tcW w:w="14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1.8</w:t>
            </w:r>
          </w:p>
        </w:tc>
        <w:tc>
          <w:tcPr>
            <w:tcW w:w="2020" w:type="dxa"/>
            <w:vAlign w:val="bottom"/>
            <w:gridSpan w:val="2"/>
          </w:tcPr>
          <w:p>
            <w:pPr>
              <w:jc w:val="right"/>
              <w:spacing w:after="0"/>
              <w:rPr>
                <w:sz w:val="20"/>
                <w:szCs w:val="20"/>
                <w:color w:val="auto"/>
              </w:rPr>
            </w:pPr>
            <w:r>
              <w:rPr>
                <w:rFonts w:ascii="Arial" w:cs="Arial" w:eastAsia="Arial" w:hAnsi="Arial"/>
                <w:sz w:val="16"/>
                <w:szCs w:val="16"/>
                <w:b w:val="1"/>
                <w:bCs w:val="1"/>
                <w:color w:val="auto"/>
              </w:rPr>
              <w:t>20.3%</w:t>
            </w:r>
          </w:p>
        </w:tc>
        <w:tc>
          <w:tcPr>
            <w:tcW w:w="100" w:type="dxa"/>
            <w:vAlign w:val="bottom"/>
          </w:tcPr>
          <w:p>
            <w:pPr>
              <w:spacing w:after="0"/>
              <w:rPr>
                <w:sz w:val="19"/>
                <w:szCs w:val="19"/>
                <w:color w:val="auto"/>
              </w:rPr>
            </w:pPr>
          </w:p>
        </w:tc>
        <w:tc>
          <w:tcPr>
            <w:tcW w:w="2160" w:type="dxa"/>
            <w:vAlign w:val="bottom"/>
          </w:tcPr>
          <w:p>
            <w:pPr>
              <w:jc w:val="right"/>
              <w:ind w:right="20"/>
              <w:spacing w:after="0"/>
              <w:rPr>
                <w:sz w:val="20"/>
                <w:szCs w:val="20"/>
                <w:color w:val="auto"/>
              </w:rPr>
            </w:pPr>
            <w:r>
              <w:rPr>
                <w:rFonts w:ascii="Arial" w:cs="Arial" w:eastAsia="Arial" w:hAnsi="Arial"/>
                <w:sz w:val="16"/>
                <w:szCs w:val="16"/>
                <w:color w:val="auto"/>
              </w:rPr>
              <w:t>17.8%</w:t>
            </w:r>
          </w:p>
        </w:tc>
      </w:tr>
      <w:tr>
        <w:trPr>
          <w:trHeight w:val="228"/>
        </w:trPr>
        <w:tc>
          <w:tcPr>
            <w:tcW w:w="410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240"/>
        </w:trPr>
        <w:tc>
          <w:tcPr>
            <w:tcW w:w="4100" w:type="dxa"/>
            <w:vAlign w:val="bottom"/>
          </w:tcPr>
          <w:p>
            <w:pPr>
              <w:spacing w:after="0"/>
              <w:rPr>
                <w:sz w:val="20"/>
                <w:szCs w:val="20"/>
                <w:color w:val="auto"/>
              </w:rPr>
            </w:pPr>
            <w:r>
              <w:rPr>
                <w:rFonts w:ascii="Arial" w:cs="Arial" w:eastAsia="Arial" w:hAnsi="Arial"/>
                <w:sz w:val="16"/>
                <w:szCs w:val="16"/>
                <w:color w:val="auto"/>
              </w:rPr>
              <w:t>US</w:t>
            </w:r>
          </w:p>
        </w:tc>
        <w:tc>
          <w:tcPr>
            <w:tcW w:w="1460" w:type="dxa"/>
            <w:vAlign w:val="bottom"/>
          </w:tcPr>
          <w:p>
            <w:pPr>
              <w:jc w:val="right"/>
              <w:ind w:right="20"/>
              <w:spacing w:after="0"/>
              <w:rPr>
                <w:sz w:val="20"/>
                <w:szCs w:val="20"/>
                <w:color w:val="auto"/>
              </w:rPr>
            </w:pPr>
            <w:r>
              <w:rPr>
                <w:rFonts w:ascii="Arial" w:cs="Arial" w:eastAsia="Arial" w:hAnsi="Arial"/>
                <w:sz w:val="16"/>
                <w:szCs w:val="16"/>
                <w:color w:val="auto"/>
              </w:rPr>
              <w:t>553.4</w:t>
            </w:r>
          </w:p>
        </w:tc>
        <w:tc>
          <w:tcPr>
            <w:tcW w:w="120" w:type="dxa"/>
            <w:vAlign w:val="bottom"/>
          </w:tcPr>
          <w:p>
            <w:pPr>
              <w:spacing w:after="0"/>
              <w:rPr>
                <w:sz w:val="20"/>
                <w:szCs w:val="20"/>
                <w:color w:val="auto"/>
              </w:rPr>
            </w:pPr>
          </w:p>
        </w:tc>
        <w:tc>
          <w:tcPr>
            <w:tcW w:w="1460" w:type="dxa"/>
            <w:vAlign w:val="bottom"/>
          </w:tcPr>
          <w:p>
            <w:pPr>
              <w:jc w:val="right"/>
              <w:ind w:right="40"/>
              <w:spacing w:after="0"/>
              <w:rPr>
                <w:sz w:val="20"/>
                <w:szCs w:val="20"/>
                <w:color w:val="auto"/>
              </w:rPr>
            </w:pPr>
            <w:r>
              <w:rPr>
                <w:rFonts w:ascii="Arial" w:cs="Arial" w:eastAsia="Arial" w:hAnsi="Arial"/>
                <w:sz w:val="16"/>
                <w:szCs w:val="16"/>
                <w:color w:val="auto"/>
              </w:rPr>
              <w:t>494.7</w:t>
            </w:r>
          </w:p>
        </w:tc>
        <w:tc>
          <w:tcPr>
            <w:tcW w:w="2020" w:type="dxa"/>
            <w:vAlign w:val="bottom"/>
            <w:gridSpan w:val="2"/>
          </w:tcPr>
          <w:p>
            <w:pPr>
              <w:jc w:val="right"/>
              <w:spacing w:after="0"/>
              <w:rPr>
                <w:sz w:val="20"/>
                <w:szCs w:val="20"/>
                <w:color w:val="auto"/>
              </w:rPr>
            </w:pPr>
            <w:r>
              <w:rPr>
                <w:rFonts w:ascii="Arial" w:cs="Arial" w:eastAsia="Arial" w:hAnsi="Arial"/>
                <w:sz w:val="16"/>
                <w:szCs w:val="16"/>
                <w:color w:val="auto"/>
              </w:rPr>
              <w:t>11.9%</w:t>
            </w:r>
          </w:p>
        </w:tc>
        <w:tc>
          <w:tcPr>
            <w:tcW w:w="100" w:type="dxa"/>
            <w:vAlign w:val="bottom"/>
          </w:tcPr>
          <w:p>
            <w:pPr>
              <w:spacing w:after="0"/>
              <w:rPr>
                <w:sz w:val="20"/>
                <w:szCs w:val="20"/>
                <w:color w:val="auto"/>
              </w:rPr>
            </w:pPr>
          </w:p>
        </w:tc>
        <w:tc>
          <w:tcPr>
            <w:tcW w:w="2160" w:type="dxa"/>
            <w:vAlign w:val="bottom"/>
          </w:tcPr>
          <w:p>
            <w:pPr>
              <w:jc w:val="right"/>
              <w:ind w:right="20"/>
              <w:spacing w:after="0"/>
              <w:rPr>
                <w:sz w:val="20"/>
                <w:szCs w:val="20"/>
                <w:color w:val="auto"/>
              </w:rPr>
            </w:pPr>
            <w:r>
              <w:rPr>
                <w:rFonts w:ascii="Arial" w:cs="Arial" w:eastAsia="Arial" w:hAnsi="Arial"/>
                <w:sz w:val="16"/>
                <w:szCs w:val="16"/>
                <w:color w:val="auto"/>
              </w:rPr>
              <w:t>11.9%</w:t>
            </w:r>
          </w:p>
        </w:tc>
      </w:tr>
      <w:tr>
        <w:trPr>
          <w:trHeight w:val="240"/>
        </w:trPr>
        <w:tc>
          <w:tcPr>
            <w:tcW w:w="4100" w:type="dxa"/>
            <w:vAlign w:val="bottom"/>
          </w:tcPr>
          <w:p>
            <w:pPr>
              <w:spacing w:after="0"/>
              <w:rPr>
                <w:sz w:val="20"/>
                <w:szCs w:val="20"/>
                <w:color w:val="auto"/>
              </w:rPr>
            </w:pPr>
            <w:r>
              <w:rPr>
                <w:rFonts w:ascii="Arial" w:cs="Arial" w:eastAsia="Arial" w:hAnsi="Arial"/>
                <w:sz w:val="16"/>
                <w:szCs w:val="16"/>
                <w:color w:val="auto"/>
              </w:rPr>
              <w:t>Europe</w:t>
            </w:r>
          </w:p>
        </w:tc>
        <w:tc>
          <w:tcPr>
            <w:tcW w:w="1460" w:type="dxa"/>
            <w:vAlign w:val="bottom"/>
          </w:tcPr>
          <w:p>
            <w:pPr>
              <w:jc w:val="right"/>
              <w:ind w:right="20"/>
              <w:spacing w:after="0"/>
              <w:rPr>
                <w:sz w:val="20"/>
                <w:szCs w:val="20"/>
                <w:color w:val="auto"/>
              </w:rPr>
            </w:pPr>
            <w:r>
              <w:rPr>
                <w:rFonts w:ascii="Arial" w:cs="Arial" w:eastAsia="Arial" w:hAnsi="Arial"/>
                <w:sz w:val="16"/>
                <w:szCs w:val="16"/>
                <w:color w:val="auto"/>
              </w:rPr>
              <w:t>229.0</w:t>
            </w:r>
          </w:p>
        </w:tc>
        <w:tc>
          <w:tcPr>
            <w:tcW w:w="120" w:type="dxa"/>
            <w:vAlign w:val="bottom"/>
          </w:tcPr>
          <w:p>
            <w:pPr>
              <w:spacing w:after="0"/>
              <w:rPr>
                <w:sz w:val="20"/>
                <w:szCs w:val="20"/>
                <w:color w:val="auto"/>
              </w:rPr>
            </w:pPr>
          </w:p>
        </w:tc>
        <w:tc>
          <w:tcPr>
            <w:tcW w:w="1460" w:type="dxa"/>
            <w:vAlign w:val="bottom"/>
          </w:tcPr>
          <w:p>
            <w:pPr>
              <w:jc w:val="right"/>
              <w:ind w:right="40"/>
              <w:spacing w:after="0"/>
              <w:rPr>
                <w:sz w:val="20"/>
                <w:szCs w:val="20"/>
                <w:color w:val="auto"/>
              </w:rPr>
            </w:pPr>
            <w:r>
              <w:rPr>
                <w:rFonts w:ascii="Arial" w:cs="Arial" w:eastAsia="Arial" w:hAnsi="Arial"/>
                <w:sz w:val="16"/>
                <w:szCs w:val="16"/>
                <w:color w:val="auto"/>
              </w:rPr>
              <w:t>210.5</w:t>
            </w:r>
          </w:p>
        </w:tc>
        <w:tc>
          <w:tcPr>
            <w:tcW w:w="2020" w:type="dxa"/>
            <w:vAlign w:val="bottom"/>
            <w:gridSpan w:val="2"/>
          </w:tcPr>
          <w:p>
            <w:pPr>
              <w:jc w:val="right"/>
              <w:spacing w:after="0"/>
              <w:rPr>
                <w:sz w:val="20"/>
                <w:szCs w:val="20"/>
                <w:color w:val="auto"/>
              </w:rPr>
            </w:pPr>
            <w:r>
              <w:rPr>
                <w:rFonts w:ascii="Arial" w:cs="Arial" w:eastAsia="Arial" w:hAnsi="Arial"/>
                <w:sz w:val="16"/>
                <w:szCs w:val="16"/>
                <w:color w:val="auto"/>
              </w:rPr>
              <w:t>8.8%</w:t>
            </w:r>
          </w:p>
        </w:tc>
        <w:tc>
          <w:tcPr>
            <w:tcW w:w="100" w:type="dxa"/>
            <w:vAlign w:val="bottom"/>
          </w:tcPr>
          <w:p>
            <w:pPr>
              <w:spacing w:after="0"/>
              <w:rPr>
                <w:sz w:val="20"/>
                <w:szCs w:val="20"/>
                <w:color w:val="auto"/>
              </w:rPr>
            </w:pPr>
          </w:p>
        </w:tc>
        <w:tc>
          <w:tcPr>
            <w:tcW w:w="2160" w:type="dxa"/>
            <w:vAlign w:val="bottom"/>
          </w:tcPr>
          <w:p>
            <w:pPr>
              <w:jc w:val="right"/>
              <w:ind w:right="20"/>
              <w:spacing w:after="0"/>
              <w:rPr>
                <w:sz w:val="20"/>
                <w:szCs w:val="20"/>
                <w:color w:val="auto"/>
              </w:rPr>
            </w:pPr>
            <w:r>
              <w:rPr>
                <w:rFonts w:ascii="Arial" w:cs="Arial" w:eastAsia="Arial" w:hAnsi="Arial"/>
                <w:sz w:val="16"/>
                <w:szCs w:val="16"/>
                <w:color w:val="auto"/>
              </w:rPr>
              <w:t>4.6%</w:t>
            </w:r>
          </w:p>
        </w:tc>
      </w:tr>
      <w:tr>
        <w:trPr>
          <w:trHeight w:val="245"/>
        </w:trPr>
        <w:tc>
          <w:tcPr>
            <w:tcW w:w="4100" w:type="dxa"/>
            <w:vAlign w:val="bottom"/>
          </w:tcPr>
          <w:p>
            <w:pPr>
              <w:spacing w:after="0"/>
              <w:rPr>
                <w:sz w:val="20"/>
                <w:szCs w:val="20"/>
                <w:color w:val="auto"/>
              </w:rPr>
            </w:pPr>
            <w:r>
              <w:rPr>
                <w:rFonts w:ascii="Arial" w:cs="Arial" w:eastAsia="Arial" w:hAnsi="Arial"/>
                <w:sz w:val="16"/>
                <w:szCs w:val="16"/>
                <w:color w:val="auto"/>
              </w:rPr>
              <w:t>Rest of World</w:t>
            </w:r>
          </w:p>
        </w:tc>
        <w:tc>
          <w:tcPr>
            <w:tcW w:w="14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324.5</w:t>
            </w:r>
          </w:p>
        </w:tc>
        <w:tc>
          <w:tcPr>
            <w:tcW w:w="120" w:type="dxa"/>
            <w:vAlign w:val="bottom"/>
          </w:tcPr>
          <w:p>
            <w:pPr>
              <w:spacing w:after="0"/>
              <w:rPr>
                <w:sz w:val="21"/>
                <w:szCs w:val="21"/>
                <w:color w:val="auto"/>
              </w:rPr>
            </w:pPr>
          </w:p>
        </w:tc>
        <w:tc>
          <w:tcPr>
            <w:tcW w:w="14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307.1</w:t>
            </w:r>
          </w:p>
        </w:tc>
        <w:tc>
          <w:tcPr>
            <w:tcW w:w="2020" w:type="dxa"/>
            <w:vAlign w:val="bottom"/>
            <w:gridSpan w:val="2"/>
          </w:tcPr>
          <w:p>
            <w:pPr>
              <w:jc w:val="right"/>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21"/>
                <w:szCs w:val="21"/>
                <w:color w:val="auto"/>
              </w:rPr>
            </w:pPr>
          </w:p>
        </w:tc>
        <w:tc>
          <w:tcPr>
            <w:tcW w:w="2160" w:type="dxa"/>
            <w:vAlign w:val="bottom"/>
          </w:tcPr>
          <w:p>
            <w:pPr>
              <w:jc w:val="right"/>
              <w:ind w:right="20"/>
              <w:spacing w:after="0"/>
              <w:rPr>
                <w:sz w:val="20"/>
                <w:szCs w:val="20"/>
                <w:color w:val="auto"/>
              </w:rPr>
            </w:pPr>
            <w:r>
              <w:rPr>
                <w:rFonts w:ascii="Arial" w:cs="Arial" w:eastAsia="Arial" w:hAnsi="Arial"/>
                <w:sz w:val="16"/>
                <w:szCs w:val="16"/>
                <w:color w:val="auto"/>
              </w:rPr>
              <w:t>6.9%</w:t>
            </w:r>
          </w:p>
        </w:tc>
      </w:tr>
      <w:tr>
        <w:trPr>
          <w:trHeight w:val="225"/>
        </w:trPr>
        <w:tc>
          <w:tcPr>
            <w:tcW w:w="4100" w:type="dxa"/>
            <w:vAlign w:val="bottom"/>
          </w:tcPr>
          <w:p>
            <w:pPr>
              <w:spacing w:after="0"/>
              <w:rPr>
                <w:sz w:val="20"/>
                <w:szCs w:val="20"/>
                <w:color w:val="auto"/>
              </w:rPr>
            </w:pPr>
            <w:r>
              <w:rPr>
                <w:rFonts w:ascii="Arial" w:cs="Arial" w:eastAsia="Arial" w:hAnsi="Arial"/>
                <w:sz w:val="16"/>
                <w:szCs w:val="16"/>
                <w:color w:val="auto"/>
              </w:rPr>
              <w:t>Total</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$1,107.0</w:t>
            </w:r>
          </w:p>
        </w:tc>
        <w:tc>
          <w:tcPr>
            <w:tcW w:w="12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$1,012.3</w:t>
            </w:r>
          </w:p>
        </w:tc>
        <w:tc>
          <w:tcPr>
            <w:tcW w:w="2020" w:type="dxa"/>
            <w:vAlign w:val="bottom"/>
            <w:gridSpan w:val="2"/>
          </w:tcPr>
          <w:p>
            <w:pPr>
              <w:jc w:val="right"/>
              <w:spacing w:after="0"/>
              <w:rPr>
                <w:sz w:val="20"/>
                <w:szCs w:val="20"/>
                <w:color w:val="auto"/>
              </w:rPr>
            </w:pPr>
            <w:r>
              <w:rPr>
                <w:rFonts w:ascii="Arial" w:cs="Arial" w:eastAsia="Arial" w:hAnsi="Arial"/>
                <w:sz w:val="16"/>
                <w:szCs w:val="16"/>
                <w:b w:val="1"/>
                <w:bCs w:val="1"/>
                <w:color w:val="auto"/>
              </w:rPr>
              <w:t>9.4%</w:t>
            </w:r>
          </w:p>
        </w:tc>
        <w:tc>
          <w:tcPr>
            <w:tcW w:w="100" w:type="dxa"/>
            <w:vAlign w:val="bottom"/>
          </w:tcPr>
          <w:p>
            <w:pPr>
              <w:spacing w:after="0"/>
              <w:rPr>
                <w:sz w:val="19"/>
                <w:szCs w:val="19"/>
                <w:color w:val="auto"/>
              </w:rPr>
            </w:pPr>
          </w:p>
        </w:tc>
        <w:tc>
          <w:tcPr>
            <w:tcW w:w="2160" w:type="dxa"/>
            <w:vAlign w:val="bottom"/>
          </w:tcPr>
          <w:p>
            <w:pPr>
              <w:jc w:val="right"/>
              <w:ind w:right="20"/>
              <w:spacing w:after="0"/>
              <w:rPr>
                <w:sz w:val="20"/>
                <w:szCs w:val="20"/>
                <w:color w:val="auto"/>
              </w:rPr>
            </w:pPr>
            <w:r>
              <w:rPr>
                <w:rFonts w:ascii="Arial" w:cs="Arial" w:eastAsia="Arial" w:hAnsi="Arial"/>
                <w:sz w:val="16"/>
                <w:szCs w:val="16"/>
                <w:b w:val="1"/>
                <w:bCs w:val="1"/>
                <w:color w:val="auto"/>
              </w:rPr>
              <w:t>8.8%</w:t>
            </w:r>
          </w:p>
        </w:tc>
      </w:tr>
      <w:tr>
        <w:trPr>
          <w:trHeight w:val="20"/>
        </w:trPr>
        <w:tc>
          <w:tcPr>
            <w:tcW w:w="4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bl>
    <w:p>
      <w:pPr>
        <w:spacing w:after="0" w:line="363" w:lineRule="exact"/>
        <w:rPr>
          <w:sz w:val="20"/>
          <w:szCs w:val="20"/>
          <w:color w:val="auto"/>
        </w:rPr>
      </w:pPr>
    </w:p>
    <w:p>
      <w:pPr>
        <w:spacing w:after="0"/>
        <w:rPr>
          <w:sz w:val="20"/>
          <w:szCs w:val="20"/>
          <w:color w:val="auto"/>
        </w:rPr>
      </w:pPr>
      <w:r>
        <w:rPr>
          <w:rFonts w:ascii="Arial" w:cs="Arial" w:eastAsia="Arial" w:hAnsi="Arial"/>
          <w:sz w:val="13"/>
          <w:szCs w:val="13"/>
          <w:color w:val="auto"/>
        </w:rPr>
        <w:t>* The sales results presented are unaudited. Numbers may not add up precisely due to rounding.</w:t>
      </w:r>
    </w:p>
    <w:p>
      <w:pPr>
        <w:spacing w:after="0" w:line="83" w:lineRule="exact"/>
        <w:rPr>
          <w:sz w:val="20"/>
          <w:szCs w:val="20"/>
          <w:color w:val="auto"/>
        </w:rPr>
      </w:pPr>
    </w:p>
    <w:p>
      <w:pPr>
        <w:ind w:left="120" w:hanging="120"/>
        <w:spacing w:after="0"/>
        <w:tabs>
          <w:tab w:leader="none" w:pos="120" w:val="left"/>
        </w:tabs>
        <w:numPr>
          <w:ilvl w:val="0"/>
          <w:numId w:val="5"/>
        </w:numPr>
        <w:rPr>
          <w:rFonts w:ascii="Arial" w:cs="Arial" w:eastAsia="Arial" w:hAnsi="Arial"/>
          <w:sz w:val="14"/>
          <w:szCs w:val="14"/>
          <w:color w:val="auto"/>
          <w:vertAlign w:val="superscript"/>
        </w:rPr>
      </w:pPr>
      <w:r>
        <w:rPr>
          <w:rFonts w:ascii="Arial" w:cs="Arial" w:eastAsia="Arial" w:hAnsi="Arial"/>
          <w:sz w:val="11"/>
          <w:szCs w:val="11"/>
          <w:color w:val="auto"/>
        </w:rPr>
        <w:t>Constant currency is a non-GAAP measure.</w:t>
      </w:r>
    </w:p>
    <w:p>
      <w:pPr>
        <w:spacing w:after="0" w:line="232" w:lineRule="exact"/>
        <w:rPr>
          <w:sz w:val="20"/>
          <w:szCs w:val="20"/>
          <w:color w:val="auto"/>
        </w:rPr>
      </w:pPr>
    </w:p>
    <w:p>
      <w:pPr>
        <w:jc w:val="center"/>
        <w:ind w:right="40"/>
        <w:spacing w:after="0"/>
        <w:rPr>
          <w:sz w:val="20"/>
          <w:szCs w:val="20"/>
          <w:color w:val="auto"/>
        </w:rPr>
      </w:pPr>
      <w:r>
        <w:rPr>
          <w:rFonts w:ascii="Arial" w:cs="Arial" w:eastAsia="Arial" w:hAnsi="Arial"/>
          <w:sz w:val="19"/>
          <w:szCs w:val="19"/>
          <w:color w:val="auto"/>
        </w:rPr>
        <w:t>12</w:t>
      </w:r>
    </w:p>
    <w:p>
      <w:pPr>
        <w:sectPr>
          <w:pgSz w:w="11900" w:h="16838" w:orient="portrait"/>
          <w:cols w:equalWidth="0" w:num="1">
            <w:col w:w="11420"/>
          </w:cols>
          <w:pgMar w:left="260" w:top="706" w:right="219" w:bottom="1440" w:gutter="0" w:footer="0" w:header="0"/>
        </w:sectPr>
      </w:pPr>
    </w:p>
    <w:bookmarkStart w:id="15" w:name="page16"/>
    <w:bookmarkEnd w:id="15"/>
    <w:p>
      <w:pPr>
        <w:spacing w:after="0"/>
        <w:rPr>
          <w:sz w:val="20"/>
          <w:szCs w:val="20"/>
          <w:color w:val="auto"/>
        </w:rPr>
      </w:pPr>
      <w:r>
        <w:rPr>
          <w:rFonts w:ascii="Arial" w:cs="Arial" w:eastAsia="Arial" w:hAnsi="Arial"/>
          <w:sz w:val="16"/>
          <w:szCs w:val="16"/>
          <w:b w:val="1"/>
          <w:bCs w:val="1"/>
          <w:color w:val="auto"/>
        </w:rPr>
        <w:t>LIVANOVA PLC AND SUBSIDIARIES</w:t>
      </w:r>
    </w:p>
    <w:p>
      <w:pPr>
        <w:spacing w:after="0" w:line="56" w:lineRule="exact"/>
        <w:rPr>
          <w:sz w:val="20"/>
          <w:szCs w:val="20"/>
          <w:color w:val="auto"/>
        </w:rPr>
      </w:pPr>
    </w:p>
    <w:p>
      <w:pPr>
        <w:ind w:right="920"/>
        <w:spacing w:after="0" w:line="388" w:lineRule="auto"/>
        <w:rPr>
          <w:sz w:val="20"/>
          <w:szCs w:val="20"/>
          <w:color w:val="auto"/>
        </w:rPr>
      </w:pPr>
      <w:r>
        <w:rPr>
          <w:rFonts w:ascii="Arial" w:cs="Arial" w:eastAsia="Arial" w:hAnsi="Arial"/>
          <w:sz w:val="15"/>
          <w:szCs w:val="15"/>
          <w:b w:val="1"/>
          <w:bCs w:val="1"/>
          <w:color w:val="auto"/>
        </w:rPr>
        <w:t>CONSOLIDATED STATEMENT OF INCOME (LOSS) - UNAUDITED (U.S.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color w:val="auto"/>
        </w:rPr>
        <w:t>Net sales</w:t>
      </w:r>
    </w:p>
    <w:p>
      <w:pPr>
        <w:spacing w:after="0" w:line="5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Cost of sales</w:t>
      </w:r>
    </w:p>
    <w:p>
      <w:pPr>
        <w:spacing w:after="0" w:line="5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Product remediation</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Gross profit</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Operating expenses:</w:t>
      </w:r>
    </w:p>
    <w:p>
      <w:pPr>
        <w:spacing w:after="0" w:line="5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Selling, general and administrative</w:t>
      </w:r>
    </w:p>
    <w:p>
      <w:pPr>
        <w:spacing w:after="0" w:line="5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Research and development</w:t>
      </w:r>
    </w:p>
    <w:p>
      <w:pPr>
        <w:spacing w:after="0" w:line="5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Merger and integration expenses</w:t>
      </w:r>
    </w:p>
    <w:p>
      <w:pPr>
        <w:spacing w:after="0" w:line="5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Restructuring expenses</w:t>
      </w:r>
    </w:p>
    <w:p>
      <w:pPr>
        <w:spacing w:after="0" w:line="5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Amortization of intangibles</w:t>
      </w:r>
    </w:p>
    <w:p>
      <w:pPr>
        <w:spacing w:after="0" w:line="5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Litigation provision</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Total operating expenses</w:t>
      </w:r>
    </w:p>
    <w:p>
      <w:pPr>
        <w:spacing w:after="0" w:line="56" w:lineRule="exact"/>
        <w:rPr>
          <w:sz w:val="20"/>
          <w:szCs w:val="20"/>
          <w:color w:val="auto"/>
        </w:rPr>
      </w:pPr>
    </w:p>
    <w:p>
      <w:pPr>
        <w:ind w:left="220" w:right="2180" w:hanging="215"/>
        <w:spacing w:after="0" w:line="312" w:lineRule="auto"/>
        <w:rPr>
          <w:sz w:val="20"/>
          <w:szCs w:val="20"/>
          <w:color w:val="auto"/>
        </w:rPr>
      </w:pPr>
      <w:r>
        <w:rPr>
          <w:rFonts w:ascii="Arial" w:cs="Arial" w:eastAsia="Arial" w:hAnsi="Arial"/>
          <w:sz w:val="16"/>
          <w:szCs w:val="16"/>
          <w:color w:val="auto"/>
        </w:rPr>
        <w:t>Operating (loss) income from continuing operations Interest expense, net</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Impairment of investments</w:t>
      </w:r>
    </w:p>
    <w:p>
      <w:pPr>
        <w:spacing w:after="0" w:line="5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Foreign exchange and other losses</w:t>
      </w:r>
    </w:p>
    <w:p>
      <w:pPr>
        <w:spacing w:after="0" w:line="56" w:lineRule="exact"/>
        <w:rPr>
          <w:sz w:val="20"/>
          <w:szCs w:val="20"/>
          <w:color w:val="auto"/>
        </w:rPr>
      </w:pPr>
    </w:p>
    <w:p>
      <w:pPr>
        <w:ind w:left="220" w:right="2120" w:hanging="215"/>
        <w:spacing w:after="0" w:line="312" w:lineRule="auto"/>
        <w:rPr>
          <w:sz w:val="20"/>
          <w:szCs w:val="20"/>
          <w:color w:val="auto"/>
        </w:rPr>
      </w:pPr>
      <w:r>
        <w:rPr>
          <w:rFonts w:ascii="Arial" w:cs="Arial" w:eastAsia="Arial" w:hAnsi="Arial"/>
          <w:sz w:val="16"/>
          <w:szCs w:val="16"/>
          <w:color w:val="auto"/>
        </w:rPr>
        <w:t>(Loss) income from continuing operations before tax Losses from equity method investments Income tax (benefit) expense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Net loss from continuing operations</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Discontinued Operations:</w:t>
      </w:r>
    </w:p>
    <w:p>
      <w:pPr>
        <w:spacing w:after="0" w:line="56" w:lineRule="exact"/>
        <w:rPr>
          <w:sz w:val="20"/>
          <w:szCs w:val="20"/>
          <w:color w:val="auto"/>
        </w:rPr>
      </w:pPr>
    </w:p>
    <w:p>
      <w:pPr>
        <w:ind w:left="220" w:right="2140"/>
        <w:spacing w:after="0" w:line="333" w:lineRule="auto"/>
        <w:rPr>
          <w:sz w:val="20"/>
          <w:szCs w:val="20"/>
          <w:color w:val="auto"/>
        </w:rPr>
      </w:pPr>
      <w:r>
        <w:rPr>
          <w:rFonts w:ascii="Arial" w:cs="Arial" w:eastAsia="Arial" w:hAnsi="Arial"/>
          <w:sz w:val="15"/>
          <w:szCs w:val="15"/>
          <w:color w:val="auto"/>
        </w:rPr>
        <w:t>Loss from discontinued operations, net of tax Impairment of discontinued operations, net of tax</w:t>
      </w:r>
    </w:p>
    <w:p>
      <w:pPr>
        <w:ind w:right="2380"/>
        <w:spacing w:after="0" w:line="354" w:lineRule="auto"/>
        <w:rPr>
          <w:sz w:val="20"/>
          <w:szCs w:val="20"/>
          <w:color w:val="auto"/>
        </w:rPr>
      </w:pPr>
      <w:r>
        <w:rPr>
          <w:rFonts w:ascii="Arial" w:cs="Arial" w:eastAsia="Arial" w:hAnsi="Arial"/>
          <w:sz w:val="16"/>
          <w:szCs w:val="16"/>
          <w:color w:val="auto"/>
        </w:rPr>
        <w:t>Net loss from discontinued operations, net of tax Net loss</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Basic and diluted loss per common share:</w:t>
      </w:r>
    </w:p>
    <w:p>
      <w:pPr>
        <w:spacing w:after="0" w:line="5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Continuing operations</w:t>
      </w:r>
    </w:p>
    <w:p>
      <w:pPr>
        <w:spacing w:after="0" w:line="5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Discontinued operations</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6"/>
          <w:szCs w:val="16"/>
          <w:color w:val="auto"/>
        </w:rPr>
        <w:t>Weighted average common shares outstanding</w:t>
      </w:r>
    </w:p>
    <w:p>
      <w:pPr>
        <w:spacing w:after="0" w:line="5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Basic</w:t>
      </w:r>
    </w:p>
    <w:p>
      <w:pPr>
        <w:spacing w:after="0" w:line="5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Diluted</w:t>
      </w:r>
    </w:p>
    <w:p>
      <w:pPr>
        <w:spacing w:after="0" w:line="336" w:lineRule="exact"/>
        <w:rPr>
          <w:sz w:val="20"/>
          <w:szCs w:val="20"/>
          <w:color w:val="auto"/>
        </w:rPr>
      </w:pPr>
    </w:p>
    <w:p>
      <w:pPr>
        <w:ind w:left="220" w:hanging="220"/>
        <w:spacing w:after="0"/>
        <w:tabs>
          <w:tab w:leader="none" w:pos="220" w:val="left"/>
        </w:tabs>
        <w:numPr>
          <w:ilvl w:val="0"/>
          <w:numId w:val="6"/>
        </w:numPr>
        <w:rPr>
          <w:rFonts w:ascii="Arial" w:cs="Arial" w:eastAsia="Arial" w:hAnsi="Arial"/>
          <w:sz w:val="13"/>
          <w:szCs w:val="13"/>
          <w:color w:val="auto"/>
        </w:rPr>
      </w:pPr>
      <w:r>
        <w:rPr>
          <w:rFonts w:ascii="Arial" w:cs="Arial" w:eastAsia="Arial" w:hAnsi="Arial"/>
          <w:sz w:val="13"/>
          <w:szCs w:val="13"/>
          <w:color w:val="auto"/>
        </w:rPr>
        <w:t>Numbers may not add up precisely due to rounding.</w:t>
      </w:r>
    </w:p>
    <w:p>
      <w:pPr>
        <w:spacing w:after="0" w:line="236" w:lineRule="exact"/>
        <w:rPr>
          <w:sz w:val="20"/>
          <w:szCs w:val="20"/>
          <w:color w:val="auto"/>
        </w:rPr>
      </w:pPr>
    </w:p>
    <w:p>
      <w:pPr>
        <w:jc w:val="right"/>
        <w:spacing w:after="0"/>
        <w:rPr>
          <w:sz w:val="20"/>
          <w:szCs w:val="20"/>
          <w:color w:val="auto"/>
        </w:rPr>
      </w:pPr>
      <w:r>
        <w:rPr>
          <w:rFonts w:ascii="Arial" w:cs="Arial" w:eastAsia="Arial" w:hAnsi="Arial"/>
          <w:sz w:val="19"/>
          <w:szCs w:val="19"/>
          <w:color w:val="auto"/>
        </w:rPr>
        <w:t>13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374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16"/>
                <w:szCs w:val="16"/>
                <w:b w:val="1"/>
                <w:bCs w:val="1"/>
                <w:color w:val="auto"/>
              </w:rPr>
              <w:t>Three Months Ended December 31,</w:t>
            </w: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37"/>
        </w:trPr>
        <w:tc>
          <w:tcPr>
            <w:tcW w:w="1820" w:type="dxa"/>
            <w:vAlign w:val="bottom"/>
            <w:tcBorders>
              <w:bottom w:val="single" w:sz="8" w:color="auto"/>
            </w:tcBorders>
          </w:tcPr>
          <w:p>
            <w:pPr>
              <w:jc w:val="right"/>
              <w:ind w:right="660"/>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660"/>
              <w:spacing w:after="0"/>
              <w:rPr>
                <w:sz w:val="20"/>
                <w:szCs w:val="20"/>
                <w:color w:val="auto"/>
              </w:rPr>
            </w:pPr>
            <w:r>
              <w:rPr>
                <w:rFonts w:ascii="Arial" w:cs="Arial" w:eastAsia="Arial" w:hAnsi="Arial"/>
                <w:sz w:val="16"/>
                <w:szCs w:val="16"/>
                <w:b w:val="1"/>
                <w:bCs w:val="1"/>
                <w:color w:val="auto"/>
              </w:rPr>
              <w:t>2017</w:t>
            </w:r>
          </w:p>
        </w:tc>
        <w:tc>
          <w:tcPr>
            <w:tcW w:w="220" w:type="dxa"/>
            <w:vAlign w:val="bottom"/>
          </w:tcPr>
          <w:p>
            <w:pPr>
              <w:spacing w:after="0"/>
              <w:rPr>
                <w:sz w:val="20"/>
                <w:szCs w:val="20"/>
                <w:color w:val="auto"/>
              </w:rPr>
            </w:pPr>
          </w:p>
        </w:tc>
        <w:tc>
          <w:tcPr>
            <w:tcW w:w="160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rPr>
              <w:t xml:space="preserve">% Change </w:t>
            </w:r>
            <w:r>
              <w:rPr>
                <w:rFonts w:ascii="Arial" w:cs="Arial" w:eastAsia="Arial" w:hAnsi="Arial"/>
                <w:sz w:val="19"/>
                <w:szCs w:val="19"/>
                <w:b w:val="1"/>
                <w:bCs w:val="1"/>
                <w:color w:val="auto"/>
                <w:vertAlign w:val="superscript"/>
              </w:rPr>
              <w:t>(1)</w:t>
            </w:r>
          </w:p>
        </w:tc>
      </w:tr>
      <w:tr>
        <w:trPr>
          <w:trHeight w:val="220"/>
        </w:trPr>
        <w:tc>
          <w:tcPr>
            <w:tcW w:w="1820" w:type="dxa"/>
            <w:vAlign w:val="bottom"/>
          </w:tcPr>
          <w:p>
            <w:pPr>
              <w:jc w:val="right"/>
              <w:ind w:right="40"/>
              <w:spacing w:after="0"/>
              <w:rPr>
                <w:sz w:val="20"/>
                <w:szCs w:val="20"/>
                <w:color w:val="auto"/>
              </w:rPr>
            </w:pPr>
            <w:r>
              <w:rPr>
                <w:rFonts w:ascii="Arial" w:cs="Arial" w:eastAsia="Arial" w:hAnsi="Arial"/>
                <w:sz w:val="16"/>
                <w:szCs w:val="16"/>
                <w:color w:val="auto"/>
              </w:rPr>
              <w:t>$297.0</w:t>
            </w:r>
          </w:p>
        </w:tc>
        <w:tc>
          <w:tcPr>
            <w:tcW w:w="100" w:type="dxa"/>
            <w:vAlign w:val="bottom"/>
          </w:tcPr>
          <w:p>
            <w:pPr>
              <w:spacing w:after="0"/>
              <w:rPr>
                <w:sz w:val="19"/>
                <w:szCs w:val="19"/>
                <w:color w:val="auto"/>
              </w:rPr>
            </w:pPr>
          </w:p>
        </w:tc>
        <w:tc>
          <w:tcPr>
            <w:tcW w:w="1820" w:type="dxa"/>
            <w:vAlign w:val="bottom"/>
          </w:tcPr>
          <w:p>
            <w:pPr>
              <w:jc w:val="right"/>
              <w:ind w:right="40"/>
              <w:spacing w:after="0"/>
              <w:rPr>
                <w:sz w:val="20"/>
                <w:szCs w:val="20"/>
                <w:color w:val="auto"/>
              </w:rPr>
            </w:pPr>
            <w:r>
              <w:rPr>
                <w:rFonts w:ascii="Arial" w:cs="Arial" w:eastAsia="Arial" w:hAnsi="Arial"/>
                <w:sz w:val="16"/>
                <w:szCs w:val="16"/>
                <w:color w:val="auto"/>
              </w:rPr>
              <w:t>$278.4</w:t>
            </w:r>
          </w:p>
        </w:tc>
        <w:tc>
          <w:tcPr>
            <w:tcW w:w="22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40"/>
        </w:trPr>
        <w:tc>
          <w:tcPr>
            <w:tcW w:w="1820" w:type="dxa"/>
            <w:vAlign w:val="bottom"/>
          </w:tcPr>
          <w:p>
            <w:pPr>
              <w:jc w:val="right"/>
              <w:ind w:right="40"/>
              <w:spacing w:after="0"/>
              <w:rPr>
                <w:sz w:val="20"/>
                <w:szCs w:val="20"/>
                <w:color w:val="auto"/>
              </w:rPr>
            </w:pPr>
            <w:r>
              <w:rPr>
                <w:rFonts w:ascii="Arial" w:cs="Arial" w:eastAsia="Arial" w:hAnsi="Arial"/>
                <w:sz w:val="16"/>
                <w:szCs w:val="16"/>
                <w:color w:val="auto"/>
              </w:rPr>
              <w:t>90.9</w:t>
            </w:r>
          </w:p>
        </w:tc>
        <w:tc>
          <w:tcPr>
            <w:tcW w:w="100" w:type="dxa"/>
            <w:vAlign w:val="bottom"/>
          </w:tcPr>
          <w:p>
            <w:pPr>
              <w:spacing w:after="0"/>
              <w:rPr>
                <w:sz w:val="20"/>
                <w:szCs w:val="20"/>
                <w:color w:val="auto"/>
              </w:rPr>
            </w:pPr>
          </w:p>
        </w:tc>
        <w:tc>
          <w:tcPr>
            <w:tcW w:w="1820" w:type="dxa"/>
            <w:vAlign w:val="bottom"/>
          </w:tcPr>
          <w:p>
            <w:pPr>
              <w:jc w:val="right"/>
              <w:ind w:right="40"/>
              <w:spacing w:after="0"/>
              <w:rPr>
                <w:sz w:val="20"/>
                <w:szCs w:val="20"/>
                <w:color w:val="auto"/>
              </w:rPr>
            </w:pPr>
            <w:r>
              <w:rPr>
                <w:rFonts w:ascii="Arial" w:cs="Arial" w:eastAsia="Arial" w:hAnsi="Arial"/>
                <w:sz w:val="16"/>
                <w:szCs w:val="16"/>
                <w:color w:val="auto"/>
              </w:rPr>
              <w:t>101.4</w:t>
            </w:r>
          </w:p>
        </w:tc>
        <w:tc>
          <w:tcPr>
            <w:tcW w:w="22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45"/>
        </w:trPr>
        <w:tc>
          <w:tcPr>
            <w:tcW w:w="1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1"/>
                <w:szCs w:val="21"/>
                <w:color w:val="auto"/>
              </w:rPr>
            </w:pPr>
          </w:p>
        </w:tc>
        <w:tc>
          <w:tcPr>
            <w:tcW w:w="1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4.7</w:t>
            </w:r>
          </w:p>
        </w:tc>
        <w:tc>
          <w:tcPr>
            <w:tcW w:w="220" w:type="dxa"/>
            <w:vAlign w:val="bottom"/>
          </w:tcPr>
          <w:p>
            <w:pPr>
              <w:spacing w:after="0"/>
              <w:rPr>
                <w:sz w:val="21"/>
                <w:szCs w:val="21"/>
                <w:color w:val="auto"/>
              </w:rPr>
            </w:pPr>
          </w:p>
        </w:tc>
        <w:tc>
          <w:tcPr>
            <w:tcW w:w="1600" w:type="dxa"/>
            <w:vAlign w:val="bottom"/>
            <w:tcBorders>
              <w:bottom w:val="single" w:sz="8" w:color="auto"/>
            </w:tcBorders>
          </w:tcPr>
          <w:p>
            <w:pPr>
              <w:spacing w:after="0"/>
              <w:rPr>
                <w:sz w:val="21"/>
                <w:szCs w:val="21"/>
                <w:color w:val="auto"/>
              </w:rPr>
            </w:pPr>
          </w:p>
        </w:tc>
      </w:tr>
      <w:tr>
        <w:trPr>
          <w:trHeight w:val="220"/>
        </w:trPr>
        <w:tc>
          <w:tcPr>
            <w:tcW w:w="1820" w:type="dxa"/>
            <w:vAlign w:val="bottom"/>
          </w:tcPr>
          <w:p>
            <w:pPr>
              <w:jc w:val="right"/>
              <w:ind w:right="40"/>
              <w:spacing w:after="0"/>
              <w:rPr>
                <w:sz w:val="20"/>
                <w:szCs w:val="20"/>
                <w:color w:val="auto"/>
              </w:rPr>
            </w:pPr>
            <w:r>
              <w:rPr>
                <w:rFonts w:ascii="Arial" w:cs="Arial" w:eastAsia="Arial" w:hAnsi="Arial"/>
                <w:sz w:val="16"/>
                <w:szCs w:val="16"/>
                <w:color w:val="auto"/>
              </w:rPr>
              <w:t>204.1</w:t>
            </w:r>
          </w:p>
        </w:tc>
        <w:tc>
          <w:tcPr>
            <w:tcW w:w="100" w:type="dxa"/>
            <w:vAlign w:val="bottom"/>
          </w:tcPr>
          <w:p>
            <w:pPr>
              <w:spacing w:after="0"/>
              <w:rPr>
                <w:sz w:val="19"/>
                <w:szCs w:val="19"/>
                <w:color w:val="auto"/>
              </w:rPr>
            </w:pPr>
          </w:p>
        </w:tc>
        <w:tc>
          <w:tcPr>
            <w:tcW w:w="1820" w:type="dxa"/>
            <w:vAlign w:val="bottom"/>
          </w:tcPr>
          <w:p>
            <w:pPr>
              <w:jc w:val="right"/>
              <w:ind w:right="40"/>
              <w:spacing w:after="0"/>
              <w:rPr>
                <w:sz w:val="20"/>
                <w:szCs w:val="20"/>
                <w:color w:val="auto"/>
              </w:rPr>
            </w:pPr>
            <w:r>
              <w:rPr>
                <w:rFonts w:ascii="Arial" w:cs="Arial" w:eastAsia="Arial" w:hAnsi="Arial"/>
                <w:sz w:val="16"/>
                <w:szCs w:val="16"/>
                <w:color w:val="auto"/>
              </w:rPr>
              <w:t>172.2</w:t>
            </w:r>
          </w:p>
        </w:tc>
        <w:tc>
          <w:tcPr>
            <w:tcW w:w="1820" w:type="dxa"/>
            <w:vAlign w:val="bottom"/>
            <w:gridSpan w:val="2"/>
          </w:tcPr>
          <w:p>
            <w:pPr>
              <w:jc w:val="right"/>
              <w:ind w:right="20"/>
              <w:spacing w:after="0"/>
              <w:rPr>
                <w:sz w:val="20"/>
                <w:szCs w:val="20"/>
                <w:color w:val="auto"/>
              </w:rPr>
            </w:pPr>
            <w:r>
              <w:rPr>
                <w:rFonts w:ascii="Arial" w:cs="Arial" w:eastAsia="Arial" w:hAnsi="Arial"/>
                <w:sz w:val="16"/>
                <w:szCs w:val="16"/>
                <w:color w:val="auto"/>
              </w:rPr>
              <w:t>18.5%</w:t>
            </w:r>
          </w:p>
        </w:tc>
      </w:tr>
      <w:tr>
        <w:trPr>
          <w:trHeight w:val="465"/>
        </w:trPr>
        <w:tc>
          <w:tcPr>
            <w:tcW w:w="18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122.2</w:t>
            </w:r>
          </w:p>
        </w:tc>
        <w:tc>
          <w:tcPr>
            <w:tcW w:w="100" w:type="dxa"/>
            <w:vAlign w:val="bottom"/>
          </w:tcPr>
          <w:p>
            <w:pPr>
              <w:spacing w:after="0"/>
              <w:rPr>
                <w:sz w:val="24"/>
                <w:szCs w:val="24"/>
                <w:color w:val="auto"/>
              </w:rPr>
            </w:pPr>
          </w:p>
        </w:tc>
        <w:tc>
          <w:tcPr>
            <w:tcW w:w="18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101.3</w:t>
            </w:r>
          </w:p>
        </w:tc>
        <w:tc>
          <w:tcPr>
            <w:tcW w:w="220" w:type="dxa"/>
            <w:vAlign w:val="bottom"/>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r>
      <w:tr>
        <w:trPr>
          <w:trHeight w:val="240"/>
        </w:trPr>
        <w:tc>
          <w:tcPr>
            <w:tcW w:w="1820" w:type="dxa"/>
            <w:vAlign w:val="bottom"/>
          </w:tcPr>
          <w:p>
            <w:pPr>
              <w:jc w:val="right"/>
              <w:ind w:right="40"/>
              <w:spacing w:after="0"/>
              <w:rPr>
                <w:sz w:val="20"/>
                <w:szCs w:val="20"/>
                <w:color w:val="auto"/>
              </w:rPr>
            </w:pPr>
            <w:r>
              <w:rPr>
                <w:rFonts w:ascii="Arial" w:cs="Arial" w:eastAsia="Arial" w:hAnsi="Arial"/>
                <w:sz w:val="16"/>
                <w:szCs w:val="16"/>
                <w:color w:val="auto"/>
              </w:rPr>
              <w:t>37.6</w:t>
            </w:r>
          </w:p>
        </w:tc>
        <w:tc>
          <w:tcPr>
            <w:tcW w:w="100" w:type="dxa"/>
            <w:vAlign w:val="bottom"/>
          </w:tcPr>
          <w:p>
            <w:pPr>
              <w:spacing w:after="0"/>
              <w:rPr>
                <w:sz w:val="20"/>
                <w:szCs w:val="20"/>
                <w:color w:val="auto"/>
              </w:rPr>
            </w:pPr>
          </w:p>
        </w:tc>
        <w:tc>
          <w:tcPr>
            <w:tcW w:w="1820" w:type="dxa"/>
            <w:vAlign w:val="bottom"/>
          </w:tcPr>
          <w:p>
            <w:pPr>
              <w:jc w:val="right"/>
              <w:ind w:right="40"/>
              <w:spacing w:after="0"/>
              <w:rPr>
                <w:sz w:val="20"/>
                <w:szCs w:val="20"/>
                <w:color w:val="auto"/>
              </w:rPr>
            </w:pPr>
            <w:r>
              <w:rPr>
                <w:rFonts w:ascii="Arial" w:cs="Arial" w:eastAsia="Arial" w:hAnsi="Arial"/>
                <w:sz w:val="16"/>
                <w:szCs w:val="16"/>
                <w:color w:val="auto"/>
              </w:rPr>
              <w:t>32.4</w:t>
            </w:r>
          </w:p>
        </w:tc>
        <w:tc>
          <w:tcPr>
            <w:tcW w:w="22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40"/>
        </w:trPr>
        <w:tc>
          <w:tcPr>
            <w:tcW w:w="1820" w:type="dxa"/>
            <w:vAlign w:val="bottom"/>
          </w:tcPr>
          <w:p>
            <w:pPr>
              <w:jc w:val="right"/>
              <w:ind w:right="40"/>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20"/>
                <w:szCs w:val="20"/>
                <w:color w:val="auto"/>
              </w:rPr>
            </w:pPr>
          </w:p>
        </w:tc>
        <w:tc>
          <w:tcPr>
            <w:tcW w:w="1820" w:type="dxa"/>
            <w:vAlign w:val="bottom"/>
          </w:tcPr>
          <w:p>
            <w:pPr>
              <w:jc w:val="right"/>
              <w:ind w:right="40"/>
              <w:spacing w:after="0"/>
              <w:rPr>
                <w:sz w:val="20"/>
                <w:szCs w:val="20"/>
                <w:color w:val="auto"/>
              </w:rPr>
            </w:pPr>
            <w:r>
              <w:rPr>
                <w:rFonts w:ascii="Arial" w:cs="Arial" w:eastAsia="Arial" w:hAnsi="Arial"/>
                <w:sz w:val="16"/>
                <w:szCs w:val="16"/>
                <w:color w:val="auto"/>
              </w:rPr>
              <w:t>7.8</w:t>
            </w:r>
          </w:p>
        </w:tc>
        <w:tc>
          <w:tcPr>
            <w:tcW w:w="22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40"/>
        </w:trPr>
        <w:tc>
          <w:tcPr>
            <w:tcW w:w="1820" w:type="dxa"/>
            <w:vAlign w:val="bottom"/>
          </w:tcPr>
          <w:p>
            <w:pPr>
              <w:jc w:val="right"/>
              <w:ind w:right="40"/>
              <w:spacing w:after="0"/>
              <w:rPr>
                <w:sz w:val="20"/>
                <w:szCs w:val="20"/>
                <w:color w:val="auto"/>
              </w:rPr>
            </w:pPr>
            <w:r>
              <w:rPr>
                <w:rFonts w:ascii="Arial" w:cs="Arial" w:eastAsia="Arial" w:hAnsi="Arial"/>
                <w:sz w:val="16"/>
                <w:szCs w:val="16"/>
                <w:color w:val="auto"/>
              </w:rPr>
              <w:t>13.1</w:t>
            </w:r>
          </w:p>
        </w:tc>
        <w:tc>
          <w:tcPr>
            <w:tcW w:w="100" w:type="dxa"/>
            <w:vAlign w:val="bottom"/>
          </w:tcPr>
          <w:p>
            <w:pPr>
              <w:spacing w:after="0"/>
              <w:rPr>
                <w:sz w:val="20"/>
                <w:szCs w:val="20"/>
                <w:color w:val="auto"/>
              </w:rPr>
            </w:pPr>
          </w:p>
        </w:tc>
        <w:tc>
          <w:tcPr>
            <w:tcW w:w="1820" w:type="dxa"/>
            <w:vAlign w:val="bottom"/>
          </w:tcPr>
          <w:p>
            <w:pPr>
              <w:jc w:val="right"/>
              <w:ind w:right="40"/>
              <w:spacing w:after="0"/>
              <w:rPr>
                <w:sz w:val="20"/>
                <w:szCs w:val="20"/>
                <w:color w:val="auto"/>
              </w:rPr>
            </w:pPr>
            <w:r>
              <w:rPr>
                <w:rFonts w:ascii="Arial" w:cs="Arial" w:eastAsia="Arial" w:hAnsi="Arial"/>
                <w:sz w:val="16"/>
                <w:szCs w:val="16"/>
                <w:color w:val="auto"/>
              </w:rPr>
              <w:t>3.2</w:t>
            </w:r>
          </w:p>
        </w:tc>
        <w:tc>
          <w:tcPr>
            <w:tcW w:w="22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40"/>
        </w:trPr>
        <w:tc>
          <w:tcPr>
            <w:tcW w:w="1820" w:type="dxa"/>
            <w:vAlign w:val="bottom"/>
          </w:tcPr>
          <w:p>
            <w:pPr>
              <w:jc w:val="right"/>
              <w:ind w:right="40"/>
              <w:spacing w:after="0"/>
              <w:rPr>
                <w:sz w:val="20"/>
                <w:szCs w:val="20"/>
                <w:color w:val="auto"/>
              </w:rPr>
            </w:pPr>
            <w:r>
              <w:rPr>
                <w:rFonts w:ascii="Arial" w:cs="Arial" w:eastAsia="Arial" w:hAnsi="Arial"/>
                <w:sz w:val="16"/>
                <w:szCs w:val="16"/>
                <w:color w:val="auto"/>
              </w:rPr>
              <w:t>9.1</w:t>
            </w:r>
          </w:p>
        </w:tc>
        <w:tc>
          <w:tcPr>
            <w:tcW w:w="100" w:type="dxa"/>
            <w:vAlign w:val="bottom"/>
          </w:tcPr>
          <w:p>
            <w:pPr>
              <w:spacing w:after="0"/>
              <w:rPr>
                <w:sz w:val="20"/>
                <w:szCs w:val="20"/>
                <w:color w:val="auto"/>
              </w:rPr>
            </w:pPr>
          </w:p>
        </w:tc>
        <w:tc>
          <w:tcPr>
            <w:tcW w:w="1820" w:type="dxa"/>
            <w:vAlign w:val="bottom"/>
          </w:tcPr>
          <w:p>
            <w:pPr>
              <w:jc w:val="right"/>
              <w:ind w:right="40"/>
              <w:spacing w:after="0"/>
              <w:rPr>
                <w:sz w:val="20"/>
                <w:szCs w:val="20"/>
                <w:color w:val="auto"/>
              </w:rPr>
            </w:pPr>
            <w:r>
              <w:rPr>
                <w:rFonts w:ascii="Arial" w:cs="Arial" w:eastAsia="Arial" w:hAnsi="Arial"/>
                <w:sz w:val="16"/>
                <w:szCs w:val="16"/>
                <w:color w:val="auto"/>
              </w:rPr>
              <w:t>8.5</w:t>
            </w:r>
          </w:p>
        </w:tc>
        <w:tc>
          <w:tcPr>
            <w:tcW w:w="22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45"/>
        </w:trPr>
        <w:tc>
          <w:tcPr>
            <w:tcW w:w="1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294.0</w:t>
            </w:r>
          </w:p>
        </w:tc>
        <w:tc>
          <w:tcPr>
            <w:tcW w:w="100" w:type="dxa"/>
            <w:vAlign w:val="bottom"/>
          </w:tcPr>
          <w:p>
            <w:pPr>
              <w:spacing w:after="0"/>
              <w:rPr>
                <w:sz w:val="21"/>
                <w:szCs w:val="21"/>
                <w:color w:val="auto"/>
              </w:rPr>
            </w:pPr>
          </w:p>
        </w:tc>
        <w:tc>
          <w:tcPr>
            <w:tcW w:w="1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1600" w:type="dxa"/>
            <w:vAlign w:val="bottom"/>
            <w:tcBorders>
              <w:bottom w:val="single" w:sz="8" w:color="auto"/>
            </w:tcBorders>
          </w:tcPr>
          <w:p>
            <w:pPr>
              <w:spacing w:after="0"/>
              <w:rPr>
                <w:sz w:val="21"/>
                <w:szCs w:val="21"/>
                <w:color w:val="auto"/>
              </w:rPr>
            </w:pPr>
          </w:p>
        </w:tc>
      </w:tr>
      <w:tr>
        <w:trPr>
          <w:trHeight w:val="220"/>
        </w:trPr>
        <w:tc>
          <w:tcPr>
            <w:tcW w:w="1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480.5</w:t>
            </w:r>
          </w:p>
        </w:tc>
        <w:tc>
          <w:tcPr>
            <w:tcW w:w="100" w:type="dxa"/>
            <w:vAlign w:val="bottom"/>
          </w:tcPr>
          <w:p>
            <w:pPr>
              <w:spacing w:after="0"/>
              <w:rPr>
                <w:sz w:val="19"/>
                <w:szCs w:val="19"/>
                <w:color w:val="auto"/>
              </w:rPr>
            </w:pPr>
          </w:p>
        </w:tc>
        <w:tc>
          <w:tcPr>
            <w:tcW w:w="1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153.3</w:t>
            </w:r>
          </w:p>
        </w:tc>
        <w:tc>
          <w:tcPr>
            <w:tcW w:w="220" w:type="dxa"/>
            <w:vAlign w:val="bottom"/>
          </w:tcPr>
          <w:p>
            <w:pPr>
              <w:spacing w:after="0"/>
              <w:rPr>
                <w:sz w:val="19"/>
                <w:szCs w:val="19"/>
                <w:color w:val="auto"/>
              </w:rPr>
            </w:pPr>
          </w:p>
        </w:tc>
        <w:tc>
          <w:tcPr>
            <w:tcW w:w="16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213.4%</w:t>
            </w:r>
          </w:p>
        </w:tc>
      </w:tr>
      <w:tr>
        <w:trPr>
          <w:trHeight w:val="220"/>
        </w:trPr>
        <w:tc>
          <w:tcPr>
            <w:tcW w:w="1820" w:type="dxa"/>
            <w:vAlign w:val="bottom"/>
          </w:tcPr>
          <w:p>
            <w:pPr>
              <w:jc w:val="right"/>
              <w:spacing w:after="0"/>
              <w:rPr>
                <w:sz w:val="20"/>
                <w:szCs w:val="20"/>
                <w:color w:val="auto"/>
              </w:rPr>
            </w:pPr>
            <w:r>
              <w:rPr>
                <w:rFonts w:ascii="Arial" w:cs="Arial" w:eastAsia="Arial" w:hAnsi="Arial"/>
                <w:sz w:val="16"/>
                <w:szCs w:val="16"/>
                <w:color w:val="auto"/>
              </w:rPr>
              <w:t>(276.5)</w:t>
            </w:r>
          </w:p>
        </w:tc>
        <w:tc>
          <w:tcPr>
            <w:tcW w:w="100" w:type="dxa"/>
            <w:vAlign w:val="bottom"/>
          </w:tcPr>
          <w:p>
            <w:pPr>
              <w:spacing w:after="0"/>
              <w:rPr>
                <w:sz w:val="19"/>
                <w:szCs w:val="19"/>
                <w:color w:val="auto"/>
              </w:rPr>
            </w:pPr>
          </w:p>
        </w:tc>
        <w:tc>
          <w:tcPr>
            <w:tcW w:w="1820" w:type="dxa"/>
            <w:vAlign w:val="bottom"/>
          </w:tcPr>
          <w:p>
            <w:pPr>
              <w:jc w:val="right"/>
              <w:ind w:right="40"/>
              <w:spacing w:after="0"/>
              <w:rPr>
                <w:sz w:val="20"/>
                <w:szCs w:val="20"/>
                <w:color w:val="auto"/>
              </w:rPr>
            </w:pPr>
            <w:r>
              <w:rPr>
                <w:rFonts w:ascii="Arial" w:cs="Arial" w:eastAsia="Arial" w:hAnsi="Arial"/>
                <w:sz w:val="16"/>
                <w:szCs w:val="16"/>
                <w:color w:val="auto"/>
              </w:rPr>
              <w:t>18.9</w:t>
            </w:r>
          </w:p>
        </w:tc>
        <w:tc>
          <w:tcPr>
            <w:tcW w:w="1820" w:type="dxa"/>
            <w:vAlign w:val="bottom"/>
            <w:gridSpan w:val="2"/>
          </w:tcPr>
          <w:p>
            <w:pPr>
              <w:jc w:val="right"/>
              <w:spacing w:after="0"/>
              <w:rPr>
                <w:sz w:val="20"/>
                <w:szCs w:val="20"/>
                <w:color w:val="auto"/>
              </w:rPr>
            </w:pPr>
            <w:r>
              <w:rPr>
                <w:rFonts w:ascii="Arial" w:cs="Arial" w:eastAsia="Arial" w:hAnsi="Arial"/>
                <w:sz w:val="16"/>
                <w:szCs w:val="16"/>
                <w:color w:val="auto"/>
              </w:rPr>
              <w:t>(1,563.0%)</w:t>
            </w:r>
          </w:p>
        </w:tc>
      </w:tr>
      <w:tr>
        <w:trPr>
          <w:trHeight w:val="214"/>
        </w:trPr>
        <w:tc>
          <w:tcPr>
            <w:tcW w:w="1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22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r>
      <w:tr>
        <w:trPr>
          <w:trHeight w:val="240"/>
        </w:trPr>
        <w:tc>
          <w:tcPr>
            <w:tcW w:w="1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20" w:type="dxa"/>
            <w:vAlign w:val="bottom"/>
          </w:tcPr>
          <w:p>
            <w:pPr>
              <w:jc w:val="right"/>
              <w:spacing w:after="0"/>
              <w:rPr>
                <w:sz w:val="20"/>
                <w:szCs w:val="20"/>
                <w:color w:val="auto"/>
              </w:rPr>
            </w:pPr>
            <w:r>
              <w:rPr>
                <w:rFonts w:ascii="Arial" w:cs="Arial" w:eastAsia="Arial" w:hAnsi="Arial"/>
                <w:sz w:val="16"/>
                <w:szCs w:val="16"/>
                <w:color w:val="auto"/>
              </w:rPr>
              <w:t>(8.6)</w:t>
            </w:r>
          </w:p>
        </w:tc>
        <w:tc>
          <w:tcPr>
            <w:tcW w:w="22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45"/>
        </w:trPr>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21"/>
                <w:szCs w:val="21"/>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220" w:type="dxa"/>
            <w:vAlign w:val="bottom"/>
          </w:tcPr>
          <w:p>
            <w:pPr>
              <w:spacing w:after="0"/>
              <w:rPr>
                <w:sz w:val="21"/>
                <w:szCs w:val="21"/>
                <w:color w:val="auto"/>
              </w:rPr>
            </w:pPr>
          </w:p>
        </w:tc>
        <w:tc>
          <w:tcPr>
            <w:tcW w:w="1600" w:type="dxa"/>
            <w:vAlign w:val="bottom"/>
            <w:tcBorders>
              <w:bottom w:val="single" w:sz="8" w:color="auto"/>
            </w:tcBorders>
          </w:tcPr>
          <w:p>
            <w:pPr>
              <w:spacing w:after="0"/>
              <w:rPr>
                <w:sz w:val="21"/>
                <w:szCs w:val="21"/>
                <w:color w:val="auto"/>
              </w:rPr>
            </w:pPr>
          </w:p>
        </w:tc>
      </w:tr>
      <w:tr>
        <w:trPr>
          <w:trHeight w:val="220"/>
        </w:trPr>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(279.4)</w:t>
            </w:r>
          </w:p>
        </w:tc>
        <w:tc>
          <w:tcPr>
            <w:tcW w:w="100" w:type="dxa"/>
            <w:vAlign w:val="bottom"/>
          </w:tcPr>
          <w:p>
            <w:pPr>
              <w:spacing w:after="0"/>
              <w:rPr>
                <w:sz w:val="19"/>
                <w:szCs w:val="19"/>
                <w:color w:val="auto"/>
              </w:rPr>
            </w:pPr>
          </w:p>
        </w:tc>
        <w:tc>
          <w:tcPr>
            <w:tcW w:w="1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7.9</w:t>
            </w:r>
          </w:p>
        </w:tc>
        <w:tc>
          <w:tcPr>
            <w:tcW w:w="22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(3,636.7%)</w:t>
            </w:r>
          </w:p>
        </w:tc>
      </w:tr>
      <w:tr>
        <w:trPr>
          <w:trHeight w:val="214"/>
        </w:trPr>
        <w:tc>
          <w:tcPr>
            <w:tcW w:w="1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20" w:type="dxa"/>
            <w:vAlign w:val="bottom"/>
          </w:tcPr>
          <w:p>
            <w:pPr>
              <w:jc w:val="right"/>
              <w:spacing w:after="0"/>
              <w:rPr>
                <w:sz w:val="20"/>
                <w:szCs w:val="20"/>
                <w:color w:val="auto"/>
              </w:rPr>
            </w:pPr>
            <w:r>
              <w:rPr>
                <w:rFonts w:ascii="Arial" w:cs="Arial" w:eastAsia="Arial" w:hAnsi="Arial"/>
                <w:sz w:val="16"/>
                <w:szCs w:val="16"/>
                <w:color w:val="auto"/>
              </w:rPr>
              <w:t>(0.2)</w:t>
            </w: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45"/>
        </w:trPr>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(69.8)</w:t>
            </w:r>
          </w:p>
        </w:tc>
        <w:tc>
          <w:tcPr>
            <w:tcW w:w="100" w:type="dxa"/>
            <w:vAlign w:val="bottom"/>
          </w:tcPr>
          <w:p>
            <w:pPr>
              <w:spacing w:after="0"/>
              <w:rPr>
                <w:sz w:val="21"/>
                <w:szCs w:val="21"/>
                <w:color w:val="auto"/>
              </w:rPr>
            </w:pPr>
          </w:p>
        </w:tc>
        <w:tc>
          <w:tcPr>
            <w:tcW w:w="1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39.1</w:t>
            </w:r>
          </w:p>
        </w:tc>
        <w:tc>
          <w:tcPr>
            <w:tcW w:w="220" w:type="dxa"/>
            <w:vAlign w:val="bottom"/>
          </w:tcPr>
          <w:p>
            <w:pPr>
              <w:spacing w:after="0"/>
              <w:rPr>
                <w:sz w:val="21"/>
                <w:szCs w:val="21"/>
                <w:color w:val="auto"/>
              </w:rPr>
            </w:pPr>
          </w:p>
        </w:tc>
        <w:tc>
          <w:tcPr>
            <w:tcW w:w="1600" w:type="dxa"/>
            <w:vAlign w:val="bottom"/>
            <w:tcBorders>
              <w:bottom w:val="single" w:sz="8" w:color="auto"/>
            </w:tcBorders>
          </w:tcPr>
          <w:p>
            <w:pPr>
              <w:spacing w:after="0"/>
              <w:rPr>
                <w:sz w:val="21"/>
                <w:szCs w:val="21"/>
                <w:color w:val="auto"/>
              </w:rPr>
            </w:pPr>
          </w:p>
        </w:tc>
      </w:tr>
      <w:tr>
        <w:trPr>
          <w:trHeight w:val="220"/>
        </w:trPr>
        <w:tc>
          <w:tcPr>
            <w:tcW w:w="1820" w:type="dxa"/>
            <w:vAlign w:val="bottom"/>
          </w:tcPr>
          <w:p>
            <w:pPr>
              <w:jc w:val="right"/>
              <w:spacing w:after="0"/>
              <w:rPr>
                <w:sz w:val="20"/>
                <w:szCs w:val="20"/>
                <w:color w:val="auto"/>
              </w:rPr>
            </w:pPr>
            <w:r>
              <w:rPr>
                <w:rFonts w:ascii="Arial" w:cs="Arial" w:eastAsia="Arial" w:hAnsi="Arial"/>
                <w:sz w:val="16"/>
                <w:szCs w:val="16"/>
                <w:color w:val="auto"/>
              </w:rPr>
              <w:t>(209.5)</w:t>
            </w:r>
          </w:p>
        </w:tc>
        <w:tc>
          <w:tcPr>
            <w:tcW w:w="1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(31.5)</w:t>
            </w:r>
          </w:p>
        </w:tc>
        <w:tc>
          <w:tcPr>
            <w:tcW w:w="1820" w:type="dxa"/>
            <w:vAlign w:val="bottom"/>
            <w:gridSpan w:val="2"/>
          </w:tcPr>
          <w:p>
            <w:pPr>
              <w:jc w:val="right"/>
              <w:spacing w:after="0"/>
              <w:rPr>
                <w:sz w:val="20"/>
                <w:szCs w:val="20"/>
                <w:color w:val="auto"/>
              </w:rPr>
            </w:pPr>
            <w:r>
              <w:rPr>
                <w:rFonts w:ascii="Arial" w:cs="Arial" w:eastAsia="Arial" w:hAnsi="Arial"/>
                <w:sz w:val="16"/>
                <w:szCs w:val="16"/>
                <w:color w:val="auto"/>
              </w:rPr>
              <w:t>(565.1%)</w:t>
            </w:r>
          </w:p>
        </w:tc>
      </w:tr>
      <w:tr>
        <w:trPr>
          <w:trHeight w:val="465"/>
        </w:trPr>
        <w:tc>
          <w:tcPr>
            <w:tcW w:w="1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4"/>
                <w:szCs w:val="24"/>
                <w:color w:val="auto"/>
              </w:rPr>
            </w:pP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220" w:type="dxa"/>
            <w:vAlign w:val="bottom"/>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r>
      <w:tr>
        <w:trPr>
          <w:trHeight w:val="245"/>
        </w:trPr>
        <w:tc>
          <w:tcPr>
            <w:tcW w:w="1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20" w:type="dxa"/>
            <w:vAlign w:val="bottom"/>
          </w:tcPr>
          <w:p>
            <w:pPr>
              <w:jc w:val="right"/>
              <w:spacing w:after="0"/>
              <w:rPr>
                <w:sz w:val="20"/>
                <w:szCs w:val="20"/>
                <w:color w:val="auto"/>
              </w:rPr>
            </w:pPr>
            <w:r>
              <w:rPr>
                <w:rFonts w:ascii="Arial" w:cs="Arial" w:eastAsia="Arial" w:hAnsi="Arial"/>
                <w:sz w:val="16"/>
                <w:szCs w:val="16"/>
                <w:color w:val="auto"/>
              </w:rPr>
              <w:t>(78.3)</w:t>
            </w: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20"/>
        </w:trPr>
        <w:tc>
          <w:tcPr>
            <w:tcW w:w="1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9"/>
                <w:szCs w:val="19"/>
                <w:color w:val="auto"/>
              </w:rPr>
            </w:pPr>
          </w:p>
        </w:tc>
        <w:tc>
          <w:tcPr>
            <w:tcW w:w="1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(80.2)</w:t>
            </w:r>
          </w:p>
        </w:tc>
        <w:tc>
          <w:tcPr>
            <w:tcW w:w="220" w:type="dxa"/>
            <w:vAlign w:val="bottom"/>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r>
      <w:tr>
        <w:trPr>
          <w:trHeight w:val="277"/>
        </w:trPr>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($210.6)</w:t>
            </w:r>
          </w:p>
        </w:tc>
        <w:tc>
          <w:tcPr>
            <w:tcW w:w="100" w:type="dxa"/>
            <w:vAlign w:val="bottom"/>
          </w:tcPr>
          <w:p>
            <w:pPr>
              <w:spacing w:after="0"/>
              <w:rPr>
                <w:sz w:val="24"/>
                <w:szCs w:val="24"/>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($111.7)</w:t>
            </w:r>
          </w:p>
        </w:tc>
        <w:tc>
          <w:tcPr>
            <w:tcW w:w="1820" w:type="dxa"/>
            <w:vAlign w:val="bottom"/>
            <w:gridSpan w:val="2"/>
          </w:tcPr>
          <w:p>
            <w:pPr>
              <w:jc w:val="right"/>
              <w:spacing w:after="0"/>
              <w:rPr>
                <w:sz w:val="20"/>
                <w:szCs w:val="20"/>
                <w:color w:val="auto"/>
              </w:rPr>
            </w:pPr>
            <w:r>
              <w:rPr>
                <w:rFonts w:ascii="Arial" w:cs="Arial" w:eastAsia="Arial" w:hAnsi="Arial"/>
                <w:sz w:val="16"/>
                <w:szCs w:val="16"/>
                <w:color w:val="auto"/>
              </w:rPr>
              <w:t>(88.5%)</w:t>
            </w:r>
          </w:p>
        </w:tc>
      </w:tr>
      <w:tr>
        <w:trPr>
          <w:trHeight w:val="683"/>
        </w:trPr>
        <w:tc>
          <w:tcPr>
            <w:tcW w:w="1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($4.32)</w:t>
            </w:r>
          </w:p>
        </w:tc>
        <w:tc>
          <w:tcPr>
            <w:tcW w:w="100" w:type="dxa"/>
            <w:vAlign w:val="bottom"/>
          </w:tcPr>
          <w:p>
            <w:pPr>
              <w:spacing w:after="0"/>
              <w:rPr>
                <w:sz w:val="24"/>
                <w:szCs w:val="24"/>
                <w:color w:val="auto"/>
              </w:rPr>
            </w:pP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($0.65)</w:t>
            </w:r>
          </w:p>
        </w:tc>
        <w:tc>
          <w:tcPr>
            <w:tcW w:w="220" w:type="dxa"/>
            <w:vAlign w:val="bottom"/>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r>
      <w:tr>
        <w:trPr>
          <w:trHeight w:val="245"/>
        </w:trPr>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($0.02)</w:t>
            </w:r>
          </w:p>
        </w:tc>
        <w:tc>
          <w:tcPr>
            <w:tcW w:w="100" w:type="dxa"/>
            <w:vAlign w:val="bottom"/>
          </w:tcPr>
          <w:p>
            <w:pPr>
              <w:spacing w:after="0"/>
              <w:rPr>
                <w:sz w:val="21"/>
                <w:szCs w:val="21"/>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w:t>
            </w: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31"/>
        </w:trPr>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($4.34)</w:t>
            </w:r>
          </w:p>
        </w:tc>
        <w:tc>
          <w:tcPr>
            <w:tcW w:w="100" w:type="dxa"/>
            <w:vAlign w:val="bottom"/>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w:t>
            </w:r>
          </w:p>
        </w:tc>
        <w:tc>
          <w:tcPr>
            <w:tcW w:w="22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0"/>
        </w:trPr>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689"/>
        </w:trPr>
        <w:tc>
          <w:tcPr>
            <w:tcW w:w="1820" w:type="dxa"/>
            <w:vAlign w:val="bottom"/>
          </w:tcPr>
          <w:p>
            <w:pPr>
              <w:jc w:val="right"/>
              <w:ind w:right="40"/>
              <w:spacing w:after="0"/>
              <w:rPr>
                <w:sz w:val="20"/>
                <w:szCs w:val="20"/>
                <w:color w:val="auto"/>
              </w:rPr>
            </w:pPr>
            <w:r>
              <w:rPr>
                <w:rFonts w:ascii="Arial" w:cs="Arial" w:eastAsia="Arial" w:hAnsi="Arial"/>
                <w:sz w:val="16"/>
                <w:szCs w:val="16"/>
                <w:color w:val="auto"/>
              </w:rPr>
              <w:t>48.5</w:t>
            </w:r>
          </w:p>
        </w:tc>
        <w:tc>
          <w:tcPr>
            <w:tcW w:w="100" w:type="dxa"/>
            <w:vAlign w:val="bottom"/>
          </w:tcPr>
          <w:p>
            <w:pPr>
              <w:spacing w:after="0"/>
              <w:rPr>
                <w:sz w:val="24"/>
                <w:szCs w:val="24"/>
                <w:color w:val="auto"/>
              </w:rPr>
            </w:pPr>
          </w:p>
        </w:tc>
        <w:tc>
          <w:tcPr>
            <w:tcW w:w="1820" w:type="dxa"/>
            <w:vAlign w:val="bottom"/>
          </w:tcPr>
          <w:p>
            <w:pPr>
              <w:jc w:val="right"/>
              <w:ind w:right="40"/>
              <w:spacing w:after="0"/>
              <w:rPr>
                <w:sz w:val="20"/>
                <w:szCs w:val="20"/>
                <w:color w:val="auto"/>
              </w:rPr>
            </w:pPr>
            <w:r>
              <w:rPr>
                <w:rFonts w:ascii="Arial" w:cs="Arial" w:eastAsia="Arial" w:hAnsi="Arial"/>
                <w:sz w:val="16"/>
                <w:szCs w:val="16"/>
                <w:color w:val="auto"/>
              </w:rPr>
              <w:t>48.2</w:t>
            </w: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40"/>
        </w:trPr>
        <w:tc>
          <w:tcPr>
            <w:tcW w:w="1820" w:type="dxa"/>
            <w:vAlign w:val="bottom"/>
          </w:tcPr>
          <w:p>
            <w:pPr>
              <w:jc w:val="right"/>
              <w:ind w:right="40"/>
              <w:spacing w:after="0"/>
              <w:rPr>
                <w:sz w:val="20"/>
                <w:szCs w:val="20"/>
                <w:color w:val="auto"/>
              </w:rPr>
            </w:pPr>
            <w:r>
              <w:rPr>
                <w:rFonts w:ascii="Arial" w:cs="Arial" w:eastAsia="Arial" w:hAnsi="Arial"/>
                <w:sz w:val="16"/>
                <w:szCs w:val="16"/>
                <w:color w:val="auto"/>
              </w:rPr>
              <w:t>48.5</w:t>
            </w:r>
          </w:p>
        </w:tc>
        <w:tc>
          <w:tcPr>
            <w:tcW w:w="100" w:type="dxa"/>
            <w:vAlign w:val="bottom"/>
          </w:tcPr>
          <w:p>
            <w:pPr>
              <w:spacing w:after="0"/>
              <w:rPr>
                <w:sz w:val="20"/>
                <w:szCs w:val="20"/>
                <w:color w:val="auto"/>
              </w:rPr>
            </w:pPr>
          </w:p>
        </w:tc>
        <w:tc>
          <w:tcPr>
            <w:tcW w:w="1820" w:type="dxa"/>
            <w:vAlign w:val="bottom"/>
          </w:tcPr>
          <w:p>
            <w:pPr>
              <w:jc w:val="right"/>
              <w:ind w:right="40"/>
              <w:spacing w:after="0"/>
              <w:rPr>
                <w:sz w:val="20"/>
                <w:szCs w:val="20"/>
                <w:color w:val="auto"/>
              </w:rPr>
            </w:pPr>
            <w:r>
              <w:rPr>
                <w:rFonts w:ascii="Arial" w:cs="Arial" w:eastAsia="Arial" w:hAnsi="Arial"/>
                <w:sz w:val="16"/>
                <w:szCs w:val="16"/>
                <w:color w:val="auto"/>
              </w:rPr>
              <w:t>48.2</w:t>
            </w:r>
          </w:p>
        </w:tc>
        <w:tc>
          <w:tcPr>
            <w:tcW w:w="220" w:type="dxa"/>
            <w:vAlign w:val="bottom"/>
          </w:tcPr>
          <w:p>
            <w:pPr>
              <w:spacing w:after="0"/>
              <w:rPr>
                <w:sz w:val="20"/>
                <w:szCs w:val="20"/>
                <w:color w:val="auto"/>
              </w:rPr>
            </w:pPr>
          </w:p>
        </w:tc>
        <w:tc>
          <w:tcPr>
            <w:tcW w:w="1600" w:type="dxa"/>
            <w:vAlign w:val="bottom"/>
          </w:tcPr>
          <w:p>
            <w:pPr>
              <w:spacing w:after="0"/>
              <w:rPr>
                <w:sz w:val="20"/>
                <w:szCs w:val="20"/>
                <w:color w:val="auto"/>
              </w:rPr>
            </w:pPr>
          </w:p>
        </w:tc>
      </w:tr>
    </w:tbl>
    <w:p>
      <w:pPr>
        <w:sectPr>
          <w:pgSz w:w="11900" w:h="16838" w:orient="portrait"/>
          <w:cols w:equalWidth="0" w:num="2">
            <w:col w:w="5800" w:space="60"/>
            <w:col w:w="5560"/>
          </w:cols>
          <w:pgMar w:left="260" w:top="718" w:right="21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840" w:type="dxa"/>
            <w:vAlign w:val="bottom"/>
            <w:gridSpan w:val="2"/>
          </w:tcPr>
          <w:p>
            <w:pPr>
              <w:spacing w:after="0"/>
              <w:rPr>
                <w:sz w:val="20"/>
                <w:szCs w:val="20"/>
                <w:color w:val="auto"/>
              </w:rPr>
            </w:pPr>
            <w:r>
              <w:rPr>
                <w:rFonts w:ascii="Arial" w:cs="Arial" w:eastAsia="Arial" w:hAnsi="Arial"/>
                <w:sz w:val="16"/>
                <w:szCs w:val="16"/>
                <w:b w:val="1"/>
                <w:bCs w:val="1"/>
                <w:color w:val="auto"/>
              </w:rPr>
              <w:t>Adjusted Financial Measures (U.S. dollars in millions, except per share amounts)</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509"/>
        </w:trPr>
        <w:tc>
          <w:tcPr>
            <w:tcW w:w="5700" w:type="dxa"/>
            <w:vAlign w:val="bottom"/>
          </w:tcPr>
          <w:p>
            <w:pPr>
              <w:spacing w:after="0"/>
              <w:rPr>
                <w:sz w:val="24"/>
                <w:szCs w:val="24"/>
                <w:color w:val="auto"/>
              </w:rPr>
            </w:pPr>
          </w:p>
        </w:tc>
        <w:tc>
          <w:tcPr>
            <w:tcW w:w="3720" w:type="dxa"/>
            <w:vAlign w:val="bottom"/>
            <w:tcBorders>
              <w:bottom w:val="single" w:sz="8" w:color="auto"/>
            </w:tcBorders>
            <w:gridSpan w:val="4"/>
          </w:tcPr>
          <w:p>
            <w:pPr>
              <w:jc w:val="right"/>
              <w:ind w:right="440"/>
              <w:spacing w:after="0"/>
              <w:rPr>
                <w:sz w:val="20"/>
                <w:szCs w:val="20"/>
                <w:color w:val="auto"/>
              </w:rPr>
            </w:pPr>
            <w:r>
              <w:rPr>
                <w:rFonts w:ascii="Arial" w:cs="Arial" w:eastAsia="Arial" w:hAnsi="Arial"/>
                <w:sz w:val="16"/>
                <w:szCs w:val="16"/>
                <w:b w:val="1"/>
                <w:bCs w:val="1"/>
                <w:color w:val="auto"/>
              </w:rPr>
              <w:t>Three Months Ended December 31,</w:t>
            </w:r>
          </w:p>
        </w:tc>
        <w:tc>
          <w:tcPr>
            <w:tcW w:w="12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237"/>
        </w:trPr>
        <w:tc>
          <w:tcPr>
            <w:tcW w:w="570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6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Borders>
              <w:bottom w:val="single" w:sz="8" w:color="auto"/>
            </w:tcBorders>
          </w:tcPr>
          <w:p>
            <w:pPr>
              <w:jc w:val="right"/>
              <w:ind w:right="640"/>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1880" w:type="dxa"/>
            <w:vAlign w:val="bottom"/>
            <w:tcBorders>
              <w:bottom w:val="single" w:sz="8" w:color="auto"/>
            </w:tcBorders>
          </w:tcPr>
          <w:p>
            <w:pPr>
              <w:jc w:val="right"/>
              <w:ind w:right="400"/>
              <w:spacing w:after="0"/>
              <w:rPr>
                <w:sz w:val="20"/>
                <w:szCs w:val="20"/>
                <w:color w:val="auto"/>
              </w:rPr>
            </w:pPr>
            <w:r>
              <w:rPr>
                <w:rFonts w:ascii="Arial" w:cs="Arial" w:eastAsia="Arial" w:hAnsi="Arial"/>
                <w:sz w:val="16"/>
                <w:szCs w:val="16"/>
                <w:b w:val="1"/>
                <w:bCs w:val="1"/>
                <w:color w:val="auto"/>
              </w:rPr>
              <w:t xml:space="preserve">% Change </w:t>
            </w:r>
            <w:r>
              <w:rPr>
                <w:rFonts w:ascii="Arial" w:cs="Arial" w:eastAsia="Arial" w:hAnsi="Arial"/>
                <w:sz w:val="19"/>
                <w:szCs w:val="19"/>
                <w:b w:val="1"/>
                <w:bCs w:val="1"/>
                <w:color w:val="auto"/>
                <w:vertAlign w:val="superscript"/>
              </w:rPr>
              <w:t>(1)</w:t>
            </w:r>
          </w:p>
        </w:tc>
      </w:tr>
      <w:tr>
        <w:trPr>
          <w:trHeight w:val="265"/>
        </w:trPr>
        <w:tc>
          <w:tcPr>
            <w:tcW w:w="6840" w:type="dxa"/>
            <w:vAlign w:val="bottom"/>
            <w:gridSpan w:val="2"/>
          </w:tcPr>
          <w:p>
            <w:pPr>
              <w:spacing w:after="0"/>
              <w:rPr>
                <w:sz w:val="20"/>
                <w:szCs w:val="20"/>
                <w:color w:val="auto"/>
              </w:rPr>
            </w:pPr>
            <w:r>
              <w:rPr>
                <w:rFonts w:ascii="Arial" w:cs="Arial" w:eastAsia="Arial" w:hAnsi="Arial"/>
                <w:sz w:val="16"/>
                <w:szCs w:val="16"/>
                <w:color w:val="auto"/>
              </w:rPr>
              <w:t xml:space="preserve">Adjusted gross profit </w:t>
            </w:r>
            <w:r>
              <w:rPr>
                <w:rFonts w:ascii="Arial" w:cs="Arial" w:eastAsia="Arial" w:hAnsi="Arial"/>
                <w:sz w:val="19"/>
                <w:szCs w:val="19"/>
                <w:color w:val="auto"/>
                <w:vertAlign w:val="superscript"/>
              </w:rPr>
              <w:t>(1)</w:t>
            </w: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$204.8</w:t>
            </w:r>
          </w:p>
        </w:tc>
        <w:tc>
          <w:tcPr>
            <w:tcW w:w="120" w:type="dxa"/>
            <w:vAlign w:val="bottom"/>
          </w:tcPr>
          <w:p>
            <w:pPr>
              <w:spacing w:after="0"/>
              <w:rPr>
                <w:sz w:val="23"/>
                <w:szCs w:val="23"/>
                <w:color w:val="auto"/>
              </w:rPr>
            </w:pPr>
          </w:p>
        </w:tc>
        <w:tc>
          <w:tcPr>
            <w:tcW w:w="1800" w:type="dxa"/>
            <w:vAlign w:val="bottom"/>
          </w:tcPr>
          <w:p>
            <w:pPr>
              <w:jc w:val="right"/>
              <w:ind w:right="20"/>
              <w:spacing w:after="0"/>
              <w:rPr>
                <w:sz w:val="20"/>
                <w:szCs w:val="20"/>
                <w:color w:val="auto"/>
              </w:rPr>
            </w:pPr>
            <w:r>
              <w:rPr>
                <w:rFonts w:ascii="Arial" w:cs="Arial" w:eastAsia="Arial" w:hAnsi="Arial"/>
                <w:sz w:val="16"/>
                <w:szCs w:val="16"/>
                <w:color w:val="auto"/>
              </w:rPr>
              <w:t>$179.0</w:t>
            </w:r>
          </w:p>
        </w:tc>
        <w:tc>
          <w:tcPr>
            <w:tcW w:w="120" w:type="dxa"/>
            <w:vAlign w:val="bottom"/>
          </w:tcPr>
          <w:p>
            <w:pPr>
              <w:spacing w:after="0"/>
              <w:rPr>
                <w:sz w:val="23"/>
                <w:szCs w:val="23"/>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14.4%</w:t>
            </w:r>
          </w:p>
        </w:tc>
      </w:tr>
      <w:tr>
        <w:trPr>
          <w:trHeight w:val="240"/>
        </w:trPr>
        <w:tc>
          <w:tcPr>
            <w:tcW w:w="6840" w:type="dxa"/>
            <w:vAlign w:val="bottom"/>
            <w:gridSpan w:val="2"/>
          </w:tcPr>
          <w:p>
            <w:pPr>
              <w:spacing w:after="0"/>
              <w:rPr>
                <w:sz w:val="20"/>
                <w:szCs w:val="20"/>
                <w:color w:val="auto"/>
              </w:rPr>
            </w:pPr>
            <w:r>
              <w:rPr>
                <w:rFonts w:ascii="Arial" w:cs="Arial" w:eastAsia="Arial" w:hAnsi="Arial"/>
                <w:sz w:val="16"/>
                <w:szCs w:val="16"/>
                <w:color w:val="auto"/>
              </w:rPr>
              <w:t xml:space="preserve">Adjusted SG&amp;A </w:t>
            </w:r>
            <w:r>
              <w:rPr>
                <w:rFonts w:ascii="Arial" w:cs="Arial" w:eastAsia="Arial" w:hAnsi="Arial"/>
                <w:sz w:val="19"/>
                <w:szCs w:val="19"/>
                <w:color w:val="auto"/>
                <w:vertAlign w:val="superscript"/>
              </w:rPr>
              <w:t>(1)</w:t>
            </w: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100.6</w:t>
            </w:r>
          </w:p>
        </w:tc>
        <w:tc>
          <w:tcPr>
            <w:tcW w:w="120" w:type="dxa"/>
            <w:vAlign w:val="bottom"/>
          </w:tcPr>
          <w:p>
            <w:pPr>
              <w:spacing w:after="0"/>
              <w:rPr>
                <w:sz w:val="20"/>
                <w:szCs w:val="20"/>
                <w:color w:val="auto"/>
              </w:rPr>
            </w:pPr>
          </w:p>
        </w:tc>
        <w:tc>
          <w:tcPr>
            <w:tcW w:w="1800" w:type="dxa"/>
            <w:vAlign w:val="bottom"/>
          </w:tcPr>
          <w:p>
            <w:pPr>
              <w:jc w:val="right"/>
              <w:ind w:right="20"/>
              <w:spacing w:after="0"/>
              <w:rPr>
                <w:sz w:val="20"/>
                <w:szCs w:val="20"/>
                <w:color w:val="auto"/>
              </w:rPr>
            </w:pPr>
            <w:r>
              <w:rPr>
                <w:rFonts w:ascii="Arial" w:cs="Arial" w:eastAsia="Arial" w:hAnsi="Arial"/>
                <w:sz w:val="16"/>
                <w:szCs w:val="16"/>
                <w:color w:val="auto"/>
              </w:rPr>
              <w:t>92.2</w:t>
            </w:r>
          </w:p>
        </w:tc>
        <w:tc>
          <w:tcPr>
            <w:tcW w:w="12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9.1%</w:t>
            </w:r>
          </w:p>
        </w:tc>
      </w:tr>
      <w:tr>
        <w:trPr>
          <w:trHeight w:val="240"/>
        </w:trPr>
        <w:tc>
          <w:tcPr>
            <w:tcW w:w="6840" w:type="dxa"/>
            <w:vAlign w:val="bottom"/>
            <w:gridSpan w:val="2"/>
          </w:tcPr>
          <w:p>
            <w:pPr>
              <w:spacing w:after="0"/>
              <w:rPr>
                <w:sz w:val="20"/>
                <w:szCs w:val="20"/>
                <w:color w:val="auto"/>
              </w:rPr>
            </w:pPr>
            <w:r>
              <w:rPr>
                <w:rFonts w:ascii="Arial" w:cs="Arial" w:eastAsia="Arial" w:hAnsi="Arial"/>
                <w:sz w:val="16"/>
                <w:szCs w:val="16"/>
                <w:color w:val="auto"/>
              </w:rPr>
              <w:t xml:space="preserve">Adjusted R&amp;D </w:t>
            </w:r>
            <w:r>
              <w:rPr>
                <w:rFonts w:ascii="Arial" w:cs="Arial" w:eastAsia="Arial" w:hAnsi="Arial"/>
                <w:sz w:val="19"/>
                <w:szCs w:val="19"/>
                <w:color w:val="auto"/>
                <w:vertAlign w:val="superscript"/>
              </w:rPr>
              <w:t>(1)</w:t>
            </w: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36.4</w:t>
            </w:r>
          </w:p>
        </w:tc>
        <w:tc>
          <w:tcPr>
            <w:tcW w:w="120" w:type="dxa"/>
            <w:vAlign w:val="bottom"/>
          </w:tcPr>
          <w:p>
            <w:pPr>
              <w:spacing w:after="0"/>
              <w:rPr>
                <w:sz w:val="20"/>
                <w:szCs w:val="20"/>
                <w:color w:val="auto"/>
              </w:rPr>
            </w:pPr>
          </w:p>
        </w:tc>
        <w:tc>
          <w:tcPr>
            <w:tcW w:w="1800" w:type="dxa"/>
            <w:vAlign w:val="bottom"/>
          </w:tcPr>
          <w:p>
            <w:pPr>
              <w:jc w:val="right"/>
              <w:ind w:right="20"/>
              <w:spacing w:after="0"/>
              <w:rPr>
                <w:sz w:val="20"/>
                <w:szCs w:val="20"/>
                <w:color w:val="auto"/>
              </w:rPr>
            </w:pPr>
            <w:r>
              <w:rPr>
                <w:rFonts w:ascii="Arial" w:cs="Arial" w:eastAsia="Arial" w:hAnsi="Arial"/>
                <w:sz w:val="16"/>
                <w:szCs w:val="16"/>
                <w:color w:val="auto"/>
              </w:rPr>
              <w:t>31.0</w:t>
            </w:r>
          </w:p>
        </w:tc>
        <w:tc>
          <w:tcPr>
            <w:tcW w:w="12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17.4%</w:t>
            </w:r>
          </w:p>
        </w:tc>
      </w:tr>
      <w:tr>
        <w:trPr>
          <w:trHeight w:val="240"/>
        </w:trPr>
        <w:tc>
          <w:tcPr>
            <w:tcW w:w="6840" w:type="dxa"/>
            <w:vAlign w:val="bottom"/>
            <w:gridSpan w:val="2"/>
          </w:tcPr>
          <w:p>
            <w:pPr>
              <w:spacing w:after="0"/>
              <w:rPr>
                <w:sz w:val="20"/>
                <w:szCs w:val="20"/>
                <w:color w:val="auto"/>
              </w:rPr>
            </w:pPr>
            <w:r>
              <w:rPr>
                <w:rFonts w:ascii="Arial" w:cs="Arial" w:eastAsia="Arial" w:hAnsi="Arial"/>
                <w:sz w:val="16"/>
                <w:szCs w:val="16"/>
                <w:color w:val="auto"/>
              </w:rPr>
              <w:t xml:space="preserve">Adjusted operating income from continuing operations </w:t>
            </w:r>
            <w:r>
              <w:rPr>
                <w:rFonts w:ascii="Arial" w:cs="Arial" w:eastAsia="Arial" w:hAnsi="Arial"/>
                <w:sz w:val="19"/>
                <w:szCs w:val="19"/>
                <w:color w:val="auto"/>
                <w:vertAlign w:val="superscript"/>
              </w:rPr>
              <w:t>(1)</w:t>
            </w: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67.8</w:t>
            </w:r>
          </w:p>
        </w:tc>
        <w:tc>
          <w:tcPr>
            <w:tcW w:w="120" w:type="dxa"/>
            <w:vAlign w:val="bottom"/>
          </w:tcPr>
          <w:p>
            <w:pPr>
              <w:spacing w:after="0"/>
              <w:rPr>
                <w:sz w:val="20"/>
                <w:szCs w:val="20"/>
                <w:color w:val="auto"/>
              </w:rPr>
            </w:pPr>
          </w:p>
        </w:tc>
        <w:tc>
          <w:tcPr>
            <w:tcW w:w="1800" w:type="dxa"/>
            <w:vAlign w:val="bottom"/>
          </w:tcPr>
          <w:p>
            <w:pPr>
              <w:jc w:val="right"/>
              <w:ind w:right="20"/>
              <w:spacing w:after="0"/>
              <w:rPr>
                <w:sz w:val="20"/>
                <w:szCs w:val="20"/>
                <w:color w:val="auto"/>
              </w:rPr>
            </w:pPr>
            <w:r>
              <w:rPr>
                <w:rFonts w:ascii="Arial" w:cs="Arial" w:eastAsia="Arial" w:hAnsi="Arial"/>
                <w:sz w:val="16"/>
                <w:szCs w:val="16"/>
                <w:color w:val="auto"/>
              </w:rPr>
              <w:t>55.8</w:t>
            </w:r>
          </w:p>
        </w:tc>
        <w:tc>
          <w:tcPr>
            <w:tcW w:w="12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21.5%</w:t>
            </w:r>
          </w:p>
        </w:tc>
      </w:tr>
      <w:tr>
        <w:trPr>
          <w:trHeight w:val="240"/>
        </w:trPr>
        <w:tc>
          <w:tcPr>
            <w:tcW w:w="6840" w:type="dxa"/>
            <w:vAlign w:val="bottom"/>
            <w:gridSpan w:val="2"/>
          </w:tcPr>
          <w:p>
            <w:pPr>
              <w:spacing w:after="0"/>
              <w:rPr>
                <w:sz w:val="20"/>
                <w:szCs w:val="20"/>
                <w:color w:val="auto"/>
              </w:rPr>
            </w:pPr>
            <w:r>
              <w:rPr>
                <w:rFonts w:ascii="Arial" w:cs="Arial" w:eastAsia="Arial" w:hAnsi="Arial"/>
                <w:sz w:val="16"/>
                <w:szCs w:val="16"/>
                <w:color w:val="auto"/>
              </w:rPr>
              <w:t xml:space="preserve">Adjusted net income from continuing operations </w:t>
            </w:r>
            <w:r>
              <w:rPr>
                <w:rFonts w:ascii="Arial" w:cs="Arial" w:eastAsia="Arial" w:hAnsi="Arial"/>
                <w:sz w:val="19"/>
                <w:szCs w:val="19"/>
                <w:color w:val="auto"/>
                <w:vertAlign w:val="superscript"/>
              </w:rPr>
              <w:t>(1)</w:t>
            </w: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55.2</w:t>
            </w:r>
          </w:p>
        </w:tc>
        <w:tc>
          <w:tcPr>
            <w:tcW w:w="120" w:type="dxa"/>
            <w:vAlign w:val="bottom"/>
          </w:tcPr>
          <w:p>
            <w:pPr>
              <w:spacing w:after="0"/>
              <w:rPr>
                <w:sz w:val="20"/>
                <w:szCs w:val="20"/>
                <w:color w:val="auto"/>
              </w:rPr>
            </w:pPr>
          </w:p>
        </w:tc>
        <w:tc>
          <w:tcPr>
            <w:tcW w:w="1800" w:type="dxa"/>
            <w:vAlign w:val="bottom"/>
          </w:tcPr>
          <w:p>
            <w:pPr>
              <w:jc w:val="right"/>
              <w:ind w:right="20"/>
              <w:spacing w:after="0"/>
              <w:rPr>
                <w:sz w:val="20"/>
                <w:szCs w:val="20"/>
                <w:color w:val="auto"/>
              </w:rPr>
            </w:pPr>
            <w:r>
              <w:rPr>
                <w:rFonts w:ascii="Arial" w:cs="Arial" w:eastAsia="Arial" w:hAnsi="Arial"/>
                <w:sz w:val="16"/>
                <w:szCs w:val="16"/>
                <w:color w:val="auto"/>
              </w:rPr>
              <w:t>43.1</w:t>
            </w:r>
          </w:p>
        </w:tc>
        <w:tc>
          <w:tcPr>
            <w:tcW w:w="12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28.1%</w:t>
            </w:r>
          </w:p>
        </w:tc>
      </w:tr>
      <w:tr>
        <w:trPr>
          <w:trHeight w:val="245"/>
        </w:trPr>
        <w:tc>
          <w:tcPr>
            <w:tcW w:w="6840" w:type="dxa"/>
            <w:vAlign w:val="bottom"/>
            <w:gridSpan w:val="2"/>
          </w:tcPr>
          <w:p>
            <w:pPr>
              <w:spacing w:after="0"/>
              <w:rPr>
                <w:sz w:val="20"/>
                <w:szCs w:val="20"/>
                <w:color w:val="auto"/>
              </w:rPr>
            </w:pPr>
            <w:r>
              <w:rPr>
                <w:rFonts w:ascii="Arial" w:cs="Arial" w:eastAsia="Arial" w:hAnsi="Arial"/>
                <w:sz w:val="16"/>
                <w:szCs w:val="16"/>
                <w:color w:val="auto"/>
              </w:rPr>
              <w:t xml:space="preserve">Adjusted diluted earnings per share from continuing operations </w:t>
            </w:r>
            <w:r>
              <w:rPr>
                <w:rFonts w:ascii="Arial" w:cs="Arial" w:eastAsia="Arial" w:hAnsi="Arial"/>
                <w:sz w:val="19"/>
                <w:szCs w:val="19"/>
                <w:color w:val="auto"/>
                <w:vertAlign w:val="superscript"/>
              </w:rPr>
              <w:t>(1)</w:t>
            </w: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$1.12</w:t>
            </w:r>
          </w:p>
        </w:tc>
        <w:tc>
          <w:tcPr>
            <w:tcW w:w="120" w:type="dxa"/>
            <w:vAlign w:val="bottom"/>
          </w:tcPr>
          <w:p>
            <w:pPr>
              <w:spacing w:after="0"/>
              <w:rPr>
                <w:sz w:val="21"/>
                <w:szCs w:val="21"/>
                <w:color w:val="auto"/>
              </w:rPr>
            </w:pPr>
          </w:p>
        </w:tc>
        <w:tc>
          <w:tcPr>
            <w:tcW w:w="1800" w:type="dxa"/>
            <w:vAlign w:val="bottom"/>
          </w:tcPr>
          <w:p>
            <w:pPr>
              <w:jc w:val="right"/>
              <w:ind w:right="20"/>
              <w:spacing w:after="0"/>
              <w:rPr>
                <w:sz w:val="20"/>
                <w:szCs w:val="20"/>
                <w:color w:val="auto"/>
              </w:rPr>
            </w:pPr>
            <w:r>
              <w:rPr>
                <w:rFonts w:ascii="Arial" w:cs="Arial" w:eastAsia="Arial" w:hAnsi="Arial"/>
                <w:sz w:val="16"/>
                <w:szCs w:val="16"/>
                <w:color w:val="auto"/>
              </w:rPr>
              <w:t>$0.88</w:t>
            </w:r>
          </w:p>
        </w:tc>
        <w:tc>
          <w:tcPr>
            <w:tcW w:w="12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27.3%</w:t>
            </w:r>
          </w:p>
        </w:tc>
      </w:tr>
    </w:tbl>
    <w:p>
      <w:pPr>
        <w:spacing w:after="0" w:line="277" w:lineRule="exact"/>
        <w:rPr>
          <w:sz w:val="20"/>
          <w:szCs w:val="20"/>
          <w:color w:val="auto"/>
        </w:rPr>
      </w:pPr>
    </w:p>
    <w:p>
      <w:pPr>
        <w:ind w:left="340" w:right="40" w:hanging="269"/>
        <w:spacing w:after="0" w:line="238" w:lineRule="auto"/>
        <w:tabs>
          <w:tab w:leader="none" w:pos="340" w:val="left"/>
        </w:tabs>
        <w:numPr>
          <w:ilvl w:val="0"/>
          <w:numId w:val="7"/>
        </w:numPr>
        <w:rPr>
          <w:rFonts w:ascii="Arial" w:cs="Arial" w:eastAsia="Arial" w:hAnsi="Arial"/>
          <w:sz w:val="13"/>
          <w:szCs w:val="13"/>
          <w:color w:val="auto"/>
        </w:rPr>
      </w:pPr>
      <w:r>
        <w:rPr>
          <w:rFonts w:ascii="Arial" w:cs="Arial" w:eastAsia="Arial" w:hAnsi="Arial"/>
          <w:sz w:val="13"/>
          <w:szCs w:val="13"/>
          <w:color w:val="auto"/>
        </w:rPr>
        <w:t>Adjusted financial measures are Non-GAAP measures and exclude specified items as described and reconciled in the "Reconciliation of GAAP to non-GAAP Financial Measures" contained in the press release.</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840" w:type="dxa"/>
            <w:vAlign w:val="bottom"/>
            <w:gridSpan w:val="2"/>
          </w:tcPr>
          <w:p>
            <w:pPr>
              <w:spacing w:after="0"/>
              <w:rPr>
                <w:sz w:val="20"/>
                <w:szCs w:val="20"/>
                <w:color w:val="auto"/>
              </w:rPr>
            </w:pPr>
            <w:r>
              <w:rPr>
                <w:rFonts w:ascii="Arial" w:cs="Arial" w:eastAsia="Arial" w:hAnsi="Arial"/>
                <w:sz w:val="16"/>
                <w:szCs w:val="16"/>
                <w:b w:val="1"/>
                <w:bCs w:val="1"/>
                <w:color w:val="auto"/>
              </w:rPr>
              <w:t>Statistics (as a % of net sales, except for income tax rate)</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515"/>
        </w:trPr>
        <w:tc>
          <w:tcPr>
            <w:tcW w:w="3620" w:type="dxa"/>
            <w:vAlign w:val="bottom"/>
          </w:tcPr>
          <w:p>
            <w:pPr>
              <w:spacing w:after="0"/>
              <w:rPr>
                <w:sz w:val="24"/>
                <w:szCs w:val="24"/>
                <w:color w:val="auto"/>
              </w:rPr>
            </w:pPr>
          </w:p>
        </w:tc>
        <w:tc>
          <w:tcPr>
            <w:tcW w:w="392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6"/>
                <w:szCs w:val="16"/>
                <w:b w:val="1"/>
                <w:bCs w:val="1"/>
                <w:color w:val="auto"/>
              </w:rPr>
              <w:t>GAAP Three Months Ended December 31,</w:t>
            </w:r>
          </w:p>
        </w:tc>
        <w:tc>
          <w:tcPr>
            <w:tcW w:w="100" w:type="dxa"/>
            <w:vAlign w:val="bottom"/>
          </w:tcPr>
          <w:p>
            <w:pPr>
              <w:spacing w:after="0"/>
              <w:rPr>
                <w:sz w:val="24"/>
                <w:szCs w:val="24"/>
                <w:color w:val="auto"/>
              </w:rPr>
            </w:pPr>
          </w:p>
        </w:tc>
        <w:tc>
          <w:tcPr>
            <w:tcW w:w="37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b w:val="1"/>
                <w:bCs w:val="1"/>
                <w:color w:val="auto"/>
              </w:rPr>
              <w:t xml:space="preserve">Adjusted </w:t>
            </w:r>
            <w:r>
              <w:rPr>
                <w:rFonts w:ascii="Arial" w:cs="Arial" w:eastAsia="Arial" w:hAnsi="Arial"/>
                <w:sz w:val="19"/>
                <w:szCs w:val="19"/>
                <w:b w:val="1"/>
                <w:bCs w:val="1"/>
                <w:color w:val="auto"/>
                <w:vertAlign w:val="superscript"/>
              </w:rPr>
              <w:t>(1)</w:t>
            </w:r>
            <w:r>
              <w:rPr>
                <w:rFonts w:ascii="Arial" w:cs="Arial" w:eastAsia="Arial" w:hAnsi="Arial"/>
                <w:sz w:val="16"/>
                <w:szCs w:val="16"/>
                <w:b w:val="1"/>
                <w:bCs w:val="1"/>
                <w:color w:val="auto"/>
              </w:rPr>
              <w:t xml:space="preserve"> Three Months Ended December 31,</w:t>
            </w:r>
          </w:p>
        </w:tc>
      </w:tr>
      <w:tr>
        <w:trPr>
          <w:trHeight w:val="226"/>
        </w:trPr>
        <w:tc>
          <w:tcPr>
            <w:tcW w:w="3620" w:type="dxa"/>
            <w:vAlign w:val="bottom"/>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tcBorders>
              <w:bottom w:val="single" w:sz="8" w:color="auto"/>
            </w:tcBorders>
          </w:tcPr>
          <w:p>
            <w:pPr>
              <w:jc w:val="right"/>
              <w:ind w:right="700"/>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9"/>
                <w:szCs w:val="19"/>
                <w:color w:val="auto"/>
              </w:rPr>
            </w:pPr>
          </w:p>
        </w:tc>
        <w:tc>
          <w:tcPr>
            <w:tcW w:w="1840" w:type="dxa"/>
            <w:vAlign w:val="bottom"/>
            <w:tcBorders>
              <w:bottom w:val="single" w:sz="8" w:color="auto"/>
            </w:tcBorders>
          </w:tcPr>
          <w:p>
            <w:pPr>
              <w:jc w:val="right"/>
              <w:ind w:right="660"/>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9"/>
                <w:szCs w:val="19"/>
                <w:color w:val="auto"/>
              </w:rPr>
            </w:pPr>
          </w:p>
        </w:tc>
        <w:tc>
          <w:tcPr>
            <w:tcW w:w="1840" w:type="dxa"/>
            <w:vAlign w:val="bottom"/>
            <w:tcBorders>
              <w:bottom w:val="single" w:sz="8" w:color="auto"/>
            </w:tcBorders>
          </w:tcPr>
          <w:p>
            <w:pPr>
              <w:jc w:val="right"/>
              <w:ind w:right="660"/>
              <w:spacing w:after="0"/>
              <w:rPr>
                <w:sz w:val="20"/>
                <w:szCs w:val="20"/>
                <w:color w:val="auto"/>
              </w:rPr>
            </w:pPr>
            <w:r>
              <w:rPr>
                <w:rFonts w:ascii="Arial" w:cs="Arial" w:eastAsia="Arial" w:hAnsi="Arial"/>
                <w:sz w:val="16"/>
                <w:szCs w:val="16"/>
                <w:b w:val="1"/>
                <w:bCs w:val="1"/>
                <w:color w:val="auto"/>
              </w:rPr>
              <w:t>2017</w:t>
            </w:r>
          </w:p>
        </w:tc>
      </w:tr>
      <w:tr>
        <w:trPr>
          <w:trHeight w:val="214"/>
        </w:trPr>
        <w:tc>
          <w:tcPr>
            <w:tcW w:w="4840" w:type="dxa"/>
            <w:vAlign w:val="bottom"/>
            <w:gridSpan w:val="2"/>
          </w:tcPr>
          <w:p>
            <w:pPr>
              <w:spacing w:after="0"/>
              <w:rPr>
                <w:sz w:val="20"/>
                <w:szCs w:val="20"/>
                <w:color w:val="auto"/>
              </w:rPr>
            </w:pPr>
            <w:r>
              <w:rPr>
                <w:rFonts w:ascii="Arial" w:cs="Arial" w:eastAsia="Arial" w:hAnsi="Arial"/>
                <w:sz w:val="16"/>
                <w:szCs w:val="16"/>
                <w:color w:val="auto"/>
              </w:rPr>
              <w:t>Gross profit</w:t>
            </w:r>
          </w:p>
        </w:tc>
        <w:tc>
          <w:tcPr>
            <w:tcW w:w="680" w:type="dxa"/>
            <w:vAlign w:val="bottom"/>
          </w:tcPr>
          <w:p>
            <w:pPr>
              <w:jc w:val="right"/>
              <w:spacing w:after="0"/>
              <w:rPr>
                <w:sz w:val="20"/>
                <w:szCs w:val="20"/>
                <w:color w:val="auto"/>
              </w:rPr>
            </w:pPr>
            <w:r>
              <w:rPr>
                <w:rFonts w:ascii="Arial" w:cs="Arial" w:eastAsia="Arial" w:hAnsi="Arial"/>
                <w:sz w:val="16"/>
                <w:szCs w:val="16"/>
                <w:color w:val="auto"/>
              </w:rPr>
              <w:t>68.7%</w:t>
            </w:r>
          </w:p>
        </w:tc>
        <w:tc>
          <w:tcPr>
            <w:tcW w:w="100" w:type="dxa"/>
            <w:vAlign w:val="bottom"/>
          </w:tcPr>
          <w:p>
            <w:pPr>
              <w:spacing w:after="0"/>
              <w:rPr>
                <w:sz w:val="18"/>
                <w:szCs w:val="18"/>
                <w:color w:val="auto"/>
              </w:rPr>
            </w:pPr>
          </w:p>
        </w:tc>
        <w:tc>
          <w:tcPr>
            <w:tcW w:w="1920" w:type="dxa"/>
            <w:vAlign w:val="bottom"/>
          </w:tcPr>
          <w:p>
            <w:pPr>
              <w:jc w:val="right"/>
              <w:ind w:right="20"/>
              <w:spacing w:after="0"/>
              <w:rPr>
                <w:sz w:val="20"/>
                <w:szCs w:val="20"/>
                <w:color w:val="auto"/>
              </w:rPr>
            </w:pPr>
            <w:r>
              <w:rPr>
                <w:rFonts w:ascii="Arial" w:cs="Arial" w:eastAsia="Arial" w:hAnsi="Arial"/>
                <w:sz w:val="16"/>
                <w:szCs w:val="16"/>
                <w:color w:val="auto"/>
              </w:rPr>
              <w:t>61.9%</w:t>
            </w:r>
          </w:p>
        </w:tc>
        <w:tc>
          <w:tcPr>
            <w:tcW w:w="1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69.0%</w:t>
            </w:r>
          </w:p>
        </w:tc>
        <w:tc>
          <w:tcPr>
            <w:tcW w:w="1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64.3%</w:t>
            </w:r>
          </w:p>
        </w:tc>
      </w:tr>
      <w:tr>
        <w:trPr>
          <w:trHeight w:val="240"/>
        </w:trPr>
        <w:tc>
          <w:tcPr>
            <w:tcW w:w="4840" w:type="dxa"/>
            <w:vAlign w:val="bottom"/>
            <w:gridSpan w:val="2"/>
          </w:tcPr>
          <w:p>
            <w:pPr>
              <w:spacing w:after="0"/>
              <w:rPr>
                <w:sz w:val="20"/>
                <w:szCs w:val="20"/>
                <w:color w:val="auto"/>
              </w:rPr>
            </w:pPr>
            <w:r>
              <w:rPr>
                <w:rFonts w:ascii="Arial" w:cs="Arial" w:eastAsia="Arial" w:hAnsi="Arial"/>
                <w:sz w:val="16"/>
                <w:szCs w:val="16"/>
                <w:color w:val="auto"/>
              </w:rPr>
              <w:t>SG&amp;A</w:t>
            </w:r>
          </w:p>
        </w:tc>
        <w:tc>
          <w:tcPr>
            <w:tcW w:w="680" w:type="dxa"/>
            <w:vAlign w:val="bottom"/>
          </w:tcPr>
          <w:p>
            <w:pPr>
              <w:jc w:val="right"/>
              <w:spacing w:after="0"/>
              <w:rPr>
                <w:sz w:val="20"/>
                <w:szCs w:val="20"/>
                <w:color w:val="auto"/>
              </w:rPr>
            </w:pPr>
            <w:r>
              <w:rPr>
                <w:rFonts w:ascii="Arial" w:cs="Arial" w:eastAsia="Arial" w:hAnsi="Arial"/>
                <w:sz w:val="16"/>
                <w:szCs w:val="16"/>
                <w:color w:val="auto"/>
              </w:rPr>
              <w:t>41.2%</w:t>
            </w:r>
          </w:p>
        </w:tc>
        <w:tc>
          <w:tcPr>
            <w:tcW w:w="100" w:type="dxa"/>
            <w:vAlign w:val="bottom"/>
          </w:tcPr>
          <w:p>
            <w:pPr>
              <w:spacing w:after="0"/>
              <w:rPr>
                <w:sz w:val="20"/>
                <w:szCs w:val="20"/>
                <w:color w:val="auto"/>
              </w:rPr>
            </w:pPr>
          </w:p>
        </w:tc>
        <w:tc>
          <w:tcPr>
            <w:tcW w:w="1920" w:type="dxa"/>
            <w:vAlign w:val="bottom"/>
          </w:tcPr>
          <w:p>
            <w:pPr>
              <w:jc w:val="right"/>
              <w:ind w:right="20"/>
              <w:spacing w:after="0"/>
              <w:rPr>
                <w:sz w:val="20"/>
                <w:szCs w:val="20"/>
                <w:color w:val="auto"/>
              </w:rPr>
            </w:pPr>
            <w:r>
              <w:rPr>
                <w:rFonts w:ascii="Arial" w:cs="Arial" w:eastAsia="Arial" w:hAnsi="Arial"/>
                <w:sz w:val="16"/>
                <w:szCs w:val="16"/>
                <w:color w:val="auto"/>
              </w:rPr>
              <w:t>36.4%</w:t>
            </w:r>
          </w:p>
        </w:tc>
        <w:tc>
          <w:tcPr>
            <w:tcW w:w="10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33.9%</w:t>
            </w:r>
          </w:p>
        </w:tc>
        <w:tc>
          <w:tcPr>
            <w:tcW w:w="10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33.1%</w:t>
            </w:r>
          </w:p>
        </w:tc>
      </w:tr>
      <w:tr>
        <w:trPr>
          <w:trHeight w:val="240"/>
        </w:trPr>
        <w:tc>
          <w:tcPr>
            <w:tcW w:w="4840" w:type="dxa"/>
            <w:vAlign w:val="bottom"/>
            <w:gridSpan w:val="2"/>
          </w:tcPr>
          <w:p>
            <w:pPr>
              <w:spacing w:after="0"/>
              <w:rPr>
                <w:sz w:val="20"/>
                <w:szCs w:val="20"/>
                <w:color w:val="auto"/>
              </w:rPr>
            </w:pPr>
            <w:r>
              <w:rPr>
                <w:rFonts w:ascii="Arial" w:cs="Arial" w:eastAsia="Arial" w:hAnsi="Arial"/>
                <w:sz w:val="16"/>
                <w:szCs w:val="16"/>
                <w:color w:val="auto"/>
              </w:rPr>
              <w:t>R&amp;D</w:t>
            </w:r>
          </w:p>
        </w:tc>
        <w:tc>
          <w:tcPr>
            <w:tcW w:w="680" w:type="dxa"/>
            <w:vAlign w:val="bottom"/>
          </w:tcPr>
          <w:p>
            <w:pPr>
              <w:jc w:val="right"/>
              <w:spacing w:after="0"/>
              <w:rPr>
                <w:sz w:val="20"/>
                <w:szCs w:val="20"/>
                <w:color w:val="auto"/>
              </w:rPr>
            </w:pPr>
            <w:r>
              <w:rPr>
                <w:rFonts w:ascii="Arial" w:cs="Arial" w:eastAsia="Arial" w:hAnsi="Arial"/>
                <w:sz w:val="16"/>
                <w:szCs w:val="16"/>
                <w:color w:val="auto"/>
              </w:rPr>
              <w:t>12.7%</w:t>
            </w:r>
          </w:p>
        </w:tc>
        <w:tc>
          <w:tcPr>
            <w:tcW w:w="100" w:type="dxa"/>
            <w:vAlign w:val="bottom"/>
          </w:tcPr>
          <w:p>
            <w:pPr>
              <w:spacing w:after="0"/>
              <w:rPr>
                <w:sz w:val="20"/>
                <w:szCs w:val="20"/>
                <w:color w:val="auto"/>
              </w:rPr>
            </w:pPr>
          </w:p>
        </w:tc>
        <w:tc>
          <w:tcPr>
            <w:tcW w:w="1920" w:type="dxa"/>
            <w:vAlign w:val="bottom"/>
          </w:tcPr>
          <w:p>
            <w:pPr>
              <w:jc w:val="right"/>
              <w:ind w:right="20"/>
              <w:spacing w:after="0"/>
              <w:rPr>
                <w:sz w:val="20"/>
                <w:szCs w:val="20"/>
                <w:color w:val="auto"/>
              </w:rPr>
            </w:pPr>
            <w:r>
              <w:rPr>
                <w:rFonts w:ascii="Arial" w:cs="Arial" w:eastAsia="Arial" w:hAnsi="Arial"/>
                <w:sz w:val="16"/>
                <w:szCs w:val="16"/>
                <w:color w:val="auto"/>
              </w:rPr>
              <w:t>11.6%</w:t>
            </w:r>
          </w:p>
        </w:tc>
        <w:tc>
          <w:tcPr>
            <w:tcW w:w="10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12.2%</w:t>
            </w:r>
          </w:p>
        </w:tc>
        <w:tc>
          <w:tcPr>
            <w:tcW w:w="10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11.1%</w:t>
            </w:r>
          </w:p>
        </w:tc>
      </w:tr>
      <w:tr>
        <w:trPr>
          <w:trHeight w:val="215"/>
        </w:trPr>
        <w:tc>
          <w:tcPr>
            <w:tcW w:w="4840" w:type="dxa"/>
            <w:vAlign w:val="bottom"/>
            <w:gridSpan w:val="2"/>
          </w:tcPr>
          <w:p>
            <w:pPr>
              <w:spacing w:after="0"/>
              <w:rPr>
                <w:sz w:val="20"/>
                <w:szCs w:val="20"/>
                <w:color w:val="auto"/>
              </w:rPr>
            </w:pPr>
            <w:r>
              <w:rPr>
                <w:rFonts w:ascii="Arial" w:cs="Arial" w:eastAsia="Arial" w:hAnsi="Arial"/>
                <w:sz w:val="16"/>
                <w:szCs w:val="16"/>
                <w:color w:val="auto"/>
              </w:rPr>
              <w:t>Operating (loss) income from continuing</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192"/>
        </w:trPr>
        <w:tc>
          <w:tcPr>
            <w:tcW w:w="4840" w:type="dxa"/>
            <w:vAlign w:val="bottom"/>
            <w:gridSpan w:val="2"/>
          </w:tcPr>
          <w:p>
            <w:pPr>
              <w:spacing w:after="0"/>
              <w:rPr>
                <w:sz w:val="20"/>
                <w:szCs w:val="20"/>
                <w:color w:val="auto"/>
              </w:rPr>
            </w:pPr>
            <w:r>
              <w:rPr>
                <w:rFonts w:ascii="Arial" w:cs="Arial" w:eastAsia="Arial" w:hAnsi="Arial"/>
                <w:sz w:val="16"/>
                <w:szCs w:val="16"/>
                <w:color w:val="auto"/>
              </w:rPr>
              <w:t>operations</w:t>
            </w:r>
          </w:p>
        </w:tc>
        <w:tc>
          <w:tcPr>
            <w:tcW w:w="680" w:type="dxa"/>
            <w:vAlign w:val="bottom"/>
          </w:tcPr>
          <w:p>
            <w:pPr>
              <w:jc w:val="right"/>
              <w:spacing w:after="0"/>
              <w:rPr>
                <w:sz w:val="20"/>
                <w:szCs w:val="20"/>
                <w:color w:val="auto"/>
              </w:rPr>
            </w:pPr>
            <w:r>
              <w:rPr>
                <w:rFonts w:ascii="Arial" w:cs="Arial" w:eastAsia="Arial" w:hAnsi="Arial"/>
                <w:sz w:val="16"/>
                <w:szCs w:val="16"/>
                <w:color w:val="auto"/>
              </w:rPr>
              <w:t>(93.1%)</w:t>
            </w:r>
          </w:p>
        </w:tc>
        <w:tc>
          <w:tcPr>
            <w:tcW w:w="100" w:type="dxa"/>
            <w:vAlign w:val="bottom"/>
          </w:tcPr>
          <w:p>
            <w:pPr>
              <w:spacing w:after="0"/>
              <w:rPr>
                <w:sz w:val="16"/>
                <w:szCs w:val="16"/>
                <w:color w:val="auto"/>
              </w:rPr>
            </w:pPr>
          </w:p>
        </w:tc>
        <w:tc>
          <w:tcPr>
            <w:tcW w:w="1920" w:type="dxa"/>
            <w:vAlign w:val="bottom"/>
          </w:tcPr>
          <w:p>
            <w:pPr>
              <w:jc w:val="right"/>
              <w:ind w:right="20"/>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16"/>
                <w:szCs w:val="16"/>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22.8%</w:t>
            </w:r>
          </w:p>
        </w:tc>
        <w:tc>
          <w:tcPr>
            <w:tcW w:w="100" w:type="dxa"/>
            <w:vAlign w:val="bottom"/>
          </w:tcPr>
          <w:p>
            <w:pPr>
              <w:spacing w:after="0"/>
              <w:rPr>
                <w:sz w:val="16"/>
                <w:szCs w:val="16"/>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20.0%</w:t>
            </w:r>
          </w:p>
        </w:tc>
      </w:tr>
      <w:tr>
        <w:trPr>
          <w:trHeight w:val="240"/>
        </w:trPr>
        <w:tc>
          <w:tcPr>
            <w:tcW w:w="4840" w:type="dxa"/>
            <w:vAlign w:val="bottom"/>
            <w:gridSpan w:val="2"/>
          </w:tcPr>
          <w:p>
            <w:pPr>
              <w:spacing w:after="0"/>
              <w:rPr>
                <w:sz w:val="20"/>
                <w:szCs w:val="20"/>
                <w:color w:val="auto"/>
              </w:rPr>
            </w:pPr>
            <w:r>
              <w:rPr>
                <w:rFonts w:ascii="Arial" w:cs="Arial" w:eastAsia="Arial" w:hAnsi="Arial"/>
                <w:sz w:val="16"/>
                <w:szCs w:val="16"/>
                <w:color w:val="auto"/>
              </w:rPr>
              <w:t>Net (loss) income from continuing operations</w:t>
            </w:r>
          </w:p>
        </w:tc>
        <w:tc>
          <w:tcPr>
            <w:tcW w:w="680" w:type="dxa"/>
            <w:vAlign w:val="bottom"/>
          </w:tcPr>
          <w:p>
            <w:pPr>
              <w:jc w:val="right"/>
              <w:spacing w:after="0"/>
              <w:rPr>
                <w:sz w:val="20"/>
                <w:szCs w:val="20"/>
                <w:color w:val="auto"/>
              </w:rPr>
            </w:pPr>
            <w:r>
              <w:rPr>
                <w:rFonts w:ascii="Arial" w:cs="Arial" w:eastAsia="Arial" w:hAnsi="Arial"/>
                <w:sz w:val="16"/>
                <w:szCs w:val="16"/>
                <w:color w:val="auto"/>
              </w:rPr>
              <w:t>(70.6%)</w:t>
            </w:r>
          </w:p>
        </w:tc>
        <w:tc>
          <w:tcPr>
            <w:tcW w:w="10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(11.3%)</w:t>
            </w:r>
          </w:p>
        </w:tc>
        <w:tc>
          <w:tcPr>
            <w:tcW w:w="10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18.6%</w:t>
            </w:r>
          </w:p>
        </w:tc>
        <w:tc>
          <w:tcPr>
            <w:tcW w:w="10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15.5%</w:t>
            </w:r>
          </w:p>
        </w:tc>
      </w:tr>
      <w:tr>
        <w:trPr>
          <w:trHeight w:val="240"/>
        </w:trPr>
        <w:tc>
          <w:tcPr>
            <w:tcW w:w="4840" w:type="dxa"/>
            <w:vAlign w:val="bottom"/>
            <w:gridSpan w:val="2"/>
          </w:tcPr>
          <w:p>
            <w:pPr>
              <w:spacing w:after="0"/>
              <w:rPr>
                <w:sz w:val="20"/>
                <w:szCs w:val="20"/>
                <w:color w:val="auto"/>
              </w:rPr>
            </w:pPr>
            <w:r>
              <w:rPr>
                <w:rFonts w:ascii="Arial" w:cs="Arial" w:eastAsia="Arial" w:hAnsi="Arial"/>
                <w:sz w:val="16"/>
                <w:szCs w:val="16"/>
                <w:color w:val="auto"/>
              </w:rPr>
              <w:t>Income tax rate</w:t>
            </w:r>
          </w:p>
        </w:tc>
        <w:tc>
          <w:tcPr>
            <w:tcW w:w="680" w:type="dxa"/>
            <w:vAlign w:val="bottom"/>
          </w:tcPr>
          <w:p>
            <w:pPr>
              <w:jc w:val="right"/>
              <w:spacing w:after="0"/>
              <w:rPr>
                <w:sz w:val="20"/>
                <w:szCs w:val="20"/>
                <w:color w:val="auto"/>
              </w:rPr>
            </w:pPr>
            <w:r>
              <w:rPr>
                <w:rFonts w:ascii="Arial" w:cs="Arial" w:eastAsia="Arial" w:hAnsi="Arial"/>
                <w:sz w:val="16"/>
                <w:szCs w:val="16"/>
                <w:color w:val="auto"/>
              </w:rPr>
              <w:t>25.0%</w:t>
            </w:r>
          </w:p>
        </w:tc>
        <w:tc>
          <w:tcPr>
            <w:tcW w:w="100" w:type="dxa"/>
            <w:vAlign w:val="bottom"/>
          </w:tcPr>
          <w:p>
            <w:pPr>
              <w:spacing w:after="0"/>
              <w:rPr>
                <w:sz w:val="20"/>
                <w:szCs w:val="20"/>
                <w:color w:val="auto"/>
              </w:rPr>
            </w:pPr>
          </w:p>
        </w:tc>
        <w:tc>
          <w:tcPr>
            <w:tcW w:w="1920" w:type="dxa"/>
            <w:vAlign w:val="bottom"/>
          </w:tcPr>
          <w:p>
            <w:pPr>
              <w:jc w:val="right"/>
              <w:ind w:right="20"/>
              <w:spacing w:after="0"/>
              <w:rPr>
                <w:sz w:val="20"/>
                <w:szCs w:val="20"/>
                <w:color w:val="auto"/>
              </w:rPr>
            </w:pPr>
            <w:r>
              <w:rPr>
                <w:rFonts w:ascii="Arial" w:cs="Arial" w:eastAsia="Arial" w:hAnsi="Arial"/>
                <w:sz w:val="16"/>
                <w:szCs w:val="16"/>
                <w:color w:val="auto"/>
              </w:rPr>
              <w:t>495.8%</w:t>
            </w:r>
          </w:p>
        </w:tc>
        <w:tc>
          <w:tcPr>
            <w:tcW w:w="10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16.0%</w:t>
            </w:r>
          </w:p>
        </w:tc>
        <w:tc>
          <w:tcPr>
            <w:tcW w:w="10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20.3%</w:t>
            </w:r>
          </w:p>
        </w:tc>
      </w:tr>
    </w:tbl>
    <w:p>
      <w:pPr>
        <w:spacing w:after="0" w:line="327" w:lineRule="exact"/>
        <w:rPr>
          <w:sz w:val="20"/>
          <w:szCs w:val="20"/>
          <w:color w:val="auto"/>
        </w:rPr>
      </w:pPr>
    </w:p>
    <w:p>
      <w:pPr>
        <w:ind w:left="220" w:right="240" w:hanging="214"/>
        <w:spacing w:after="0" w:line="238" w:lineRule="auto"/>
        <w:tabs>
          <w:tab w:leader="none" w:pos="220" w:val="left"/>
        </w:tabs>
        <w:numPr>
          <w:ilvl w:val="0"/>
          <w:numId w:val="8"/>
        </w:numPr>
        <w:rPr>
          <w:rFonts w:ascii="Arial" w:cs="Arial" w:eastAsia="Arial" w:hAnsi="Arial"/>
          <w:sz w:val="13"/>
          <w:szCs w:val="13"/>
          <w:color w:val="auto"/>
        </w:rPr>
      </w:pPr>
      <w:r>
        <w:rPr>
          <w:rFonts w:ascii="Arial" w:cs="Arial" w:eastAsia="Arial" w:hAnsi="Arial"/>
          <w:sz w:val="13"/>
          <w:szCs w:val="13"/>
          <w:color w:val="auto"/>
        </w:rPr>
        <w:t>Adjusted financial measures are Non-GAAP measures and exclude specified items as described and reconciled in the "Reconciliation of GAAP to non-GAAP Financial Measures" contained in the press release.</w:t>
      </w:r>
    </w:p>
    <w:p>
      <w:pPr>
        <w:spacing w:after="0" w:line="232" w:lineRule="exact"/>
        <w:rPr>
          <w:sz w:val="20"/>
          <w:szCs w:val="20"/>
          <w:color w:val="auto"/>
        </w:rPr>
      </w:pPr>
    </w:p>
    <w:p>
      <w:pPr>
        <w:jc w:val="center"/>
        <w:ind w:right="40"/>
        <w:spacing w:after="0"/>
        <w:rPr>
          <w:sz w:val="20"/>
          <w:szCs w:val="20"/>
          <w:color w:val="auto"/>
        </w:rPr>
      </w:pPr>
      <w:r>
        <w:rPr>
          <w:rFonts w:ascii="Arial" w:cs="Arial" w:eastAsia="Arial" w:hAnsi="Arial"/>
          <w:sz w:val="19"/>
          <w:szCs w:val="19"/>
          <w:color w:val="auto"/>
        </w:rPr>
        <w:t>14</w:t>
      </w:r>
    </w:p>
    <w:p>
      <w:pPr>
        <w:sectPr>
          <w:pgSz w:w="11900" w:h="16838" w:orient="portrait"/>
          <w:cols w:equalWidth="0" w:num="1">
            <w:col w:w="11420"/>
          </w:cols>
          <w:pgMar w:left="260" w:top="706" w:right="219" w:bottom="1440" w:gutter="0" w:footer="0" w:header="0"/>
        </w:sectPr>
      </w:pPr>
    </w:p>
    <w:bookmarkStart w:id="17" w:name="page18"/>
    <w:bookmarkEnd w:id="17"/>
    <w:p>
      <w:pPr>
        <w:spacing w:after="0"/>
        <w:rPr>
          <w:sz w:val="20"/>
          <w:szCs w:val="20"/>
          <w:color w:val="auto"/>
        </w:rPr>
      </w:pPr>
      <w:r>
        <w:rPr>
          <w:rFonts w:ascii="Arial" w:cs="Arial" w:eastAsia="Arial" w:hAnsi="Arial"/>
          <w:sz w:val="16"/>
          <w:szCs w:val="16"/>
          <w:b w:val="1"/>
          <w:bCs w:val="1"/>
          <w:color w:val="auto"/>
        </w:rPr>
        <w:t>LIVANOVA PLC AND SUBSIDIARIES</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STATEMENT OF INCOME (LOSS)</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 dollars in millions, except per share amounts)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980" w:type="dxa"/>
            <w:vAlign w:val="bottom"/>
          </w:tcPr>
          <w:p>
            <w:pPr>
              <w:spacing w:after="0"/>
              <w:rPr>
                <w:sz w:val="18"/>
                <w:szCs w:val="18"/>
                <w:color w:val="auto"/>
              </w:rPr>
            </w:pPr>
          </w:p>
        </w:tc>
        <w:tc>
          <w:tcPr>
            <w:tcW w:w="372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6"/>
                <w:szCs w:val="16"/>
                <w:b w:val="1"/>
                <w:bCs w:val="1"/>
                <w:color w:val="auto"/>
              </w:rPr>
              <w:t>Twelve Months Ended December 31,</w:t>
            </w: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p>
        </w:tc>
        <w:tc>
          <w:tcPr>
            <w:tcW w:w="1800" w:type="dxa"/>
            <w:vAlign w:val="bottom"/>
            <w:tcBorders>
              <w:bottom w:val="single" w:sz="8" w:color="auto"/>
            </w:tcBorders>
          </w:tcPr>
          <w:p>
            <w:pPr>
              <w:jc w:val="right"/>
              <w:ind w:right="640"/>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640"/>
              <w:spacing w:after="0"/>
              <w:rPr>
                <w:sz w:val="20"/>
                <w:szCs w:val="20"/>
                <w:color w:val="auto"/>
              </w:rPr>
            </w:pPr>
            <w:r>
              <w:rPr>
                <w:rFonts w:ascii="Arial" w:cs="Arial" w:eastAsia="Arial" w:hAnsi="Arial"/>
                <w:sz w:val="16"/>
                <w:szCs w:val="16"/>
                <w:b w:val="1"/>
                <w:bCs w:val="1"/>
                <w:color w:val="auto"/>
              </w:rPr>
              <w:t>2017</w:t>
            </w:r>
          </w:p>
        </w:tc>
        <w:tc>
          <w:tcPr>
            <w:tcW w:w="220" w:type="dxa"/>
            <w:vAlign w:val="bottom"/>
          </w:tcPr>
          <w:p>
            <w:pPr>
              <w:spacing w:after="0"/>
              <w:rPr>
                <w:sz w:val="20"/>
                <w:szCs w:val="20"/>
                <w:color w:val="auto"/>
              </w:rPr>
            </w:pPr>
          </w:p>
        </w:tc>
        <w:tc>
          <w:tcPr>
            <w:tcW w:w="150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b w:val="1"/>
                <w:bCs w:val="1"/>
                <w:color w:val="auto"/>
              </w:rPr>
              <w:t xml:space="preserve">% Change </w:t>
            </w:r>
            <w:r>
              <w:rPr>
                <w:rFonts w:ascii="Arial" w:cs="Arial" w:eastAsia="Arial" w:hAnsi="Arial"/>
                <w:sz w:val="19"/>
                <w:szCs w:val="19"/>
                <w:b w:val="1"/>
                <w:bCs w:val="1"/>
                <w:color w:val="auto"/>
                <w:vertAlign w:val="superscript"/>
              </w:rPr>
              <w:t>(1)</w:t>
            </w:r>
          </w:p>
        </w:tc>
        <w:tc>
          <w:tcPr>
            <w:tcW w:w="0" w:type="dxa"/>
            <w:vAlign w:val="bottom"/>
          </w:tcPr>
          <w:p>
            <w:pPr>
              <w:spacing w:after="0"/>
              <w:rPr>
                <w:sz w:val="1"/>
                <w:szCs w:val="1"/>
                <w:color w:val="auto"/>
              </w:rPr>
            </w:pPr>
          </w:p>
        </w:tc>
      </w:tr>
      <w:tr>
        <w:trPr>
          <w:trHeight w:val="220"/>
        </w:trPr>
        <w:tc>
          <w:tcPr>
            <w:tcW w:w="5980" w:type="dxa"/>
            <w:vAlign w:val="bottom"/>
          </w:tcPr>
          <w:p>
            <w:pPr>
              <w:spacing w:after="0"/>
              <w:rPr>
                <w:sz w:val="20"/>
                <w:szCs w:val="20"/>
                <w:color w:val="auto"/>
              </w:rPr>
            </w:pPr>
            <w:r>
              <w:rPr>
                <w:rFonts w:ascii="Arial" w:cs="Arial" w:eastAsia="Arial" w:hAnsi="Arial"/>
                <w:sz w:val="16"/>
                <w:szCs w:val="16"/>
                <w:color w:val="auto"/>
              </w:rPr>
              <w:t>Net sales</w:t>
            </w:r>
          </w:p>
        </w:tc>
        <w:tc>
          <w:tcPr>
            <w:tcW w:w="1800" w:type="dxa"/>
            <w:vAlign w:val="bottom"/>
          </w:tcPr>
          <w:p>
            <w:pPr>
              <w:jc w:val="right"/>
              <w:ind w:right="20"/>
              <w:spacing w:after="0"/>
              <w:rPr>
                <w:sz w:val="20"/>
                <w:szCs w:val="20"/>
                <w:color w:val="auto"/>
              </w:rPr>
            </w:pPr>
            <w:r>
              <w:rPr>
                <w:rFonts w:ascii="Arial" w:cs="Arial" w:eastAsia="Arial" w:hAnsi="Arial"/>
                <w:sz w:val="16"/>
                <w:szCs w:val="16"/>
                <w:color w:val="auto"/>
              </w:rPr>
              <w:t>$1,107.0</w:t>
            </w:r>
          </w:p>
        </w:tc>
        <w:tc>
          <w:tcPr>
            <w:tcW w:w="120" w:type="dxa"/>
            <w:vAlign w:val="bottom"/>
          </w:tcPr>
          <w:p>
            <w:pPr>
              <w:spacing w:after="0"/>
              <w:rPr>
                <w:sz w:val="19"/>
                <w:szCs w:val="19"/>
                <w:color w:val="auto"/>
              </w:rPr>
            </w:pPr>
          </w:p>
        </w:tc>
        <w:tc>
          <w:tcPr>
            <w:tcW w:w="1800" w:type="dxa"/>
            <w:vAlign w:val="bottom"/>
          </w:tcPr>
          <w:p>
            <w:pPr>
              <w:jc w:val="right"/>
              <w:ind w:right="20"/>
              <w:spacing w:after="0"/>
              <w:rPr>
                <w:sz w:val="20"/>
                <w:szCs w:val="20"/>
                <w:color w:val="auto"/>
              </w:rPr>
            </w:pPr>
            <w:r>
              <w:rPr>
                <w:rFonts w:ascii="Arial" w:cs="Arial" w:eastAsia="Arial" w:hAnsi="Arial"/>
                <w:sz w:val="16"/>
                <w:szCs w:val="16"/>
                <w:color w:val="auto"/>
              </w:rPr>
              <w:t>$1,012.3</w:t>
            </w:r>
          </w:p>
        </w:tc>
        <w:tc>
          <w:tcPr>
            <w:tcW w:w="2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5980" w:type="dxa"/>
            <w:vAlign w:val="bottom"/>
          </w:tcPr>
          <w:p>
            <w:pPr>
              <w:ind w:left="440"/>
              <w:spacing w:after="0"/>
              <w:rPr>
                <w:sz w:val="20"/>
                <w:szCs w:val="20"/>
                <w:color w:val="auto"/>
              </w:rPr>
            </w:pPr>
            <w:r>
              <w:rPr>
                <w:rFonts w:ascii="Arial" w:cs="Arial" w:eastAsia="Arial" w:hAnsi="Arial"/>
                <w:sz w:val="16"/>
                <w:szCs w:val="16"/>
                <w:color w:val="auto"/>
              </w:rPr>
              <w:t>Cost of sales</w:t>
            </w:r>
          </w:p>
        </w:tc>
        <w:tc>
          <w:tcPr>
            <w:tcW w:w="1800" w:type="dxa"/>
            <w:vAlign w:val="bottom"/>
          </w:tcPr>
          <w:p>
            <w:pPr>
              <w:jc w:val="right"/>
              <w:ind w:right="20"/>
              <w:spacing w:after="0"/>
              <w:rPr>
                <w:sz w:val="20"/>
                <w:szCs w:val="20"/>
                <w:color w:val="auto"/>
              </w:rPr>
            </w:pPr>
            <w:r>
              <w:rPr>
                <w:rFonts w:ascii="Arial" w:cs="Arial" w:eastAsia="Arial" w:hAnsi="Arial"/>
                <w:sz w:val="16"/>
                <w:szCs w:val="16"/>
                <w:color w:val="auto"/>
              </w:rPr>
              <w:t>361.8</w:t>
            </w:r>
          </w:p>
        </w:tc>
        <w:tc>
          <w:tcPr>
            <w:tcW w:w="120" w:type="dxa"/>
            <w:vAlign w:val="bottom"/>
          </w:tcPr>
          <w:p>
            <w:pPr>
              <w:spacing w:after="0"/>
              <w:rPr>
                <w:sz w:val="20"/>
                <w:szCs w:val="20"/>
                <w:color w:val="auto"/>
              </w:rPr>
            </w:pPr>
          </w:p>
        </w:tc>
        <w:tc>
          <w:tcPr>
            <w:tcW w:w="1800" w:type="dxa"/>
            <w:vAlign w:val="bottom"/>
          </w:tcPr>
          <w:p>
            <w:pPr>
              <w:jc w:val="right"/>
              <w:ind w:right="20"/>
              <w:spacing w:after="0"/>
              <w:rPr>
                <w:sz w:val="20"/>
                <w:szCs w:val="20"/>
                <w:color w:val="auto"/>
              </w:rPr>
            </w:pPr>
            <w:r>
              <w:rPr>
                <w:rFonts w:ascii="Arial" w:cs="Arial" w:eastAsia="Arial" w:hAnsi="Arial"/>
                <w:sz w:val="16"/>
                <w:szCs w:val="16"/>
                <w:color w:val="auto"/>
              </w:rPr>
              <w:t>353.2</w:t>
            </w: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5980" w:type="dxa"/>
            <w:vAlign w:val="bottom"/>
          </w:tcPr>
          <w:p>
            <w:pPr>
              <w:ind w:left="440"/>
              <w:spacing w:after="0"/>
              <w:rPr>
                <w:sz w:val="20"/>
                <w:szCs w:val="20"/>
                <w:color w:val="auto"/>
              </w:rPr>
            </w:pPr>
            <w:r>
              <w:rPr>
                <w:rFonts w:ascii="Arial" w:cs="Arial" w:eastAsia="Arial" w:hAnsi="Arial"/>
                <w:sz w:val="16"/>
                <w:szCs w:val="16"/>
                <w:color w:val="auto"/>
              </w:rPr>
              <w:t>Product remediation</w:t>
            </w:r>
          </w:p>
        </w:tc>
        <w:tc>
          <w:tcPr>
            <w:tcW w:w="1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10.7</w:t>
            </w:r>
          </w:p>
        </w:tc>
        <w:tc>
          <w:tcPr>
            <w:tcW w:w="120" w:type="dxa"/>
            <w:vAlign w:val="bottom"/>
          </w:tcPr>
          <w:p>
            <w:pPr>
              <w:spacing w:after="0"/>
              <w:rPr>
                <w:sz w:val="21"/>
                <w:szCs w:val="21"/>
                <w:color w:val="auto"/>
              </w:rPr>
            </w:pPr>
          </w:p>
        </w:tc>
        <w:tc>
          <w:tcPr>
            <w:tcW w:w="1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7.3</w:t>
            </w:r>
          </w:p>
        </w:tc>
        <w:tc>
          <w:tcPr>
            <w:tcW w:w="220" w:type="dxa"/>
            <w:vAlign w:val="bottom"/>
          </w:tcPr>
          <w:p>
            <w:pPr>
              <w:spacing w:after="0"/>
              <w:rPr>
                <w:sz w:val="21"/>
                <w:szCs w:val="21"/>
                <w:color w:val="auto"/>
              </w:rPr>
            </w:pPr>
          </w:p>
        </w:tc>
        <w:tc>
          <w:tcPr>
            <w:tcW w:w="15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5980" w:type="dxa"/>
            <w:vAlign w:val="bottom"/>
          </w:tcPr>
          <w:p>
            <w:pPr>
              <w:spacing w:after="0"/>
              <w:rPr>
                <w:sz w:val="20"/>
                <w:szCs w:val="20"/>
                <w:color w:val="auto"/>
              </w:rPr>
            </w:pPr>
            <w:r>
              <w:rPr>
                <w:rFonts w:ascii="Arial" w:cs="Arial" w:eastAsia="Arial" w:hAnsi="Arial"/>
                <w:sz w:val="16"/>
                <w:szCs w:val="16"/>
                <w:color w:val="auto"/>
              </w:rPr>
              <w:t>Gross profit</w:t>
            </w:r>
          </w:p>
        </w:tc>
        <w:tc>
          <w:tcPr>
            <w:tcW w:w="1800" w:type="dxa"/>
            <w:vAlign w:val="bottom"/>
          </w:tcPr>
          <w:p>
            <w:pPr>
              <w:jc w:val="right"/>
              <w:ind w:right="20"/>
              <w:spacing w:after="0"/>
              <w:rPr>
                <w:sz w:val="20"/>
                <w:szCs w:val="20"/>
                <w:color w:val="auto"/>
              </w:rPr>
            </w:pPr>
            <w:r>
              <w:rPr>
                <w:rFonts w:ascii="Arial" w:cs="Arial" w:eastAsia="Arial" w:hAnsi="Arial"/>
                <w:sz w:val="16"/>
                <w:szCs w:val="16"/>
                <w:color w:val="auto"/>
              </w:rPr>
              <w:t>734.5</w:t>
            </w:r>
          </w:p>
        </w:tc>
        <w:tc>
          <w:tcPr>
            <w:tcW w:w="120" w:type="dxa"/>
            <w:vAlign w:val="bottom"/>
          </w:tcPr>
          <w:p>
            <w:pPr>
              <w:spacing w:after="0"/>
              <w:rPr>
                <w:sz w:val="18"/>
                <w:szCs w:val="18"/>
                <w:color w:val="auto"/>
              </w:rPr>
            </w:pPr>
          </w:p>
        </w:tc>
        <w:tc>
          <w:tcPr>
            <w:tcW w:w="1800" w:type="dxa"/>
            <w:vAlign w:val="bottom"/>
          </w:tcPr>
          <w:p>
            <w:pPr>
              <w:jc w:val="right"/>
              <w:ind w:right="20"/>
              <w:spacing w:after="0"/>
              <w:rPr>
                <w:sz w:val="20"/>
                <w:szCs w:val="20"/>
                <w:color w:val="auto"/>
              </w:rPr>
            </w:pPr>
            <w:r>
              <w:rPr>
                <w:rFonts w:ascii="Arial" w:cs="Arial" w:eastAsia="Arial" w:hAnsi="Arial"/>
                <w:sz w:val="16"/>
                <w:szCs w:val="16"/>
                <w:color w:val="auto"/>
              </w:rPr>
              <w:t>651.8</w:t>
            </w:r>
          </w:p>
        </w:tc>
        <w:tc>
          <w:tcPr>
            <w:tcW w:w="1720" w:type="dxa"/>
            <w:vAlign w:val="bottom"/>
            <w:gridSpan w:val="2"/>
          </w:tcPr>
          <w:p>
            <w:pPr>
              <w:jc w:val="right"/>
              <w:ind w:right="20"/>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228"/>
        </w:trPr>
        <w:tc>
          <w:tcPr>
            <w:tcW w:w="5980" w:type="dxa"/>
            <w:vAlign w:val="bottom"/>
          </w:tcPr>
          <w:p>
            <w:pPr>
              <w:spacing w:after="0"/>
              <w:rPr>
                <w:sz w:val="20"/>
                <w:szCs w:val="20"/>
                <w:color w:val="auto"/>
              </w:rPr>
            </w:pPr>
            <w:r>
              <w:rPr>
                <w:rFonts w:ascii="Arial" w:cs="Arial" w:eastAsia="Arial" w:hAnsi="Arial"/>
                <w:sz w:val="16"/>
                <w:szCs w:val="16"/>
                <w:color w:val="auto"/>
              </w:rPr>
              <w:t>Operating expenses:</w:t>
            </w:r>
          </w:p>
        </w:tc>
        <w:tc>
          <w:tcPr>
            <w:tcW w:w="18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5980" w:type="dxa"/>
            <w:vAlign w:val="bottom"/>
          </w:tcPr>
          <w:p>
            <w:pPr>
              <w:ind w:left="440"/>
              <w:spacing w:after="0"/>
              <w:rPr>
                <w:sz w:val="20"/>
                <w:szCs w:val="20"/>
                <w:color w:val="auto"/>
              </w:rPr>
            </w:pPr>
            <w:r>
              <w:rPr>
                <w:rFonts w:ascii="Arial" w:cs="Arial" w:eastAsia="Arial" w:hAnsi="Arial"/>
                <w:sz w:val="16"/>
                <w:szCs w:val="16"/>
                <w:color w:val="auto"/>
              </w:rPr>
              <w:t>Selling, general and administrative</w:t>
            </w:r>
          </w:p>
        </w:tc>
        <w:tc>
          <w:tcPr>
            <w:tcW w:w="1800" w:type="dxa"/>
            <w:vAlign w:val="bottom"/>
          </w:tcPr>
          <w:p>
            <w:pPr>
              <w:jc w:val="right"/>
              <w:ind w:right="20"/>
              <w:spacing w:after="0"/>
              <w:rPr>
                <w:sz w:val="20"/>
                <w:szCs w:val="20"/>
                <w:color w:val="auto"/>
              </w:rPr>
            </w:pPr>
            <w:r>
              <w:rPr>
                <w:rFonts w:ascii="Arial" w:cs="Arial" w:eastAsia="Arial" w:hAnsi="Arial"/>
                <w:sz w:val="16"/>
                <w:szCs w:val="16"/>
                <w:color w:val="auto"/>
              </w:rPr>
              <w:t>465.0</w:t>
            </w:r>
          </w:p>
        </w:tc>
        <w:tc>
          <w:tcPr>
            <w:tcW w:w="120" w:type="dxa"/>
            <w:vAlign w:val="bottom"/>
          </w:tcPr>
          <w:p>
            <w:pPr>
              <w:spacing w:after="0"/>
              <w:rPr>
                <w:sz w:val="20"/>
                <w:szCs w:val="20"/>
                <w:color w:val="auto"/>
              </w:rPr>
            </w:pPr>
          </w:p>
        </w:tc>
        <w:tc>
          <w:tcPr>
            <w:tcW w:w="1800" w:type="dxa"/>
            <w:vAlign w:val="bottom"/>
          </w:tcPr>
          <w:p>
            <w:pPr>
              <w:jc w:val="right"/>
              <w:ind w:right="20"/>
              <w:spacing w:after="0"/>
              <w:rPr>
                <w:sz w:val="20"/>
                <w:szCs w:val="20"/>
                <w:color w:val="auto"/>
              </w:rPr>
            </w:pPr>
            <w:r>
              <w:rPr>
                <w:rFonts w:ascii="Arial" w:cs="Arial" w:eastAsia="Arial" w:hAnsi="Arial"/>
                <w:sz w:val="16"/>
                <w:szCs w:val="16"/>
                <w:color w:val="auto"/>
              </w:rPr>
              <w:t>380.1</w:t>
            </w: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980" w:type="dxa"/>
            <w:vAlign w:val="bottom"/>
          </w:tcPr>
          <w:p>
            <w:pPr>
              <w:ind w:left="440"/>
              <w:spacing w:after="0"/>
              <w:rPr>
                <w:sz w:val="20"/>
                <w:szCs w:val="20"/>
                <w:color w:val="auto"/>
              </w:rPr>
            </w:pPr>
            <w:r>
              <w:rPr>
                <w:rFonts w:ascii="Arial" w:cs="Arial" w:eastAsia="Arial" w:hAnsi="Arial"/>
                <w:sz w:val="16"/>
                <w:szCs w:val="16"/>
                <w:color w:val="auto"/>
              </w:rPr>
              <w:t>Research and development</w:t>
            </w:r>
          </w:p>
        </w:tc>
        <w:tc>
          <w:tcPr>
            <w:tcW w:w="1800" w:type="dxa"/>
            <w:vAlign w:val="bottom"/>
          </w:tcPr>
          <w:p>
            <w:pPr>
              <w:jc w:val="right"/>
              <w:ind w:right="20"/>
              <w:spacing w:after="0"/>
              <w:rPr>
                <w:sz w:val="20"/>
                <w:szCs w:val="20"/>
                <w:color w:val="auto"/>
              </w:rPr>
            </w:pPr>
            <w:r>
              <w:rPr>
                <w:rFonts w:ascii="Arial" w:cs="Arial" w:eastAsia="Arial" w:hAnsi="Arial"/>
                <w:sz w:val="16"/>
                <w:szCs w:val="16"/>
                <w:color w:val="auto"/>
              </w:rPr>
              <w:t>146.0</w:t>
            </w:r>
          </w:p>
        </w:tc>
        <w:tc>
          <w:tcPr>
            <w:tcW w:w="120" w:type="dxa"/>
            <w:vAlign w:val="bottom"/>
          </w:tcPr>
          <w:p>
            <w:pPr>
              <w:spacing w:after="0"/>
              <w:rPr>
                <w:sz w:val="20"/>
                <w:szCs w:val="20"/>
                <w:color w:val="auto"/>
              </w:rPr>
            </w:pPr>
          </w:p>
        </w:tc>
        <w:tc>
          <w:tcPr>
            <w:tcW w:w="1800" w:type="dxa"/>
            <w:vAlign w:val="bottom"/>
          </w:tcPr>
          <w:p>
            <w:pPr>
              <w:jc w:val="right"/>
              <w:ind w:right="20"/>
              <w:spacing w:after="0"/>
              <w:rPr>
                <w:sz w:val="20"/>
                <w:szCs w:val="20"/>
                <w:color w:val="auto"/>
              </w:rPr>
            </w:pPr>
            <w:r>
              <w:rPr>
                <w:rFonts w:ascii="Arial" w:cs="Arial" w:eastAsia="Arial" w:hAnsi="Arial"/>
                <w:sz w:val="16"/>
                <w:szCs w:val="16"/>
                <w:color w:val="auto"/>
              </w:rPr>
              <w:t>109.5</w:t>
            </w: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980" w:type="dxa"/>
            <w:vAlign w:val="bottom"/>
          </w:tcPr>
          <w:p>
            <w:pPr>
              <w:ind w:left="440"/>
              <w:spacing w:after="0"/>
              <w:rPr>
                <w:sz w:val="20"/>
                <w:szCs w:val="20"/>
                <w:color w:val="auto"/>
              </w:rPr>
            </w:pPr>
            <w:r>
              <w:rPr>
                <w:rFonts w:ascii="Arial" w:cs="Arial" w:eastAsia="Arial" w:hAnsi="Arial"/>
                <w:sz w:val="16"/>
                <w:szCs w:val="16"/>
                <w:color w:val="auto"/>
              </w:rPr>
              <w:t>Merger and integration expenses</w:t>
            </w:r>
          </w:p>
        </w:tc>
        <w:tc>
          <w:tcPr>
            <w:tcW w:w="1800" w:type="dxa"/>
            <w:vAlign w:val="bottom"/>
          </w:tcPr>
          <w:p>
            <w:pPr>
              <w:jc w:val="right"/>
              <w:ind w:right="20"/>
              <w:spacing w:after="0"/>
              <w:rPr>
                <w:sz w:val="20"/>
                <w:szCs w:val="20"/>
                <w:color w:val="auto"/>
              </w:rPr>
            </w:pPr>
            <w:r>
              <w:rPr>
                <w:rFonts w:ascii="Arial" w:cs="Arial" w:eastAsia="Arial" w:hAnsi="Arial"/>
                <w:sz w:val="16"/>
                <w:szCs w:val="16"/>
                <w:color w:val="auto"/>
              </w:rPr>
              <w:t>24.4</w:t>
            </w:r>
          </w:p>
        </w:tc>
        <w:tc>
          <w:tcPr>
            <w:tcW w:w="120" w:type="dxa"/>
            <w:vAlign w:val="bottom"/>
          </w:tcPr>
          <w:p>
            <w:pPr>
              <w:spacing w:after="0"/>
              <w:rPr>
                <w:sz w:val="20"/>
                <w:szCs w:val="20"/>
                <w:color w:val="auto"/>
              </w:rPr>
            </w:pPr>
          </w:p>
        </w:tc>
        <w:tc>
          <w:tcPr>
            <w:tcW w:w="1800" w:type="dxa"/>
            <w:vAlign w:val="bottom"/>
          </w:tcPr>
          <w:p>
            <w:pPr>
              <w:jc w:val="right"/>
              <w:ind w:right="20"/>
              <w:spacing w:after="0"/>
              <w:rPr>
                <w:sz w:val="20"/>
                <w:szCs w:val="20"/>
                <w:color w:val="auto"/>
              </w:rPr>
            </w:pPr>
            <w:r>
              <w:rPr>
                <w:rFonts w:ascii="Arial" w:cs="Arial" w:eastAsia="Arial" w:hAnsi="Arial"/>
                <w:sz w:val="16"/>
                <w:szCs w:val="16"/>
                <w:color w:val="auto"/>
              </w:rPr>
              <w:t>15.5</w:t>
            </w: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980" w:type="dxa"/>
            <w:vAlign w:val="bottom"/>
          </w:tcPr>
          <w:p>
            <w:pPr>
              <w:ind w:left="440"/>
              <w:spacing w:after="0"/>
              <w:rPr>
                <w:sz w:val="20"/>
                <w:szCs w:val="20"/>
                <w:color w:val="auto"/>
              </w:rPr>
            </w:pPr>
            <w:r>
              <w:rPr>
                <w:rFonts w:ascii="Arial" w:cs="Arial" w:eastAsia="Arial" w:hAnsi="Arial"/>
                <w:sz w:val="16"/>
                <w:szCs w:val="16"/>
                <w:color w:val="auto"/>
              </w:rPr>
              <w:t>Restructuring expenses</w:t>
            </w:r>
          </w:p>
        </w:tc>
        <w:tc>
          <w:tcPr>
            <w:tcW w:w="1800" w:type="dxa"/>
            <w:vAlign w:val="bottom"/>
          </w:tcPr>
          <w:p>
            <w:pPr>
              <w:jc w:val="right"/>
              <w:ind w:right="20"/>
              <w:spacing w:after="0"/>
              <w:rPr>
                <w:sz w:val="20"/>
                <w:szCs w:val="20"/>
                <w:color w:val="auto"/>
              </w:rPr>
            </w:pPr>
            <w:r>
              <w:rPr>
                <w:rFonts w:ascii="Arial" w:cs="Arial" w:eastAsia="Arial" w:hAnsi="Arial"/>
                <w:sz w:val="16"/>
                <w:szCs w:val="16"/>
                <w:color w:val="auto"/>
              </w:rPr>
              <w:t>15.9</w:t>
            </w:r>
          </w:p>
        </w:tc>
        <w:tc>
          <w:tcPr>
            <w:tcW w:w="120" w:type="dxa"/>
            <w:vAlign w:val="bottom"/>
          </w:tcPr>
          <w:p>
            <w:pPr>
              <w:spacing w:after="0"/>
              <w:rPr>
                <w:sz w:val="20"/>
                <w:szCs w:val="20"/>
                <w:color w:val="auto"/>
              </w:rPr>
            </w:pPr>
          </w:p>
        </w:tc>
        <w:tc>
          <w:tcPr>
            <w:tcW w:w="1800" w:type="dxa"/>
            <w:vAlign w:val="bottom"/>
          </w:tcPr>
          <w:p>
            <w:pPr>
              <w:jc w:val="right"/>
              <w:ind w:right="20"/>
              <w:spacing w:after="0"/>
              <w:rPr>
                <w:sz w:val="20"/>
                <w:szCs w:val="20"/>
                <w:color w:val="auto"/>
              </w:rPr>
            </w:pPr>
            <w:r>
              <w:rPr>
                <w:rFonts w:ascii="Arial" w:cs="Arial" w:eastAsia="Arial" w:hAnsi="Arial"/>
                <w:sz w:val="16"/>
                <w:szCs w:val="16"/>
                <w:color w:val="auto"/>
              </w:rPr>
              <w:t>17.1</w:t>
            </w: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980" w:type="dxa"/>
            <w:vAlign w:val="bottom"/>
          </w:tcPr>
          <w:p>
            <w:pPr>
              <w:ind w:left="440"/>
              <w:spacing w:after="0"/>
              <w:rPr>
                <w:sz w:val="20"/>
                <w:szCs w:val="20"/>
                <w:color w:val="auto"/>
              </w:rPr>
            </w:pPr>
            <w:r>
              <w:rPr>
                <w:rFonts w:ascii="Arial" w:cs="Arial" w:eastAsia="Arial" w:hAnsi="Arial"/>
                <w:sz w:val="16"/>
                <w:szCs w:val="16"/>
                <w:color w:val="auto"/>
              </w:rPr>
              <w:t>Amortization of intangibles</w:t>
            </w:r>
          </w:p>
        </w:tc>
        <w:tc>
          <w:tcPr>
            <w:tcW w:w="1800" w:type="dxa"/>
            <w:vAlign w:val="bottom"/>
          </w:tcPr>
          <w:p>
            <w:pPr>
              <w:jc w:val="right"/>
              <w:ind w:right="20"/>
              <w:spacing w:after="0"/>
              <w:rPr>
                <w:sz w:val="20"/>
                <w:szCs w:val="20"/>
                <w:color w:val="auto"/>
              </w:rPr>
            </w:pPr>
            <w:r>
              <w:rPr>
                <w:rFonts w:ascii="Arial" w:cs="Arial" w:eastAsia="Arial" w:hAnsi="Arial"/>
                <w:sz w:val="16"/>
                <w:szCs w:val="16"/>
                <w:color w:val="auto"/>
              </w:rPr>
              <w:t>37.2</w:t>
            </w:r>
          </w:p>
        </w:tc>
        <w:tc>
          <w:tcPr>
            <w:tcW w:w="120" w:type="dxa"/>
            <w:vAlign w:val="bottom"/>
          </w:tcPr>
          <w:p>
            <w:pPr>
              <w:spacing w:after="0"/>
              <w:rPr>
                <w:sz w:val="20"/>
                <w:szCs w:val="20"/>
                <w:color w:val="auto"/>
              </w:rPr>
            </w:pPr>
          </w:p>
        </w:tc>
        <w:tc>
          <w:tcPr>
            <w:tcW w:w="1800" w:type="dxa"/>
            <w:vAlign w:val="bottom"/>
          </w:tcPr>
          <w:p>
            <w:pPr>
              <w:jc w:val="right"/>
              <w:ind w:right="20"/>
              <w:spacing w:after="0"/>
              <w:rPr>
                <w:sz w:val="20"/>
                <w:szCs w:val="20"/>
                <w:color w:val="auto"/>
              </w:rPr>
            </w:pPr>
            <w:r>
              <w:rPr>
                <w:rFonts w:ascii="Arial" w:cs="Arial" w:eastAsia="Arial" w:hAnsi="Arial"/>
                <w:sz w:val="16"/>
                <w:szCs w:val="16"/>
                <w:color w:val="auto"/>
              </w:rPr>
              <w:t>33.1</w:t>
            </w: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5980" w:type="dxa"/>
            <w:vAlign w:val="bottom"/>
          </w:tcPr>
          <w:p>
            <w:pPr>
              <w:ind w:left="440"/>
              <w:spacing w:after="0"/>
              <w:rPr>
                <w:sz w:val="20"/>
                <w:szCs w:val="20"/>
                <w:color w:val="auto"/>
              </w:rPr>
            </w:pPr>
            <w:r>
              <w:rPr>
                <w:rFonts w:ascii="Arial" w:cs="Arial" w:eastAsia="Arial" w:hAnsi="Arial"/>
                <w:sz w:val="16"/>
                <w:szCs w:val="16"/>
                <w:color w:val="auto"/>
              </w:rPr>
              <w:t>Litigation provision</w:t>
            </w:r>
          </w:p>
        </w:tc>
        <w:tc>
          <w:tcPr>
            <w:tcW w:w="1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294.0</w:t>
            </w:r>
          </w:p>
        </w:tc>
        <w:tc>
          <w:tcPr>
            <w:tcW w:w="120" w:type="dxa"/>
            <w:vAlign w:val="bottom"/>
          </w:tcPr>
          <w:p>
            <w:pPr>
              <w:spacing w:after="0"/>
              <w:rPr>
                <w:sz w:val="21"/>
                <w:szCs w:val="21"/>
                <w:color w:val="auto"/>
              </w:rPr>
            </w:pPr>
          </w:p>
        </w:tc>
        <w:tc>
          <w:tcPr>
            <w:tcW w:w="1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15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5980" w:type="dxa"/>
            <w:vAlign w:val="bottom"/>
          </w:tcPr>
          <w:p>
            <w:pPr>
              <w:spacing w:after="0"/>
              <w:rPr>
                <w:sz w:val="20"/>
                <w:szCs w:val="20"/>
                <w:color w:val="auto"/>
              </w:rPr>
            </w:pPr>
            <w:r>
              <w:rPr>
                <w:rFonts w:ascii="Arial" w:cs="Arial" w:eastAsia="Arial" w:hAnsi="Arial"/>
                <w:sz w:val="16"/>
                <w:szCs w:val="16"/>
                <w:color w:val="auto"/>
              </w:rPr>
              <w:t>Total operating expenses</w:t>
            </w:r>
          </w:p>
        </w:tc>
        <w:tc>
          <w:tcPr>
            <w:tcW w:w="1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982.5</w:t>
            </w:r>
          </w:p>
        </w:tc>
        <w:tc>
          <w:tcPr>
            <w:tcW w:w="120" w:type="dxa"/>
            <w:vAlign w:val="bottom"/>
          </w:tcPr>
          <w:p>
            <w:pPr>
              <w:spacing w:after="0"/>
              <w:rPr>
                <w:sz w:val="19"/>
                <w:szCs w:val="19"/>
                <w:color w:val="auto"/>
              </w:rPr>
            </w:pPr>
          </w:p>
        </w:tc>
        <w:tc>
          <w:tcPr>
            <w:tcW w:w="1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555.3</w:t>
            </w:r>
          </w:p>
        </w:tc>
        <w:tc>
          <w:tcPr>
            <w:tcW w:w="220" w:type="dxa"/>
            <w:vAlign w:val="bottom"/>
          </w:tcPr>
          <w:p>
            <w:pPr>
              <w:spacing w:after="0"/>
              <w:rPr>
                <w:sz w:val="19"/>
                <w:szCs w:val="19"/>
                <w:color w:val="auto"/>
              </w:rPr>
            </w:pPr>
          </w:p>
        </w:tc>
        <w:tc>
          <w:tcPr>
            <w:tcW w:w="15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76.9%</w:t>
            </w:r>
          </w:p>
        </w:tc>
        <w:tc>
          <w:tcPr>
            <w:tcW w:w="0" w:type="dxa"/>
            <w:vAlign w:val="bottom"/>
          </w:tcPr>
          <w:p>
            <w:pPr>
              <w:spacing w:after="0"/>
              <w:rPr>
                <w:sz w:val="1"/>
                <w:szCs w:val="1"/>
                <w:color w:val="auto"/>
              </w:rPr>
            </w:pPr>
          </w:p>
        </w:tc>
      </w:tr>
      <w:tr>
        <w:trPr>
          <w:trHeight w:val="220"/>
        </w:trPr>
        <w:tc>
          <w:tcPr>
            <w:tcW w:w="5980" w:type="dxa"/>
            <w:vAlign w:val="bottom"/>
          </w:tcPr>
          <w:p>
            <w:pPr>
              <w:spacing w:after="0"/>
              <w:rPr>
                <w:sz w:val="20"/>
                <w:szCs w:val="20"/>
                <w:color w:val="auto"/>
              </w:rPr>
            </w:pPr>
            <w:r>
              <w:rPr>
                <w:rFonts w:ascii="Arial" w:cs="Arial" w:eastAsia="Arial" w:hAnsi="Arial"/>
                <w:sz w:val="16"/>
                <w:szCs w:val="16"/>
                <w:color w:val="auto"/>
              </w:rPr>
              <w:t>Operating (loss) income from continuing operations</w:t>
            </w:r>
          </w:p>
        </w:tc>
        <w:tc>
          <w:tcPr>
            <w:tcW w:w="1800" w:type="dxa"/>
            <w:vAlign w:val="bottom"/>
          </w:tcPr>
          <w:p>
            <w:pPr>
              <w:jc w:val="right"/>
              <w:spacing w:after="0"/>
              <w:rPr>
                <w:sz w:val="20"/>
                <w:szCs w:val="20"/>
                <w:color w:val="auto"/>
              </w:rPr>
            </w:pPr>
            <w:r>
              <w:rPr>
                <w:rFonts w:ascii="Arial" w:cs="Arial" w:eastAsia="Arial" w:hAnsi="Arial"/>
                <w:sz w:val="16"/>
                <w:szCs w:val="16"/>
                <w:color w:val="auto"/>
              </w:rPr>
              <w:t>(248.1)</w:t>
            </w:r>
          </w:p>
        </w:tc>
        <w:tc>
          <w:tcPr>
            <w:tcW w:w="120" w:type="dxa"/>
            <w:vAlign w:val="bottom"/>
          </w:tcPr>
          <w:p>
            <w:pPr>
              <w:spacing w:after="0"/>
              <w:rPr>
                <w:sz w:val="19"/>
                <w:szCs w:val="19"/>
                <w:color w:val="auto"/>
              </w:rPr>
            </w:pPr>
          </w:p>
        </w:tc>
        <w:tc>
          <w:tcPr>
            <w:tcW w:w="1800" w:type="dxa"/>
            <w:vAlign w:val="bottom"/>
          </w:tcPr>
          <w:p>
            <w:pPr>
              <w:jc w:val="right"/>
              <w:ind w:right="20"/>
              <w:spacing w:after="0"/>
              <w:rPr>
                <w:sz w:val="20"/>
                <w:szCs w:val="20"/>
                <w:color w:val="auto"/>
              </w:rPr>
            </w:pPr>
            <w:r>
              <w:rPr>
                <w:rFonts w:ascii="Arial" w:cs="Arial" w:eastAsia="Arial" w:hAnsi="Arial"/>
                <w:sz w:val="16"/>
                <w:szCs w:val="16"/>
                <w:color w:val="auto"/>
              </w:rPr>
              <w:t>96.5</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(357.1%)</w:t>
            </w:r>
          </w:p>
        </w:tc>
        <w:tc>
          <w:tcPr>
            <w:tcW w:w="0" w:type="dxa"/>
            <w:vAlign w:val="bottom"/>
          </w:tcPr>
          <w:p>
            <w:pPr>
              <w:spacing w:after="0"/>
              <w:rPr>
                <w:sz w:val="1"/>
                <w:szCs w:val="1"/>
                <w:color w:val="auto"/>
              </w:rPr>
            </w:pPr>
          </w:p>
        </w:tc>
      </w:tr>
      <w:tr>
        <w:trPr>
          <w:trHeight w:val="226"/>
        </w:trPr>
        <w:tc>
          <w:tcPr>
            <w:tcW w:w="5980" w:type="dxa"/>
            <w:vAlign w:val="bottom"/>
          </w:tcPr>
          <w:p>
            <w:pPr>
              <w:ind w:left="440"/>
              <w:spacing w:after="0"/>
              <w:rPr>
                <w:sz w:val="20"/>
                <w:szCs w:val="20"/>
                <w:color w:val="auto"/>
              </w:rPr>
            </w:pPr>
            <w:r>
              <w:rPr>
                <w:rFonts w:ascii="Arial" w:cs="Arial" w:eastAsia="Arial" w:hAnsi="Arial"/>
                <w:sz w:val="16"/>
                <w:szCs w:val="16"/>
                <w:color w:val="auto"/>
              </w:rPr>
              <w:t>Interest expense, net</w:t>
            </w: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(9.0)</w:t>
            </w:r>
          </w:p>
        </w:tc>
        <w:tc>
          <w:tcPr>
            <w:tcW w:w="120" w:type="dxa"/>
            <w:vAlign w:val="bottom"/>
          </w:tcPr>
          <w:p>
            <w:pPr>
              <w:spacing w:after="0"/>
              <w:rPr>
                <w:sz w:val="19"/>
                <w:szCs w:val="19"/>
                <w:color w:val="auto"/>
              </w:rPr>
            </w:pP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(6.5)</w:t>
            </w:r>
          </w:p>
        </w:tc>
        <w:tc>
          <w:tcPr>
            <w:tcW w:w="220" w:type="dxa"/>
            <w:vAlign w:val="bottom"/>
          </w:tcPr>
          <w:p>
            <w:pPr>
              <w:spacing w:after="0"/>
              <w:rPr>
                <w:sz w:val="19"/>
                <w:szCs w:val="19"/>
                <w:color w:val="auto"/>
              </w:rPr>
            </w:pPr>
          </w:p>
        </w:tc>
        <w:tc>
          <w:tcPr>
            <w:tcW w:w="15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5980" w:type="dxa"/>
            <w:vAlign w:val="bottom"/>
          </w:tcPr>
          <w:p>
            <w:pPr>
              <w:ind w:left="440"/>
              <w:spacing w:after="0"/>
              <w:rPr>
                <w:sz w:val="20"/>
                <w:szCs w:val="20"/>
                <w:color w:val="auto"/>
              </w:rPr>
            </w:pPr>
            <w:r>
              <w:rPr>
                <w:rFonts w:ascii="Arial" w:cs="Arial" w:eastAsia="Arial" w:hAnsi="Arial"/>
                <w:sz w:val="16"/>
                <w:szCs w:val="16"/>
                <w:color w:val="auto"/>
              </w:rPr>
              <w:t>Gain on acquisitions</w:t>
            </w:r>
          </w:p>
        </w:tc>
        <w:tc>
          <w:tcPr>
            <w:tcW w:w="1800" w:type="dxa"/>
            <w:vAlign w:val="bottom"/>
          </w:tcPr>
          <w:p>
            <w:pPr>
              <w:jc w:val="right"/>
              <w:ind w:right="20"/>
              <w:spacing w:after="0"/>
              <w:rPr>
                <w:sz w:val="20"/>
                <w:szCs w:val="20"/>
                <w:color w:val="auto"/>
              </w:rPr>
            </w:pPr>
            <w:r>
              <w:rPr>
                <w:rFonts w:ascii="Arial" w:cs="Arial" w:eastAsia="Arial" w:hAnsi="Arial"/>
                <w:sz w:val="16"/>
                <w:szCs w:val="16"/>
                <w:color w:val="auto"/>
              </w:rPr>
              <w:t>11.5</w:t>
            </w:r>
          </w:p>
        </w:tc>
        <w:tc>
          <w:tcPr>
            <w:tcW w:w="120" w:type="dxa"/>
            <w:vAlign w:val="bottom"/>
          </w:tcPr>
          <w:p>
            <w:pPr>
              <w:spacing w:after="0"/>
              <w:rPr>
                <w:sz w:val="20"/>
                <w:szCs w:val="20"/>
                <w:color w:val="auto"/>
              </w:rPr>
            </w:pPr>
          </w:p>
        </w:tc>
        <w:tc>
          <w:tcPr>
            <w:tcW w:w="1800" w:type="dxa"/>
            <w:vAlign w:val="bottom"/>
          </w:tcPr>
          <w:p>
            <w:pPr>
              <w:jc w:val="right"/>
              <w:ind w:right="20"/>
              <w:spacing w:after="0"/>
              <w:rPr>
                <w:sz w:val="20"/>
                <w:szCs w:val="20"/>
                <w:color w:val="auto"/>
              </w:rPr>
            </w:pPr>
            <w:r>
              <w:rPr>
                <w:rFonts w:ascii="Arial" w:cs="Arial" w:eastAsia="Arial" w:hAnsi="Arial"/>
                <w:sz w:val="16"/>
                <w:szCs w:val="16"/>
                <w:color w:val="auto"/>
              </w:rPr>
              <w:t>39.4</w:t>
            </w: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980" w:type="dxa"/>
            <w:vAlign w:val="bottom"/>
          </w:tcPr>
          <w:p>
            <w:pPr>
              <w:ind w:left="440"/>
              <w:spacing w:after="0"/>
              <w:rPr>
                <w:sz w:val="20"/>
                <w:szCs w:val="20"/>
                <w:color w:val="auto"/>
              </w:rPr>
            </w:pPr>
            <w:r>
              <w:rPr>
                <w:rFonts w:ascii="Arial" w:cs="Arial" w:eastAsia="Arial" w:hAnsi="Arial"/>
                <w:sz w:val="16"/>
                <w:szCs w:val="16"/>
                <w:color w:val="auto"/>
              </w:rPr>
              <w:t>Impairment of investments</w:t>
            </w:r>
          </w:p>
        </w:tc>
        <w:tc>
          <w:tcPr>
            <w:tcW w:w="1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0" w:type="dxa"/>
            <w:vAlign w:val="bottom"/>
          </w:tcPr>
          <w:p>
            <w:pPr>
              <w:jc w:val="right"/>
              <w:spacing w:after="0"/>
              <w:rPr>
                <w:sz w:val="20"/>
                <w:szCs w:val="20"/>
                <w:color w:val="auto"/>
              </w:rPr>
            </w:pPr>
            <w:r>
              <w:rPr>
                <w:rFonts w:ascii="Arial" w:cs="Arial" w:eastAsia="Arial" w:hAnsi="Arial"/>
                <w:sz w:val="16"/>
                <w:szCs w:val="16"/>
                <w:color w:val="auto"/>
              </w:rPr>
              <w:t>(8.6)</w:t>
            </w: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5980" w:type="dxa"/>
            <w:vAlign w:val="bottom"/>
          </w:tcPr>
          <w:p>
            <w:pPr>
              <w:ind w:left="440"/>
              <w:spacing w:after="0"/>
              <w:rPr>
                <w:sz w:val="20"/>
                <w:szCs w:val="20"/>
                <w:color w:val="auto"/>
              </w:rPr>
            </w:pPr>
            <w:r>
              <w:rPr>
                <w:rFonts w:ascii="Arial" w:cs="Arial" w:eastAsia="Arial" w:hAnsi="Arial"/>
                <w:sz w:val="16"/>
                <w:szCs w:val="16"/>
                <w:color w:val="auto"/>
              </w:rPr>
              <w:t>Foreign exchange and other (losses) gains</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1"/>
                <w:szCs w:val="21"/>
                <w:color w:val="auto"/>
              </w:rPr>
            </w:pPr>
          </w:p>
        </w:tc>
        <w:tc>
          <w:tcPr>
            <w:tcW w:w="1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0.3</w:t>
            </w:r>
          </w:p>
        </w:tc>
        <w:tc>
          <w:tcPr>
            <w:tcW w:w="220" w:type="dxa"/>
            <w:vAlign w:val="bottom"/>
          </w:tcPr>
          <w:p>
            <w:pPr>
              <w:spacing w:after="0"/>
              <w:rPr>
                <w:sz w:val="21"/>
                <w:szCs w:val="21"/>
                <w:color w:val="auto"/>
              </w:rPr>
            </w:pPr>
          </w:p>
        </w:tc>
        <w:tc>
          <w:tcPr>
            <w:tcW w:w="15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5980" w:type="dxa"/>
            <w:vAlign w:val="bottom"/>
          </w:tcPr>
          <w:p>
            <w:pPr>
              <w:spacing w:after="0"/>
              <w:rPr>
                <w:sz w:val="20"/>
                <w:szCs w:val="20"/>
                <w:color w:val="auto"/>
              </w:rPr>
            </w:pPr>
            <w:r>
              <w:rPr>
                <w:rFonts w:ascii="Arial" w:cs="Arial" w:eastAsia="Arial" w:hAnsi="Arial"/>
                <w:sz w:val="16"/>
                <w:szCs w:val="16"/>
                <w:color w:val="auto"/>
              </w:rPr>
              <w:t>(Loss) income from continuing operations before tax</w:t>
            </w:r>
          </w:p>
        </w:tc>
        <w:tc>
          <w:tcPr>
            <w:tcW w:w="1800" w:type="dxa"/>
            <w:vAlign w:val="bottom"/>
          </w:tcPr>
          <w:p>
            <w:pPr>
              <w:jc w:val="right"/>
              <w:spacing w:after="0"/>
              <w:rPr>
                <w:sz w:val="20"/>
                <w:szCs w:val="20"/>
                <w:color w:val="auto"/>
              </w:rPr>
            </w:pPr>
            <w:r>
              <w:rPr>
                <w:rFonts w:ascii="Arial" w:cs="Arial" w:eastAsia="Arial" w:hAnsi="Arial"/>
                <w:sz w:val="16"/>
                <w:szCs w:val="16"/>
                <w:color w:val="auto"/>
              </w:rPr>
              <w:t>(247.4)</w:t>
            </w:r>
          </w:p>
        </w:tc>
        <w:tc>
          <w:tcPr>
            <w:tcW w:w="120" w:type="dxa"/>
            <w:vAlign w:val="bottom"/>
          </w:tcPr>
          <w:p>
            <w:pPr>
              <w:spacing w:after="0"/>
              <w:rPr>
                <w:sz w:val="19"/>
                <w:szCs w:val="19"/>
                <w:color w:val="auto"/>
              </w:rPr>
            </w:pPr>
          </w:p>
        </w:tc>
        <w:tc>
          <w:tcPr>
            <w:tcW w:w="1800" w:type="dxa"/>
            <w:vAlign w:val="bottom"/>
          </w:tcPr>
          <w:p>
            <w:pPr>
              <w:jc w:val="right"/>
              <w:ind w:right="20"/>
              <w:spacing w:after="0"/>
              <w:rPr>
                <w:sz w:val="20"/>
                <w:szCs w:val="20"/>
                <w:color w:val="auto"/>
              </w:rPr>
            </w:pPr>
            <w:r>
              <w:rPr>
                <w:rFonts w:ascii="Arial" w:cs="Arial" w:eastAsia="Arial" w:hAnsi="Arial"/>
                <w:sz w:val="16"/>
                <w:szCs w:val="16"/>
                <w:color w:val="auto"/>
              </w:rPr>
              <w:t>121.1</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(304.3%)</w:t>
            </w:r>
          </w:p>
        </w:tc>
        <w:tc>
          <w:tcPr>
            <w:tcW w:w="0" w:type="dxa"/>
            <w:vAlign w:val="bottom"/>
          </w:tcPr>
          <w:p>
            <w:pPr>
              <w:spacing w:after="0"/>
              <w:rPr>
                <w:sz w:val="1"/>
                <w:szCs w:val="1"/>
                <w:color w:val="auto"/>
              </w:rPr>
            </w:pPr>
          </w:p>
        </w:tc>
      </w:tr>
      <w:tr>
        <w:trPr>
          <w:trHeight w:val="226"/>
        </w:trPr>
        <w:tc>
          <w:tcPr>
            <w:tcW w:w="5980" w:type="dxa"/>
            <w:vAlign w:val="bottom"/>
          </w:tcPr>
          <w:p>
            <w:pPr>
              <w:ind w:left="440"/>
              <w:spacing w:after="0"/>
              <w:rPr>
                <w:sz w:val="20"/>
                <w:szCs w:val="20"/>
                <w:color w:val="auto"/>
              </w:rPr>
            </w:pPr>
            <w:r>
              <w:rPr>
                <w:rFonts w:ascii="Arial" w:cs="Arial" w:eastAsia="Arial" w:hAnsi="Arial"/>
                <w:sz w:val="16"/>
                <w:szCs w:val="16"/>
                <w:color w:val="auto"/>
              </w:rPr>
              <w:t>Losses from equity method investments</w:t>
            </w: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19"/>
                <w:szCs w:val="19"/>
                <w:color w:val="auto"/>
              </w:rPr>
            </w:pP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(16.7)</w:t>
            </w:r>
          </w:p>
        </w:tc>
        <w:tc>
          <w:tcPr>
            <w:tcW w:w="220" w:type="dxa"/>
            <w:vAlign w:val="bottom"/>
          </w:tcPr>
          <w:p>
            <w:pPr>
              <w:spacing w:after="0"/>
              <w:rPr>
                <w:sz w:val="19"/>
                <w:szCs w:val="19"/>
                <w:color w:val="auto"/>
              </w:rPr>
            </w:pPr>
          </w:p>
        </w:tc>
        <w:tc>
          <w:tcPr>
            <w:tcW w:w="15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5980" w:type="dxa"/>
            <w:vAlign w:val="bottom"/>
          </w:tcPr>
          <w:p>
            <w:pPr>
              <w:ind w:left="440"/>
              <w:spacing w:after="0"/>
              <w:rPr>
                <w:sz w:val="20"/>
                <w:szCs w:val="20"/>
                <w:color w:val="auto"/>
              </w:rPr>
            </w:pPr>
            <w:r>
              <w:rPr>
                <w:rFonts w:ascii="Arial" w:cs="Arial" w:eastAsia="Arial" w:hAnsi="Arial"/>
                <w:sz w:val="16"/>
                <w:szCs w:val="16"/>
                <w:color w:val="auto"/>
              </w:rPr>
              <w:t>Income tax (benefit) expense</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(69.6)</w:t>
            </w:r>
          </w:p>
        </w:tc>
        <w:tc>
          <w:tcPr>
            <w:tcW w:w="120" w:type="dxa"/>
            <w:vAlign w:val="bottom"/>
          </w:tcPr>
          <w:p>
            <w:pPr>
              <w:spacing w:after="0"/>
              <w:rPr>
                <w:sz w:val="21"/>
                <w:szCs w:val="21"/>
                <w:color w:val="auto"/>
              </w:rPr>
            </w:pPr>
          </w:p>
        </w:tc>
        <w:tc>
          <w:tcPr>
            <w:tcW w:w="1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50.0</w:t>
            </w:r>
          </w:p>
        </w:tc>
        <w:tc>
          <w:tcPr>
            <w:tcW w:w="220" w:type="dxa"/>
            <w:vAlign w:val="bottom"/>
          </w:tcPr>
          <w:p>
            <w:pPr>
              <w:spacing w:after="0"/>
              <w:rPr>
                <w:sz w:val="21"/>
                <w:szCs w:val="21"/>
                <w:color w:val="auto"/>
              </w:rPr>
            </w:pPr>
          </w:p>
        </w:tc>
        <w:tc>
          <w:tcPr>
            <w:tcW w:w="15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5980" w:type="dxa"/>
            <w:vAlign w:val="bottom"/>
          </w:tcPr>
          <w:p>
            <w:pPr>
              <w:spacing w:after="0"/>
              <w:rPr>
                <w:sz w:val="20"/>
                <w:szCs w:val="20"/>
                <w:color w:val="auto"/>
              </w:rPr>
            </w:pPr>
            <w:r>
              <w:rPr>
                <w:rFonts w:ascii="Arial" w:cs="Arial" w:eastAsia="Arial" w:hAnsi="Arial"/>
                <w:sz w:val="16"/>
                <w:szCs w:val="16"/>
                <w:color w:val="auto"/>
              </w:rPr>
              <w:t>Net (loss) income from continuing operations</w:t>
            </w:r>
          </w:p>
        </w:tc>
        <w:tc>
          <w:tcPr>
            <w:tcW w:w="1800" w:type="dxa"/>
            <w:vAlign w:val="bottom"/>
          </w:tcPr>
          <w:p>
            <w:pPr>
              <w:jc w:val="right"/>
              <w:spacing w:after="0"/>
              <w:rPr>
                <w:sz w:val="20"/>
                <w:szCs w:val="20"/>
                <w:color w:val="auto"/>
              </w:rPr>
            </w:pPr>
            <w:r>
              <w:rPr>
                <w:rFonts w:ascii="Arial" w:cs="Arial" w:eastAsia="Arial" w:hAnsi="Arial"/>
                <w:sz w:val="16"/>
                <w:szCs w:val="16"/>
                <w:color w:val="auto"/>
              </w:rPr>
              <w:t>(178.5)</w:t>
            </w:r>
          </w:p>
        </w:tc>
        <w:tc>
          <w:tcPr>
            <w:tcW w:w="120" w:type="dxa"/>
            <w:vAlign w:val="bottom"/>
          </w:tcPr>
          <w:p>
            <w:pPr>
              <w:spacing w:after="0"/>
              <w:rPr>
                <w:sz w:val="18"/>
                <w:szCs w:val="18"/>
                <w:color w:val="auto"/>
              </w:rPr>
            </w:pPr>
          </w:p>
        </w:tc>
        <w:tc>
          <w:tcPr>
            <w:tcW w:w="1800" w:type="dxa"/>
            <w:vAlign w:val="bottom"/>
          </w:tcPr>
          <w:p>
            <w:pPr>
              <w:jc w:val="right"/>
              <w:ind w:right="20"/>
              <w:spacing w:after="0"/>
              <w:rPr>
                <w:sz w:val="20"/>
                <w:szCs w:val="20"/>
                <w:color w:val="auto"/>
              </w:rPr>
            </w:pPr>
            <w:r>
              <w:rPr>
                <w:rFonts w:ascii="Arial" w:cs="Arial" w:eastAsia="Arial" w:hAnsi="Arial"/>
                <w:sz w:val="16"/>
                <w:szCs w:val="16"/>
                <w:color w:val="auto"/>
              </w:rPr>
              <w:t>54.5</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(427.5%)</w:t>
            </w:r>
          </w:p>
        </w:tc>
        <w:tc>
          <w:tcPr>
            <w:tcW w:w="0" w:type="dxa"/>
            <w:vAlign w:val="bottom"/>
          </w:tcPr>
          <w:p>
            <w:pPr>
              <w:spacing w:after="0"/>
              <w:rPr>
                <w:sz w:val="1"/>
                <w:szCs w:val="1"/>
                <w:color w:val="auto"/>
              </w:rPr>
            </w:pPr>
          </w:p>
        </w:tc>
      </w:tr>
      <w:tr>
        <w:trPr>
          <w:trHeight w:val="228"/>
        </w:trPr>
        <w:tc>
          <w:tcPr>
            <w:tcW w:w="5980" w:type="dxa"/>
            <w:vAlign w:val="bottom"/>
          </w:tcPr>
          <w:p>
            <w:pPr>
              <w:spacing w:after="0"/>
              <w:rPr>
                <w:sz w:val="20"/>
                <w:szCs w:val="20"/>
                <w:color w:val="auto"/>
              </w:rPr>
            </w:pPr>
            <w:r>
              <w:rPr>
                <w:rFonts w:ascii="Arial" w:cs="Arial" w:eastAsia="Arial" w:hAnsi="Arial"/>
                <w:sz w:val="16"/>
                <w:szCs w:val="16"/>
                <w:color w:val="auto"/>
              </w:rPr>
              <w:t>Discontinued Operations:</w:t>
            </w:r>
          </w:p>
        </w:tc>
        <w:tc>
          <w:tcPr>
            <w:tcW w:w="18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5980" w:type="dxa"/>
            <w:vAlign w:val="bottom"/>
          </w:tcPr>
          <w:p>
            <w:pPr>
              <w:ind w:left="440"/>
              <w:spacing w:after="0"/>
              <w:rPr>
                <w:sz w:val="20"/>
                <w:szCs w:val="20"/>
                <w:color w:val="auto"/>
              </w:rPr>
            </w:pPr>
            <w:r>
              <w:rPr>
                <w:rFonts w:ascii="Arial" w:cs="Arial" w:eastAsia="Arial" w:hAnsi="Arial"/>
                <w:sz w:val="16"/>
                <w:szCs w:val="16"/>
                <w:color w:val="auto"/>
              </w:rPr>
              <w:t>Loss from discontinued operations, net of tax</w:t>
            </w:r>
          </w:p>
        </w:tc>
        <w:tc>
          <w:tcPr>
            <w:tcW w:w="1800" w:type="dxa"/>
            <w:vAlign w:val="bottom"/>
          </w:tcPr>
          <w:p>
            <w:pPr>
              <w:jc w:val="right"/>
              <w:spacing w:after="0"/>
              <w:rPr>
                <w:sz w:val="20"/>
                <w:szCs w:val="20"/>
                <w:color w:val="auto"/>
              </w:rPr>
            </w:pPr>
            <w:r>
              <w:rPr>
                <w:rFonts w:ascii="Arial" w:cs="Arial" w:eastAsia="Arial" w:hAnsi="Arial"/>
                <w:sz w:val="16"/>
                <w:szCs w:val="16"/>
                <w:color w:val="auto"/>
              </w:rPr>
              <w:t>(10.9)</w:t>
            </w:r>
          </w:p>
        </w:tc>
        <w:tc>
          <w:tcPr>
            <w:tcW w:w="12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(1.3)</w:t>
            </w: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5980" w:type="dxa"/>
            <w:vAlign w:val="bottom"/>
          </w:tcPr>
          <w:p>
            <w:pPr>
              <w:ind w:left="440"/>
              <w:spacing w:after="0"/>
              <w:rPr>
                <w:sz w:val="20"/>
                <w:szCs w:val="20"/>
                <w:color w:val="auto"/>
              </w:rPr>
            </w:pPr>
            <w:r>
              <w:rPr>
                <w:rFonts w:ascii="Arial" w:cs="Arial" w:eastAsia="Arial" w:hAnsi="Arial"/>
                <w:sz w:val="16"/>
                <w:szCs w:val="16"/>
                <w:color w:val="auto"/>
              </w:rPr>
              <w:t>Impairment of discontinued operations, net of tax</w:t>
            </w:r>
          </w:p>
        </w:tc>
        <w:tc>
          <w:tcPr>
            <w:tcW w:w="1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0" w:type="dxa"/>
            <w:vAlign w:val="bottom"/>
          </w:tcPr>
          <w:p>
            <w:pPr>
              <w:jc w:val="right"/>
              <w:spacing w:after="0"/>
              <w:rPr>
                <w:sz w:val="20"/>
                <w:szCs w:val="20"/>
                <w:color w:val="auto"/>
              </w:rPr>
            </w:pPr>
            <w:r>
              <w:rPr>
                <w:rFonts w:ascii="Arial" w:cs="Arial" w:eastAsia="Arial" w:hAnsi="Arial"/>
                <w:sz w:val="16"/>
                <w:szCs w:val="16"/>
                <w:color w:val="auto"/>
              </w:rPr>
              <w:t>(78.3)</w:t>
            </w:r>
          </w:p>
        </w:tc>
        <w:tc>
          <w:tcPr>
            <w:tcW w:w="2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5980" w:type="dxa"/>
            <w:vAlign w:val="bottom"/>
          </w:tcPr>
          <w:p>
            <w:pPr>
              <w:spacing w:after="0"/>
              <w:rPr>
                <w:sz w:val="20"/>
                <w:szCs w:val="20"/>
                <w:color w:val="auto"/>
              </w:rPr>
            </w:pPr>
            <w:r>
              <w:rPr>
                <w:rFonts w:ascii="Arial" w:cs="Arial" w:eastAsia="Arial" w:hAnsi="Arial"/>
                <w:sz w:val="16"/>
                <w:szCs w:val="16"/>
                <w:color w:val="auto"/>
              </w:rPr>
              <w:t>Net loss from discontinued operations, net of tax</w:t>
            </w: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(10.9)</w:t>
            </w:r>
          </w:p>
        </w:tc>
        <w:tc>
          <w:tcPr>
            <w:tcW w:w="120" w:type="dxa"/>
            <w:vAlign w:val="bottom"/>
          </w:tcPr>
          <w:p>
            <w:pPr>
              <w:spacing w:after="0"/>
              <w:rPr>
                <w:sz w:val="19"/>
                <w:szCs w:val="19"/>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(79.6)</w:t>
            </w:r>
          </w:p>
        </w:tc>
        <w:tc>
          <w:tcPr>
            <w:tcW w:w="220" w:type="dxa"/>
            <w:vAlign w:val="bottom"/>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5980" w:type="dxa"/>
            <w:vAlign w:val="bottom"/>
          </w:tcPr>
          <w:p>
            <w:pPr>
              <w:spacing w:after="0"/>
              <w:rPr>
                <w:sz w:val="20"/>
                <w:szCs w:val="20"/>
                <w:color w:val="auto"/>
              </w:rPr>
            </w:pPr>
            <w:r>
              <w:rPr>
                <w:rFonts w:ascii="Arial" w:cs="Arial" w:eastAsia="Arial" w:hAnsi="Arial"/>
                <w:sz w:val="16"/>
                <w:szCs w:val="16"/>
                <w:color w:val="auto"/>
              </w:rPr>
              <w:t>Net loss</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($189.4)</w:t>
            </w:r>
          </w:p>
        </w:tc>
        <w:tc>
          <w:tcPr>
            <w:tcW w:w="120" w:type="dxa"/>
            <w:vAlign w:val="bottom"/>
          </w:tcPr>
          <w:p>
            <w:pPr>
              <w:spacing w:after="0"/>
              <w:rPr>
                <w:sz w:val="24"/>
                <w:szCs w:val="24"/>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(654.6%)</w:t>
            </w:r>
          </w:p>
        </w:tc>
        <w:tc>
          <w:tcPr>
            <w:tcW w:w="0" w:type="dxa"/>
            <w:vAlign w:val="bottom"/>
          </w:tcPr>
          <w:p>
            <w:pPr>
              <w:spacing w:after="0"/>
              <w:rPr>
                <w:sz w:val="1"/>
                <w:szCs w:val="1"/>
                <w:color w:val="auto"/>
              </w:rPr>
            </w:pPr>
          </w:p>
        </w:tc>
      </w:tr>
      <w:tr>
        <w:trPr>
          <w:trHeight w:val="491"/>
        </w:trPr>
        <w:tc>
          <w:tcPr>
            <w:tcW w:w="5980" w:type="dxa"/>
            <w:vAlign w:val="bottom"/>
          </w:tcPr>
          <w:p>
            <w:pPr>
              <w:spacing w:after="0"/>
              <w:rPr>
                <w:sz w:val="20"/>
                <w:szCs w:val="20"/>
                <w:color w:val="auto"/>
              </w:rPr>
            </w:pPr>
            <w:r>
              <w:rPr>
                <w:rFonts w:ascii="Arial" w:cs="Arial" w:eastAsia="Arial" w:hAnsi="Arial"/>
                <w:sz w:val="16"/>
                <w:szCs w:val="16"/>
                <w:color w:val="auto"/>
              </w:rPr>
              <w:t>Basic (loss) income per share:</w:t>
            </w:r>
          </w:p>
        </w:tc>
        <w:tc>
          <w:tcPr>
            <w:tcW w:w="18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5980" w:type="dxa"/>
            <w:vAlign w:val="bottom"/>
          </w:tcPr>
          <w:p>
            <w:pPr>
              <w:ind w:left="440"/>
              <w:spacing w:after="0"/>
              <w:rPr>
                <w:sz w:val="20"/>
                <w:szCs w:val="20"/>
                <w:color w:val="auto"/>
              </w:rPr>
            </w:pPr>
            <w:r>
              <w:rPr>
                <w:rFonts w:ascii="Arial" w:cs="Arial" w:eastAsia="Arial" w:hAnsi="Arial"/>
                <w:sz w:val="16"/>
                <w:szCs w:val="16"/>
                <w:color w:val="auto"/>
              </w:rPr>
              <w:t>Continuing operations</w:t>
            </w:r>
          </w:p>
        </w:tc>
        <w:tc>
          <w:tcPr>
            <w:tcW w:w="1800" w:type="dxa"/>
            <w:vAlign w:val="bottom"/>
          </w:tcPr>
          <w:p>
            <w:pPr>
              <w:jc w:val="right"/>
              <w:spacing w:after="0"/>
              <w:rPr>
                <w:sz w:val="20"/>
                <w:szCs w:val="20"/>
                <w:color w:val="auto"/>
              </w:rPr>
            </w:pPr>
            <w:r>
              <w:rPr>
                <w:rFonts w:ascii="Arial" w:cs="Arial" w:eastAsia="Arial" w:hAnsi="Arial"/>
                <w:sz w:val="16"/>
                <w:szCs w:val="16"/>
                <w:color w:val="auto"/>
              </w:rPr>
              <w:t>($3.68)</w:t>
            </w:r>
          </w:p>
        </w:tc>
        <w:tc>
          <w:tcPr>
            <w:tcW w:w="120" w:type="dxa"/>
            <w:vAlign w:val="bottom"/>
          </w:tcPr>
          <w:p>
            <w:pPr>
              <w:spacing w:after="0"/>
              <w:rPr>
                <w:sz w:val="20"/>
                <w:szCs w:val="20"/>
                <w:color w:val="auto"/>
              </w:rPr>
            </w:pPr>
          </w:p>
        </w:tc>
        <w:tc>
          <w:tcPr>
            <w:tcW w:w="1800" w:type="dxa"/>
            <w:vAlign w:val="bottom"/>
          </w:tcPr>
          <w:p>
            <w:pPr>
              <w:jc w:val="right"/>
              <w:ind w:right="20"/>
              <w:spacing w:after="0"/>
              <w:rPr>
                <w:sz w:val="20"/>
                <w:szCs w:val="20"/>
                <w:color w:val="auto"/>
              </w:rPr>
            </w:pPr>
            <w:r>
              <w:rPr>
                <w:rFonts w:ascii="Arial" w:cs="Arial" w:eastAsia="Arial" w:hAnsi="Arial"/>
                <w:sz w:val="16"/>
                <w:szCs w:val="16"/>
                <w:color w:val="auto"/>
              </w:rPr>
              <w:t>$1.13</w:t>
            </w: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5980" w:type="dxa"/>
            <w:vAlign w:val="bottom"/>
          </w:tcPr>
          <w:p>
            <w:pPr>
              <w:ind w:left="440"/>
              <w:spacing w:after="0"/>
              <w:rPr>
                <w:sz w:val="20"/>
                <w:szCs w:val="20"/>
                <w:color w:val="auto"/>
              </w:rPr>
            </w:pPr>
            <w:r>
              <w:rPr>
                <w:rFonts w:ascii="Arial" w:cs="Arial" w:eastAsia="Arial" w:hAnsi="Arial"/>
                <w:sz w:val="16"/>
                <w:szCs w:val="16"/>
                <w:color w:val="auto"/>
              </w:rPr>
              <w:t>Discontinued operations</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($0.23)</w:t>
            </w:r>
          </w:p>
        </w:tc>
        <w:tc>
          <w:tcPr>
            <w:tcW w:w="120" w:type="dxa"/>
            <w:vAlign w:val="bottom"/>
          </w:tcPr>
          <w:p>
            <w:pPr>
              <w:spacing w:after="0"/>
              <w:rPr>
                <w:sz w:val="21"/>
                <w:szCs w:val="21"/>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w:t>
            </w:r>
          </w:p>
        </w:tc>
        <w:tc>
          <w:tcPr>
            <w:tcW w:w="2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980" w:type="dxa"/>
            <w:vAlign w:val="bottom"/>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($3.91)</w:t>
            </w:r>
          </w:p>
        </w:tc>
        <w:tc>
          <w:tcPr>
            <w:tcW w:w="120" w:type="dxa"/>
            <w:vAlign w:val="bottom"/>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($0.52)</w:t>
            </w:r>
          </w:p>
        </w:tc>
        <w:tc>
          <w:tcPr>
            <w:tcW w:w="2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Arial" w:cs="Arial" w:eastAsia="Arial" w:hAnsi="Arial"/>
                <w:sz w:val="16"/>
                <w:szCs w:val="16"/>
                <w:color w:val="auto"/>
              </w:rPr>
              <w:t>Diluted (loss) income per share:</w:t>
            </w: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9"/>
        </w:trPr>
        <w:tc>
          <w:tcPr>
            <w:tcW w:w="5980" w:type="dxa"/>
            <w:vAlign w:val="bottom"/>
            <w:vMerge w:val="continue"/>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5980" w:type="dxa"/>
            <w:vAlign w:val="bottom"/>
          </w:tcPr>
          <w:p>
            <w:pPr>
              <w:ind w:left="440"/>
              <w:spacing w:after="0"/>
              <w:rPr>
                <w:sz w:val="20"/>
                <w:szCs w:val="20"/>
                <w:color w:val="auto"/>
              </w:rPr>
            </w:pPr>
            <w:r>
              <w:rPr>
                <w:rFonts w:ascii="Arial" w:cs="Arial" w:eastAsia="Arial" w:hAnsi="Arial"/>
                <w:sz w:val="16"/>
                <w:szCs w:val="16"/>
                <w:color w:val="auto"/>
              </w:rPr>
              <w:t>Continuing operations</w:t>
            </w:r>
          </w:p>
        </w:tc>
        <w:tc>
          <w:tcPr>
            <w:tcW w:w="1800" w:type="dxa"/>
            <w:vAlign w:val="bottom"/>
          </w:tcPr>
          <w:p>
            <w:pPr>
              <w:jc w:val="right"/>
              <w:spacing w:after="0"/>
              <w:rPr>
                <w:sz w:val="20"/>
                <w:szCs w:val="20"/>
                <w:color w:val="auto"/>
              </w:rPr>
            </w:pPr>
            <w:r>
              <w:rPr>
                <w:rFonts w:ascii="Arial" w:cs="Arial" w:eastAsia="Arial" w:hAnsi="Arial"/>
                <w:sz w:val="16"/>
                <w:szCs w:val="16"/>
                <w:color w:val="auto"/>
              </w:rPr>
              <w:t>($3.68)</w:t>
            </w:r>
          </w:p>
        </w:tc>
        <w:tc>
          <w:tcPr>
            <w:tcW w:w="120" w:type="dxa"/>
            <w:vAlign w:val="bottom"/>
          </w:tcPr>
          <w:p>
            <w:pPr>
              <w:spacing w:after="0"/>
              <w:rPr>
                <w:sz w:val="20"/>
                <w:szCs w:val="20"/>
                <w:color w:val="auto"/>
              </w:rPr>
            </w:pPr>
          </w:p>
        </w:tc>
        <w:tc>
          <w:tcPr>
            <w:tcW w:w="1800" w:type="dxa"/>
            <w:vAlign w:val="bottom"/>
          </w:tcPr>
          <w:p>
            <w:pPr>
              <w:jc w:val="right"/>
              <w:ind w:right="20"/>
              <w:spacing w:after="0"/>
              <w:rPr>
                <w:sz w:val="20"/>
                <w:szCs w:val="20"/>
                <w:color w:val="auto"/>
              </w:rPr>
            </w:pPr>
            <w:r>
              <w:rPr>
                <w:rFonts w:ascii="Arial" w:cs="Arial" w:eastAsia="Arial" w:hAnsi="Arial"/>
                <w:sz w:val="16"/>
                <w:szCs w:val="16"/>
                <w:color w:val="auto"/>
              </w:rPr>
              <w:t>$1.12</w:t>
            </w: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5980" w:type="dxa"/>
            <w:vAlign w:val="bottom"/>
          </w:tcPr>
          <w:p>
            <w:pPr>
              <w:ind w:left="440"/>
              <w:spacing w:after="0"/>
              <w:rPr>
                <w:sz w:val="20"/>
                <w:szCs w:val="20"/>
                <w:color w:val="auto"/>
              </w:rPr>
            </w:pPr>
            <w:r>
              <w:rPr>
                <w:rFonts w:ascii="Arial" w:cs="Arial" w:eastAsia="Arial" w:hAnsi="Arial"/>
                <w:sz w:val="16"/>
                <w:szCs w:val="16"/>
                <w:color w:val="auto"/>
              </w:rPr>
              <w:t>Discontinued operations</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($0.23)</w:t>
            </w:r>
          </w:p>
        </w:tc>
        <w:tc>
          <w:tcPr>
            <w:tcW w:w="120" w:type="dxa"/>
            <w:vAlign w:val="bottom"/>
          </w:tcPr>
          <w:p>
            <w:pPr>
              <w:spacing w:after="0"/>
              <w:rPr>
                <w:sz w:val="21"/>
                <w:szCs w:val="21"/>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w:t>
            </w:r>
          </w:p>
        </w:tc>
        <w:tc>
          <w:tcPr>
            <w:tcW w:w="2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980" w:type="dxa"/>
            <w:vAlign w:val="bottom"/>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($3.91)</w:t>
            </w:r>
          </w:p>
        </w:tc>
        <w:tc>
          <w:tcPr>
            <w:tcW w:w="120" w:type="dxa"/>
            <w:vAlign w:val="bottom"/>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($0.52)</w:t>
            </w:r>
          </w:p>
        </w:tc>
        <w:tc>
          <w:tcPr>
            <w:tcW w:w="2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Arial" w:cs="Arial" w:eastAsia="Arial" w:hAnsi="Arial"/>
                <w:sz w:val="16"/>
                <w:szCs w:val="16"/>
                <w:color w:val="auto"/>
              </w:rPr>
              <w:t>Weighted average common shares outstanding</w:t>
            </w: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9"/>
        </w:trPr>
        <w:tc>
          <w:tcPr>
            <w:tcW w:w="5980" w:type="dxa"/>
            <w:vAlign w:val="bottom"/>
            <w:vMerge w:val="continue"/>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5980" w:type="dxa"/>
            <w:vAlign w:val="bottom"/>
          </w:tcPr>
          <w:p>
            <w:pPr>
              <w:ind w:left="440"/>
              <w:spacing w:after="0"/>
              <w:rPr>
                <w:sz w:val="20"/>
                <w:szCs w:val="20"/>
                <w:color w:val="auto"/>
              </w:rPr>
            </w:pPr>
            <w:r>
              <w:rPr>
                <w:rFonts w:ascii="Arial" w:cs="Arial" w:eastAsia="Arial" w:hAnsi="Arial"/>
                <w:sz w:val="16"/>
                <w:szCs w:val="16"/>
                <w:color w:val="auto"/>
              </w:rPr>
              <w:t>Basic</w:t>
            </w:r>
          </w:p>
        </w:tc>
        <w:tc>
          <w:tcPr>
            <w:tcW w:w="1800" w:type="dxa"/>
            <w:vAlign w:val="bottom"/>
          </w:tcPr>
          <w:p>
            <w:pPr>
              <w:jc w:val="right"/>
              <w:ind w:right="20"/>
              <w:spacing w:after="0"/>
              <w:rPr>
                <w:sz w:val="20"/>
                <w:szCs w:val="20"/>
                <w:color w:val="auto"/>
              </w:rPr>
            </w:pPr>
            <w:r>
              <w:rPr>
                <w:rFonts w:ascii="Arial" w:cs="Arial" w:eastAsia="Arial" w:hAnsi="Arial"/>
                <w:sz w:val="16"/>
                <w:szCs w:val="16"/>
                <w:color w:val="auto"/>
              </w:rPr>
              <w:t>48.5</w:t>
            </w:r>
          </w:p>
        </w:tc>
        <w:tc>
          <w:tcPr>
            <w:tcW w:w="120" w:type="dxa"/>
            <w:vAlign w:val="bottom"/>
          </w:tcPr>
          <w:p>
            <w:pPr>
              <w:spacing w:after="0"/>
              <w:rPr>
                <w:sz w:val="20"/>
                <w:szCs w:val="20"/>
                <w:color w:val="auto"/>
              </w:rPr>
            </w:pPr>
          </w:p>
        </w:tc>
        <w:tc>
          <w:tcPr>
            <w:tcW w:w="1800" w:type="dxa"/>
            <w:vAlign w:val="bottom"/>
          </w:tcPr>
          <w:p>
            <w:pPr>
              <w:jc w:val="right"/>
              <w:ind w:right="20"/>
              <w:spacing w:after="0"/>
              <w:rPr>
                <w:sz w:val="20"/>
                <w:szCs w:val="20"/>
                <w:color w:val="auto"/>
              </w:rPr>
            </w:pPr>
            <w:r>
              <w:rPr>
                <w:rFonts w:ascii="Arial" w:cs="Arial" w:eastAsia="Arial" w:hAnsi="Arial"/>
                <w:sz w:val="16"/>
                <w:szCs w:val="16"/>
                <w:color w:val="auto"/>
              </w:rPr>
              <w:t>48.2</w:t>
            </w: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980" w:type="dxa"/>
            <w:vAlign w:val="bottom"/>
          </w:tcPr>
          <w:p>
            <w:pPr>
              <w:ind w:left="440"/>
              <w:spacing w:after="0"/>
              <w:rPr>
                <w:sz w:val="20"/>
                <w:szCs w:val="20"/>
                <w:color w:val="auto"/>
              </w:rPr>
            </w:pPr>
            <w:r>
              <w:rPr>
                <w:rFonts w:ascii="Arial" w:cs="Arial" w:eastAsia="Arial" w:hAnsi="Arial"/>
                <w:sz w:val="16"/>
                <w:szCs w:val="16"/>
                <w:color w:val="auto"/>
              </w:rPr>
              <w:t>Diluted</w:t>
            </w:r>
          </w:p>
        </w:tc>
        <w:tc>
          <w:tcPr>
            <w:tcW w:w="1800" w:type="dxa"/>
            <w:vAlign w:val="bottom"/>
          </w:tcPr>
          <w:p>
            <w:pPr>
              <w:jc w:val="right"/>
              <w:ind w:right="20"/>
              <w:spacing w:after="0"/>
              <w:rPr>
                <w:sz w:val="20"/>
                <w:szCs w:val="20"/>
                <w:color w:val="auto"/>
              </w:rPr>
            </w:pPr>
            <w:r>
              <w:rPr>
                <w:rFonts w:ascii="Arial" w:cs="Arial" w:eastAsia="Arial" w:hAnsi="Arial"/>
                <w:sz w:val="16"/>
                <w:szCs w:val="16"/>
                <w:color w:val="auto"/>
              </w:rPr>
              <w:t>48.5</w:t>
            </w:r>
          </w:p>
        </w:tc>
        <w:tc>
          <w:tcPr>
            <w:tcW w:w="120" w:type="dxa"/>
            <w:vAlign w:val="bottom"/>
          </w:tcPr>
          <w:p>
            <w:pPr>
              <w:spacing w:after="0"/>
              <w:rPr>
                <w:sz w:val="20"/>
                <w:szCs w:val="20"/>
                <w:color w:val="auto"/>
              </w:rPr>
            </w:pPr>
          </w:p>
        </w:tc>
        <w:tc>
          <w:tcPr>
            <w:tcW w:w="1800" w:type="dxa"/>
            <w:vAlign w:val="bottom"/>
          </w:tcPr>
          <w:p>
            <w:pPr>
              <w:jc w:val="right"/>
              <w:ind w:right="20"/>
              <w:spacing w:after="0"/>
              <w:rPr>
                <w:sz w:val="20"/>
                <w:szCs w:val="20"/>
                <w:color w:val="auto"/>
              </w:rPr>
            </w:pPr>
            <w:r>
              <w:rPr>
                <w:rFonts w:ascii="Arial" w:cs="Arial" w:eastAsia="Arial" w:hAnsi="Arial"/>
                <w:sz w:val="16"/>
                <w:szCs w:val="16"/>
                <w:color w:val="auto"/>
              </w:rPr>
              <w:t>48.5</w:t>
            </w: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27" w:lineRule="exact"/>
        <w:rPr>
          <w:sz w:val="20"/>
          <w:szCs w:val="20"/>
          <w:color w:val="auto"/>
        </w:rPr>
      </w:pPr>
    </w:p>
    <w:p>
      <w:pPr>
        <w:ind w:left="440" w:hanging="440"/>
        <w:spacing w:after="0"/>
        <w:tabs>
          <w:tab w:leader="none" w:pos="440" w:val="left"/>
        </w:tabs>
        <w:numPr>
          <w:ilvl w:val="0"/>
          <w:numId w:val="9"/>
        </w:numPr>
        <w:rPr>
          <w:rFonts w:ascii="Arial" w:cs="Arial" w:eastAsia="Arial" w:hAnsi="Arial"/>
          <w:sz w:val="13"/>
          <w:szCs w:val="13"/>
          <w:color w:val="auto"/>
        </w:rPr>
      </w:pPr>
      <w:r>
        <w:rPr>
          <w:rFonts w:ascii="Arial" w:cs="Arial" w:eastAsia="Arial" w:hAnsi="Arial"/>
          <w:sz w:val="13"/>
          <w:szCs w:val="13"/>
          <w:color w:val="auto"/>
        </w:rPr>
        <w:t>Numbers may not add up precisely due to rounding.</w:t>
      </w:r>
    </w:p>
    <w:p>
      <w:pPr>
        <w:spacing w:after="0" w:line="236" w:lineRule="exact"/>
        <w:rPr>
          <w:sz w:val="20"/>
          <w:szCs w:val="20"/>
          <w:color w:val="auto"/>
        </w:rPr>
      </w:pPr>
    </w:p>
    <w:p>
      <w:pPr>
        <w:jc w:val="center"/>
        <w:ind w:right="40"/>
        <w:spacing w:after="0"/>
        <w:rPr>
          <w:sz w:val="20"/>
          <w:szCs w:val="20"/>
          <w:color w:val="auto"/>
        </w:rPr>
      </w:pPr>
      <w:r>
        <w:rPr>
          <w:rFonts w:ascii="Arial" w:cs="Arial" w:eastAsia="Arial" w:hAnsi="Arial"/>
          <w:sz w:val="19"/>
          <w:szCs w:val="19"/>
          <w:color w:val="auto"/>
        </w:rPr>
        <w:t>15</w:t>
      </w:r>
    </w:p>
    <w:p>
      <w:pPr>
        <w:sectPr>
          <w:pgSz w:w="11900" w:h="16838" w:orient="portrait"/>
          <w:cols w:equalWidth="0" w:num="1">
            <w:col w:w="11420"/>
          </w:cols>
          <w:pgMar w:left="260" w:top="718" w:right="21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12"/>
        </w:trPr>
        <w:tc>
          <w:tcPr>
            <w:tcW w:w="6780" w:type="dxa"/>
            <w:vAlign w:val="bottom"/>
            <w:gridSpan w:val="2"/>
          </w:tcPr>
          <w:p>
            <w:pPr>
              <w:spacing w:after="0"/>
              <w:rPr>
                <w:sz w:val="20"/>
                <w:szCs w:val="20"/>
                <w:color w:val="auto"/>
              </w:rPr>
            </w:pPr>
            <w:r>
              <w:rPr>
                <w:rFonts w:ascii="Arial" w:cs="Arial" w:eastAsia="Arial" w:hAnsi="Arial"/>
                <w:sz w:val="16"/>
                <w:szCs w:val="16"/>
                <w:b w:val="1"/>
                <w:bCs w:val="1"/>
                <w:color w:val="auto"/>
              </w:rPr>
              <w:t>Adjusted Financial Measures (U.S. dollars in millions, except per share amounts)</w:t>
            </w:r>
          </w:p>
        </w:tc>
        <w:tc>
          <w:tcPr>
            <w:tcW w:w="1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458"/>
        </w:trPr>
        <w:tc>
          <w:tcPr>
            <w:tcW w:w="5640" w:type="dxa"/>
            <w:vAlign w:val="bottom"/>
          </w:tcPr>
          <w:p>
            <w:pPr>
              <w:spacing w:after="0"/>
              <w:rPr>
                <w:sz w:val="24"/>
                <w:szCs w:val="24"/>
                <w:color w:val="auto"/>
              </w:rPr>
            </w:pPr>
          </w:p>
        </w:tc>
        <w:tc>
          <w:tcPr>
            <w:tcW w:w="306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Twelve Months Ended</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18"/>
        </w:trPr>
        <w:tc>
          <w:tcPr>
            <w:tcW w:w="564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ind w:right="580"/>
              <w:spacing w:after="0"/>
              <w:rPr>
                <w:sz w:val="20"/>
                <w:szCs w:val="20"/>
                <w:color w:val="auto"/>
              </w:rPr>
            </w:pPr>
            <w:r>
              <w:rPr>
                <w:rFonts w:ascii="Arial" w:cs="Arial" w:eastAsia="Arial" w:hAnsi="Arial"/>
                <w:sz w:val="16"/>
                <w:szCs w:val="16"/>
                <w:b w:val="1"/>
                <w:bCs w:val="1"/>
                <w:color w:val="auto"/>
              </w:rPr>
              <w:t>December 31,</w:t>
            </w:r>
          </w:p>
        </w:tc>
        <w:tc>
          <w:tcPr>
            <w:tcW w:w="6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37"/>
        </w:trPr>
        <w:tc>
          <w:tcPr>
            <w:tcW w:w="564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6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tcBorders>
              <w:bottom w:val="single" w:sz="8" w:color="auto"/>
            </w:tcBorders>
          </w:tcPr>
          <w:p>
            <w:pPr>
              <w:jc w:val="right"/>
              <w:ind w:right="440"/>
              <w:spacing w:after="0"/>
              <w:rPr>
                <w:sz w:val="20"/>
                <w:szCs w:val="20"/>
                <w:color w:val="auto"/>
              </w:rPr>
            </w:pPr>
            <w:r>
              <w:rPr>
                <w:rFonts w:ascii="Arial" w:cs="Arial" w:eastAsia="Arial" w:hAnsi="Arial"/>
                <w:sz w:val="16"/>
                <w:szCs w:val="16"/>
                <w:b w:val="1"/>
                <w:bCs w:val="1"/>
                <w:color w:val="auto"/>
              </w:rPr>
              <w:t xml:space="preserve">% Change </w:t>
            </w:r>
            <w:r>
              <w:rPr>
                <w:rFonts w:ascii="Arial" w:cs="Arial" w:eastAsia="Arial" w:hAnsi="Arial"/>
                <w:sz w:val="19"/>
                <w:szCs w:val="19"/>
                <w:b w:val="1"/>
                <w:bCs w:val="1"/>
                <w:color w:val="auto"/>
                <w:vertAlign w:val="superscript"/>
              </w:rPr>
              <w:t>(1)</w:t>
            </w:r>
          </w:p>
        </w:tc>
      </w:tr>
      <w:tr>
        <w:trPr>
          <w:trHeight w:val="265"/>
        </w:trPr>
        <w:tc>
          <w:tcPr>
            <w:tcW w:w="6780" w:type="dxa"/>
            <w:vAlign w:val="bottom"/>
            <w:gridSpan w:val="2"/>
          </w:tcPr>
          <w:p>
            <w:pPr>
              <w:spacing w:after="0"/>
              <w:rPr>
                <w:sz w:val="20"/>
                <w:szCs w:val="20"/>
                <w:color w:val="auto"/>
              </w:rPr>
            </w:pPr>
            <w:r>
              <w:rPr>
                <w:rFonts w:ascii="Arial" w:cs="Arial" w:eastAsia="Arial" w:hAnsi="Arial"/>
                <w:sz w:val="16"/>
                <w:szCs w:val="16"/>
                <w:color w:val="auto"/>
              </w:rPr>
              <w:t xml:space="preserve">Adjusted gross profit </w:t>
            </w:r>
            <w:r>
              <w:rPr>
                <w:rFonts w:ascii="Arial" w:cs="Arial" w:eastAsia="Arial" w:hAnsi="Arial"/>
                <w:sz w:val="19"/>
                <w:szCs w:val="19"/>
                <w:color w:val="auto"/>
                <w:vertAlign w:val="superscript"/>
              </w:rPr>
              <w:t>(1)</w:t>
            </w:r>
          </w:p>
        </w:tc>
        <w:tc>
          <w:tcPr>
            <w:tcW w:w="1920" w:type="dxa"/>
            <w:vAlign w:val="bottom"/>
          </w:tcPr>
          <w:p>
            <w:pPr>
              <w:jc w:val="right"/>
              <w:ind w:right="1280"/>
              <w:spacing w:after="0"/>
              <w:rPr>
                <w:sz w:val="20"/>
                <w:szCs w:val="20"/>
                <w:color w:val="auto"/>
              </w:rPr>
            </w:pPr>
            <w:r>
              <w:rPr>
                <w:rFonts w:ascii="Arial" w:cs="Arial" w:eastAsia="Arial" w:hAnsi="Arial"/>
                <w:sz w:val="16"/>
                <w:szCs w:val="16"/>
                <w:color w:val="auto"/>
              </w:rPr>
              <w:t>$754.3</w:t>
            </w: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$665.0</w:t>
            </w:r>
          </w:p>
        </w:tc>
        <w:tc>
          <w:tcPr>
            <w:tcW w:w="120" w:type="dxa"/>
            <w:vAlign w:val="bottom"/>
          </w:tcPr>
          <w:p>
            <w:pPr>
              <w:spacing w:after="0"/>
              <w:rPr>
                <w:sz w:val="23"/>
                <w:szCs w:val="23"/>
                <w:color w:val="auto"/>
              </w:rPr>
            </w:pPr>
          </w:p>
        </w:tc>
        <w:tc>
          <w:tcPr>
            <w:tcW w:w="1940" w:type="dxa"/>
            <w:vAlign w:val="bottom"/>
          </w:tcPr>
          <w:p>
            <w:pPr>
              <w:jc w:val="right"/>
              <w:ind w:right="20"/>
              <w:spacing w:after="0"/>
              <w:rPr>
                <w:sz w:val="20"/>
                <w:szCs w:val="20"/>
                <w:color w:val="auto"/>
              </w:rPr>
            </w:pPr>
            <w:r>
              <w:rPr>
                <w:rFonts w:ascii="Arial" w:cs="Arial" w:eastAsia="Arial" w:hAnsi="Arial"/>
                <w:sz w:val="16"/>
                <w:szCs w:val="16"/>
                <w:color w:val="auto"/>
              </w:rPr>
              <w:t>13.4%</w:t>
            </w:r>
          </w:p>
        </w:tc>
      </w:tr>
      <w:tr>
        <w:trPr>
          <w:trHeight w:val="240"/>
        </w:trPr>
        <w:tc>
          <w:tcPr>
            <w:tcW w:w="6780" w:type="dxa"/>
            <w:vAlign w:val="bottom"/>
            <w:gridSpan w:val="2"/>
          </w:tcPr>
          <w:p>
            <w:pPr>
              <w:spacing w:after="0"/>
              <w:rPr>
                <w:sz w:val="20"/>
                <w:szCs w:val="20"/>
                <w:color w:val="auto"/>
              </w:rPr>
            </w:pPr>
            <w:r>
              <w:rPr>
                <w:rFonts w:ascii="Arial" w:cs="Arial" w:eastAsia="Arial" w:hAnsi="Arial"/>
                <w:sz w:val="16"/>
                <w:szCs w:val="16"/>
                <w:color w:val="auto"/>
              </w:rPr>
              <w:t xml:space="preserve">Adjusted SG&amp;A </w:t>
            </w:r>
            <w:r>
              <w:rPr>
                <w:rFonts w:ascii="Arial" w:cs="Arial" w:eastAsia="Arial" w:hAnsi="Arial"/>
                <w:sz w:val="19"/>
                <w:szCs w:val="19"/>
                <w:color w:val="auto"/>
                <w:vertAlign w:val="superscript"/>
              </w:rPr>
              <w:t>(1)</w:t>
            </w:r>
          </w:p>
        </w:tc>
        <w:tc>
          <w:tcPr>
            <w:tcW w:w="1920" w:type="dxa"/>
            <w:vAlign w:val="bottom"/>
          </w:tcPr>
          <w:p>
            <w:pPr>
              <w:jc w:val="right"/>
              <w:ind w:right="1280"/>
              <w:spacing w:after="0"/>
              <w:rPr>
                <w:sz w:val="20"/>
                <w:szCs w:val="20"/>
                <w:color w:val="auto"/>
              </w:rPr>
            </w:pPr>
            <w:r>
              <w:rPr>
                <w:rFonts w:ascii="Arial" w:cs="Arial" w:eastAsia="Arial" w:hAnsi="Arial"/>
                <w:sz w:val="16"/>
                <w:szCs w:val="16"/>
                <w:color w:val="auto"/>
              </w:rPr>
              <w:t>402.5</w:t>
            </w: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350.5</w:t>
            </w:r>
          </w:p>
        </w:tc>
        <w:tc>
          <w:tcPr>
            <w:tcW w:w="120" w:type="dxa"/>
            <w:vAlign w:val="bottom"/>
          </w:tcPr>
          <w:p>
            <w:pPr>
              <w:spacing w:after="0"/>
              <w:rPr>
                <w:sz w:val="20"/>
                <w:szCs w:val="20"/>
                <w:color w:val="auto"/>
              </w:rPr>
            </w:pPr>
          </w:p>
        </w:tc>
        <w:tc>
          <w:tcPr>
            <w:tcW w:w="1940" w:type="dxa"/>
            <w:vAlign w:val="bottom"/>
          </w:tcPr>
          <w:p>
            <w:pPr>
              <w:jc w:val="right"/>
              <w:ind w:right="20"/>
              <w:spacing w:after="0"/>
              <w:rPr>
                <w:sz w:val="20"/>
                <w:szCs w:val="20"/>
                <w:color w:val="auto"/>
              </w:rPr>
            </w:pPr>
            <w:r>
              <w:rPr>
                <w:rFonts w:ascii="Arial" w:cs="Arial" w:eastAsia="Arial" w:hAnsi="Arial"/>
                <w:sz w:val="16"/>
                <w:szCs w:val="16"/>
                <w:color w:val="auto"/>
              </w:rPr>
              <w:t>14.8%</w:t>
            </w:r>
          </w:p>
        </w:tc>
      </w:tr>
      <w:tr>
        <w:trPr>
          <w:trHeight w:val="240"/>
        </w:trPr>
        <w:tc>
          <w:tcPr>
            <w:tcW w:w="6780" w:type="dxa"/>
            <w:vAlign w:val="bottom"/>
            <w:gridSpan w:val="2"/>
          </w:tcPr>
          <w:p>
            <w:pPr>
              <w:spacing w:after="0"/>
              <w:rPr>
                <w:sz w:val="20"/>
                <w:szCs w:val="20"/>
                <w:color w:val="auto"/>
              </w:rPr>
            </w:pPr>
            <w:r>
              <w:rPr>
                <w:rFonts w:ascii="Arial" w:cs="Arial" w:eastAsia="Arial" w:hAnsi="Arial"/>
                <w:sz w:val="16"/>
                <w:szCs w:val="16"/>
                <w:color w:val="auto"/>
              </w:rPr>
              <w:t xml:space="preserve">Adjusted R&amp;D </w:t>
            </w:r>
            <w:r>
              <w:rPr>
                <w:rFonts w:ascii="Arial" w:cs="Arial" w:eastAsia="Arial" w:hAnsi="Arial"/>
                <w:sz w:val="19"/>
                <w:szCs w:val="19"/>
                <w:color w:val="auto"/>
                <w:vertAlign w:val="superscript"/>
              </w:rPr>
              <w:t>(1)</w:t>
            </w:r>
          </w:p>
        </w:tc>
        <w:tc>
          <w:tcPr>
            <w:tcW w:w="1920" w:type="dxa"/>
            <w:vAlign w:val="bottom"/>
          </w:tcPr>
          <w:p>
            <w:pPr>
              <w:jc w:val="right"/>
              <w:ind w:right="1280"/>
              <w:spacing w:after="0"/>
              <w:rPr>
                <w:sz w:val="20"/>
                <w:szCs w:val="20"/>
                <w:color w:val="auto"/>
              </w:rPr>
            </w:pPr>
            <w:r>
              <w:rPr>
                <w:rFonts w:ascii="Arial" w:cs="Arial" w:eastAsia="Arial" w:hAnsi="Arial"/>
                <w:sz w:val="16"/>
                <w:szCs w:val="16"/>
                <w:color w:val="auto"/>
              </w:rPr>
              <w:t>135.7</w:t>
            </w: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95.0</w:t>
            </w:r>
          </w:p>
        </w:tc>
        <w:tc>
          <w:tcPr>
            <w:tcW w:w="120" w:type="dxa"/>
            <w:vAlign w:val="bottom"/>
          </w:tcPr>
          <w:p>
            <w:pPr>
              <w:spacing w:after="0"/>
              <w:rPr>
                <w:sz w:val="20"/>
                <w:szCs w:val="20"/>
                <w:color w:val="auto"/>
              </w:rPr>
            </w:pPr>
          </w:p>
        </w:tc>
        <w:tc>
          <w:tcPr>
            <w:tcW w:w="1940" w:type="dxa"/>
            <w:vAlign w:val="bottom"/>
          </w:tcPr>
          <w:p>
            <w:pPr>
              <w:jc w:val="right"/>
              <w:ind w:right="20"/>
              <w:spacing w:after="0"/>
              <w:rPr>
                <w:sz w:val="20"/>
                <w:szCs w:val="20"/>
                <w:color w:val="auto"/>
              </w:rPr>
            </w:pPr>
            <w:r>
              <w:rPr>
                <w:rFonts w:ascii="Arial" w:cs="Arial" w:eastAsia="Arial" w:hAnsi="Arial"/>
                <w:sz w:val="16"/>
                <w:szCs w:val="16"/>
                <w:color w:val="auto"/>
              </w:rPr>
              <w:t>42.8%</w:t>
            </w:r>
          </w:p>
        </w:tc>
      </w:tr>
      <w:tr>
        <w:trPr>
          <w:trHeight w:val="240"/>
        </w:trPr>
        <w:tc>
          <w:tcPr>
            <w:tcW w:w="6780" w:type="dxa"/>
            <w:vAlign w:val="bottom"/>
            <w:gridSpan w:val="2"/>
          </w:tcPr>
          <w:p>
            <w:pPr>
              <w:spacing w:after="0"/>
              <w:rPr>
                <w:sz w:val="20"/>
                <w:szCs w:val="20"/>
                <w:color w:val="auto"/>
              </w:rPr>
            </w:pPr>
            <w:r>
              <w:rPr>
                <w:rFonts w:ascii="Arial" w:cs="Arial" w:eastAsia="Arial" w:hAnsi="Arial"/>
                <w:sz w:val="16"/>
                <w:szCs w:val="16"/>
                <w:color w:val="auto"/>
              </w:rPr>
              <w:t xml:space="preserve">Adjusted operating income from continuing operations </w:t>
            </w:r>
            <w:r>
              <w:rPr>
                <w:rFonts w:ascii="Arial" w:cs="Arial" w:eastAsia="Arial" w:hAnsi="Arial"/>
                <w:sz w:val="19"/>
                <w:szCs w:val="19"/>
                <w:color w:val="auto"/>
                <w:vertAlign w:val="superscript"/>
              </w:rPr>
              <w:t>(1)</w:t>
            </w:r>
          </w:p>
        </w:tc>
        <w:tc>
          <w:tcPr>
            <w:tcW w:w="1920" w:type="dxa"/>
            <w:vAlign w:val="bottom"/>
          </w:tcPr>
          <w:p>
            <w:pPr>
              <w:jc w:val="right"/>
              <w:ind w:right="1280"/>
              <w:spacing w:after="0"/>
              <w:rPr>
                <w:sz w:val="20"/>
                <w:szCs w:val="20"/>
                <w:color w:val="auto"/>
              </w:rPr>
            </w:pPr>
            <w:r>
              <w:rPr>
                <w:rFonts w:ascii="Arial" w:cs="Arial" w:eastAsia="Arial" w:hAnsi="Arial"/>
                <w:sz w:val="16"/>
                <w:szCs w:val="16"/>
                <w:color w:val="auto"/>
              </w:rPr>
              <w:t>216.2</w:t>
            </w: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219.5</w:t>
            </w:r>
          </w:p>
        </w:tc>
        <w:tc>
          <w:tcPr>
            <w:tcW w:w="12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40"/>
        </w:trPr>
        <w:tc>
          <w:tcPr>
            <w:tcW w:w="6780" w:type="dxa"/>
            <w:vAlign w:val="bottom"/>
            <w:gridSpan w:val="2"/>
          </w:tcPr>
          <w:p>
            <w:pPr>
              <w:spacing w:after="0"/>
              <w:rPr>
                <w:sz w:val="20"/>
                <w:szCs w:val="20"/>
                <w:color w:val="auto"/>
              </w:rPr>
            </w:pPr>
            <w:r>
              <w:rPr>
                <w:rFonts w:ascii="Arial" w:cs="Arial" w:eastAsia="Arial" w:hAnsi="Arial"/>
                <w:sz w:val="16"/>
                <w:szCs w:val="16"/>
                <w:color w:val="auto"/>
              </w:rPr>
              <w:t xml:space="preserve">Adjusted net income from continuing operations </w:t>
            </w:r>
            <w:r>
              <w:rPr>
                <w:rFonts w:ascii="Arial" w:cs="Arial" w:eastAsia="Arial" w:hAnsi="Arial"/>
                <w:sz w:val="19"/>
                <w:szCs w:val="19"/>
                <w:color w:val="auto"/>
                <w:vertAlign w:val="superscript"/>
              </w:rPr>
              <w:t>(1)</w:t>
            </w:r>
          </w:p>
        </w:tc>
        <w:tc>
          <w:tcPr>
            <w:tcW w:w="1920" w:type="dxa"/>
            <w:vAlign w:val="bottom"/>
          </w:tcPr>
          <w:p>
            <w:pPr>
              <w:jc w:val="right"/>
              <w:ind w:right="1280"/>
              <w:spacing w:after="0"/>
              <w:rPr>
                <w:sz w:val="20"/>
                <w:szCs w:val="20"/>
                <w:color w:val="auto"/>
              </w:rPr>
            </w:pPr>
            <w:r>
              <w:rPr>
                <w:rFonts w:ascii="Arial" w:cs="Arial" w:eastAsia="Arial" w:hAnsi="Arial"/>
                <w:sz w:val="16"/>
                <w:szCs w:val="16"/>
                <w:color w:val="auto"/>
              </w:rPr>
              <w:t>175.3</w:t>
            </w: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160.5</w:t>
            </w:r>
          </w:p>
        </w:tc>
        <w:tc>
          <w:tcPr>
            <w:tcW w:w="120" w:type="dxa"/>
            <w:vAlign w:val="bottom"/>
          </w:tcPr>
          <w:p>
            <w:pPr>
              <w:spacing w:after="0"/>
              <w:rPr>
                <w:sz w:val="20"/>
                <w:szCs w:val="20"/>
                <w:color w:val="auto"/>
              </w:rPr>
            </w:pPr>
          </w:p>
        </w:tc>
        <w:tc>
          <w:tcPr>
            <w:tcW w:w="1940" w:type="dxa"/>
            <w:vAlign w:val="bottom"/>
          </w:tcPr>
          <w:p>
            <w:pPr>
              <w:jc w:val="right"/>
              <w:ind w:right="20"/>
              <w:spacing w:after="0"/>
              <w:rPr>
                <w:sz w:val="20"/>
                <w:szCs w:val="20"/>
                <w:color w:val="auto"/>
              </w:rPr>
            </w:pPr>
            <w:r>
              <w:rPr>
                <w:rFonts w:ascii="Arial" w:cs="Arial" w:eastAsia="Arial" w:hAnsi="Arial"/>
                <w:sz w:val="16"/>
                <w:szCs w:val="16"/>
                <w:color w:val="auto"/>
              </w:rPr>
              <w:t>9.2%</w:t>
            </w:r>
          </w:p>
        </w:tc>
      </w:tr>
      <w:tr>
        <w:trPr>
          <w:trHeight w:val="245"/>
        </w:trPr>
        <w:tc>
          <w:tcPr>
            <w:tcW w:w="6780" w:type="dxa"/>
            <w:vAlign w:val="bottom"/>
            <w:gridSpan w:val="2"/>
          </w:tcPr>
          <w:p>
            <w:pPr>
              <w:spacing w:after="0"/>
              <w:rPr>
                <w:sz w:val="20"/>
                <w:szCs w:val="20"/>
                <w:color w:val="auto"/>
              </w:rPr>
            </w:pPr>
            <w:r>
              <w:rPr>
                <w:rFonts w:ascii="Arial" w:cs="Arial" w:eastAsia="Arial" w:hAnsi="Arial"/>
                <w:sz w:val="16"/>
                <w:szCs w:val="16"/>
                <w:color w:val="auto"/>
              </w:rPr>
              <w:t xml:space="preserve">Adjusted diluted earnings per share from continuing operations </w:t>
            </w:r>
            <w:r>
              <w:rPr>
                <w:rFonts w:ascii="Arial" w:cs="Arial" w:eastAsia="Arial" w:hAnsi="Arial"/>
                <w:sz w:val="19"/>
                <w:szCs w:val="19"/>
                <w:color w:val="auto"/>
                <w:vertAlign w:val="superscript"/>
              </w:rPr>
              <w:t>(1)</w:t>
            </w:r>
          </w:p>
        </w:tc>
        <w:tc>
          <w:tcPr>
            <w:tcW w:w="1920" w:type="dxa"/>
            <w:vAlign w:val="bottom"/>
          </w:tcPr>
          <w:p>
            <w:pPr>
              <w:jc w:val="right"/>
              <w:ind w:right="1280"/>
              <w:spacing w:after="0"/>
              <w:rPr>
                <w:sz w:val="20"/>
                <w:szCs w:val="20"/>
                <w:color w:val="auto"/>
              </w:rPr>
            </w:pPr>
            <w:r>
              <w:rPr>
                <w:rFonts w:ascii="Arial" w:cs="Arial" w:eastAsia="Arial" w:hAnsi="Arial"/>
                <w:sz w:val="16"/>
                <w:szCs w:val="16"/>
                <w:color w:val="auto"/>
              </w:rPr>
              <w:t>$3.55</w:t>
            </w: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$3.31</w:t>
            </w:r>
          </w:p>
        </w:tc>
        <w:tc>
          <w:tcPr>
            <w:tcW w:w="120" w:type="dxa"/>
            <w:vAlign w:val="bottom"/>
          </w:tcPr>
          <w:p>
            <w:pPr>
              <w:spacing w:after="0"/>
              <w:rPr>
                <w:sz w:val="21"/>
                <w:szCs w:val="21"/>
                <w:color w:val="auto"/>
              </w:rPr>
            </w:pPr>
          </w:p>
        </w:tc>
        <w:tc>
          <w:tcPr>
            <w:tcW w:w="1940" w:type="dxa"/>
            <w:vAlign w:val="bottom"/>
          </w:tcPr>
          <w:p>
            <w:pPr>
              <w:jc w:val="right"/>
              <w:ind w:right="20"/>
              <w:spacing w:after="0"/>
              <w:rPr>
                <w:sz w:val="20"/>
                <w:szCs w:val="20"/>
                <w:color w:val="auto"/>
              </w:rPr>
            </w:pPr>
            <w:r>
              <w:rPr>
                <w:rFonts w:ascii="Arial" w:cs="Arial" w:eastAsia="Arial" w:hAnsi="Arial"/>
                <w:sz w:val="16"/>
                <w:szCs w:val="16"/>
                <w:color w:val="auto"/>
              </w:rPr>
              <w:t>7.3%</w:t>
            </w:r>
          </w:p>
        </w:tc>
      </w:tr>
    </w:tbl>
    <w:p>
      <w:pPr>
        <w:spacing w:after="0" w:line="253" w:lineRule="exact"/>
        <w:rPr>
          <w:sz w:val="20"/>
          <w:szCs w:val="20"/>
          <w:color w:val="auto"/>
        </w:rPr>
      </w:pPr>
    </w:p>
    <w:p>
      <w:pPr>
        <w:ind w:left="220" w:right="40" w:hanging="214"/>
        <w:spacing w:after="0" w:line="238" w:lineRule="auto"/>
        <w:tabs>
          <w:tab w:leader="none" w:pos="220" w:val="left"/>
        </w:tabs>
        <w:numPr>
          <w:ilvl w:val="0"/>
          <w:numId w:val="10"/>
        </w:numPr>
        <w:rPr>
          <w:rFonts w:ascii="Arial" w:cs="Arial" w:eastAsia="Arial" w:hAnsi="Arial"/>
          <w:sz w:val="13"/>
          <w:szCs w:val="13"/>
          <w:color w:val="auto"/>
        </w:rPr>
      </w:pPr>
      <w:r>
        <w:rPr>
          <w:rFonts w:ascii="Arial" w:cs="Arial" w:eastAsia="Arial" w:hAnsi="Arial"/>
          <w:sz w:val="13"/>
          <w:szCs w:val="13"/>
          <w:color w:val="auto"/>
        </w:rPr>
        <w:t>Adjusted financial measures are Non-GAAP measures and exclude specified items as described and reconciled in the "Reconciliation of GAAP to non-GAAP Financial Measures" contained in the press release.</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880" w:type="dxa"/>
            <w:vAlign w:val="bottom"/>
            <w:gridSpan w:val="2"/>
          </w:tcPr>
          <w:p>
            <w:pPr>
              <w:spacing w:after="0"/>
              <w:rPr>
                <w:sz w:val="20"/>
                <w:szCs w:val="20"/>
                <w:color w:val="auto"/>
              </w:rPr>
            </w:pPr>
            <w:r>
              <w:rPr>
                <w:rFonts w:ascii="Arial" w:cs="Arial" w:eastAsia="Arial" w:hAnsi="Arial"/>
                <w:sz w:val="16"/>
                <w:szCs w:val="16"/>
                <w:b w:val="1"/>
                <w:bCs w:val="1"/>
                <w:color w:val="auto"/>
              </w:rPr>
              <w:t>Statistics (as a % of net sales, except for income tax rate)</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515"/>
        </w:trPr>
        <w:tc>
          <w:tcPr>
            <w:tcW w:w="3660" w:type="dxa"/>
            <w:vAlign w:val="bottom"/>
          </w:tcPr>
          <w:p>
            <w:pPr>
              <w:spacing w:after="0"/>
              <w:rPr>
                <w:sz w:val="24"/>
                <w:szCs w:val="24"/>
                <w:color w:val="auto"/>
              </w:rPr>
            </w:pPr>
          </w:p>
        </w:tc>
        <w:tc>
          <w:tcPr>
            <w:tcW w:w="384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6"/>
                <w:szCs w:val="16"/>
                <w:b w:val="1"/>
                <w:bCs w:val="1"/>
                <w:color w:val="auto"/>
              </w:rPr>
              <w:t>GAAP Twelve Months Ended December 31,</w:t>
            </w:r>
          </w:p>
        </w:tc>
        <w:tc>
          <w:tcPr>
            <w:tcW w:w="120" w:type="dxa"/>
            <w:vAlign w:val="bottom"/>
          </w:tcPr>
          <w:p>
            <w:pPr>
              <w:spacing w:after="0"/>
              <w:rPr>
                <w:sz w:val="24"/>
                <w:szCs w:val="24"/>
                <w:color w:val="auto"/>
              </w:rPr>
            </w:pPr>
          </w:p>
        </w:tc>
        <w:tc>
          <w:tcPr>
            <w:tcW w:w="38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99"/>
              </w:rPr>
              <w:t xml:space="preserve">Adjusted </w:t>
            </w:r>
            <w:r>
              <w:rPr>
                <w:rFonts w:ascii="Arial" w:cs="Arial" w:eastAsia="Arial" w:hAnsi="Arial"/>
                <w:sz w:val="19"/>
                <w:szCs w:val="19"/>
                <w:b w:val="1"/>
                <w:bCs w:val="1"/>
                <w:color w:val="auto"/>
                <w:w w:val="99"/>
                <w:vertAlign w:val="superscript"/>
              </w:rPr>
              <w:t>(1)</w:t>
            </w:r>
            <w:r>
              <w:rPr>
                <w:rFonts w:ascii="Arial" w:cs="Arial" w:eastAsia="Arial" w:hAnsi="Arial"/>
                <w:sz w:val="16"/>
                <w:szCs w:val="16"/>
                <w:b w:val="1"/>
                <w:bCs w:val="1"/>
                <w:color w:val="auto"/>
                <w:w w:val="99"/>
              </w:rPr>
              <w:t xml:space="preserve">  Twelve Months Ended December 31,</w:t>
            </w:r>
          </w:p>
        </w:tc>
      </w:tr>
      <w:tr>
        <w:trPr>
          <w:trHeight w:val="226"/>
        </w:trPr>
        <w:tc>
          <w:tcPr>
            <w:tcW w:w="3660" w:type="dxa"/>
            <w:vAlign w:val="bottom"/>
          </w:tcPr>
          <w:p>
            <w:pPr>
              <w:spacing w:after="0"/>
              <w:rPr>
                <w:sz w:val="19"/>
                <w:szCs w:val="19"/>
                <w:color w:val="auto"/>
              </w:rPr>
            </w:pPr>
          </w:p>
        </w:tc>
        <w:tc>
          <w:tcPr>
            <w:tcW w:w="12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2018</w:t>
            </w: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Borders>
              <w:bottom w:val="single" w:sz="8" w:color="auto"/>
            </w:tcBorders>
          </w:tcPr>
          <w:p>
            <w:pPr>
              <w:jc w:val="right"/>
              <w:ind w:right="660"/>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9"/>
                <w:szCs w:val="19"/>
                <w:color w:val="auto"/>
              </w:rPr>
            </w:pPr>
          </w:p>
        </w:tc>
        <w:tc>
          <w:tcPr>
            <w:tcW w:w="1840" w:type="dxa"/>
            <w:vAlign w:val="bottom"/>
            <w:tcBorders>
              <w:bottom w:val="single" w:sz="8" w:color="auto"/>
            </w:tcBorders>
          </w:tcPr>
          <w:p>
            <w:pPr>
              <w:jc w:val="right"/>
              <w:ind w:right="660"/>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9"/>
                <w:szCs w:val="19"/>
                <w:color w:val="auto"/>
              </w:rPr>
            </w:pPr>
          </w:p>
        </w:tc>
        <w:tc>
          <w:tcPr>
            <w:tcW w:w="1860" w:type="dxa"/>
            <w:vAlign w:val="bottom"/>
            <w:tcBorders>
              <w:bottom w:val="single" w:sz="8" w:color="auto"/>
            </w:tcBorders>
          </w:tcPr>
          <w:p>
            <w:pPr>
              <w:jc w:val="right"/>
              <w:ind w:right="680"/>
              <w:spacing w:after="0"/>
              <w:rPr>
                <w:sz w:val="20"/>
                <w:szCs w:val="20"/>
                <w:color w:val="auto"/>
              </w:rPr>
            </w:pPr>
            <w:r>
              <w:rPr>
                <w:rFonts w:ascii="Arial" w:cs="Arial" w:eastAsia="Arial" w:hAnsi="Arial"/>
                <w:sz w:val="16"/>
                <w:szCs w:val="16"/>
                <w:b w:val="1"/>
                <w:bCs w:val="1"/>
                <w:color w:val="auto"/>
              </w:rPr>
              <w:t>2017</w:t>
            </w:r>
          </w:p>
        </w:tc>
      </w:tr>
      <w:tr>
        <w:trPr>
          <w:trHeight w:val="214"/>
        </w:trPr>
        <w:tc>
          <w:tcPr>
            <w:tcW w:w="4880" w:type="dxa"/>
            <w:vAlign w:val="bottom"/>
            <w:gridSpan w:val="2"/>
          </w:tcPr>
          <w:p>
            <w:pPr>
              <w:spacing w:after="0"/>
              <w:rPr>
                <w:sz w:val="20"/>
                <w:szCs w:val="20"/>
                <w:color w:val="auto"/>
              </w:rPr>
            </w:pPr>
            <w:r>
              <w:rPr>
                <w:rFonts w:ascii="Arial" w:cs="Arial" w:eastAsia="Arial" w:hAnsi="Arial"/>
                <w:sz w:val="16"/>
                <w:szCs w:val="16"/>
                <w:color w:val="auto"/>
              </w:rPr>
              <w:t>Gross profit</w:t>
            </w:r>
          </w:p>
        </w:tc>
        <w:tc>
          <w:tcPr>
            <w:tcW w:w="680" w:type="dxa"/>
            <w:vAlign w:val="bottom"/>
          </w:tcPr>
          <w:p>
            <w:pPr>
              <w:jc w:val="right"/>
              <w:spacing w:after="0"/>
              <w:rPr>
                <w:sz w:val="20"/>
                <w:szCs w:val="20"/>
                <w:color w:val="auto"/>
              </w:rPr>
            </w:pPr>
            <w:r>
              <w:rPr>
                <w:rFonts w:ascii="Arial" w:cs="Arial" w:eastAsia="Arial" w:hAnsi="Arial"/>
                <w:sz w:val="16"/>
                <w:szCs w:val="16"/>
                <w:color w:val="auto"/>
              </w:rPr>
              <w:t>66.4%</w:t>
            </w:r>
          </w:p>
        </w:tc>
        <w:tc>
          <w:tcPr>
            <w:tcW w:w="1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64.4%</w:t>
            </w:r>
          </w:p>
        </w:tc>
        <w:tc>
          <w:tcPr>
            <w:tcW w:w="1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68.1%</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65.7%</w:t>
            </w:r>
          </w:p>
        </w:tc>
      </w:tr>
      <w:tr>
        <w:trPr>
          <w:trHeight w:val="240"/>
        </w:trPr>
        <w:tc>
          <w:tcPr>
            <w:tcW w:w="4880" w:type="dxa"/>
            <w:vAlign w:val="bottom"/>
            <w:gridSpan w:val="2"/>
          </w:tcPr>
          <w:p>
            <w:pPr>
              <w:spacing w:after="0"/>
              <w:rPr>
                <w:sz w:val="20"/>
                <w:szCs w:val="20"/>
                <w:color w:val="auto"/>
              </w:rPr>
            </w:pPr>
            <w:r>
              <w:rPr>
                <w:rFonts w:ascii="Arial" w:cs="Arial" w:eastAsia="Arial" w:hAnsi="Arial"/>
                <w:sz w:val="16"/>
                <w:szCs w:val="16"/>
                <w:color w:val="auto"/>
              </w:rPr>
              <w:t>SG&amp;A</w:t>
            </w:r>
          </w:p>
        </w:tc>
        <w:tc>
          <w:tcPr>
            <w:tcW w:w="680" w:type="dxa"/>
            <w:vAlign w:val="bottom"/>
          </w:tcPr>
          <w:p>
            <w:pPr>
              <w:jc w:val="right"/>
              <w:spacing w:after="0"/>
              <w:rPr>
                <w:sz w:val="20"/>
                <w:szCs w:val="20"/>
                <w:color w:val="auto"/>
              </w:rPr>
            </w:pPr>
            <w:r>
              <w:rPr>
                <w:rFonts w:ascii="Arial" w:cs="Arial" w:eastAsia="Arial" w:hAnsi="Arial"/>
                <w:sz w:val="16"/>
                <w:szCs w:val="16"/>
                <w:color w:val="auto"/>
              </w:rPr>
              <w:t>42.0%</w:t>
            </w:r>
          </w:p>
        </w:tc>
        <w:tc>
          <w:tcPr>
            <w:tcW w:w="10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37.5%</w:t>
            </w:r>
          </w:p>
        </w:tc>
        <w:tc>
          <w:tcPr>
            <w:tcW w:w="12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36.4%</w:t>
            </w:r>
          </w:p>
        </w:tc>
        <w:tc>
          <w:tcPr>
            <w:tcW w:w="10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34.6%</w:t>
            </w:r>
          </w:p>
        </w:tc>
      </w:tr>
      <w:tr>
        <w:trPr>
          <w:trHeight w:val="240"/>
        </w:trPr>
        <w:tc>
          <w:tcPr>
            <w:tcW w:w="4880" w:type="dxa"/>
            <w:vAlign w:val="bottom"/>
            <w:gridSpan w:val="2"/>
          </w:tcPr>
          <w:p>
            <w:pPr>
              <w:spacing w:after="0"/>
              <w:rPr>
                <w:sz w:val="20"/>
                <w:szCs w:val="20"/>
                <w:color w:val="auto"/>
              </w:rPr>
            </w:pPr>
            <w:r>
              <w:rPr>
                <w:rFonts w:ascii="Arial" w:cs="Arial" w:eastAsia="Arial" w:hAnsi="Arial"/>
                <w:sz w:val="16"/>
                <w:szCs w:val="16"/>
                <w:color w:val="auto"/>
              </w:rPr>
              <w:t>R&amp;D</w:t>
            </w:r>
          </w:p>
        </w:tc>
        <w:tc>
          <w:tcPr>
            <w:tcW w:w="680" w:type="dxa"/>
            <w:vAlign w:val="bottom"/>
          </w:tcPr>
          <w:p>
            <w:pPr>
              <w:jc w:val="right"/>
              <w:spacing w:after="0"/>
              <w:rPr>
                <w:sz w:val="20"/>
                <w:szCs w:val="20"/>
                <w:color w:val="auto"/>
              </w:rPr>
            </w:pPr>
            <w:r>
              <w:rPr>
                <w:rFonts w:ascii="Arial" w:cs="Arial" w:eastAsia="Arial" w:hAnsi="Arial"/>
                <w:sz w:val="16"/>
                <w:szCs w:val="16"/>
                <w:color w:val="auto"/>
              </w:rPr>
              <w:t>13.2%</w:t>
            </w:r>
          </w:p>
        </w:tc>
        <w:tc>
          <w:tcPr>
            <w:tcW w:w="10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10.8%</w:t>
            </w:r>
          </w:p>
        </w:tc>
        <w:tc>
          <w:tcPr>
            <w:tcW w:w="12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12.3%</w:t>
            </w:r>
          </w:p>
        </w:tc>
        <w:tc>
          <w:tcPr>
            <w:tcW w:w="10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9.4%</w:t>
            </w:r>
          </w:p>
        </w:tc>
      </w:tr>
      <w:tr>
        <w:trPr>
          <w:trHeight w:val="215"/>
        </w:trPr>
        <w:tc>
          <w:tcPr>
            <w:tcW w:w="4880" w:type="dxa"/>
            <w:vAlign w:val="bottom"/>
            <w:gridSpan w:val="2"/>
          </w:tcPr>
          <w:p>
            <w:pPr>
              <w:spacing w:after="0"/>
              <w:rPr>
                <w:sz w:val="20"/>
                <w:szCs w:val="20"/>
                <w:color w:val="auto"/>
              </w:rPr>
            </w:pPr>
            <w:r>
              <w:rPr>
                <w:rFonts w:ascii="Arial" w:cs="Arial" w:eastAsia="Arial" w:hAnsi="Arial"/>
                <w:sz w:val="16"/>
                <w:szCs w:val="16"/>
                <w:color w:val="auto"/>
              </w:rPr>
              <w:t>Operating (loss) income from continuing</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192"/>
        </w:trPr>
        <w:tc>
          <w:tcPr>
            <w:tcW w:w="4880" w:type="dxa"/>
            <w:vAlign w:val="bottom"/>
            <w:gridSpan w:val="2"/>
          </w:tcPr>
          <w:p>
            <w:pPr>
              <w:spacing w:after="0"/>
              <w:rPr>
                <w:sz w:val="20"/>
                <w:szCs w:val="20"/>
                <w:color w:val="auto"/>
              </w:rPr>
            </w:pPr>
            <w:r>
              <w:rPr>
                <w:rFonts w:ascii="Arial" w:cs="Arial" w:eastAsia="Arial" w:hAnsi="Arial"/>
                <w:sz w:val="16"/>
                <w:szCs w:val="16"/>
                <w:color w:val="auto"/>
              </w:rPr>
              <w:t>operations</w:t>
            </w:r>
          </w:p>
        </w:tc>
        <w:tc>
          <w:tcPr>
            <w:tcW w:w="680" w:type="dxa"/>
            <w:vAlign w:val="bottom"/>
          </w:tcPr>
          <w:p>
            <w:pPr>
              <w:jc w:val="right"/>
              <w:spacing w:after="0"/>
              <w:rPr>
                <w:sz w:val="20"/>
                <w:szCs w:val="20"/>
                <w:color w:val="auto"/>
              </w:rPr>
            </w:pPr>
            <w:r>
              <w:rPr>
                <w:rFonts w:ascii="Arial" w:cs="Arial" w:eastAsia="Arial" w:hAnsi="Arial"/>
                <w:sz w:val="16"/>
                <w:szCs w:val="16"/>
                <w:color w:val="auto"/>
              </w:rPr>
              <w:t>(22.4%)</w:t>
            </w:r>
          </w:p>
        </w:tc>
        <w:tc>
          <w:tcPr>
            <w:tcW w:w="100" w:type="dxa"/>
            <w:vAlign w:val="bottom"/>
          </w:tcPr>
          <w:p>
            <w:pPr>
              <w:spacing w:after="0"/>
              <w:rPr>
                <w:sz w:val="16"/>
                <w:szCs w:val="16"/>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9.5%</w:t>
            </w:r>
          </w:p>
        </w:tc>
        <w:tc>
          <w:tcPr>
            <w:tcW w:w="120" w:type="dxa"/>
            <w:vAlign w:val="bottom"/>
          </w:tcPr>
          <w:p>
            <w:pPr>
              <w:spacing w:after="0"/>
              <w:rPr>
                <w:sz w:val="16"/>
                <w:szCs w:val="16"/>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19.5%</w:t>
            </w:r>
          </w:p>
        </w:tc>
        <w:tc>
          <w:tcPr>
            <w:tcW w:w="100" w:type="dxa"/>
            <w:vAlign w:val="bottom"/>
          </w:tcPr>
          <w:p>
            <w:pPr>
              <w:spacing w:after="0"/>
              <w:rPr>
                <w:sz w:val="16"/>
                <w:szCs w:val="16"/>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21.7%</w:t>
            </w:r>
          </w:p>
        </w:tc>
      </w:tr>
      <w:tr>
        <w:trPr>
          <w:trHeight w:val="240"/>
        </w:trPr>
        <w:tc>
          <w:tcPr>
            <w:tcW w:w="4880" w:type="dxa"/>
            <w:vAlign w:val="bottom"/>
            <w:gridSpan w:val="2"/>
          </w:tcPr>
          <w:p>
            <w:pPr>
              <w:spacing w:after="0"/>
              <w:rPr>
                <w:sz w:val="20"/>
                <w:szCs w:val="20"/>
                <w:color w:val="auto"/>
              </w:rPr>
            </w:pPr>
            <w:r>
              <w:rPr>
                <w:rFonts w:ascii="Arial" w:cs="Arial" w:eastAsia="Arial" w:hAnsi="Arial"/>
                <w:sz w:val="16"/>
                <w:szCs w:val="16"/>
                <w:color w:val="auto"/>
              </w:rPr>
              <w:t>Net (loss) income from continuing operations</w:t>
            </w:r>
          </w:p>
        </w:tc>
        <w:tc>
          <w:tcPr>
            <w:tcW w:w="680" w:type="dxa"/>
            <w:vAlign w:val="bottom"/>
          </w:tcPr>
          <w:p>
            <w:pPr>
              <w:jc w:val="right"/>
              <w:spacing w:after="0"/>
              <w:rPr>
                <w:sz w:val="20"/>
                <w:szCs w:val="20"/>
                <w:color w:val="auto"/>
              </w:rPr>
            </w:pPr>
            <w:r>
              <w:rPr>
                <w:rFonts w:ascii="Arial" w:cs="Arial" w:eastAsia="Arial" w:hAnsi="Arial"/>
                <w:sz w:val="16"/>
                <w:szCs w:val="16"/>
                <w:color w:val="auto"/>
              </w:rPr>
              <w:t>(16.1%)</w:t>
            </w:r>
          </w:p>
        </w:tc>
        <w:tc>
          <w:tcPr>
            <w:tcW w:w="10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15.8%</w:t>
            </w:r>
          </w:p>
        </w:tc>
        <w:tc>
          <w:tcPr>
            <w:tcW w:w="10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15.9%</w:t>
            </w:r>
          </w:p>
        </w:tc>
      </w:tr>
      <w:tr>
        <w:trPr>
          <w:trHeight w:val="240"/>
        </w:trPr>
        <w:tc>
          <w:tcPr>
            <w:tcW w:w="4880" w:type="dxa"/>
            <w:vAlign w:val="bottom"/>
            <w:gridSpan w:val="2"/>
          </w:tcPr>
          <w:p>
            <w:pPr>
              <w:spacing w:after="0"/>
              <w:rPr>
                <w:sz w:val="20"/>
                <w:szCs w:val="20"/>
                <w:color w:val="auto"/>
              </w:rPr>
            </w:pPr>
            <w:r>
              <w:rPr>
                <w:rFonts w:ascii="Arial" w:cs="Arial" w:eastAsia="Arial" w:hAnsi="Arial"/>
                <w:sz w:val="16"/>
                <w:szCs w:val="16"/>
                <w:color w:val="auto"/>
              </w:rPr>
              <w:t>Income tax rate</w:t>
            </w:r>
          </w:p>
        </w:tc>
        <w:tc>
          <w:tcPr>
            <w:tcW w:w="680" w:type="dxa"/>
            <w:vAlign w:val="bottom"/>
          </w:tcPr>
          <w:p>
            <w:pPr>
              <w:jc w:val="right"/>
              <w:spacing w:after="0"/>
              <w:rPr>
                <w:sz w:val="20"/>
                <w:szCs w:val="20"/>
                <w:color w:val="auto"/>
              </w:rPr>
            </w:pPr>
            <w:r>
              <w:rPr>
                <w:rFonts w:ascii="Arial" w:cs="Arial" w:eastAsia="Arial" w:hAnsi="Arial"/>
                <w:sz w:val="16"/>
                <w:szCs w:val="16"/>
                <w:color w:val="auto"/>
              </w:rPr>
              <w:t>28.1%</w:t>
            </w:r>
          </w:p>
        </w:tc>
        <w:tc>
          <w:tcPr>
            <w:tcW w:w="10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41.2%</w:t>
            </w:r>
          </w:p>
        </w:tc>
        <w:tc>
          <w:tcPr>
            <w:tcW w:w="12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15.6%</w:t>
            </w:r>
          </w:p>
        </w:tc>
        <w:tc>
          <w:tcPr>
            <w:tcW w:w="10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22.8%</w:t>
            </w:r>
          </w:p>
        </w:tc>
      </w:tr>
    </w:tbl>
    <w:p>
      <w:pPr>
        <w:spacing w:after="0" w:line="304" w:lineRule="exact"/>
        <w:rPr>
          <w:sz w:val="20"/>
          <w:szCs w:val="20"/>
          <w:color w:val="auto"/>
        </w:rPr>
      </w:pPr>
    </w:p>
    <w:p>
      <w:pPr>
        <w:ind w:left="220" w:right="240" w:hanging="220"/>
        <w:spacing w:after="0" w:line="238" w:lineRule="auto"/>
        <w:tabs>
          <w:tab w:leader="none" w:pos="220" w:val="left"/>
        </w:tabs>
        <w:numPr>
          <w:ilvl w:val="0"/>
          <w:numId w:val="11"/>
        </w:numPr>
        <w:rPr>
          <w:rFonts w:ascii="Arial" w:cs="Arial" w:eastAsia="Arial" w:hAnsi="Arial"/>
          <w:sz w:val="13"/>
          <w:szCs w:val="13"/>
          <w:color w:val="auto"/>
        </w:rPr>
      </w:pPr>
      <w:r>
        <w:rPr>
          <w:rFonts w:ascii="Arial" w:cs="Arial" w:eastAsia="Arial" w:hAnsi="Arial"/>
          <w:sz w:val="13"/>
          <w:szCs w:val="13"/>
          <w:color w:val="auto"/>
        </w:rPr>
        <w:t>Adjusted financial measures are Non-GAAP measures and exclude specified items as described and reconciled in the "Reconciliation of GAAP to non-GAAP Financial Measures" contained in the press release.</w:t>
      </w:r>
    </w:p>
    <w:p>
      <w:pPr>
        <w:spacing w:after="0" w:line="200" w:lineRule="exact"/>
        <w:rPr>
          <w:sz w:val="20"/>
          <w:szCs w:val="20"/>
          <w:color w:val="auto"/>
        </w:rPr>
      </w:pP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9"/>
          <w:szCs w:val="19"/>
          <w:color w:val="auto"/>
        </w:rPr>
        <w:t>16</w:t>
      </w:r>
    </w:p>
    <w:p>
      <w:pPr>
        <w:sectPr>
          <w:pgSz w:w="11900" w:h="16838" w:orient="portrait"/>
          <w:cols w:equalWidth="0" w:num="1">
            <w:col w:w="11420"/>
          </w:cols>
          <w:pgMar w:left="260" w:top="706" w:right="219" w:bottom="1440" w:gutter="0" w:footer="0" w:header="0"/>
        </w:sectPr>
      </w:pPr>
    </w:p>
    <w:bookmarkStart w:id="19" w:name="page20"/>
    <w:bookmarkEnd w:id="19"/>
    <w:p>
      <w:pPr>
        <w:ind w:left="20"/>
        <w:spacing w:after="0"/>
        <w:rPr>
          <w:sz w:val="20"/>
          <w:szCs w:val="20"/>
          <w:color w:val="auto"/>
        </w:rPr>
      </w:pPr>
      <w:r>
        <w:rPr>
          <w:rFonts w:ascii="Arial" w:cs="Arial" w:eastAsia="Arial" w:hAnsi="Arial"/>
          <w:sz w:val="13"/>
          <w:szCs w:val="13"/>
          <w:b w:val="1"/>
          <w:bCs w:val="1"/>
          <w:color w:val="auto"/>
        </w:rPr>
        <w:t>RECONCILIATION OF GAAP TO NON-GAAP FINANCIAL MEASURES - UNAUDITED</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(U.S.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727710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7100" cy="7620"/>
                    </a:xfrm>
                    <a:prstGeom prst="rect">
                      <a:avLst/>
                    </a:prstGeom>
                    <a:noFill/>
                  </pic:spPr>
                </pic:pic>
              </a:graphicData>
            </a:graphic>
          </wp:anchor>
        </w:drawing>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1"/>
                <w:szCs w:val="11"/>
                <w:b w:val="1"/>
                <w:bCs w:val="1"/>
                <w:color w:val="auto"/>
              </w:rPr>
              <w:t>Specified Items</w:t>
            </w:r>
          </w:p>
        </w:tc>
        <w:tc>
          <w:tcPr>
            <w:tcW w:w="10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4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Non-recurring</w:t>
            </w:r>
          </w:p>
        </w:tc>
        <w:tc>
          <w:tcPr>
            <w:tcW w:w="9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2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rPr>
              <w:t>Depreciation</w:t>
            </w: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4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rPr>
              <w:t>Legal, Contingent</w:t>
            </w:r>
          </w:p>
        </w:tc>
        <w:tc>
          <w:tcPr>
            <w:tcW w:w="9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rPr>
              <w:t>Merger and</w:t>
            </w:r>
          </w:p>
        </w:tc>
        <w:tc>
          <w:tcPr>
            <w:tcW w:w="880" w:type="dxa"/>
            <w:vAlign w:val="bottom"/>
          </w:tcPr>
          <w:p>
            <w:pPr>
              <w:spacing w:after="0"/>
              <w:rPr>
                <w:sz w:val="10"/>
                <w:szCs w:val="10"/>
                <w:color w:val="auto"/>
              </w:rPr>
            </w:pPr>
          </w:p>
        </w:tc>
        <w:tc>
          <w:tcPr>
            <w:tcW w:w="82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rPr>
              <w:t>and</w:t>
            </w:r>
          </w:p>
        </w:tc>
        <w:tc>
          <w:tcPr>
            <w:tcW w:w="80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rPr>
              <w:t>Product</w:t>
            </w:r>
          </w:p>
        </w:tc>
        <w:tc>
          <w:tcPr>
            <w:tcW w:w="740" w:type="dxa"/>
            <w:vAlign w:val="bottom"/>
          </w:tcPr>
          <w:p>
            <w:pPr>
              <w:spacing w:after="0"/>
              <w:rPr>
                <w:sz w:val="10"/>
                <w:szCs w:val="10"/>
                <w:color w:val="auto"/>
              </w:rPr>
            </w:pPr>
          </w:p>
        </w:tc>
        <w:tc>
          <w:tcPr>
            <w:tcW w:w="58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rPr>
              <w:t>CRM</w:t>
            </w:r>
          </w:p>
        </w:tc>
        <w:tc>
          <w:tcPr>
            <w:tcW w:w="104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rPr>
              <w:t>Consideration</w:t>
            </w:r>
          </w:p>
        </w:tc>
        <w:tc>
          <w:tcPr>
            <w:tcW w:w="90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rPr>
              <w:t>Stock-based</w:t>
            </w:r>
          </w:p>
        </w:tc>
        <w:tc>
          <w:tcPr>
            <w:tcW w:w="820" w:type="dxa"/>
            <w:vAlign w:val="bottom"/>
          </w:tcPr>
          <w:p>
            <w:pPr>
              <w:spacing w:after="0"/>
              <w:rPr>
                <w:sz w:val="10"/>
                <w:szCs w:val="10"/>
                <w:color w:val="auto"/>
              </w:rPr>
            </w:pPr>
          </w:p>
        </w:tc>
        <w:tc>
          <w:tcPr>
            <w:tcW w:w="78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rPr>
              <w:t>Certain</w:t>
            </w: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4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Three Months Ended</w:t>
            </w:r>
          </w:p>
        </w:tc>
        <w:tc>
          <w:tcPr>
            <w:tcW w:w="68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rPr>
              <w:t>GAAP</w:t>
            </w:r>
          </w:p>
        </w:tc>
        <w:tc>
          <w:tcPr>
            <w:tcW w:w="76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rPr>
              <w:t>Integration</w:t>
            </w:r>
          </w:p>
        </w:tc>
        <w:tc>
          <w:tcPr>
            <w:tcW w:w="88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rPr>
              <w:t>Restructuring</w:t>
            </w:r>
          </w:p>
        </w:tc>
        <w:tc>
          <w:tcPr>
            <w:tcW w:w="82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rPr>
              <w:t>Amortization</w:t>
            </w:r>
          </w:p>
        </w:tc>
        <w:tc>
          <w:tcPr>
            <w:tcW w:w="80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rPr>
              <w:t>Remediation</w:t>
            </w:r>
          </w:p>
        </w:tc>
        <w:tc>
          <w:tcPr>
            <w:tcW w:w="74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rPr>
              <w:t>Acquisition</w:t>
            </w:r>
          </w:p>
        </w:tc>
        <w:tc>
          <w:tcPr>
            <w:tcW w:w="58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rPr>
              <w:t>Disposal</w:t>
            </w:r>
          </w:p>
        </w:tc>
        <w:tc>
          <w:tcPr>
            <w:tcW w:w="104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w w:val="99"/>
              </w:rPr>
              <w:t>and Other</w:t>
            </w:r>
          </w:p>
        </w:tc>
        <w:tc>
          <w:tcPr>
            <w:tcW w:w="90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rPr>
              <w:t>Compensation</w:t>
            </w:r>
          </w:p>
        </w:tc>
        <w:tc>
          <w:tcPr>
            <w:tcW w:w="82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rPr>
              <w:t>Certain Tax</w:t>
            </w:r>
          </w:p>
        </w:tc>
        <w:tc>
          <w:tcPr>
            <w:tcW w:w="78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rPr>
              <w:t>Interest</w:t>
            </w:r>
          </w:p>
        </w:tc>
        <w:tc>
          <w:tcPr>
            <w:tcW w:w="62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w w:val="97"/>
              </w:rPr>
              <w:t>Adjusted</w:t>
            </w:r>
          </w:p>
        </w:tc>
        <w:tc>
          <w:tcPr>
            <w:tcW w:w="0" w:type="dxa"/>
            <w:vAlign w:val="bottom"/>
          </w:tcPr>
          <w:p>
            <w:pPr>
              <w:spacing w:after="0"/>
              <w:rPr>
                <w:sz w:val="1"/>
                <w:szCs w:val="1"/>
                <w:color w:val="auto"/>
              </w:rPr>
            </w:pPr>
          </w:p>
        </w:tc>
      </w:tr>
      <w:tr>
        <w:trPr>
          <w:trHeight w:val="115"/>
        </w:trPr>
        <w:tc>
          <w:tcPr>
            <w:tcW w:w="2040" w:type="dxa"/>
            <w:vAlign w:val="bottom"/>
            <w:gridSpan w:val="2"/>
            <w:vMerge w:val="continue"/>
          </w:tcPr>
          <w:p>
            <w:pPr>
              <w:spacing w:after="0"/>
              <w:rPr>
                <w:sz w:val="10"/>
                <w:szCs w:val="10"/>
                <w:color w:val="auto"/>
              </w:rPr>
            </w:pPr>
          </w:p>
        </w:tc>
        <w:tc>
          <w:tcPr>
            <w:tcW w:w="68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rPr>
              <w:t>Financial</w:t>
            </w:r>
          </w:p>
        </w:tc>
        <w:tc>
          <w:tcPr>
            <w:tcW w:w="76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rPr>
              <w:t>Expenses</w:t>
            </w:r>
          </w:p>
        </w:tc>
        <w:tc>
          <w:tcPr>
            <w:tcW w:w="88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rPr>
              <w:t>Expenses</w:t>
            </w:r>
          </w:p>
        </w:tc>
        <w:tc>
          <w:tcPr>
            <w:tcW w:w="82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rPr>
              <w:t>Expenses</w:t>
            </w:r>
          </w:p>
        </w:tc>
        <w:tc>
          <w:tcPr>
            <w:tcW w:w="80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rPr>
              <w:t>Expenses</w:t>
            </w:r>
          </w:p>
        </w:tc>
        <w:tc>
          <w:tcPr>
            <w:tcW w:w="74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rPr>
              <w:t>Costs</w:t>
            </w:r>
          </w:p>
        </w:tc>
        <w:tc>
          <w:tcPr>
            <w:tcW w:w="58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w w:val="98"/>
              </w:rPr>
              <w:t>Costs</w:t>
            </w:r>
          </w:p>
        </w:tc>
        <w:tc>
          <w:tcPr>
            <w:tcW w:w="104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w w:val="98"/>
              </w:rPr>
              <w:t>Reserves</w:t>
            </w:r>
          </w:p>
        </w:tc>
        <w:tc>
          <w:tcPr>
            <w:tcW w:w="90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w w:val="98"/>
              </w:rPr>
              <w:t>Costs</w:t>
            </w:r>
          </w:p>
        </w:tc>
        <w:tc>
          <w:tcPr>
            <w:tcW w:w="82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w w:val="98"/>
              </w:rPr>
              <w:t>Adjustments</w:t>
            </w:r>
          </w:p>
        </w:tc>
        <w:tc>
          <w:tcPr>
            <w:tcW w:w="78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rPr>
              <w:t>Adjustments</w:t>
            </w:r>
          </w:p>
        </w:tc>
        <w:tc>
          <w:tcPr>
            <w:tcW w:w="62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rPr>
              <w:t>Financial</w:t>
            </w:r>
          </w:p>
        </w:tc>
        <w:tc>
          <w:tcPr>
            <w:tcW w:w="0" w:type="dxa"/>
            <w:vAlign w:val="bottom"/>
          </w:tcPr>
          <w:p>
            <w:pPr>
              <w:spacing w:after="0"/>
              <w:rPr>
                <w:sz w:val="1"/>
                <w:szCs w:val="1"/>
                <w:color w:val="auto"/>
              </w:rPr>
            </w:pPr>
          </w:p>
        </w:tc>
      </w:tr>
      <w:tr>
        <w:trPr>
          <w:trHeight w:val="168"/>
        </w:trPr>
        <w:tc>
          <w:tcPr>
            <w:tcW w:w="19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December 31, 2018</w:t>
            </w:r>
          </w:p>
        </w:tc>
        <w:tc>
          <w:tcPr>
            <w:tcW w:w="10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Measures</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(A)</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(B)</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(C)</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(D)</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(E)</w:t>
            </w: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9"/>
              </w:rPr>
              <w:t>(F)</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(G)</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(H)</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(I)</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(J)</w:t>
            </w: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Measures</w:t>
            </w:r>
          </w:p>
        </w:tc>
        <w:tc>
          <w:tcPr>
            <w:tcW w:w="0" w:type="dxa"/>
            <w:vAlign w:val="bottom"/>
          </w:tcPr>
          <w:p>
            <w:pPr>
              <w:spacing w:after="0"/>
              <w:rPr>
                <w:sz w:val="1"/>
                <w:szCs w:val="1"/>
                <w:color w:val="auto"/>
              </w:rPr>
            </w:pPr>
          </w:p>
        </w:tc>
      </w:tr>
      <w:tr>
        <w:trPr>
          <w:trHeight w:val="222"/>
        </w:trPr>
        <w:tc>
          <w:tcPr>
            <w:tcW w:w="2040" w:type="dxa"/>
            <w:vAlign w:val="bottom"/>
            <w:gridSpan w:val="2"/>
          </w:tcPr>
          <w:p>
            <w:pPr>
              <w:ind w:left="20"/>
              <w:spacing w:after="0"/>
              <w:rPr>
                <w:sz w:val="20"/>
                <w:szCs w:val="20"/>
                <w:color w:val="auto"/>
              </w:rPr>
            </w:pPr>
            <w:r>
              <w:rPr>
                <w:rFonts w:ascii="Arial" w:cs="Arial" w:eastAsia="Arial" w:hAnsi="Arial"/>
                <w:sz w:val="13"/>
                <w:szCs w:val="13"/>
                <w:color w:val="auto"/>
              </w:rPr>
              <w:t>Gross profit</w:t>
            </w:r>
          </w:p>
        </w:tc>
        <w:tc>
          <w:tcPr>
            <w:tcW w:w="680" w:type="dxa"/>
            <w:vAlign w:val="bottom"/>
          </w:tcPr>
          <w:p>
            <w:pPr>
              <w:jc w:val="right"/>
              <w:ind w:right="38"/>
              <w:spacing w:after="0"/>
              <w:rPr>
                <w:sz w:val="20"/>
                <w:szCs w:val="20"/>
                <w:color w:val="auto"/>
              </w:rPr>
            </w:pPr>
            <w:r>
              <w:rPr>
                <w:rFonts w:ascii="Arial" w:cs="Arial" w:eastAsia="Arial" w:hAnsi="Arial"/>
                <w:sz w:val="13"/>
                <w:szCs w:val="13"/>
                <w:color w:val="auto"/>
              </w:rPr>
              <w:t>$204.1</w:t>
            </w:r>
          </w:p>
        </w:tc>
        <w:tc>
          <w:tcPr>
            <w:tcW w:w="760" w:type="dxa"/>
            <w:vAlign w:val="bottom"/>
          </w:tcPr>
          <w:p>
            <w:pPr>
              <w:jc w:val="right"/>
              <w:ind w:right="59"/>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9"/>
              <w:spacing w:after="0"/>
              <w:rPr>
                <w:sz w:val="20"/>
                <w:szCs w:val="20"/>
                <w:color w:val="auto"/>
              </w:rPr>
            </w:pPr>
            <w:r>
              <w:rPr>
                <w:rFonts w:ascii="Arial" w:cs="Arial" w:eastAsia="Arial" w:hAnsi="Arial"/>
                <w:sz w:val="13"/>
                <w:szCs w:val="13"/>
                <w:color w:val="auto"/>
              </w:rPr>
              <w:t>$0.8</w:t>
            </w:r>
          </w:p>
        </w:tc>
        <w:tc>
          <w:tcPr>
            <w:tcW w:w="800" w:type="dxa"/>
            <w:vAlign w:val="bottom"/>
          </w:tcPr>
          <w:p>
            <w:pPr>
              <w:jc w:val="right"/>
              <w:spacing w:after="0"/>
              <w:rPr>
                <w:sz w:val="20"/>
                <w:szCs w:val="20"/>
                <w:color w:val="auto"/>
              </w:rPr>
            </w:pPr>
            <w:r>
              <w:rPr>
                <w:rFonts w:ascii="Arial" w:cs="Arial" w:eastAsia="Arial" w:hAnsi="Arial"/>
                <w:sz w:val="13"/>
                <w:szCs w:val="13"/>
                <w:color w:val="auto"/>
              </w:rPr>
              <w:t>$2.0</w:t>
            </w:r>
          </w:p>
        </w:tc>
        <w:tc>
          <w:tcPr>
            <w:tcW w:w="740" w:type="dxa"/>
            <w:vAlign w:val="bottom"/>
          </w:tcPr>
          <w:p>
            <w:pPr>
              <w:jc w:val="right"/>
              <w:spacing w:after="0"/>
              <w:rPr>
                <w:sz w:val="20"/>
                <w:szCs w:val="20"/>
                <w:color w:val="auto"/>
              </w:rPr>
            </w:pPr>
            <w:r>
              <w:rPr>
                <w:rFonts w:ascii="Arial" w:cs="Arial" w:eastAsia="Arial" w:hAnsi="Arial"/>
                <w:sz w:val="13"/>
                <w:szCs w:val="13"/>
                <w:color w:val="auto"/>
              </w:rPr>
              <w:t>($0.2)</w:t>
            </w:r>
          </w:p>
        </w:tc>
        <w:tc>
          <w:tcPr>
            <w:tcW w:w="580" w:type="dxa"/>
            <w:vAlign w:val="bottom"/>
          </w:tcPr>
          <w:p>
            <w:pPr>
              <w:jc w:val="right"/>
              <w:ind w:right="19"/>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19"/>
              <w:spacing w:after="0"/>
              <w:rPr>
                <w:sz w:val="20"/>
                <w:szCs w:val="20"/>
                <w:color w:val="auto"/>
              </w:rPr>
            </w:pPr>
            <w:r>
              <w:rPr>
                <w:rFonts w:ascii="Arial" w:cs="Arial" w:eastAsia="Arial" w:hAnsi="Arial"/>
                <w:sz w:val="13"/>
                <w:szCs w:val="13"/>
                <w:color w:val="auto"/>
              </w:rPr>
              <w:t>($2.2)</w:t>
            </w:r>
          </w:p>
        </w:tc>
        <w:tc>
          <w:tcPr>
            <w:tcW w:w="900" w:type="dxa"/>
            <w:vAlign w:val="bottom"/>
          </w:tcPr>
          <w:p>
            <w:pPr>
              <w:jc w:val="right"/>
              <w:ind w:right="39"/>
              <w:spacing w:after="0"/>
              <w:rPr>
                <w:sz w:val="20"/>
                <w:szCs w:val="20"/>
                <w:color w:val="auto"/>
              </w:rPr>
            </w:pPr>
            <w:r>
              <w:rPr>
                <w:rFonts w:ascii="Arial" w:cs="Arial" w:eastAsia="Arial" w:hAnsi="Arial"/>
                <w:sz w:val="13"/>
                <w:szCs w:val="13"/>
                <w:color w:val="auto"/>
              </w:rPr>
              <w:t>$0.2</w:t>
            </w:r>
          </w:p>
        </w:tc>
        <w:tc>
          <w:tcPr>
            <w:tcW w:w="820" w:type="dxa"/>
            <w:vAlign w:val="bottom"/>
          </w:tcPr>
          <w:p>
            <w:pPr>
              <w:jc w:val="right"/>
              <w:ind w:right="18"/>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$204.8</w:t>
            </w:r>
          </w:p>
        </w:tc>
        <w:tc>
          <w:tcPr>
            <w:tcW w:w="0" w:type="dxa"/>
            <w:vAlign w:val="bottom"/>
          </w:tcPr>
          <w:p>
            <w:pPr>
              <w:spacing w:after="0"/>
              <w:rPr>
                <w:sz w:val="1"/>
                <w:szCs w:val="1"/>
                <w:color w:val="auto"/>
              </w:rPr>
            </w:pPr>
          </w:p>
        </w:tc>
      </w:tr>
      <w:tr>
        <w:trPr>
          <w:trHeight w:val="182"/>
        </w:trPr>
        <w:tc>
          <w:tcPr>
            <w:tcW w:w="2040" w:type="dxa"/>
            <w:vAlign w:val="bottom"/>
            <w:gridSpan w:val="2"/>
          </w:tcPr>
          <w:p>
            <w:pPr>
              <w:ind w:left="20"/>
              <w:spacing w:after="0"/>
              <w:rPr>
                <w:sz w:val="20"/>
                <w:szCs w:val="20"/>
                <w:color w:val="auto"/>
              </w:rPr>
            </w:pPr>
            <w:r>
              <w:rPr>
                <w:rFonts w:ascii="Arial" w:cs="Arial" w:eastAsia="Arial" w:hAnsi="Arial"/>
                <w:sz w:val="13"/>
                <w:szCs w:val="13"/>
                <w:color w:val="auto"/>
              </w:rPr>
              <w:t>Selling, general and</w:t>
            </w:r>
          </w:p>
        </w:tc>
        <w:tc>
          <w:tcPr>
            <w:tcW w:w="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040" w:type="dxa"/>
            <w:vAlign w:val="bottom"/>
            <w:gridSpan w:val="2"/>
          </w:tcPr>
          <w:p>
            <w:pPr>
              <w:ind w:left="20"/>
              <w:spacing w:after="0"/>
              <w:rPr>
                <w:sz w:val="20"/>
                <w:szCs w:val="20"/>
                <w:color w:val="auto"/>
              </w:rPr>
            </w:pPr>
            <w:r>
              <w:rPr>
                <w:rFonts w:ascii="Arial" w:cs="Arial" w:eastAsia="Arial" w:hAnsi="Arial"/>
                <w:sz w:val="13"/>
                <w:szCs w:val="13"/>
                <w:color w:val="auto"/>
              </w:rPr>
              <w:t>administrative</w:t>
            </w:r>
          </w:p>
        </w:tc>
        <w:tc>
          <w:tcPr>
            <w:tcW w:w="680" w:type="dxa"/>
            <w:vAlign w:val="bottom"/>
          </w:tcPr>
          <w:p>
            <w:pPr>
              <w:jc w:val="right"/>
              <w:ind w:right="38"/>
              <w:spacing w:after="0"/>
              <w:rPr>
                <w:sz w:val="20"/>
                <w:szCs w:val="20"/>
                <w:color w:val="auto"/>
              </w:rPr>
            </w:pPr>
            <w:r>
              <w:rPr>
                <w:rFonts w:ascii="Arial" w:cs="Arial" w:eastAsia="Arial" w:hAnsi="Arial"/>
                <w:sz w:val="13"/>
                <w:szCs w:val="13"/>
                <w:color w:val="auto"/>
              </w:rPr>
              <w:t>122.2</w:t>
            </w:r>
          </w:p>
        </w:tc>
        <w:tc>
          <w:tcPr>
            <w:tcW w:w="760" w:type="dxa"/>
            <w:vAlign w:val="bottom"/>
          </w:tcPr>
          <w:p>
            <w:pPr>
              <w:jc w:val="right"/>
              <w:ind w:right="59"/>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9"/>
              <w:spacing w:after="0"/>
              <w:rPr>
                <w:sz w:val="20"/>
                <w:szCs w:val="20"/>
                <w:color w:val="auto"/>
              </w:rPr>
            </w:pPr>
            <w:r>
              <w:rPr>
                <w:rFonts w:ascii="Arial" w:cs="Arial" w:eastAsia="Arial" w:hAnsi="Arial"/>
                <w:sz w:val="13"/>
                <w:szCs w:val="13"/>
                <w:color w:val="auto"/>
              </w:rPr>
              <w:t>(0.3)</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(1.1)</w:t>
            </w:r>
          </w:p>
        </w:tc>
        <w:tc>
          <w:tcPr>
            <w:tcW w:w="580" w:type="dxa"/>
            <w:vAlign w:val="bottom"/>
          </w:tcPr>
          <w:p>
            <w:pPr>
              <w:jc w:val="right"/>
              <w:spacing w:after="0"/>
              <w:rPr>
                <w:sz w:val="20"/>
                <w:szCs w:val="20"/>
                <w:color w:val="auto"/>
              </w:rPr>
            </w:pPr>
            <w:r>
              <w:rPr>
                <w:rFonts w:ascii="Arial" w:cs="Arial" w:eastAsia="Arial" w:hAnsi="Arial"/>
                <w:sz w:val="13"/>
                <w:szCs w:val="13"/>
                <w:color w:val="auto"/>
              </w:rPr>
              <w:t>(0.6)</w:t>
            </w:r>
          </w:p>
        </w:tc>
        <w:tc>
          <w:tcPr>
            <w:tcW w:w="1040" w:type="dxa"/>
            <w:vAlign w:val="bottom"/>
          </w:tcPr>
          <w:p>
            <w:pPr>
              <w:jc w:val="right"/>
              <w:ind w:right="119"/>
              <w:spacing w:after="0"/>
              <w:rPr>
                <w:sz w:val="20"/>
                <w:szCs w:val="20"/>
                <w:color w:val="auto"/>
              </w:rPr>
            </w:pPr>
            <w:r>
              <w:rPr>
                <w:rFonts w:ascii="Arial" w:cs="Arial" w:eastAsia="Arial" w:hAnsi="Arial"/>
                <w:sz w:val="13"/>
                <w:szCs w:val="13"/>
                <w:color w:val="auto"/>
              </w:rPr>
              <w:t>(15.4)</w:t>
            </w:r>
          </w:p>
        </w:tc>
        <w:tc>
          <w:tcPr>
            <w:tcW w:w="900" w:type="dxa"/>
            <w:vAlign w:val="bottom"/>
          </w:tcPr>
          <w:p>
            <w:pPr>
              <w:jc w:val="right"/>
              <w:spacing w:after="0"/>
              <w:rPr>
                <w:sz w:val="20"/>
                <w:szCs w:val="20"/>
                <w:color w:val="auto"/>
              </w:rPr>
            </w:pPr>
            <w:r>
              <w:rPr>
                <w:rFonts w:ascii="Arial" w:cs="Arial" w:eastAsia="Arial" w:hAnsi="Arial"/>
                <w:sz w:val="13"/>
                <w:szCs w:val="13"/>
                <w:color w:val="auto"/>
              </w:rPr>
              <w:t>(4.3)</w:t>
            </w:r>
          </w:p>
        </w:tc>
        <w:tc>
          <w:tcPr>
            <w:tcW w:w="820" w:type="dxa"/>
            <w:vAlign w:val="bottom"/>
          </w:tcPr>
          <w:p>
            <w:pPr>
              <w:jc w:val="right"/>
              <w:ind w:right="18"/>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100.6</w:t>
            </w:r>
          </w:p>
        </w:tc>
        <w:tc>
          <w:tcPr>
            <w:tcW w:w="0" w:type="dxa"/>
            <w:vAlign w:val="bottom"/>
          </w:tcPr>
          <w:p>
            <w:pPr>
              <w:spacing w:after="0"/>
              <w:rPr>
                <w:sz w:val="1"/>
                <w:szCs w:val="1"/>
                <w:color w:val="auto"/>
              </w:rPr>
            </w:pPr>
          </w:p>
        </w:tc>
      </w:tr>
      <w:tr>
        <w:trPr>
          <w:trHeight w:val="240"/>
        </w:trPr>
        <w:tc>
          <w:tcPr>
            <w:tcW w:w="2040" w:type="dxa"/>
            <w:vAlign w:val="bottom"/>
            <w:gridSpan w:val="2"/>
          </w:tcPr>
          <w:p>
            <w:pPr>
              <w:ind w:left="20"/>
              <w:spacing w:after="0"/>
              <w:rPr>
                <w:sz w:val="20"/>
                <w:szCs w:val="20"/>
                <w:color w:val="auto"/>
              </w:rPr>
            </w:pPr>
            <w:r>
              <w:rPr>
                <w:rFonts w:ascii="Arial" w:cs="Arial" w:eastAsia="Arial" w:hAnsi="Arial"/>
                <w:sz w:val="13"/>
                <w:szCs w:val="13"/>
                <w:color w:val="auto"/>
              </w:rPr>
              <w:t>Research and development</w:t>
            </w:r>
          </w:p>
        </w:tc>
        <w:tc>
          <w:tcPr>
            <w:tcW w:w="680" w:type="dxa"/>
            <w:vAlign w:val="bottom"/>
          </w:tcPr>
          <w:p>
            <w:pPr>
              <w:jc w:val="right"/>
              <w:ind w:right="38"/>
              <w:spacing w:after="0"/>
              <w:rPr>
                <w:sz w:val="20"/>
                <w:szCs w:val="20"/>
                <w:color w:val="auto"/>
              </w:rPr>
            </w:pPr>
            <w:r>
              <w:rPr>
                <w:rFonts w:ascii="Arial" w:cs="Arial" w:eastAsia="Arial" w:hAnsi="Arial"/>
                <w:sz w:val="13"/>
                <w:szCs w:val="13"/>
                <w:color w:val="auto"/>
              </w:rPr>
              <w:t>37.6</w:t>
            </w:r>
          </w:p>
        </w:tc>
        <w:tc>
          <w:tcPr>
            <w:tcW w:w="760" w:type="dxa"/>
            <w:vAlign w:val="bottom"/>
          </w:tcPr>
          <w:p>
            <w:pPr>
              <w:jc w:val="right"/>
              <w:ind w:right="59"/>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9"/>
              <w:spacing w:after="0"/>
              <w:rPr>
                <w:sz w:val="20"/>
                <w:szCs w:val="20"/>
                <w:color w:val="auto"/>
              </w:rPr>
            </w:pPr>
            <w:r>
              <w:rPr>
                <w:rFonts w:ascii="Arial" w:cs="Arial" w:eastAsia="Arial" w:hAnsi="Arial"/>
                <w:sz w:val="13"/>
                <w:szCs w:val="13"/>
                <w:color w:val="auto"/>
              </w:rPr>
              <w:t>(0.1)</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(0.2)</w:t>
            </w:r>
          </w:p>
        </w:tc>
        <w:tc>
          <w:tcPr>
            <w:tcW w:w="580" w:type="dxa"/>
            <w:vAlign w:val="bottom"/>
          </w:tcPr>
          <w:p>
            <w:pPr>
              <w:jc w:val="right"/>
              <w:spacing w:after="0"/>
              <w:rPr>
                <w:sz w:val="20"/>
                <w:szCs w:val="20"/>
                <w:color w:val="auto"/>
              </w:rPr>
            </w:pPr>
            <w:r>
              <w:rPr>
                <w:rFonts w:ascii="Arial" w:cs="Arial" w:eastAsia="Arial" w:hAnsi="Arial"/>
                <w:sz w:val="13"/>
                <w:szCs w:val="13"/>
                <w:color w:val="auto"/>
              </w:rPr>
              <w:t>(0.3)</w:t>
            </w:r>
          </w:p>
        </w:tc>
        <w:tc>
          <w:tcPr>
            <w:tcW w:w="1040" w:type="dxa"/>
            <w:vAlign w:val="bottom"/>
          </w:tcPr>
          <w:p>
            <w:pPr>
              <w:jc w:val="right"/>
              <w:ind w:right="159"/>
              <w:spacing w:after="0"/>
              <w:rPr>
                <w:sz w:val="20"/>
                <w:szCs w:val="20"/>
                <w:color w:val="auto"/>
              </w:rPr>
            </w:pPr>
            <w:r>
              <w:rPr>
                <w:rFonts w:ascii="Arial" w:cs="Arial" w:eastAsia="Arial" w:hAnsi="Arial"/>
                <w:sz w:val="13"/>
                <w:szCs w:val="13"/>
                <w:color w:val="auto"/>
              </w:rPr>
              <w:t>0.3</w:t>
            </w:r>
          </w:p>
        </w:tc>
        <w:tc>
          <w:tcPr>
            <w:tcW w:w="900" w:type="dxa"/>
            <w:vAlign w:val="bottom"/>
          </w:tcPr>
          <w:p>
            <w:pPr>
              <w:jc w:val="right"/>
              <w:spacing w:after="0"/>
              <w:rPr>
                <w:sz w:val="20"/>
                <w:szCs w:val="20"/>
                <w:color w:val="auto"/>
              </w:rPr>
            </w:pPr>
            <w:r>
              <w:rPr>
                <w:rFonts w:ascii="Arial" w:cs="Arial" w:eastAsia="Arial" w:hAnsi="Arial"/>
                <w:sz w:val="13"/>
                <w:szCs w:val="13"/>
                <w:color w:val="auto"/>
              </w:rPr>
              <w:t>(1.0)</w:t>
            </w:r>
          </w:p>
        </w:tc>
        <w:tc>
          <w:tcPr>
            <w:tcW w:w="820" w:type="dxa"/>
            <w:vAlign w:val="bottom"/>
          </w:tcPr>
          <w:p>
            <w:pPr>
              <w:jc w:val="right"/>
              <w:ind w:right="18"/>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36.4</w:t>
            </w:r>
          </w:p>
        </w:tc>
        <w:tc>
          <w:tcPr>
            <w:tcW w:w="0" w:type="dxa"/>
            <w:vAlign w:val="bottom"/>
          </w:tcPr>
          <w:p>
            <w:pPr>
              <w:spacing w:after="0"/>
              <w:rPr>
                <w:sz w:val="1"/>
                <w:szCs w:val="1"/>
                <w:color w:val="auto"/>
              </w:rPr>
            </w:pPr>
          </w:p>
        </w:tc>
      </w:tr>
      <w:tr>
        <w:trPr>
          <w:trHeight w:val="240"/>
        </w:trPr>
        <w:tc>
          <w:tcPr>
            <w:tcW w:w="2040" w:type="dxa"/>
            <w:vAlign w:val="bottom"/>
            <w:gridSpan w:val="2"/>
          </w:tcPr>
          <w:p>
            <w:pPr>
              <w:ind w:left="20"/>
              <w:spacing w:after="0"/>
              <w:rPr>
                <w:sz w:val="20"/>
                <w:szCs w:val="20"/>
                <w:color w:val="auto"/>
              </w:rPr>
            </w:pPr>
            <w:r>
              <w:rPr>
                <w:rFonts w:ascii="Arial" w:cs="Arial" w:eastAsia="Arial" w:hAnsi="Arial"/>
                <w:sz w:val="13"/>
                <w:szCs w:val="13"/>
                <w:color w:val="auto"/>
              </w:rPr>
              <w:t>Litigation provision</w:t>
            </w:r>
          </w:p>
        </w:tc>
        <w:tc>
          <w:tcPr>
            <w:tcW w:w="680" w:type="dxa"/>
            <w:vAlign w:val="bottom"/>
          </w:tcPr>
          <w:p>
            <w:pPr>
              <w:jc w:val="right"/>
              <w:ind w:right="38"/>
              <w:spacing w:after="0"/>
              <w:rPr>
                <w:sz w:val="20"/>
                <w:szCs w:val="20"/>
                <w:color w:val="auto"/>
              </w:rPr>
            </w:pPr>
            <w:r>
              <w:rPr>
                <w:rFonts w:ascii="Arial" w:cs="Arial" w:eastAsia="Arial" w:hAnsi="Arial"/>
                <w:sz w:val="13"/>
                <w:szCs w:val="13"/>
                <w:color w:val="auto"/>
              </w:rPr>
              <w:t>294.0</w:t>
            </w:r>
          </w:p>
        </w:tc>
        <w:tc>
          <w:tcPr>
            <w:tcW w:w="760" w:type="dxa"/>
            <w:vAlign w:val="bottom"/>
          </w:tcPr>
          <w:p>
            <w:pPr>
              <w:jc w:val="right"/>
              <w:ind w:right="59"/>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9"/>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9"/>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19"/>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19"/>
              <w:spacing w:after="0"/>
              <w:rPr>
                <w:sz w:val="20"/>
                <w:szCs w:val="20"/>
                <w:color w:val="auto"/>
              </w:rPr>
            </w:pPr>
            <w:r>
              <w:rPr>
                <w:rFonts w:ascii="Arial" w:cs="Arial" w:eastAsia="Arial" w:hAnsi="Arial"/>
                <w:sz w:val="13"/>
                <w:szCs w:val="13"/>
                <w:color w:val="auto"/>
              </w:rPr>
              <w:t>(294.0)</w:t>
            </w:r>
          </w:p>
        </w:tc>
        <w:tc>
          <w:tcPr>
            <w:tcW w:w="900" w:type="dxa"/>
            <w:vAlign w:val="bottom"/>
          </w:tcPr>
          <w:p>
            <w:pPr>
              <w:jc w:val="right"/>
              <w:ind w:right="39"/>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8"/>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40"/>
        </w:trPr>
        <w:tc>
          <w:tcPr>
            <w:tcW w:w="2040" w:type="dxa"/>
            <w:vAlign w:val="bottom"/>
            <w:gridSpan w:val="2"/>
          </w:tcPr>
          <w:p>
            <w:pPr>
              <w:ind w:left="20"/>
              <w:spacing w:after="0"/>
              <w:rPr>
                <w:sz w:val="20"/>
                <w:szCs w:val="20"/>
                <w:color w:val="auto"/>
              </w:rPr>
            </w:pPr>
            <w:r>
              <w:rPr>
                <w:rFonts w:ascii="Arial" w:cs="Arial" w:eastAsia="Arial" w:hAnsi="Arial"/>
                <w:sz w:val="13"/>
                <w:szCs w:val="13"/>
                <w:color w:val="auto"/>
              </w:rPr>
              <w:t>Other operating expenses</w:t>
            </w:r>
          </w:p>
        </w:tc>
        <w:tc>
          <w:tcPr>
            <w:tcW w:w="680" w:type="dxa"/>
            <w:vAlign w:val="bottom"/>
          </w:tcPr>
          <w:p>
            <w:pPr>
              <w:jc w:val="right"/>
              <w:ind w:right="38"/>
              <w:spacing w:after="0"/>
              <w:rPr>
                <w:sz w:val="20"/>
                <w:szCs w:val="20"/>
                <w:color w:val="auto"/>
              </w:rPr>
            </w:pPr>
            <w:r>
              <w:rPr>
                <w:rFonts w:ascii="Arial" w:cs="Arial" w:eastAsia="Arial" w:hAnsi="Arial"/>
                <w:sz w:val="13"/>
                <w:szCs w:val="13"/>
                <w:color w:val="auto"/>
              </w:rPr>
              <w:t>26.6</w:t>
            </w:r>
          </w:p>
        </w:tc>
        <w:tc>
          <w:tcPr>
            <w:tcW w:w="760" w:type="dxa"/>
            <w:vAlign w:val="bottom"/>
          </w:tcPr>
          <w:p>
            <w:pPr>
              <w:jc w:val="right"/>
              <w:ind w:right="19"/>
              <w:spacing w:after="0"/>
              <w:rPr>
                <w:sz w:val="20"/>
                <w:szCs w:val="20"/>
                <w:color w:val="auto"/>
              </w:rPr>
            </w:pPr>
            <w:r>
              <w:rPr>
                <w:rFonts w:ascii="Arial" w:cs="Arial" w:eastAsia="Arial" w:hAnsi="Arial"/>
                <w:sz w:val="13"/>
                <w:szCs w:val="13"/>
                <w:color w:val="auto"/>
              </w:rPr>
              <w:t>(4.4)</w:t>
            </w:r>
          </w:p>
        </w:tc>
        <w:tc>
          <w:tcPr>
            <w:tcW w:w="880" w:type="dxa"/>
            <w:vAlign w:val="bottom"/>
          </w:tcPr>
          <w:p>
            <w:pPr>
              <w:jc w:val="right"/>
              <w:spacing w:after="0"/>
              <w:rPr>
                <w:sz w:val="20"/>
                <w:szCs w:val="20"/>
                <w:color w:val="auto"/>
              </w:rPr>
            </w:pPr>
            <w:r>
              <w:rPr>
                <w:rFonts w:ascii="Arial" w:cs="Arial" w:eastAsia="Arial" w:hAnsi="Arial"/>
                <w:sz w:val="13"/>
                <w:szCs w:val="13"/>
                <w:color w:val="auto"/>
              </w:rPr>
              <w:t>(13.1)</w:t>
            </w:r>
          </w:p>
        </w:tc>
        <w:tc>
          <w:tcPr>
            <w:tcW w:w="820" w:type="dxa"/>
            <w:vAlign w:val="bottom"/>
          </w:tcPr>
          <w:p>
            <w:pPr>
              <w:jc w:val="right"/>
              <w:ind w:right="19"/>
              <w:spacing w:after="0"/>
              <w:rPr>
                <w:sz w:val="20"/>
                <w:szCs w:val="20"/>
                <w:color w:val="auto"/>
              </w:rPr>
            </w:pPr>
            <w:r>
              <w:rPr>
                <w:rFonts w:ascii="Arial" w:cs="Arial" w:eastAsia="Arial" w:hAnsi="Arial"/>
                <w:sz w:val="13"/>
                <w:szCs w:val="13"/>
                <w:color w:val="auto"/>
              </w:rPr>
              <w:t>(9.1)</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9"/>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19"/>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59"/>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39"/>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8"/>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2"/>
        </w:trPr>
        <w:tc>
          <w:tcPr>
            <w:tcW w:w="2040" w:type="dxa"/>
            <w:vAlign w:val="bottom"/>
            <w:gridSpan w:val="2"/>
          </w:tcPr>
          <w:p>
            <w:pPr>
              <w:ind w:left="20"/>
              <w:spacing w:after="0"/>
              <w:rPr>
                <w:sz w:val="20"/>
                <w:szCs w:val="20"/>
                <w:color w:val="auto"/>
              </w:rPr>
            </w:pPr>
            <w:r>
              <w:rPr>
                <w:rFonts w:ascii="Arial" w:cs="Arial" w:eastAsia="Arial" w:hAnsi="Arial"/>
                <w:sz w:val="13"/>
                <w:szCs w:val="13"/>
                <w:color w:val="auto"/>
              </w:rPr>
              <w:t>Operating (loss) income from</w:t>
            </w:r>
          </w:p>
        </w:tc>
        <w:tc>
          <w:tcPr>
            <w:tcW w:w="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040" w:type="dxa"/>
            <w:vAlign w:val="bottom"/>
            <w:gridSpan w:val="2"/>
          </w:tcPr>
          <w:p>
            <w:pPr>
              <w:ind w:left="20"/>
              <w:spacing w:after="0"/>
              <w:rPr>
                <w:sz w:val="20"/>
                <w:szCs w:val="20"/>
                <w:color w:val="auto"/>
              </w:rPr>
            </w:pPr>
            <w:r>
              <w:rPr>
                <w:rFonts w:ascii="Arial" w:cs="Arial" w:eastAsia="Arial" w:hAnsi="Arial"/>
                <w:sz w:val="13"/>
                <w:szCs w:val="13"/>
                <w:color w:val="auto"/>
              </w:rPr>
              <w:t>continuing operations</w:t>
            </w:r>
          </w:p>
        </w:tc>
        <w:tc>
          <w:tcPr>
            <w:tcW w:w="680" w:type="dxa"/>
            <w:vAlign w:val="bottom"/>
          </w:tcPr>
          <w:p>
            <w:pPr>
              <w:jc w:val="right"/>
              <w:spacing w:after="0"/>
              <w:rPr>
                <w:sz w:val="20"/>
                <w:szCs w:val="20"/>
                <w:color w:val="auto"/>
              </w:rPr>
            </w:pPr>
            <w:r>
              <w:rPr>
                <w:rFonts w:ascii="Arial" w:cs="Arial" w:eastAsia="Arial" w:hAnsi="Arial"/>
                <w:sz w:val="13"/>
                <w:szCs w:val="13"/>
                <w:color w:val="auto"/>
              </w:rPr>
              <w:t>(276.5)</w:t>
            </w:r>
          </w:p>
        </w:tc>
        <w:tc>
          <w:tcPr>
            <w:tcW w:w="760" w:type="dxa"/>
            <w:vAlign w:val="bottom"/>
          </w:tcPr>
          <w:p>
            <w:pPr>
              <w:jc w:val="right"/>
              <w:ind w:right="59"/>
              <w:spacing w:after="0"/>
              <w:rPr>
                <w:sz w:val="20"/>
                <w:szCs w:val="20"/>
                <w:color w:val="auto"/>
              </w:rPr>
            </w:pPr>
            <w:r>
              <w:rPr>
                <w:rFonts w:ascii="Arial" w:cs="Arial" w:eastAsia="Arial" w:hAnsi="Arial"/>
                <w:sz w:val="13"/>
                <w:szCs w:val="13"/>
                <w:color w:val="auto"/>
              </w:rPr>
              <w:t>4.4</w:t>
            </w:r>
          </w:p>
        </w:tc>
        <w:tc>
          <w:tcPr>
            <w:tcW w:w="880" w:type="dxa"/>
            <w:vAlign w:val="bottom"/>
          </w:tcPr>
          <w:p>
            <w:pPr>
              <w:jc w:val="right"/>
              <w:ind w:right="38"/>
              <w:spacing w:after="0"/>
              <w:rPr>
                <w:sz w:val="20"/>
                <w:szCs w:val="20"/>
                <w:color w:val="auto"/>
              </w:rPr>
            </w:pPr>
            <w:r>
              <w:rPr>
                <w:rFonts w:ascii="Arial" w:cs="Arial" w:eastAsia="Arial" w:hAnsi="Arial"/>
                <w:sz w:val="13"/>
                <w:szCs w:val="13"/>
                <w:color w:val="auto"/>
              </w:rPr>
              <w:t>13.1</w:t>
            </w:r>
          </w:p>
        </w:tc>
        <w:tc>
          <w:tcPr>
            <w:tcW w:w="820" w:type="dxa"/>
            <w:vAlign w:val="bottom"/>
          </w:tcPr>
          <w:p>
            <w:pPr>
              <w:jc w:val="right"/>
              <w:ind w:right="59"/>
              <w:spacing w:after="0"/>
              <w:rPr>
                <w:sz w:val="20"/>
                <w:szCs w:val="20"/>
                <w:color w:val="auto"/>
              </w:rPr>
            </w:pPr>
            <w:r>
              <w:rPr>
                <w:rFonts w:ascii="Arial" w:cs="Arial" w:eastAsia="Arial" w:hAnsi="Arial"/>
                <w:sz w:val="13"/>
                <w:szCs w:val="13"/>
                <w:color w:val="auto"/>
              </w:rPr>
              <w:t>10.3</w:t>
            </w:r>
          </w:p>
        </w:tc>
        <w:tc>
          <w:tcPr>
            <w:tcW w:w="800" w:type="dxa"/>
            <w:vAlign w:val="bottom"/>
          </w:tcPr>
          <w:p>
            <w:pPr>
              <w:jc w:val="right"/>
              <w:spacing w:after="0"/>
              <w:rPr>
                <w:sz w:val="20"/>
                <w:szCs w:val="20"/>
                <w:color w:val="auto"/>
              </w:rPr>
            </w:pPr>
            <w:r>
              <w:rPr>
                <w:rFonts w:ascii="Arial" w:cs="Arial" w:eastAsia="Arial" w:hAnsi="Arial"/>
                <w:sz w:val="13"/>
                <w:szCs w:val="13"/>
                <w:color w:val="auto"/>
              </w:rPr>
              <w:t>2.0</w:t>
            </w:r>
          </w:p>
        </w:tc>
        <w:tc>
          <w:tcPr>
            <w:tcW w:w="740" w:type="dxa"/>
            <w:vAlign w:val="bottom"/>
          </w:tcPr>
          <w:p>
            <w:pPr>
              <w:jc w:val="right"/>
              <w:ind w:right="19"/>
              <w:spacing w:after="0"/>
              <w:rPr>
                <w:sz w:val="20"/>
                <w:szCs w:val="20"/>
                <w:color w:val="auto"/>
              </w:rPr>
            </w:pPr>
            <w:r>
              <w:rPr>
                <w:rFonts w:ascii="Arial" w:cs="Arial" w:eastAsia="Arial" w:hAnsi="Arial"/>
                <w:sz w:val="13"/>
                <w:szCs w:val="13"/>
                <w:color w:val="auto"/>
              </w:rPr>
              <w:t>1.2</w:t>
            </w:r>
          </w:p>
        </w:tc>
        <w:tc>
          <w:tcPr>
            <w:tcW w:w="580" w:type="dxa"/>
            <w:vAlign w:val="bottom"/>
          </w:tcPr>
          <w:p>
            <w:pPr>
              <w:jc w:val="right"/>
              <w:ind w:right="19"/>
              <w:spacing w:after="0"/>
              <w:rPr>
                <w:sz w:val="20"/>
                <w:szCs w:val="20"/>
                <w:color w:val="auto"/>
              </w:rPr>
            </w:pPr>
            <w:r>
              <w:rPr>
                <w:rFonts w:ascii="Arial" w:cs="Arial" w:eastAsia="Arial" w:hAnsi="Arial"/>
                <w:sz w:val="13"/>
                <w:szCs w:val="13"/>
                <w:color w:val="auto"/>
              </w:rPr>
              <w:t>0.9</w:t>
            </w:r>
          </w:p>
        </w:tc>
        <w:tc>
          <w:tcPr>
            <w:tcW w:w="1040" w:type="dxa"/>
            <w:vAlign w:val="bottom"/>
          </w:tcPr>
          <w:p>
            <w:pPr>
              <w:jc w:val="right"/>
              <w:ind w:right="159"/>
              <w:spacing w:after="0"/>
              <w:rPr>
                <w:sz w:val="20"/>
                <w:szCs w:val="20"/>
                <w:color w:val="auto"/>
              </w:rPr>
            </w:pPr>
            <w:r>
              <w:rPr>
                <w:rFonts w:ascii="Arial" w:cs="Arial" w:eastAsia="Arial" w:hAnsi="Arial"/>
                <w:sz w:val="13"/>
                <w:szCs w:val="13"/>
                <w:color w:val="auto"/>
              </w:rPr>
              <w:t>306.9</w:t>
            </w:r>
          </w:p>
        </w:tc>
        <w:tc>
          <w:tcPr>
            <w:tcW w:w="900" w:type="dxa"/>
            <w:vAlign w:val="bottom"/>
          </w:tcPr>
          <w:p>
            <w:pPr>
              <w:jc w:val="right"/>
              <w:ind w:right="39"/>
              <w:spacing w:after="0"/>
              <w:rPr>
                <w:sz w:val="20"/>
                <w:szCs w:val="20"/>
                <w:color w:val="auto"/>
              </w:rPr>
            </w:pPr>
            <w:r>
              <w:rPr>
                <w:rFonts w:ascii="Arial" w:cs="Arial" w:eastAsia="Arial" w:hAnsi="Arial"/>
                <w:sz w:val="13"/>
                <w:szCs w:val="13"/>
                <w:color w:val="auto"/>
              </w:rPr>
              <w:t>5.5</w:t>
            </w:r>
          </w:p>
        </w:tc>
        <w:tc>
          <w:tcPr>
            <w:tcW w:w="820" w:type="dxa"/>
            <w:vAlign w:val="bottom"/>
          </w:tcPr>
          <w:p>
            <w:pPr>
              <w:jc w:val="right"/>
              <w:ind w:right="18"/>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67.8</w:t>
            </w:r>
          </w:p>
        </w:tc>
        <w:tc>
          <w:tcPr>
            <w:tcW w:w="0" w:type="dxa"/>
            <w:vAlign w:val="bottom"/>
          </w:tcPr>
          <w:p>
            <w:pPr>
              <w:spacing w:after="0"/>
              <w:rPr>
                <w:sz w:val="1"/>
                <w:szCs w:val="1"/>
                <w:color w:val="auto"/>
              </w:rPr>
            </w:pPr>
          </w:p>
        </w:tc>
      </w:tr>
      <w:tr>
        <w:trPr>
          <w:trHeight w:val="240"/>
        </w:trPr>
        <w:tc>
          <w:tcPr>
            <w:tcW w:w="2040" w:type="dxa"/>
            <w:vAlign w:val="bottom"/>
            <w:gridSpan w:val="2"/>
          </w:tcPr>
          <w:p>
            <w:pPr>
              <w:ind w:left="20"/>
              <w:spacing w:after="0"/>
              <w:rPr>
                <w:sz w:val="20"/>
                <w:szCs w:val="20"/>
                <w:color w:val="auto"/>
              </w:rPr>
            </w:pPr>
            <w:r>
              <w:rPr>
                <w:rFonts w:ascii="Arial" w:cs="Arial" w:eastAsia="Arial" w:hAnsi="Arial"/>
                <w:sz w:val="13"/>
                <w:szCs w:val="13"/>
                <w:color w:val="auto"/>
              </w:rPr>
              <w:t>Income tax (benefit) expense</w:t>
            </w:r>
          </w:p>
        </w:tc>
        <w:tc>
          <w:tcPr>
            <w:tcW w:w="680" w:type="dxa"/>
            <w:vAlign w:val="bottom"/>
          </w:tcPr>
          <w:p>
            <w:pPr>
              <w:jc w:val="right"/>
              <w:spacing w:after="0"/>
              <w:rPr>
                <w:sz w:val="20"/>
                <w:szCs w:val="20"/>
                <w:color w:val="auto"/>
              </w:rPr>
            </w:pPr>
            <w:r>
              <w:rPr>
                <w:rFonts w:ascii="Arial" w:cs="Arial" w:eastAsia="Arial" w:hAnsi="Arial"/>
                <w:sz w:val="13"/>
                <w:szCs w:val="13"/>
                <w:color w:val="auto"/>
              </w:rPr>
              <w:t>(69.8)</w:t>
            </w:r>
          </w:p>
        </w:tc>
        <w:tc>
          <w:tcPr>
            <w:tcW w:w="760" w:type="dxa"/>
            <w:vAlign w:val="bottom"/>
          </w:tcPr>
          <w:p>
            <w:pPr>
              <w:jc w:val="right"/>
              <w:ind w:right="59"/>
              <w:spacing w:after="0"/>
              <w:rPr>
                <w:sz w:val="20"/>
                <w:szCs w:val="20"/>
                <w:color w:val="auto"/>
              </w:rPr>
            </w:pPr>
            <w:r>
              <w:rPr>
                <w:rFonts w:ascii="Arial" w:cs="Arial" w:eastAsia="Arial" w:hAnsi="Arial"/>
                <w:sz w:val="13"/>
                <w:szCs w:val="13"/>
                <w:color w:val="auto"/>
              </w:rPr>
              <w:t>0.8</w:t>
            </w:r>
          </w:p>
        </w:tc>
        <w:tc>
          <w:tcPr>
            <w:tcW w:w="880" w:type="dxa"/>
            <w:vAlign w:val="bottom"/>
          </w:tcPr>
          <w:p>
            <w:pPr>
              <w:jc w:val="right"/>
              <w:ind w:right="38"/>
              <w:spacing w:after="0"/>
              <w:rPr>
                <w:sz w:val="20"/>
                <w:szCs w:val="20"/>
                <w:color w:val="auto"/>
              </w:rPr>
            </w:pPr>
            <w:r>
              <w:rPr>
                <w:rFonts w:ascii="Arial" w:cs="Arial" w:eastAsia="Arial" w:hAnsi="Arial"/>
                <w:sz w:val="13"/>
                <w:szCs w:val="13"/>
                <w:color w:val="auto"/>
              </w:rPr>
              <w:t>3.5</w:t>
            </w:r>
          </w:p>
        </w:tc>
        <w:tc>
          <w:tcPr>
            <w:tcW w:w="820" w:type="dxa"/>
            <w:vAlign w:val="bottom"/>
          </w:tcPr>
          <w:p>
            <w:pPr>
              <w:jc w:val="right"/>
              <w:ind w:right="59"/>
              <w:spacing w:after="0"/>
              <w:rPr>
                <w:sz w:val="20"/>
                <w:szCs w:val="20"/>
                <w:color w:val="auto"/>
              </w:rPr>
            </w:pPr>
            <w:r>
              <w:rPr>
                <w:rFonts w:ascii="Arial" w:cs="Arial" w:eastAsia="Arial" w:hAnsi="Arial"/>
                <w:sz w:val="13"/>
                <w:szCs w:val="13"/>
                <w:color w:val="auto"/>
              </w:rPr>
              <w:t>4.0</w:t>
            </w:r>
          </w:p>
        </w:tc>
        <w:tc>
          <w:tcPr>
            <w:tcW w:w="800" w:type="dxa"/>
            <w:vAlign w:val="bottom"/>
          </w:tcPr>
          <w:p>
            <w:pPr>
              <w:jc w:val="right"/>
              <w:spacing w:after="0"/>
              <w:rPr>
                <w:sz w:val="20"/>
                <w:szCs w:val="20"/>
                <w:color w:val="auto"/>
              </w:rPr>
            </w:pPr>
            <w:r>
              <w:rPr>
                <w:rFonts w:ascii="Arial" w:cs="Arial" w:eastAsia="Arial" w:hAnsi="Arial"/>
                <w:sz w:val="13"/>
                <w:szCs w:val="13"/>
                <w:color w:val="auto"/>
              </w:rPr>
              <w:t>0.5</w:t>
            </w:r>
          </w:p>
        </w:tc>
        <w:tc>
          <w:tcPr>
            <w:tcW w:w="740" w:type="dxa"/>
            <w:vAlign w:val="bottom"/>
          </w:tcPr>
          <w:p>
            <w:pPr>
              <w:jc w:val="right"/>
              <w:ind w:right="19"/>
              <w:spacing w:after="0"/>
              <w:rPr>
                <w:sz w:val="20"/>
                <w:szCs w:val="20"/>
                <w:color w:val="auto"/>
              </w:rPr>
            </w:pPr>
            <w:r>
              <w:rPr>
                <w:rFonts w:ascii="Arial" w:cs="Arial" w:eastAsia="Arial" w:hAnsi="Arial"/>
                <w:sz w:val="13"/>
                <w:szCs w:val="13"/>
                <w:color w:val="auto"/>
              </w:rPr>
              <w:t>0.3</w:t>
            </w:r>
          </w:p>
        </w:tc>
        <w:tc>
          <w:tcPr>
            <w:tcW w:w="580" w:type="dxa"/>
            <w:vAlign w:val="bottom"/>
          </w:tcPr>
          <w:p>
            <w:pPr>
              <w:jc w:val="right"/>
              <w:ind w:right="19"/>
              <w:spacing w:after="0"/>
              <w:rPr>
                <w:sz w:val="20"/>
                <w:szCs w:val="20"/>
                <w:color w:val="auto"/>
              </w:rPr>
            </w:pPr>
            <w:r>
              <w:rPr>
                <w:rFonts w:ascii="Arial" w:cs="Arial" w:eastAsia="Arial" w:hAnsi="Arial"/>
                <w:sz w:val="13"/>
                <w:szCs w:val="13"/>
                <w:color w:val="auto"/>
              </w:rPr>
              <w:t>0.3</w:t>
            </w:r>
          </w:p>
        </w:tc>
        <w:tc>
          <w:tcPr>
            <w:tcW w:w="1040" w:type="dxa"/>
            <w:vAlign w:val="bottom"/>
          </w:tcPr>
          <w:p>
            <w:pPr>
              <w:jc w:val="right"/>
              <w:ind w:right="159"/>
              <w:spacing w:after="0"/>
              <w:rPr>
                <w:sz w:val="20"/>
                <w:szCs w:val="20"/>
                <w:color w:val="auto"/>
              </w:rPr>
            </w:pPr>
            <w:r>
              <w:rPr>
                <w:rFonts w:ascii="Arial" w:cs="Arial" w:eastAsia="Arial" w:hAnsi="Arial"/>
                <w:sz w:val="13"/>
                <w:szCs w:val="13"/>
                <w:color w:val="auto"/>
              </w:rPr>
              <w:t>74.5</w:t>
            </w:r>
          </w:p>
        </w:tc>
        <w:tc>
          <w:tcPr>
            <w:tcW w:w="900" w:type="dxa"/>
            <w:vAlign w:val="bottom"/>
          </w:tcPr>
          <w:p>
            <w:pPr>
              <w:jc w:val="right"/>
              <w:ind w:right="39"/>
              <w:spacing w:after="0"/>
              <w:rPr>
                <w:sz w:val="20"/>
                <w:szCs w:val="20"/>
                <w:color w:val="auto"/>
              </w:rPr>
            </w:pPr>
            <w:r>
              <w:rPr>
                <w:rFonts w:ascii="Arial" w:cs="Arial" w:eastAsia="Arial" w:hAnsi="Arial"/>
                <w:sz w:val="13"/>
                <w:szCs w:val="13"/>
                <w:color w:val="auto"/>
              </w:rPr>
              <w:t>1.6</w:t>
            </w:r>
          </w:p>
        </w:tc>
        <w:tc>
          <w:tcPr>
            <w:tcW w:w="820" w:type="dxa"/>
            <w:vAlign w:val="bottom"/>
          </w:tcPr>
          <w:p>
            <w:pPr>
              <w:jc w:val="right"/>
              <w:spacing w:after="0"/>
              <w:rPr>
                <w:sz w:val="20"/>
                <w:szCs w:val="20"/>
                <w:color w:val="auto"/>
              </w:rPr>
            </w:pPr>
            <w:r>
              <w:rPr>
                <w:rFonts w:ascii="Arial" w:cs="Arial" w:eastAsia="Arial" w:hAnsi="Arial"/>
                <w:sz w:val="13"/>
                <w:szCs w:val="13"/>
                <w:color w:val="auto"/>
              </w:rPr>
              <w:t>(5.2)</w:t>
            </w:r>
          </w:p>
        </w:tc>
        <w:tc>
          <w:tcPr>
            <w:tcW w:w="780" w:type="dxa"/>
            <w:vAlign w:val="bottom"/>
          </w:tcPr>
          <w:p>
            <w:pPr>
              <w:jc w:val="right"/>
              <w:spacing w:after="0"/>
              <w:rPr>
                <w:sz w:val="20"/>
                <w:szCs w:val="20"/>
                <w:color w:val="auto"/>
              </w:rPr>
            </w:pPr>
            <w:r>
              <w:rPr>
                <w:rFonts w:ascii="Arial" w:cs="Arial" w:eastAsia="Arial" w:hAnsi="Arial"/>
                <w:sz w:val="13"/>
                <w:szCs w:val="13"/>
                <w:color w:val="auto"/>
              </w:rPr>
              <w:t>0.2</w:t>
            </w:r>
          </w:p>
        </w:tc>
        <w:tc>
          <w:tcPr>
            <w:tcW w:w="620" w:type="dxa"/>
            <w:vAlign w:val="bottom"/>
          </w:tcPr>
          <w:p>
            <w:pPr>
              <w:jc w:val="right"/>
              <w:spacing w:after="0"/>
              <w:rPr>
                <w:sz w:val="20"/>
                <w:szCs w:val="20"/>
                <w:color w:val="auto"/>
              </w:rPr>
            </w:pPr>
            <w:r>
              <w:rPr>
                <w:rFonts w:ascii="Arial" w:cs="Arial" w:eastAsia="Arial" w:hAnsi="Arial"/>
                <w:sz w:val="13"/>
                <w:szCs w:val="13"/>
                <w:color w:val="auto"/>
              </w:rPr>
              <w:t>10.5</w:t>
            </w:r>
          </w:p>
        </w:tc>
        <w:tc>
          <w:tcPr>
            <w:tcW w:w="0" w:type="dxa"/>
            <w:vAlign w:val="bottom"/>
          </w:tcPr>
          <w:p>
            <w:pPr>
              <w:spacing w:after="0"/>
              <w:rPr>
                <w:sz w:val="1"/>
                <w:szCs w:val="1"/>
                <w:color w:val="auto"/>
              </w:rPr>
            </w:pPr>
          </w:p>
        </w:tc>
      </w:tr>
      <w:tr>
        <w:trPr>
          <w:trHeight w:val="182"/>
        </w:trPr>
        <w:tc>
          <w:tcPr>
            <w:tcW w:w="2040" w:type="dxa"/>
            <w:vAlign w:val="bottom"/>
            <w:gridSpan w:val="2"/>
          </w:tcPr>
          <w:p>
            <w:pPr>
              <w:ind w:left="20"/>
              <w:spacing w:after="0"/>
              <w:rPr>
                <w:sz w:val="20"/>
                <w:szCs w:val="20"/>
                <w:color w:val="auto"/>
              </w:rPr>
            </w:pPr>
            <w:r>
              <w:rPr>
                <w:rFonts w:ascii="Arial" w:cs="Arial" w:eastAsia="Arial" w:hAnsi="Arial"/>
                <w:sz w:val="13"/>
                <w:szCs w:val="13"/>
                <w:color w:val="auto"/>
              </w:rPr>
              <w:t>Net (loss) income from continuing</w:t>
            </w:r>
          </w:p>
        </w:tc>
        <w:tc>
          <w:tcPr>
            <w:tcW w:w="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040" w:type="dxa"/>
            <w:vAlign w:val="bottom"/>
            <w:gridSpan w:val="2"/>
          </w:tcPr>
          <w:p>
            <w:pPr>
              <w:ind w:left="20"/>
              <w:spacing w:after="0"/>
              <w:rPr>
                <w:sz w:val="20"/>
                <w:szCs w:val="20"/>
                <w:color w:val="auto"/>
              </w:rPr>
            </w:pPr>
            <w:r>
              <w:rPr>
                <w:rFonts w:ascii="Arial" w:cs="Arial" w:eastAsia="Arial" w:hAnsi="Arial"/>
                <w:sz w:val="13"/>
                <w:szCs w:val="13"/>
                <w:color w:val="auto"/>
              </w:rPr>
              <w:t>operations</w:t>
            </w:r>
          </w:p>
        </w:tc>
        <w:tc>
          <w:tcPr>
            <w:tcW w:w="680" w:type="dxa"/>
            <w:vAlign w:val="bottom"/>
          </w:tcPr>
          <w:p>
            <w:pPr>
              <w:jc w:val="right"/>
              <w:spacing w:after="0"/>
              <w:rPr>
                <w:sz w:val="20"/>
                <w:szCs w:val="20"/>
                <w:color w:val="auto"/>
              </w:rPr>
            </w:pPr>
            <w:r>
              <w:rPr>
                <w:rFonts w:ascii="Arial" w:cs="Arial" w:eastAsia="Arial" w:hAnsi="Arial"/>
                <w:sz w:val="13"/>
                <w:szCs w:val="13"/>
                <w:color w:val="auto"/>
              </w:rPr>
              <w:t>(209.5)</w:t>
            </w:r>
          </w:p>
        </w:tc>
        <w:tc>
          <w:tcPr>
            <w:tcW w:w="760" w:type="dxa"/>
            <w:vAlign w:val="bottom"/>
          </w:tcPr>
          <w:p>
            <w:pPr>
              <w:jc w:val="right"/>
              <w:ind w:right="59"/>
              <w:spacing w:after="0"/>
              <w:rPr>
                <w:sz w:val="20"/>
                <w:szCs w:val="20"/>
                <w:color w:val="auto"/>
              </w:rPr>
            </w:pPr>
            <w:r>
              <w:rPr>
                <w:rFonts w:ascii="Arial" w:cs="Arial" w:eastAsia="Arial" w:hAnsi="Arial"/>
                <w:sz w:val="13"/>
                <w:szCs w:val="13"/>
                <w:color w:val="auto"/>
              </w:rPr>
              <w:t>3.6</w:t>
            </w:r>
          </w:p>
        </w:tc>
        <w:tc>
          <w:tcPr>
            <w:tcW w:w="880" w:type="dxa"/>
            <w:vAlign w:val="bottom"/>
          </w:tcPr>
          <w:p>
            <w:pPr>
              <w:jc w:val="right"/>
              <w:ind w:right="38"/>
              <w:spacing w:after="0"/>
              <w:rPr>
                <w:sz w:val="20"/>
                <w:szCs w:val="20"/>
                <w:color w:val="auto"/>
              </w:rPr>
            </w:pPr>
            <w:r>
              <w:rPr>
                <w:rFonts w:ascii="Arial" w:cs="Arial" w:eastAsia="Arial" w:hAnsi="Arial"/>
                <w:sz w:val="13"/>
                <w:szCs w:val="13"/>
                <w:color w:val="auto"/>
              </w:rPr>
              <w:t>9.7</w:t>
            </w:r>
          </w:p>
        </w:tc>
        <w:tc>
          <w:tcPr>
            <w:tcW w:w="820" w:type="dxa"/>
            <w:vAlign w:val="bottom"/>
          </w:tcPr>
          <w:p>
            <w:pPr>
              <w:jc w:val="right"/>
              <w:ind w:right="59"/>
              <w:spacing w:after="0"/>
              <w:rPr>
                <w:sz w:val="20"/>
                <w:szCs w:val="20"/>
                <w:color w:val="auto"/>
              </w:rPr>
            </w:pPr>
            <w:r>
              <w:rPr>
                <w:rFonts w:ascii="Arial" w:cs="Arial" w:eastAsia="Arial" w:hAnsi="Arial"/>
                <w:sz w:val="13"/>
                <w:szCs w:val="13"/>
                <w:color w:val="auto"/>
              </w:rPr>
              <w:t>6.2</w:t>
            </w:r>
          </w:p>
        </w:tc>
        <w:tc>
          <w:tcPr>
            <w:tcW w:w="800" w:type="dxa"/>
            <w:vAlign w:val="bottom"/>
          </w:tcPr>
          <w:p>
            <w:pPr>
              <w:jc w:val="right"/>
              <w:spacing w:after="0"/>
              <w:rPr>
                <w:sz w:val="20"/>
                <w:szCs w:val="20"/>
                <w:color w:val="auto"/>
              </w:rPr>
            </w:pPr>
            <w:r>
              <w:rPr>
                <w:rFonts w:ascii="Arial" w:cs="Arial" w:eastAsia="Arial" w:hAnsi="Arial"/>
                <w:sz w:val="13"/>
                <w:szCs w:val="13"/>
                <w:color w:val="auto"/>
              </w:rPr>
              <w:t>1.5</w:t>
            </w:r>
          </w:p>
        </w:tc>
        <w:tc>
          <w:tcPr>
            <w:tcW w:w="740" w:type="dxa"/>
            <w:vAlign w:val="bottom"/>
          </w:tcPr>
          <w:p>
            <w:pPr>
              <w:jc w:val="right"/>
              <w:ind w:right="19"/>
              <w:spacing w:after="0"/>
              <w:rPr>
                <w:sz w:val="20"/>
                <w:szCs w:val="20"/>
                <w:color w:val="auto"/>
              </w:rPr>
            </w:pPr>
            <w:r>
              <w:rPr>
                <w:rFonts w:ascii="Arial" w:cs="Arial" w:eastAsia="Arial" w:hAnsi="Arial"/>
                <w:sz w:val="13"/>
                <w:szCs w:val="13"/>
                <w:color w:val="auto"/>
              </w:rPr>
              <w:t>0.9</w:t>
            </w:r>
          </w:p>
        </w:tc>
        <w:tc>
          <w:tcPr>
            <w:tcW w:w="580" w:type="dxa"/>
            <w:vAlign w:val="bottom"/>
          </w:tcPr>
          <w:p>
            <w:pPr>
              <w:jc w:val="right"/>
              <w:ind w:right="19"/>
              <w:spacing w:after="0"/>
              <w:rPr>
                <w:sz w:val="20"/>
                <w:szCs w:val="20"/>
                <w:color w:val="auto"/>
              </w:rPr>
            </w:pPr>
            <w:r>
              <w:rPr>
                <w:rFonts w:ascii="Arial" w:cs="Arial" w:eastAsia="Arial" w:hAnsi="Arial"/>
                <w:sz w:val="13"/>
                <w:szCs w:val="13"/>
                <w:color w:val="auto"/>
              </w:rPr>
              <w:t>0.6</w:t>
            </w:r>
          </w:p>
        </w:tc>
        <w:tc>
          <w:tcPr>
            <w:tcW w:w="1040" w:type="dxa"/>
            <w:vAlign w:val="bottom"/>
          </w:tcPr>
          <w:p>
            <w:pPr>
              <w:jc w:val="right"/>
              <w:ind w:right="159"/>
              <w:spacing w:after="0"/>
              <w:rPr>
                <w:sz w:val="20"/>
                <w:szCs w:val="20"/>
                <w:color w:val="auto"/>
              </w:rPr>
            </w:pPr>
            <w:r>
              <w:rPr>
                <w:rFonts w:ascii="Arial" w:cs="Arial" w:eastAsia="Arial" w:hAnsi="Arial"/>
                <w:sz w:val="13"/>
                <w:szCs w:val="13"/>
                <w:color w:val="auto"/>
              </w:rPr>
              <w:t>232.5</w:t>
            </w:r>
          </w:p>
        </w:tc>
        <w:tc>
          <w:tcPr>
            <w:tcW w:w="900" w:type="dxa"/>
            <w:vAlign w:val="bottom"/>
          </w:tcPr>
          <w:p>
            <w:pPr>
              <w:jc w:val="right"/>
              <w:ind w:right="39"/>
              <w:spacing w:after="0"/>
              <w:rPr>
                <w:sz w:val="20"/>
                <w:szCs w:val="20"/>
                <w:color w:val="auto"/>
              </w:rPr>
            </w:pPr>
            <w:r>
              <w:rPr>
                <w:rFonts w:ascii="Arial" w:cs="Arial" w:eastAsia="Arial" w:hAnsi="Arial"/>
                <w:sz w:val="13"/>
                <w:szCs w:val="13"/>
                <w:color w:val="auto"/>
              </w:rPr>
              <w:t>3.9</w:t>
            </w:r>
          </w:p>
        </w:tc>
        <w:tc>
          <w:tcPr>
            <w:tcW w:w="820" w:type="dxa"/>
            <w:vAlign w:val="bottom"/>
          </w:tcPr>
          <w:p>
            <w:pPr>
              <w:jc w:val="right"/>
              <w:ind w:right="18"/>
              <w:spacing w:after="0"/>
              <w:rPr>
                <w:sz w:val="20"/>
                <w:szCs w:val="20"/>
                <w:color w:val="auto"/>
              </w:rPr>
            </w:pPr>
            <w:r>
              <w:rPr>
                <w:rFonts w:ascii="Arial" w:cs="Arial" w:eastAsia="Arial" w:hAnsi="Arial"/>
                <w:sz w:val="13"/>
                <w:szCs w:val="13"/>
                <w:color w:val="auto"/>
              </w:rPr>
              <w:t>5.2</w:t>
            </w:r>
          </w:p>
        </w:tc>
        <w:tc>
          <w:tcPr>
            <w:tcW w:w="780" w:type="dxa"/>
            <w:vAlign w:val="bottom"/>
          </w:tcPr>
          <w:p>
            <w:pPr>
              <w:jc w:val="right"/>
              <w:spacing w:after="0"/>
              <w:rPr>
                <w:sz w:val="20"/>
                <w:szCs w:val="20"/>
                <w:color w:val="auto"/>
              </w:rPr>
            </w:pPr>
            <w:r>
              <w:rPr>
                <w:rFonts w:ascii="Arial" w:cs="Arial" w:eastAsia="Arial" w:hAnsi="Arial"/>
                <w:sz w:val="13"/>
                <w:szCs w:val="13"/>
                <w:color w:val="auto"/>
              </w:rPr>
              <w:t>0.6</w:t>
            </w:r>
          </w:p>
        </w:tc>
        <w:tc>
          <w:tcPr>
            <w:tcW w:w="620" w:type="dxa"/>
            <w:vAlign w:val="bottom"/>
          </w:tcPr>
          <w:p>
            <w:pPr>
              <w:jc w:val="right"/>
              <w:spacing w:after="0"/>
              <w:rPr>
                <w:sz w:val="20"/>
                <w:szCs w:val="20"/>
                <w:color w:val="auto"/>
              </w:rPr>
            </w:pPr>
            <w:r>
              <w:rPr>
                <w:rFonts w:ascii="Arial" w:cs="Arial" w:eastAsia="Arial" w:hAnsi="Arial"/>
                <w:sz w:val="13"/>
                <w:szCs w:val="13"/>
                <w:color w:val="auto"/>
              </w:rPr>
              <w:t>55.2</w:t>
            </w:r>
          </w:p>
        </w:tc>
        <w:tc>
          <w:tcPr>
            <w:tcW w:w="0" w:type="dxa"/>
            <w:vAlign w:val="bottom"/>
          </w:tcPr>
          <w:p>
            <w:pPr>
              <w:spacing w:after="0"/>
              <w:rPr>
                <w:sz w:val="1"/>
                <w:szCs w:val="1"/>
                <w:color w:val="auto"/>
              </w:rPr>
            </w:pPr>
          </w:p>
        </w:tc>
      </w:tr>
      <w:tr>
        <w:trPr>
          <w:trHeight w:val="182"/>
        </w:trPr>
        <w:tc>
          <w:tcPr>
            <w:tcW w:w="2040" w:type="dxa"/>
            <w:vAlign w:val="bottom"/>
            <w:gridSpan w:val="2"/>
          </w:tcPr>
          <w:p>
            <w:pPr>
              <w:ind w:left="20"/>
              <w:spacing w:after="0"/>
              <w:rPr>
                <w:sz w:val="20"/>
                <w:szCs w:val="20"/>
                <w:color w:val="auto"/>
              </w:rPr>
            </w:pPr>
            <w:r>
              <w:rPr>
                <w:rFonts w:ascii="Arial" w:cs="Arial" w:eastAsia="Arial" w:hAnsi="Arial"/>
                <w:sz w:val="13"/>
                <w:szCs w:val="13"/>
                <w:color w:val="auto"/>
              </w:rPr>
              <w:t>Diluted EPS - Continuing</w:t>
            </w:r>
          </w:p>
        </w:tc>
        <w:tc>
          <w:tcPr>
            <w:tcW w:w="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040" w:type="dxa"/>
            <w:vAlign w:val="bottom"/>
            <w:gridSpan w:val="2"/>
          </w:tcPr>
          <w:p>
            <w:pPr>
              <w:ind w:left="20"/>
              <w:spacing w:after="0"/>
              <w:rPr>
                <w:sz w:val="20"/>
                <w:szCs w:val="20"/>
                <w:color w:val="auto"/>
              </w:rPr>
            </w:pPr>
            <w:r>
              <w:rPr>
                <w:rFonts w:ascii="Arial" w:cs="Arial" w:eastAsia="Arial" w:hAnsi="Arial"/>
                <w:sz w:val="13"/>
                <w:szCs w:val="13"/>
                <w:color w:val="auto"/>
              </w:rPr>
              <w:t>Operations</w:t>
            </w:r>
          </w:p>
        </w:tc>
        <w:tc>
          <w:tcPr>
            <w:tcW w:w="680" w:type="dxa"/>
            <w:vAlign w:val="bottom"/>
          </w:tcPr>
          <w:p>
            <w:pPr>
              <w:jc w:val="right"/>
              <w:spacing w:after="0"/>
              <w:rPr>
                <w:sz w:val="20"/>
                <w:szCs w:val="20"/>
                <w:color w:val="auto"/>
              </w:rPr>
            </w:pPr>
            <w:r>
              <w:rPr>
                <w:rFonts w:ascii="Arial" w:cs="Arial" w:eastAsia="Arial" w:hAnsi="Arial"/>
                <w:sz w:val="13"/>
                <w:szCs w:val="13"/>
                <w:color w:val="auto"/>
              </w:rPr>
              <w:t>($4.32)</w:t>
            </w:r>
          </w:p>
        </w:tc>
        <w:tc>
          <w:tcPr>
            <w:tcW w:w="760" w:type="dxa"/>
            <w:vAlign w:val="bottom"/>
          </w:tcPr>
          <w:p>
            <w:pPr>
              <w:jc w:val="right"/>
              <w:ind w:right="59"/>
              <w:spacing w:after="0"/>
              <w:rPr>
                <w:sz w:val="20"/>
                <w:szCs w:val="20"/>
                <w:color w:val="auto"/>
              </w:rPr>
            </w:pPr>
            <w:r>
              <w:rPr>
                <w:rFonts w:ascii="Arial" w:cs="Arial" w:eastAsia="Arial" w:hAnsi="Arial"/>
                <w:sz w:val="13"/>
                <w:szCs w:val="13"/>
                <w:color w:val="auto"/>
              </w:rPr>
              <w:t>$0.07</w:t>
            </w:r>
          </w:p>
        </w:tc>
        <w:tc>
          <w:tcPr>
            <w:tcW w:w="880" w:type="dxa"/>
            <w:vAlign w:val="bottom"/>
          </w:tcPr>
          <w:p>
            <w:pPr>
              <w:jc w:val="right"/>
              <w:ind w:right="38"/>
              <w:spacing w:after="0"/>
              <w:rPr>
                <w:sz w:val="20"/>
                <w:szCs w:val="20"/>
                <w:color w:val="auto"/>
              </w:rPr>
            </w:pPr>
            <w:r>
              <w:rPr>
                <w:rFonts w:ascii="Arial" w:cs="Arial" w:eastAsia="Arial" w:hAnsi="Arial"/>
                <w:sz w:val="13"/>
                <w:szCs w:val="13"/>
                <w:color w:val="auto"/>
              </w:rPr>
              <w:t>$0.20</w:t>
            </w:r>
          </w:p>
        </w:tc>
        <w:tc>
          <w:tcPr>
            <w:tcW w:w="820" w:type="dxa"/>
            <w:vAlign w:val="bottom"/>
          </w:tcPr>
          <w:p>
            <w:pPr>
              <w:jc w:val="right"/>
              <w:ind w:right="59"/>
              <w:spacing w:after="0"/>
              <w:rPr>
                <w:sz w:val="20"/>
                <w:szCs w:val="20"/>
                <w:color w:val="auto"/>
              </w:rPr>
            </w:pPr>
            <w:r>
              <w:rPr>
                <w:rFonts w:ascii="Arial" w:cs="Arial" w:eastAsia="Arial" w:hAnsi="Arial"/>
                <w:sz w:val="13"/>
                <w:szCs w:val="13"/>
                <w:color w:val="auto"/>
              </w:rPr>
              <w:t>$0.13</w:t>
            </w:r>
          </w:p>
        </w:tc>
        <w:tc>
          <w:tcPr>
            <w:tcW w:w="800" w:type="dxa"/>
            <w:vAlign w:val="bottom"/>
          </w:tcPr>
          <w:p>
            <w:pPr>
              <w:jc w:val="right"/>
              <w:spacing w:after="0"/>
              <w:rPr>
                <w:sz w:val="20"/>
                <w:szCs w:val="20"/>
                <w:color w:val="auto"/>
              </w:rPr>
            </w:pPr>
            <w:r>
              <w:rPr>
                <w:rFonts w:ascii="Arial" w:cs="Arial" w:eastAsia="Arial" w:hAnsi="Arial"/>
                <w:sz w:val="13"/>
                <w:szCs w:val="13"/>
                <w:color w:val="auto"/>
              </w:rPr>
              <w:t>$0.03</w:t>
            </w:r>
          </w:p>
        </w:tc>
        <w:tc>
          <w:tcPr>
            <w:tcW w:w="740" w:type="dxa"/>
            <w:vAlign w:val="bottom"/>
          </w:tcPr>
          <w:p>
            <w:pPr>
              <w:jc w:val="right"/>
              <w:ind w:right="19"/>
              <w:spacing w:after="0"/>
              <w:rPr>
                <w:sz w:val="20"/>
                <w:szCs w:val="20"/>
                <w:color w:val="auto"/>
              </w:rPr>
            </w:pPr>
            <w:r>
              <w:rPr>
                <w:rFonts w:ascii="Arial" w:cs="Arial" w:eastAsia="Arial" w:hAnsi="Arial"/>
                <w:sz w:val="13"/>
                <w:szCs w:val="13"/>
                <w:color w:val="auto"/>
              </w:rPr>
              <w:t>$0.02</w:t>
            </w:r>
          </w:p>
        </w:tc>
        <w:tc>
          <w:tcPr>
            <w:tcW w:w="580" w:type="dxa"/>
            <w:vAlign w:val="bottom"/>
          </w:tcPr>
          <w:p>
            <w:pPr>
              <w:jc w:val="right"/>
              <w:ind w:right="19"/>
              <w:spacing w:after="0"/>
              <w:rPr>
                <w:sz w:val="20"/>
                <w:szCs w:val="20"/>
                <w:color w:val="auto"/>
              </w:rPr>
            </w:pPr>
            <w:r>
              <w:rPr>
                <w:rFonts w:ascii="Arial" w:cs="Arial" w:eastAsia="Arial" w:hAnsi="Arial"/>
                <w:sz w:val="13"/>
                <w:szCs w:val="13"/>
                <w:color w:val="auto"/>
              </w:rPr>
              <w:t>$0.01</w:t>
            </w:r>
          </w:p>
        </w:tc>
        <w:tc>
          <w:tcPr>
            <w:tcW w:w="1040" w:type="dxa"/>
            <w:vAlign w:val="bottom"/>
          </w:tcPr>
          <w:p>
            <w:pPr>
              <w:jc w:val="right"/>
              <w:ind w:right="159"/>
              <w:spacing w:after="0"/>
              <w:rPr>
                <w:sz w:val="20"/>
                <w:szCs w:val="20"/>
                <w:color w:val="auto"/>
              </w:rPr>
            </w:pPr>
            <w:r>
              <w:rPr>
                <w:rFonts w:ascii="Arial" w:cs="Arial" w:eastAsia="Arial" w:hAnsi="Arial"/>
                <w:sz w:val="13"/>
                <w:szCs w:val="13"/>
                <w:color w:val="auto"/>
              </w:rPr>
              <w:t>$4.70</w:t>
            </w:r>
          </w:p>
        </w:tc>
        <w:tc>
          <w:tcPr>
            <w:tcW w:w="900" w:type="dxa"/>
            <w:vAlign w:val="bottom"/>
          </w:tcPr>
          <w:p>
            <w:pPr>
              <w:jc w:val="right"/>
              <w:ind w:right="39"/>
              <w:spacing w:after="0"/>
              <w:rPr>
                <w:sz w:val="20"/>
                <w:szCs w:val="20"/>
                <w:color w:val="auto"/>
              </w:rPr>
            </w:pPr>
            <w:r>
              <w:rPr>
                <w:rFonts w:ascii="Arial" w:cs="Arial" w:eastAsia="Arial" w:hAnsi="Arial"/>
                <w:sz w:val="13"/>
                <w:szCs w:val="13"/>
                <w:color w:val="auto"/>
              </w:rPr>
              <w:t>$0.08</w:t>
            </w:r>
          </w:p>
        </w:tc>
        <w:tc>
          <w:tcPr>
            <w:tcW w:w="820" w:type="dxa"/>
            <w:vAlign w:val="bottom"/>
          </w:tcPr>
          <w:p>
            <w:pPr>
              <w:jc w:val="right"/>
              <w:ind w:right="18"/>
              <w:spacing w:after="0"/>
              <w:rPr>
                <w:sz w:val="20"/>
                <w:szCs w:val="20"/>
                <w:color w:val="auto"/>
              </w:rPr>
            </w:pPr>
            <w:r>
              <w:rPr>
                <w:rFonts w:ascii="Arial" w:cs="Arial" w:eastAsia="Arial" w:hAnsi="Arial"/>
                <w:sz w:val="13"/>
                <w:szCs w:val="13"/>
                <w:color w:val="auto"/>
              </w:rPr>
              <w:t>$0.10</w:t>
            </w:r>
          </w:p>
        </w:tc>
        <w:tc>
          <w:tcPr>
            <w:tcW w:w="780" w:type="dxa"/>
            <w:vAlign w:val="bottom"/>
          </w:tcPr>
          <w:p>
            <w:pPr>
              <w:jc w:val="right"/>
              <w:spacing w:after="0"/>
              <w:rPr>
                <w:sz w:val="20"/>
                <w:szCs w:val="20"/>
                <w:color w:val="auto"/>
              </w:rPr>
            </w:pPr>
            <w:r>
              <w:rPr>
                <w:rFonts w:ascii="Arial" w:cs="Arial" w:eastAsia="Arial" w:hAnsi="Arial"/>
                <w:sz w:val="13"/>
                <w:szCs w:val="13"/>
                <w:color w:val="auto"/>
              </w:rPr>
              <w:t>$0.01</w:t>
            </w:r>
          </w:p>
        </w:tc>
        <w:tc>
          <w:tcPr>
            <w:tcW w:w="620" w:type="dxa"/>
            <w:vAlign w:val="bottom"/>
          </w:tcPr>
          <w:p>
            <w:pPr>
              <w:jc w:val="right"/>
              <w:spacing w:after="0"/>
              <w:rPr>
                <w:sz w:val="20"/>
                <w:szCs w:val="20"/>
                <w:color w:val="auto"/>
              </w:rPr>
            </w:pPr>
            <w:r>
              <w:rPr>
                <w:rFonts w:ascii="Arial" w:cs="Arial" w:eastAsia="Arial" w:hAnsi="Arial"/>
                <w:sz w:val="13"/>
                <w:szCs w:val="13"/>
                <w:color w:val="auto"/>
              </w:rPr>
              <w:t>$1.12</w:t>
            </w:r>
          </w:p>
        </w:tc>
        <w:tc>
          <w:tcPr>
            <w:tcW w:w="0" w:type="dxa"/>
            <w:vAlign w:val="bottom"/>
          </w:tcPr>
          <w:p>
            <w:pPr>
              <w:spacing w:after="0"/>
              <w:rPr>
                <w:sz w:val="1"/>
                <w:szCs w:val="1"/>
                <w:color w:val="auto"/>
              </w:rPr>
            </w:pPr>
          </w:p>
        </w:tc>
      </w:tr>
    </w:tbl>
    <w:p>
      <w:pPr>
        <w:spacing w:after="0" w:line="333"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GAAP results for the three months ended December 31, 2018 include:</w:t>
      </w:r>
    </w:p>
    <w:p>
      <w:pPr>
        <w:spacing w:after="0" w:line="58" w:lineRule="exact"/>
        <w:rPr>
          <w:sz w:val="20"/>
          <w:szCs w:val="20"/>
          <w:color w:val="auto"/>
        </w:rPr>
      </w:pPr>
    </w:p>
    <w:p>
      <w:pPr>
        <w:ind w:left="380" w:hanging="360"/>
        <w:spacing w:after="0"/>
        <w:tabs>
          <w:tab w:leader="none" w:pos="3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Merger and integration expenses related to our legacy companies and recent acquisitions</w:t>
      </w:r>
    </w:p>
    <w:p>
      <w:pPr>
        <w:spacing w:after="0" w:line="42" w:lineRule="exact"/>
        <w:rPr>
          <w:rFonts w:ascii="Arial" w:cs="Arial" w:eastAsia="Arial" w:hAnsi="Arial"/>
          <w:sz w:val="13"/>
          <w:szCs w:val="13"/>
          <w:color w:val="auto"/>
        </w:rPr>
      </w:pPr>
    </w:p>
    <w:p>
      <w:pPr>
        <w:ind w:left="380" w:hanging="360"/>
        <w:spacing w:after="0"/>
        <w:tabs>
          <w:tab w:leader="none" w:pos="3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Restructuring expenses related to organizational changes</w:t>
      </w:r>
    </w:p>
    <w:p>
      <w:pPr>
        <w:spacing w:after="0" w:line="42" w:lineRule="exact"/>
        <w:rPr>
          <w:rFonts w:ascii="Arial" w:cs="Arial" w:eastAsia="Arial" w:hAnsi="Arial"/>
          <w:sz w:val="13"/>
          <w:szCs w:val="13"/>
          <w:color w:val="auto"/>
        </w:rPr>
      </w:pPr>
    </w:p>
    <w:p>
      <w:pPr>
        <w:ind w:left="380" w:hanging="360"/>
        <w:spacing w:after="0"/>
        <w:tabs>
          <w:tab w:leader="none" w:pos="3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Includes depreciation and amortization associated with purchase price accounting</w:t>
      </w:r>
    </w:p>
    <w:p>
      <w:pPr>
        <w:spacing w:after="0" w:line="42" w:lineRule="exact"/>
        <w:rPr>
          <w:rFonts w:ascii="Arial" w:cs="Arial" w:eastAsia="Arial" w:hAnsi="Arial"/>
          <w:sz w:val="13"/>
          <w:szCs w:val="13"/>
          <w:color w:val="auto"/>
        </w:rPr>
      </w:pPr>
    </w:p>
    <w:p>
      <w:pPr>
        <w:ind w:left="380" w:hanging="360"/>
        <w:spacing w:after="0"/>
        <w:tabs>
          <w:tab w:leader="none" w:pos="3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Costs related to the 3T Heater-Cooler remediation plan</w:t>
      </w:r>
    </w:p>
    <w:p>
      <w:pPr>
        <w:spacing w:after="0" w:line="42" w:lineRule="exact"/>
        <w:rPr>
          <w:rFonts w:ascii="Arial" w:cs="Arial" w:eastAsia="Arial" w:hAnsi="Arial"/>
          <w:sz w:val="13"/>
          <w:szCs w:val="13"/>
          <w:color w:val="auto"/>
        </w:rPr>
      </w:pPr>
    </w:p>
    <w:p>
      <w:pPr>
        <w:ind w:left="380" w:hanging="360"/>
        <w:spacing w:after="0"/>
        <w:tabs>
          <w:tab w:leader="none" w:pos="3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Costs related to acquisitions</w:t>
      </w:r>
    </w:p>
    <w:p>
      <w:pPr>
        <w:spacing w:after="0" w:line="42" w:lineRule="exact"/>
        <w:rPr>
          <w:rFonts w:ascii="Arial" w:cs="Arial" w:eastAsia="Arial" w:hAnsi="Arial"/>
          <w:sz w:val="13"/>
          <w:szCs w:val="13"/>
          <w:color w:val="auto"/>
        </w:rPr>
      </w:pPr>
    </w:p>
    <w:p>
      <w:pPr>
        <w:ind w:left="380" w:hanging="360"/>
        <w:spacing w:after="0"/>
        <w:tabs>
          <w:tab w:leader="none" w:pos="3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Corporate costs incurred to divest of the CRM business not attributable to discontinued operations</w:t>
      </w:r>
    </w:p>
    <w:p>
      <w:pPr>
        <w:spacing w:after="0" w:line="42" w:lineRule="exact"/>
        <w:rPr>
          <w:rFonts w:ascii="Arial" w:cs="Arial" w:eastAsia="Arial" w:hAnsi="Arial"/>
          <w:sz w:val="13"/>
          <w:szCs w:val="13"/>
          <w:color w:val="auto"/>
        </w:rPr>
      </w:pPr>
    </w:p>
    <w:p>
      <w:pPr>
        <w:ind w:left="380" w:hanging="360"/>
        <w:spacing w:after="0" w:line="238" w:lineRule="auto"/>
        <w:tabs>
          <w:tab w:leader="none" w:pos="3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3T Heater-Cooler litigation provision, legal expenses primarily related to 3T Heater-Cooler defense, settlements and other matters, remeasurement of contingent consideration related to acquisitions and AR reserves</w:t>
      </w:r>
    </w:p>
    <w:p>
      <w:pPr>
        <w:spacing w:after="0" w:line="38" w:lineRule="exact"/>
        <w:rPr>
          <w:rFonts w:ascii="Arial" w:cs="Arial" w:eastAsia="Arial" w:hAnsi="Arial"/>
          <w:sz w:val="13"/>
          <w:szCs w:val="13"/>
          <w:color w:val="auto"/>
        </w:rPr>
      </w:pPr>
    </w:p>
    <w:p>
      <w:pPr>
        <w:ind w:left="380" w:hanging="360"/>
        <w:spacing w:after="0"/>
        <w:tabs>
          <w:tab w:leader="none" w:pos="3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Non-cash expenses associated with stock-based compensation costs</w:t>
      </w:r>
    </w:p>
    <w:p>
      <w:pPr>
        <w:spacing w:after="0" w:line="42" w:lineRule="exact"/>
        <w:rPr>
          <w:rFonts w:ascii="Arial" w:cs="Arial" w:eastAsia="Arial" w:hAnsi="Arial"/>
          <w:sz w:val="13"/>
          <w:szCs w:val="13"/>
          <w:color w:val="auto"/>
        </w:rPr>
      </w:pPr>
    </w:p>
    <w:p>
      <w:pPr>
        <w:ind w:left="380" w:hanging="360"/>
        <w:spacing w:after="0"/>
        <w:tabs>
          <w:tab w:leader="none" w:pos="3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Primarily relates to discrete tax items and the tax impact of intercompany transactions</w:t>
      </w:r>
    </w:p>
    <w:p>
      <w:pPr>
        <w:spacing w:after="0" w:line="42" w:lineRule="exact"/>
        <w:rPr>
          <w:rFonts w:ascii="Arial" w:cs="Arial" w:eastAsia="Arial" w:hAnsi="Arial"/>
          <w:sz w:val="13"/>
          <w:szCs w:val="13"/>
          <w:color w:val="auto"/>
        </w:rPr>
      </w:pPr>
    </w:p>
    <w:p>
      <w:pPr>
        <w:ind w:left="380" w:hanging="360"/>
        <w:spacing w:after="0"/>
        <w:tabs>
          <w:tab w:leader="none" w:pos="3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Primarily relates to intellectual property migration and other non-recurring impacts to interest expense</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3"/>
          <w:szCs w:val="13"/>
          <w:color w:val="auto"/>
        </w:rPr>
        <w:t>* Numbers may not add precisely due to rounding.</w:t>
      </w:r>
    </w:p>
    <w:p>
      <w:pPr>
        <w:spacing w:after="0" w:line="200" w:lineRule="exact"/>
        <w:rPr>
          <w:sz w:val="20"/>
          <w:szCs w:val="20"/>
          <w:color w:val="auto"/>
        </w:rPr>
      </w:pPr>
    </w:p>
    <w:p>
      <w:pPr>
        <w:spacing w:after="0" w:line="227" w:lineRule="exact"/>
        <w:rPr>
          <w:sz w:val="20"/>
          <w:szCs w:val="20"/>
          <w:color w:val="auto"/>
        </w:rPr>
      </w:pPr>
    </w:p>
    <w:p>
      <w:pPr>
        <w:jc w:val="center"/>
        <w:ind w:right="80"/>
        <w:spacing w:after="0"/>
        <w:rPr>
          <w:sz w:val="20"/>
          <w:szCs w:val="20"/>
          <w:color w:val="auto"/>
        </w:rPr>
      </w:pPr>
      <w:r>
        <w:rPr>
          <w:rFonts w:ascii="Arial" w:cs="Arial" w:eastAsia="Arial" w:hAnsi="Arial"/>
          <w:sz w:val="19"/>
          <w:szCs w:val="19"/>
          <w:color w:val="auto"/>
        </w:rPr>
        <w:t>17</w:t>
      </w:r>
    </w:p>
    <w:p>
      <w:pPr>
        <w:sectPr>
          <w:pgSz w:w="11900" w:h="16838" w:orient="portrait"/>
          <w:cols w:equalWidth="0" w:num="1">
            <w:col w:w="11500"/>
          </w:cols>
          <w:pgMar w:left="240" w:top="714" w:right="159" w:bottom="1440" w:gutter="0" w:footer="0" w:header="0"/>
        </w:sectPr>
      </w:pPr>
    </w:p>
    <w:bookmarkStart w:id="20" w:name="page21"/>
    <w:bookmarkEnd w:id="20"/>
    <w:p>
      <w:pPr>
        <w:ind w:left="20"/>
        <w:spacing w:after="0"/>
        <w:rPr>
          <w:sz w:val="20"/>
          <w:szCs w:val="20"/>
          <w:color w:val="auto"/>
        </w:rPr>
      </w:pPr>
      <w:r>
        <w:rPr>
          <w:rFonts w:ascii="Arial" w:cs="Arial" w:eastAsia="Arial" w:hAnsi="Arial"/>
          <w:sz w:val="13"/>
          <w:szCs w:val="13"/>
          <w:b w:val="1"/>
          <w:bCs w:val="1"/>
          <w:color w:val="auto"/>
        </w:rPr>
        <w:t>RECONCILIATION OF GAAP TO NON-GAAP FINANCIAL MEASURES - UNAUDITED</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(U.S.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729234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2340" cy="7620"/>
                    </a:xfrm>
                    <a:prstGeom prst="rect">
                      <a:avLst/>
                    </a:prstGeom>
                    <a:noFill/>
                  </pic:spPr>
                </pic:pic>
              </a:graphicData>
            </a:graphic>
          </wp:anchor>
        </w:drawing>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2"/>
          </w:tcPr>
          <w:p>
            <w:pPr>
              <w:jc w:val="right"/>
              <w:ind w:right="218"/>
              <w:spacing w:after="0"/>
              <w:rPr>
                <w:sz w:val="20"/>
                <w:szCs w:val="20"/>
                <w:color w:val="auto"/>
              </w:rPr>
            </w:pPr>
            <w:r>
              <w:rPr>
                <w:rFonts w:ascii="Arial" w:cs="Arial" w:eastAsia="Arial" w:hAnsi="Arial"/>
                <w:sz w:val="11"/>
                <w:szCs w:val="11"/>
                <w:b w:val="1"/>
                <w:bCs w:val="1"/>
                <w:color w:val="auto"/>
              </w:rPr>
              <w:t>Specified Items</w:t>
            </w:r>
          </w:p>
        </w:tc>
        <w:tc>
          <w:tcPr>
            <w:tcW w:w="9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2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Depreciation</w:t>
            </w:r>
          </w:p>
        </w:tc>
        <w:tc>
          <w:tcPr>
            <w:tcW w:w="8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0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Non-recurring</w:t>
            </w:r>
          </w:p>
        </w:tc>
        <w:tc>
          <w:tcPr>
            <w:tcW w:w="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rPr>
              <w:t>Merger and</w:t>
            </w:r>
          </w:p>
        </w:tc>
        <w:tc>
          <w:tcPr>
            <w:tcW w:w="900" w:type="dxa"/>
            <w:vAlign w:val="bottom"/>
          </w:tcPr>
          <w:p>
            <w:pPr>
              <w:spacing w:after="0"/>
              <w:rPr>
                <w:sz w:val="10"/>
                <w:szCs w:val="10"/>
                <w:color w:val="auto"/>
              </w:rPr>
            </w:pPr>
          </w:p>
        </w:tc>
        <w:tc>
          <w:tcPr>
            <w:tcW w:w="82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rPr>
              <w:t>and</w:t>
            </w:r>
          </w:p>
        </w:tc>
        <w:tc>
          <w:tcPr>
            <w:tcW w:w="82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rPr>
              <w:t>Product</w:t>
            </w:r>
          </w:p>
        </w:tc>
        <w:tc>
          <w:tcPr>
            <w:tcW w:w="7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0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rPr>
              <w:t>Legal and</w:t>
            </w:r>
          </w:p>
        </w:tc>
        <w:tc>
          <w:tcPr>
            <w:tcW w:w="94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rPr>
              <w:t>Stock-based</w:t>
            </w:r>
          </w:p>
        </w:tc>
        <w:tc>
          <w:tcPr>
            <w:tcW w:w="820" w:type="dxa"/>
            <w:vAlign w:val="bottom"/>
          </w:tcPr>
          <w:p>
            <w:pPr>
              <w:spacing w:after="0"/>
              <w:rPr>
                <w:sz w:val="10"/>
                <w:szCs w:val="10"/>
                <w:color w:val="auto"/>
              </w:rPr>
            </w:pPr>
          </w:p>
        </w:tc>
        <w:tc>
          <w:tcPr>
            <w:tcW w:w="76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rPr>
              <w:t>Certain</w:t>
            </w: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8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Three Months Ended</w:t>
            </w:r>
          </w:p>
        </w:tc>
        <w:tc>
          <w:tcPr>
            <w:tcW w:w="72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rPr>
              <w:t>GAAP</w:t>
            </w:r>
          </w:p>
        </w:tc>
        <w:tc>
          <w:tcPr>
            <w:tcW w:w="76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rPr>
              <w:t>Integration</w:t>
            </w:r>
          </w:p>
        </w:tc>
        <w:tc>
          <w:tcPr>
            <w:tcW w:w="90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w w:val="99"/>
              </w:rPr>
              <w:t>Restructuring</w:t>
            </w:r>
          </w:p>
        </w:tc>
        <w:tc>
          <w:tcPr>
            <w:tcW w:w="82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rPr>
              <w:t>Amortization</w:t>
            </w:r>
          </w:p>
        </w:tc>
        <w:tc>
          <w:tcPr>
            <w:tcW w:w="82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w w:val="99"/>
              </w:rPr>
              <w:t>Remediation</w:t>
            </w:r>
          </w:p>
        </w:tc>
        <w:tc>
          <w:tcPr>
            <w:tcW w:w="72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rPr>
              <w:t>Acquisition</w:t>
            </w:r>
          </w:p>
        </w:tc>
        <w:tc>
          <w:tcPr>
            <w:tcW w:w="820" w:type="dxa"/>
            <w:vAlign w:val="bottom"/>
          </w:tcPr>
          <w:p>
            <w:pPr>
              <w:spacing w:after="0"/>
              <w:rPr>
                <w:sz w:val="10"/>
                <w:szCs w:val="10"/>
                <w:color w:val="auto"/>
              </w:rPr>
            </w:pPr>
          </w:p>
        </w:tc>
        <w:tc>
          <w:tcPr>
            <w:tcW w:w="90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rPr>
              <w:t>Contingent</w:t>
            </w:r>
          </w:p>
        </w:tc>
        <w:tc>
          <w:tcPr>
            <w:tcW w:w="94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rPr>
              <w:t>Compensation</w:t>
            </w:r>
          </w:p>
        </w:tc>
        <w:tc>
          <w:tcPr>
            <w:tcW w:w="82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rPr>
              <w:t>Certain Tax</w:t>
            </w:r>
          </w:p>
        </w:tc>
        <w:tc>
          <w:tcPr>
            <w:tcW w:w="76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rPr>
              <w:t>Interest</w:t>
            </w:r>
          </w:p>
        </w:tc>
        <w:tc>
          <w:tcPr>
            <w:tcW w:w="68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rPr>
              <w:t>Adjusted</w:t>
            </w:r>
          </w:p>
        </w:tc>
        <w:tc>
          <w:tcPr>
            <w:tcW w:w="0" w:type="dxa"/>
            <w:vAlign w:val="bottom"/>
          </w:tcPr>
          <w:p>
            <w:pPr>
              <w:spacing w:after="0"/>
              <w:rPr>
                <w:sz w:val="1"/>
                <w:szCs w:val="1"/>
                <w:color w:val="auto"/>
              </w:rPr>
            </w:pPr>
          </w:p>
        </w:tc>
      </w:tr>
      <w:tr>
        <w:trPr>
          <w:trHeight w:val="115"/>
        </w:trPr>
        <w:tc>
          <w:tcPr>
            <w:tcW w:w="1820" w:type="dxa"/>
            <w:vAlign w:val="bottom"/>
            <w:gridSpan w:val="2"/>
            <w:vMerge w:val="continue"/>
          </w:tcPr>
          <w:p>
            <w:pPr>
              <w:spacing w:after="0"/>
              <w:rPr>
                <w:sz w:val="10"/>
                <w:szCs w:val="10"/>
                <w:color w:val="auto"/>
              </w:rPr>
            </w:pPr>
          </w:p>
        </w:tc>
        <w:tc>
          <w:tcPr>
            <w:tcW w:w="72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rPr>
              <w:t>Financial</w:t>
            </w:r>
          </w:p>
        </w:tc>
        <w:tc>
          <w:tcPr>
            <w:tcW w:w="76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rPr>
              <w:t>Expenses</w:t>
            </w:r>
          </w:p>
        </w:tc>
        <w:tc>
          <w:tcPr>
            <w:tcW w:w="90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rPr>
              <w:t>Expenses</w:t>
            </w:r>
          </w:p>
        </w:tc>
        <w:tc>
          <w:tcPr>
            <w:tcW w:w="82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rPr>
              <w:t>Expenses</w:t>
            </w:r>
          </w:p>
        </w:tc>
        <w:tc>
          <w:tcPr>
            <w:tcW w:w="82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rPr>
              <w:t>Expenses</w:t>
            </w:r>
          </w:p>
        </w:tc>
        <w:tc>
          <w:tcPr>
            <w:tcW w:w="72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w w:val="98"/>
              </w:rPr>
              <w:t>Costs</w:t>
            </w:r>
          </w:p>
        </w:tc>
        <w:tc>
          <w:tcPr>
            <w:tcW w:w="820" w:type="dxa"/>
            <w:vAlign w:val="bottom"/>
          </w:tcPr>
          <w:p>
            <w:pPr>
              <w:jc w:val="right"/>
              <w:ind w:right="38"/>
              <w:spacing w:after="0" w:line="115" w:lineRule="exact"/>
              <w:rPr>
                <w:sz w:val="20"/>
                <w:szCs w:val="20"/>
                <w:color w:val="auto"/>
              </w:rPr>
            </w:pPr>
            <w:r>
              <w:rPr>
                <w:rFonts w:ascii="Arial" w:cs="Arial" w:eastAsia="Arial" w:hAnsi="Arial"/>
                <w:sz w:val="11"/>
                <w:szCs w:val="11"/>
                <w:b w:val="1"/>
                <w:bCs w:val="1"/>
                <w:color w:val="auto"/>
              </w:rPr>
              <w:t>Impairments</w:t>
            </w:r>
          </w:p>
        </w:tc>
        <w:tc>
          <w:tcPr>
            <w:tcW w:w="90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w w:val="99"/>
              </w:rPr>
              <w:t>Consideration</w:t>
            </w:r>
          </w:p>
        </w:tc>
        <w:tc>
          <w:tcPr>
            <w:tcW w:w="94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rPr>
              <w:t>Costs</w:t>
            </w:r>
          </w:p>
        </w:tc>
        <w:tc>
          <w:tcPr>
            <w:tcW w:w="82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rPr>
              <w:t>Adjustments</w:t>
            </w:r>
          </w:p>
        </w:tc>
        <w:tc>
          <w:tcPr>
            <w:tcW w:w="76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w w:val="98"/>
              </w:rPr>
              <w:t>Adjustments</w:t>
            </w:r>
          </w:p>
        </w:tc>
        <w:tc>
          <w:tcPr>
            <w:tcW w:w="68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rPr>
              <w:t>Financial</w:t>
            </w:r>
          </w:p>
        </w:tc>
        <w:tc>
          <w:tcPr>
            <w:tcW w:w="0" w:type="dxa"/>
            <w:vAlign w:val="bottom"/>
          </w:tcPr>
          <w:p>
            <w:pPr>
              <w:spacing w:after="0"/>
              <w:rPr>
                <w:sz w:val="1"/>
                <w:szCs w:val="1"/>
                <w:color w:val="auto"/>
              </w:rPr>
            </w:pPr>
          </w:p>
        </w:tc>
      </w:tr>
      <w:tr>
        <w:trPr>
          <w:trHeight w:val="168"/>
        </w:trPr>
        <w:tc>
          <w:tcPr>
            <w:tcW w:w="17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December 31, 2017</w:t>
            </w:r>
          </w:p>
        </w:tc>
        <w:tc>
          <w:tcPr>
            <w:tcW w:w="8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Measures</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1"/>
              </w:rPr>
              <w:t>(A)</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(B)</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(C)</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(D)</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(E)</w:t>
            </w:r>
          </w:p>
        </w:tc>
        <w:tc>
          <w:tcPr>
            <w:tcW w:w="820" w:type="dxa"/>
            <w:vAlign w:val="bottom"/>
            <w:tcBorders>
              <w:bottom w:val="single" w:sz="8" w:color="auto"/>
            </w:tcBorders>
          </w:tcPr>
          <w:p>
            <w:pPr>
              <w:jc w:val="right"/>
              <w:ind w:right="298"/>
              <w:spacing w:after="0"/>
              <w:rPr>
                <w:sz w:val="20"/>
                <w:szCs w:val="20"/>
                <w:color w:val="auto"/>
              </w:rPr>
            </w:pPr>
            <w:r>
              <w:rPr>
                <w:rFonts w:ascii="Arial" w:cs="Arial" w:eastAsia="Arial" w:hAnsi="Arial"/>
                <w:sz w:val="11"/>
                <w:szCs w:val="11"/>
                <w:b w:val="1"/>
                <w:bCs w:val="1"/>
                <w:color w:val="auto"/>
              </w:rPr>
              <w:t>(F)</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(G)</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(H)</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(I)</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(J)</w:t>
            </w: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Measures</w:t>
            </w:r>
          </w:p>
        </w:tc>
        <w:tc>
          <w:tcPr>
            <w:tcW w:w="0" w:type="dxa"/>
            <w:vAlign w:val="bottom"/>
          </w:tcPr>
          <w:p>
            <w:pPr>
              <w:spacing w:after="0"/>
              <w:rPr>
                <w:sz w:val="1"/>
                <w:szCs w:val="1"/>
                <w:color w:val="auto"/>
              </w:rPr>
            </w:pPr>
          </w:p>
        </w:tc>
      </w:tr>
      <w:tr>
        <w:trPr>
          <w:trHeight w:val="222"/>
        </w:trPr>
        <w:tc>
          <w:tcPr>
            <w:tcW w:w="1820" w:type="dxa"/>
            <w:vAlign w:val="bottom"/>
            <w:gridSpan w:val="2"/>
          </w:tcPr>
          <w:p>
            <w:pPr>
              <w:ind w:left="20"/>
              <w:spacing w:after="0"/>
              <w:rPr>
                <w:sz w:val="20"/>
                <w:szCs w:val="20"/>
                <w:color w:val="auto"/>
              </w:rPr>
            </w:pPr>
            <w:r>
              <w:rPr>
                <w:rFonts w:ascii="Arial" w:cs="Arial" w:eastAsia="Arial" w:hAnsi="Arial"/>
                <w:sz w:val="13"/>
                <w:szCs w:val="13"/>
                <w:color w:val="auto"/>
              </w:rPr>
              <w:t>Gross profit</w:t>
            </w:r>
          </w:p>
        </w:tc>
        <w:tc>
          <w:tcPr>
            <w:tcW w:w="720" w:type="dxa"/>
            <w:vAlign w:val="bottom"/>
          </w:tcPr>
          <w:p>
            <w:pPr>
              <w:jc w:val="right"/>
              <w:ind w:right="18"/>
              <w:spacing w:after="0"/>
              <w:rPr>
                <w:sz w:val="20"/>
                <w:szCs w:val="20"/>
                <w:color w:val="auto"/>
              </w:rPr>
            </w:pPr>
            <w:r>
              <w:rPr>
                <w:rFonts w:ascii="Arial" w:cs="Arial" w:eastAsia="Arial" w:hAnsi="Arial"/>
                <w:sz w:val="13"/>
                <w:szCs w:val="13"/>
                <w:color w:val="auto"/>
              </w:rPr>
              <w:t>$172.2</w:t>
            </w:r>
          </w:p>
        </w:tc>
        <w:tc>
          <w:tcPr>
            <w:tcW w:w="760" w:type="dxa"/>
            <w:vAlign w:val="bottom"/>
          </w:tcPr>
          <w:p>
            <w:pPr>
              <w:jc w:val="right"/>
              <w:ind w:right="39"/>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9"/>
              <w:spacing w:after="0"/>
              <w:rPr>
                <w:sz w:val="20"/>
                <w:szCs w:val="20"/>
                <w:color w:val="auto"/>
              </w:rPr>
            </w:pPr>
            <w:r>
              <w:rPr>
                <w:rFonts w:ascii="Arial" w:cs="Arial" w:eastAsia="Arial" w:hAnsi="Arial"/>
                <w:sz w:val="13"/>
                <w:szCs w:val="13"/>
                <w:color w:val="auto"/>
              </w:rPr>
              <w:t>$1.1</w:t>
            </w:r>
          </w:p>
        </w:tc>
        <w:tc>
          <w:tcPr>
            <w:tcW w:w="820" w:type="dxa"/>
            <w:vAlign w:val="bottom"/>
          </w:tcPr>
          <w:p>
            <w:pPr>
              <w:jc w:val="right"/>
              <w:spacing w:after="0"/>
              <w:rPr>
                <w:sz w:val="20"/>
                <w:szCs w:val="20"/>
                <w:color w:val="auto"/>
              </w:rPr>
            </w:pPr>
            <w:r>
              <w:rPr>
                <w:rFonts w:ascii="Arial" w:cs="Arial" w:eastAsia="Arial" w:hAnsi="Arial"/>
                <w:sz w:val="13"/>
                <w:szCs w:val="13"/>
                <w:color w:val="auto"/>
              </w:rPr>
              <w:t>$4.7</w:t>
            </w:r>
          </w:p>
        </w:tc>
        <w:tc>
          <w:tcPr>
            <w:tcW w:w="720" w:type="dxa"/>
            <w:vAlign w:val="bottom"/>
          </w:tcPr>
          <w:p>
            <w:pPr>
              <w:jc w:val="right"/>
              <w:ind w:right="19"/>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38"/>
              <w:spacing w:after="0"/>
              <w:rPr>
                <w:sz w:val="20"/>
                <w:szCs w:val="20"/>
                <w:color w:val="auto"/>
              </w:rPr>
            </w:pPr>
            <w:r>
              <w:rPr>
                <w:rFonts w:ascii="Arial" w:cs="Arial" w:eastAsia="Arial" w:hAnsi="Arial"/>
                <w:sz w:val="13"/>
                <w:szCs w:val="13"/>
                <w:color w:val="auto"/>
              </w:rPr>
              <w:t>$0.7</w:t>
            </w:r>
          </w:p>
        </w:tc>
        <w:tc>
          <w:tcPr>
            <w:tcW w:w="900" w:type="dxa"/>
            <w:vAlign w:val="bottom"/>
          </w:tcPr>
          <w:p>
            <w:pPr>
              <w:jc w:val="right"/>
              <w:ind w:right="59"/>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39"/>
              <w:spacing w:after="0"/>
              <w:rPr>
                <w:sz w:val="20"/>
                <w:szCs w:val="20"/>
                <w:color w:val="auto"/>
              </w:rPr>
            </w:pPr>
            <w:r>
              <w:rPr>
                <w:rFonts w:ascii="Arial" w:cs="Arial" w:eastAsia="Arial" w:hAnsi="Arial"/>
                <w:sz w:val="13"/>
                <w:szCs w:val="13"/>
                <w:color w:val="auto"/>
              </w:rPr>
              <w:t>$0.2</w:t>
            </w:r>
          </w:p>
        </w:tc>
        <w:tc>
          <w:tcPr>
            <w:tcW w:w="82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$179.0</w:t>
            </w:r>
          </w:p>
        </w:tc>
        <w:tc>
          <w:tcPr>
            <w:tcW w:w="0" w:type="dxa"/>
            <w:vAlign w:val="bottom"/>
          </w:tcPr>
          <w:p>
            <w:pPr>
              <w:spacing w:after="0"/>
              <w:rPr>
                <w:sz w:val="1"/>
                <w:szCs w:val="1"/>
                <w:color w:val="auto"/>
              </w:rPr>
            </w:pPr>
          </w:p>
        </w:tc>
      </w:tr>
      <w:tr>
        <w:trPr>
          <w:trHeight w:val="182"/>
        </w:trPr>
        <w:tc>
          <w:tcPr>
            <w:tcW w:w="1820" w:type="dxa"/>
            <w:vAlign w:val="bottom"/>
            <w:gridSpan w:val="2"/>
          </w:tcPr>
          <w:p>
            <w:pPr>
              <w:ind w:left="20"/>
              <w:spacing w:after="0"/>
              <w:rPr>
                <w:sz w:val="20"/>
                <w:szCs w:val="20"/>
                <w:color w:val="auto"/>
              </w:rPr>
            </w:pPr>
            <w:r>
              <w:rPr>
                <w:rFonts w:ascii="Arial" w:cs="Arial" w:eastAsia="Arial" w:hAnsi="Arial"/>
                <w:sz w:val="13"/>
                <w:szCs w:val="13"/>
                <w:color w:val="auto"/>
              </w:rPr>
              <w:t>Selling, general and</w:t>
            </w: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1820" w:type="dxa"/>
            <w:vAlign w:val="bottom"/>
            <w:gridSpan w:val="2"/>
          </w:tcPr>
          <w:p>
            <w:pPr>
              <w:ind w:left="20"/>
              <w:spacing w:after="0"/>
              <w:rPr>
                <w:sz w:val="20"/>
                <w:szCs w:val="20"/>
                <w:color w:val="auto"/>
              </w:rPr>
            </w:pPr>
            <w:r>
              <w:rPr>
                <w:rFonts w:ascii="Arial" w:cs="Arial" w:eastAsia="Arial" w:hAnsi="Arial"/>
                <w:sz w:val="13"/>
                <w:szCs w:val="13"/>
                <w:color w:val="auto"/>
              </w:rPr>
              <w:t>administrative</w:t>
            </w:r>
          </w:p>
        </w:tc>
        <w:tc>
          <w:tcPr>
            <w:tcW w:w="720" w:type="dxa"/>
            <w:vAlign w:val="bottom"/>
          </w:tcPr>
          <w:p>
            <w:pPr>
              <w:jc w:val="right"/>
              <w:ind w:right="18"/>
              <w:spacing w:after="0"/>
              <w:rPr>
                <w:sz w:val="20"/>
                <w:szCs w:val="20"/>
                <w:color w:val="auto"/>
              </w:rPr>
            </w:pPr>
            <w:r>
              <w:rPr>
                <w:rFonts w:ascii="Arial" w:cs="Arial" w:eastAsia="Arial" w:hAnsi="Arial"/>
                <w:sz w:val="13"/>
                <w:szCs w:val="13"/>
                <w:color w:val="auto"/>
              </w:rPr>
              <w:t>101.3</w:t>
            </w:r>
          </w:p>
        </w:tc>
        <w:tc>
          <w:tcPr>
            <w:tcW w:w="760" w:type="dxa"/>
            <w:vAlign w:val="bottom"/>
          </w:tcPr>
          <w:p>
            <w:pPr>
              <w:jc w:val="right"/>
              <w:ind w:right="39"/>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9"/>
              <w:spacing w:after="0"/>
              <w:rPr>
                <w:sz w:val="20"/>
                <w:szCs w:val="20"/>
                <w:color w:val="auto"/>
              </w:rPr>
            </w:pPr>
            <w:r>
              <w:rPr>
                <w:rFonts w:ascii="Arial" w:cs="Arial" w:eastAsia="Arial" w:hAnsi="Arial"/>
                <w:sz w:val="13"/>
                <w:szCs w:val="13"/>
                <w:color w:val="auto"/>
              </w:rPr>
              <w:t>(0.3)</w:t>
            </w: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(2.3)</w:t>
            </w:r>
          </w:p>
        </w:tc>
        <w:tc>
          <w:tcPr>
            <w:tcW w:w="820" w:type="dxa"/>
            <w:vAlign w:val="bottom"/>
          </w:tcPr>
          <w:p>
            <w:pPr>
              <w:jc w:val="right"/>
              <w:ind w:right="38"/>
              <w:spacing w:after="0"/>
              <w:rPr>
                <w:sz w:val="20"/>
                <w:szCs w:val="20"/>
                <w:color w:val="auto"/>
              </w:rPr>
            </w:pPr>
            <w:r>
              <w:rPr>
                <w:rFonts w:ascii="Arial" w:cs="Arial" w:eastAsia="Arial" w:hAnsi="Arial"/>
                <w:sz w:val="13"/>
                <w:szCs w:val="13"/>
                <w:color w:val="auto"/>
              </w:rPr>
              <w:t>0.3</w:t>
            </w:r>
          </w:p>
        </w:tc>
        <w:tc>
          <w:tcPr>
            <w:tcW w:w="900" w:type="dxa"/>
            <w:vAlign w:val="bottom"/>
          </w:tcPr>
          <w:p>
            <w:pPr>
              <w:jc w:val="right"/>
              <w:ind w:right="19"/>
              <w:spacing w:after="0"/>
              <w:rPr>
                <w:sz w:val="20"/>
                <w:szCs w:val="20"/>
                <w:color w:val="auto"/>
              </w:rPr>
            </w:pPr>
            <w:r>
              <w:rPr>
                <w:rFonts w:ascii="Arial" w:cs="Arial" w:eastAsia="Arial" w:hAnsi="Arial"/>
                <w:sz w:val="13"/>
                <w:szCs w:val="13"/>
                <w:color w:val="auto"/>
              </w:rPr>
              <w:t>(3.2)</w:t>
            </w:r>
          </w:p>
        </w:tc>
        <w:tc>
          <w:tcPr>
            <w:tcW w:w="940" w:type="dxa"/>
            <w:vAlign w:val="bottom"/>
          </w:tcPr>
          <w:p>
            <w:pPr>
              <w:jc w:val="right"/>
              <w:spacing w:after="0"/>
              <w:rPr>
                <w:sz w:val="20"/>
                <w:szCs w:val="20"/>
                <w:color w:val="auto"/>
              </w:rPr>
            </w:pPr>
            <w:r>
              <w:rPr>
                <w:rFonts w:ascii="Arial" w:cs="Arial" w:eastAsia="Arial" w:hAnsi="Arial"/>
                <w:sz w:val="13"/>
                <w:szCs w:val="13"/>
                <w:color w:val="auto"/>
              </w:rPr>
              <w:t>(3.5)</w:t>
            </w:r>
          </w:p>
        </w:tc>
        <w:tc>
          <w:tcPr>
            <w:tcW w:w="82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92.2</w:t>
            </w:r>
          </w:p>
        </w:tc>
        <w:tc>
          <w:tcPr>
            <w:tcW w:w="0" w:type="dxa"/>
            <w:vAlign w:val="bottom"/>
          </w:tcPr>
          <w:p>
            <w:pPr>
              <w:spacing w:after="0"/>
              <w:rPr>
                <w:sz w:val="1"/>
                <w:szCs w:val="1"/>
                <w:color w:val="auto"/>
              </w:rPr>
            </w:pPr>
          </w:p>
        </w:tc>
      </w:tr>
      <w:tr>
        <w:trPr>
          <w:trHeight w:val="240"/>
        </w:trPr>
        <w:tc>
          <w:tcPr>
            <w:tcW w:w="1820" w:type="dxa"/>
            <w:vAlign w:val="bottom"/>
            <w:gridSpan w:val="2"/>
          </w:tcPr>
          <w:p>
            <w:pPr>
              <w:ind w:left="20"/>
              <w:spacing w:after="0"/>
              <w:rPr>
                <w:sz w:val="20"/>
                <w:szCs w:val="20"/>
                <w:color w:val="auto"/>
              </w:rPr>
            </w:pPr>
            <w:r>
              <w:rPr>
                <w:rFonts w:ascii="Arial" w:cs="Arial" w:eastAsia="Arial" w:hAnsi="Arial"/>
                <w:sz w:val="13"/>
                <w:szCs w:val="13"/>
                <w:color w:val="auto"/>
              </w:rPr>
              <w:t>Research and development</w:t>
            </w:r>
          </w:p>
        </w:tc>
        <w:tc>
          <w:tcPr>
            <w:tcW w:w="720" w:type="dxa"/>
            <w:vAlign w:val="bottom"/>
          </w:tcPr>
          <w:p>
            <w:pPr>
              <w:jc w:val="right"/>
              <w:ind w:right="18"/>
              <w:spacing w:after="0"/>
              <w:rPr>
                <w:sz w:val="20"/>
                <w:szCs w:val="20"/>
                <w:color w:val="auto"/>
              </w:rPr>
            </w:pPr>
            <w:r>
              <w:rPr>
                <w:rFonts w:ascii="Arial" w:cs="Arial" w:eastAsia="Arial" w:hAnsi="Arial"/>
                <w:sz w:val="13"/>
                <w:szCs w:val="13"/>
                <w:color w:val="auto"/>
              </w:rPr>
              <w:t>32.4</w:t>
            </w:r>
          </w:p>
        </w:tc>
        <w:tc>
          <w:tcPr>
            <w:tcW w:w="760" w:type="dxa"/>
            <w:vAlign w:val="bottom"/>
          </w:tcPr>
          <w:p>
            <w:pPr>
              <w:jc w:val="right"/>
              <w:ind w:right="39"/>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9"/>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(0.6)</w:t>
            </w:r>
          </w:p>
        </w:tc>
        <w:tc>
          <w:tcPr>
            <w:tcW w:w="820" w:type="dxa"/>
            <w:vAlign w:val="bottom"/>
          </w:tcPr>
          <w:p>
            <w:pPr>
              <w:jc w:val="right"/>
              <w:spacing w:after="0"/>
              <w:rPr>
                <w:sz w:val="20"/>
                <w:szCs w:val="20"/>
                <w:color w:val="auto"/>
              </w:rPr>
            </w:pPr>
            <w:r>
              <w:rPr>
                <w:rFonts w:ascii="Arial" w:cs="Arial" w:eastAsia="Arial" w:hAnsi="Arial"/>
                <w:sz w:val="13"/>
                <w:szCs w:val="13"/>
                <w:color w:val="auto"/>
              </w:rPr>
              <w:t>(0.5)</w:t>
            </w:r>
          </w:p>
        </w:tc>
        <w:tc>
          <w:tcPr>
            <w:tcW w:w="900" w:type="dxa"/>
            <w:vAlign w:val="bottom"/>
          </w:tcPr>
          <w:p>
            <w:pPr>
              <w:jc w:val="right"/>
              <w:ind w:right="59"/>
              <w:spacing w:after="0"/>
              <w:rPr>
                <w:sz w:val="20"/>
                <w:szCs w:val="20"/>
                <w:color w:val="auto"/>
              </w:rPr>
            </w:pPr>
            <w:r>
              <w:rPr>
                <w:rFonts w:ascii="Arial" w:cs="Arial" w:eastAsia="Arial" w:hAnsi="Arial"/>
                <w:sz w:val="13"/>
                <w:szCs w:val="13"/>
                <w:color w:val="auto"/>
              </w:rPr>
              <w:t>0.1</w:t>
            </w:r>
          </w:p>
        </w:tc>
        <w:tc>
          <w:tcPr>
            <w:tcW w:w="940" w:type="dxa"/>
            <w:vAlign w:val="bottom"/>
          </w:tcPr>
          <w:p>
            <w:pPr>
              <w:jc w:val="right"/>
              <w:spacing w:after="0"/>
              <w:rPr>
                <w:sz w:val="20"/>
                <w:szCs w:val="20"/>
                <w:color w:val="auto"/>
              </w:rPr>
            </w:pPr>
            <w:r>
              <w:rPr>
                <w:rFonts w:ascii="Arial" w:cs="Arial" w:eastAsia="Arial" w:hAnsi="Arial"/>
                <w:sz w:val="13"/>
                <w:szCs w:val="13"/>
                <w:color w:val="auto"/>
              </w:rPr>
              <w:t>(0.3)</w:t>
            </w:r>
          </w:p>
        </w:tc>
        <w:tc>
          <w:tcPr>
            <w:tcW w:w="82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31.0</w:t>
            </w:r>
          </w:p>
        </w:tc>
        <w:tc>
          <w:tcPr>
            <w:tcW w:w="0" w:type="dxa"/>
            <w:vAlign w:val="bottom"/>
          </w:tcPr>
          <w:p>
            <w:pPr>
              <w:spacing w:after="0"/>
              <w:rPr>
                <w:sz w:val="1"/>
                <w:szCs w:val="1"/>
                <w:color w:val="auto"/>
              </w:rPr>
            </w:pPr>
          </w:p>
        </w:tc>
      </w:tr>
      <w:tr>
        <w:trPr>
          <w:trHeight w:val="240"/>
        </w:trPr>
        <w:tc>
          <w:tcPr>
            <w:tcW w:w="1820" w:type="dxa"/>
            <w:vAlign w:val="bottom"/>
            <w:gridSpan w:val="2"/>
          </w:tcPr>
          <w:p>
            <w:pPr>
              <w:ind w:left="20"/>
              <w:spacing w:after="0"/>
              <w:rPr>
                <w:sz w:val="20"/>
                <w:szCs w:val="20"/>
                <w:color w:val="auto"/>
              </w:rPr>
            </w:pPr>
            <w:r>
              <w:rPr>
                <w:rFonts w:ascii="Arial" w:cs="Arial" w:eastAsia="Arial" w:hAnsi="Arial"/>
                <w:sz w:val="13"/>
                <w:szCs w:val="13"/>
                <w:color w:val="auto"/>
              </w:rPr>
              <w:t>Other operating expenses</w:t>
            </w:r>
          </w:p>
        </w:tc>
        <w:tc>
          <w:tcPr>
            <w:tcW w:w="720" w:type="dxa"/>
            <w:vAlign w:val="bottom"/>
          </w:tcPr>
          <w:p>
            <w:pPr>
              <w:jc w:val="right"/>
              <w:ind w:right="18"/>
              <w:spacing w:after="0"/>
              <w:rPr>
                <w:sz w:val="20"/>
                <w:szCs w:val="20"/>
                <w:color w:val="auto"/>
              </w:rPr>
            </w:pPr>
            <w:r>
              <w:rPr>
                <w:rFonts w:ascii="Arial" w:cs="Arial" w:eastAsia="Arial" w:hAnsi="Arial"/>
                <w:sz w:val="13"/>
                <w:szCs w:val="13"/>
                <w:color w:val="auto"/>
              </w:rPr>
              <w:t>19.6</w:t>
            </w:r>
          </w:p>
        </w:tc>
        <w:tc>
          <w:tcPr>
            <w:tcW w:w="760" w:type="dxa"/>
            <w:vAlign w:val="bottom"/>
          </w:tcPr>
          <w:p>
            <w:pPr>
              <w:jc w:val="right"/>
              <w:spacing w:after="0"/>
              <w:rPr>
                <w:sz w:val="20"/>
                <w:szCs w:val="20"/>
                <w:color w:val="auto"/>
              </w:rPr>
            </w:pPr>
            <w:r>
              <w:rPr>
                <w:rFonts w:ascii="Arial" w:cs="Arial" w:eastAsia="Arial" w:hAnsi="Arial"/>
                <w:sz w:val="13"/>
                <w:szCs w:val="13"/>
                <w:color w:val="auto"/>
              </w:rPr>
              <w:t>(7.9)</w:t>
            </w:r>
          </w:p>
        </w:tc>
        <w:tc>
          <w:tcPr>
            <w:tcW w:w="900" w:type="dxa"/>
            <w:vAlign w:val="bottom"/>
          </w:tcPr>
          <w:p>
            <w:pPr>
              <w:jc w:val="right"/>
              <w:spacing w:after="0"/>
              <w:rPr>
                <w:sz w:val="20"/>
                <w:szCs w:val="20"/>
                <w:color w:val="auto"/>
              </w:rPr>
            </w:pPr>
            <w:r>
              <w:rPr>
                <w:rFonts w:ascii="Arial" w:cs="Arial" w:eastAsia="Arial" w:hAnsi="Arial"/>
                <w:sz w:val="13"/>
                <w:szCs w:val="13"/>
                <w:color w:val="auto"/>
              </w:rPr>
              <w:t>(3.2)</w:t>
            </w:r>
          </w:p>
        </w:tc>
        <w:tc>
          <w:tcPr>
            <w:tcW w:w="820" w:type="dxa"/>
            <w:vAlign w:val="bottom"/>
          </w:tcPr>
          <w:p>
            <w:pPr>
              <w:jc w:val="right"/>
              <w:ind w:right="19"/>
              <w:spacing w:after="0"/>
              <w:rPr>
                <w:sz w:val="20"/>
                <w:szCs w:val="20"/>
                <w:color w:val="auto"/>
              </w:rPr>
            </w:pPr>
            <w:r>
              <w:rPr>
                <w:rFonts w:ascii="Arial" w:cs="Arial" w:eastAsia="Arial" w:hAnsi="Arial"/>
                <w:sz w:val="13"/>
                <w:szCs w:val="13"/>
                <w:color w:val="auto"/>
              </w:rPr>
              <w:t>(8.5)</w:t>
            </w: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9"/>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59"/>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39"/>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2"/>
        </w:trPr>
        <w:tc>
          <w:tcPr>
            <w:tcW w:w="1820" w:type="dxa"/>
            <w:vAlign w:val="bottom"/>
            <w:gridSpan w:val="2"/>
          </w:tcPr>
          <w:p>
            <w:pPr>
              <w:ind w:left="20"/>
              <w:spacing w:after="0"/>
              <w:rPr>
                <w:sz w:val="20"/>
                <w:szCs w:val="20"/>
                <w:color w:val="auto"/>
              </w:rPr>
            </w:pPr>
            <w:r>
              <w:rPr>
                <w:rFonts w:ascii="Arial" w:cs="Arial" w:eastAsia="Arial" w:hAnsi="Arial"/>
                <w:sz w:val="13"/>
                <w:szCs w:val="13"/>
                <w:color w:val="auto"/>
              </w:rPr>
              <w:t>Operating income from</w:t>
            </w: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1820" w:type="dxa"/>
            <w:vAlign w:val="bottom"/>
            <w:gridSpan w:val="2"/>
          </w:tcPr>
          <w:p>
            <w:pPr>
              <w:ind w:left="20"/>
              <w:spacing w:after="0"/>
              <w:rPr>
                <w:sz w:val="20"/>
                <w:szCs w:val="20"/>
                <w:color w:val="auto"/>
              </w:rPr>
            </w:pPr>
            <w:r>
              <w:rPr>
                <w:rFonts w:ascii="Arial" w:cs="Arial" w:eastAsia="Arial" w:hAnsi="Arial"/>
                <w:sz w:val="13"/>
                <w:szCs w:val="13"/>
                <w:color w:val="auto"/>
              </w:rPr>
              <w:t>continuing operations</w:t>
            </w:r>
          </w:p>
        </w:tc>
        <w:tc>
          <w:tcPr>
            <w:tcW w:w="720" w:type="dxa"/>
            <w:vAlign w:val="bottom"/>
          </w:tcPr>
          <w:p>
            <w:pPr>
              <w:jc w:val="right"/>
              <w:ind w:right="18"/>
              <w:spacing w:after="0"/>
              <w:rPr>
                <w:sz w:val="20"/>
                <w:szCs w:val="20"/>
                <w:color w:val="auto"/>
              </w:rPr>
            </w:pPr>
            <w:r>
              <w:rPr>
                <w:rFonts w:ascii="Arial" w:cs="Arial" w:eastAsia="Arial" w:hAnsi="Arial"/>
                <w:sz w:val="13"/>
                <w:szCs w:val="13"/>
                <w:color w:val="auto"/>
              </w:rPr>
              <w:t>18.9</w:t>
            </w:r>
          </w:p>
        </w:tc>
        <w:tc>
          <w:tcPr>
            <w:tcW w:w="760" w:type="dxa"/>
            <w:vAlign w:val="bottom"/>
          </w:tcPr>
          <w:p>
            <w:pPr>
              <w:jc w:val="right"/>
              <w:ind w:right="39"/>
              <w:spacing w:after="0"/>
              <w:rPr>
                <w:sz w:val="20"/>
                <w:szCs w:val="20"/>
                <w:color w:val="auto"/>
              </w:rPr>
            </w:pPr>
            <w:r>
              <w:rPr>
                <w:rFonts w:ascii="Arial" w:cs="Arial" w:eastAsia="Arial" w:hAnsi="Arial"/>
                <w:sz w:val="13"/>
                <w:szCs w:val="13"/>
                <w:color w:val="auto"/>
              </w:rPr>
              <w:t>7.9</w:t>
            </w:r>
          </w:p>
        </w:tc>
        <w:tc>
          <w:tcPr>
            <w:tcW w:w="900" w:type="dxa"/>
            <w:vAlign w:val="bottom"/>
          </w:tcPr>
          <w:p>
            <w:pPr>
              <w:jc w:val="right"/>
              <w:ind w:right="38"/>
              <w:spacing w:after="0"/>
              <w:rPr>
                <w:sz w:val="20"/>
                <w:szCs w:val="20"/>
                <w:color w:val="auto"/>
              </w:rPr>
            </w:pPr>
            <w:r>
              <w:rPr>
                <w:rFonts w:ascii="Arial" w:cs="Arial" w:eastAsia="Arial" w:hAnsi="Arial"/>
                <w:sz w:val="13"/>
                <w:szCs w:val="13"/>
                <w:color w:val="auto"/>
              </w:rPr>
              <w:t>3.2</w:t>
            </w:r>
          </w:p>
        </w:tc>
        <w:tc>
          <w:tcPr>
            <w:tcW w:w="820" w:type="dxa"/>
            <w:vAlign w:val="bottom"/>
          </w:tcPr>
          <w:p>
            <w:pPr>
              <w:jc w:val="right"/>
              <w:ind w:right="59"/>
              <w:spacing w:after="0"/>
              <w:rPr>
                <w:sz w:val="20"/>
                <w:szCs w:val="20"/>
                <w:color w:val="auto"/>
              </w:rPr>
            </w:pPr>
            <w:r>
              <w:rPr>
                <w:rFonts w:ascii="Arial" w:cs="Arial" w:eastAsia="Arial" w:hAnsi="Arial"/>
                <w:sz w:val="13"/>
                <w:szCs w:val="13"/>
                <w:color w:val="auto"/>
              </w:rPr>
              <w:t>10.0</w:t>
            </w:r>
          </w:p>
        </w:tc>
        <w:tc>
          <w:tcPr>
            <w:tcW w:w="820" w:type="dxa"/>
            <w:vAlign w:val="bottom"/>
          </w:tcPr>
          <w:p>
            <w:pPr>
              <w:jc w:val="right"/>
              <w:spacing w:after="0"/>
              <w:rPr>
                <w:sz w:val="20"/>
                <w:szCs w:val="20"/>
                <w:color w:val="auto"/>
              </w:rPr>
            </w:pPr>
            <w:r>
              <w:rPr>
                <w:rFonts w:ascii="Arial" w:cs="Arial" w:eastAsia="Arial" w:hAnsi="Arial"/>
                <w:sz w:val="13"/>
                <w:szCs w:val="13"/>
                <w:color w:val="auto"/>
              </w:rPr>
              <w:t>4.7</w:t>
            </w:r>
          </w:p>
        </w:tc>
        <w:tc>
          <w:tcPr>
            <w:tcW w:w="720" w:type="dxa"/>
            <w:vAlign w:val="bottom"/>
          </w:tcPr>
          <w:p>
            <w:pPr>
              <w:jc w:val="right"/>
              <w:ind w:right="19"/>
              <w:spacing w:after="0"/>
              <w:rPr>
                <w:sz w:val="20"/>
                <w:szCs w:val="20"/>
                <w:color w:val="auto"/>
              </w:rPr>
            </w:pPr>
            <w:r>
              <w:rPr>
                <w:rFonts w:ascii="Arial" w:cs="Arial" w:eastAsia="Arial" w:hAnsi="Arial"/>
                <w:sz w:val="13"/>
                <w:szCs w:val="13"/>
                <w:color w:val="auto"/>
              </w:rPr>
              <w:t>2.9</w:t>
            </w:r>
          </w:p>
        </w:tc>
        <w:tc>
          <w:tcPr>
            <w:tcW w:w="820" w:type="dxa"/>
            <w:vAlign w:val="bottom"/>
          </w:tcPr>
          <w:p>
            <w:pPr>
              <w:jc w:val="right"/>
              <w:ind w:right="38"/>
              <w:spacing w:after="0"/>
              <w:rPr>
                <w:sz w:val="20"/>
                <w:szCs w:val="20"/>
                <w:color w:val="auto"/>
              </w:rPr>
            </w:pPr>
            <w:r>
              <w:rPr>
                <w:rFonts w:ascii="Arial" w:cs="Arial" w:eastAsia="Arial" w:hAnsi="Arial"/>
                <w:sz w:val="13"/>
                <w:szCs w:val="13"/>
                <w:color w:val="auto"/>
              </w:rPr>
              <w:t>1.0</w:t>
            </w:r>
          </w:p>
        </w:tc>
        <w:tc>
          <w:tcPr>
            <w:tcW w:w="900" w:type="dxa"/>
            <w:vAlign w:val="bottom"/>
          </w:tcPr>
          <w:p>
            <w:pPr>
              <w:jc w:val="right"/>
              <w:ind w:right="59"/>
              <w:spacing w:after="0"/>
              <w:rPr>
                <w:sz w:val="20"/>
                <w:szCs w:val="20"/>
                <w:color w:val="auto"/>
              </w:rPr>
            </w:pPr>
            <w:r>
              <w:rPr>
                <w:rFonts w:ascii="Arial" w:cs="Arial" w:eastAsia="Arial" w:hAnsi="Arial"/>
                <w:sz w:val="13"/>
                <w:szCs w:val="13"/>
                <w:color w:val="auto"/>
              </w:rPr>
              <w:t>3.2</w:t>
            </w:r>
          </w:p>
        </w:tc>
        <w:tc>
          <w:tcPr>
            <w:tcW w:w="940" w:type="dxa"/>
            <w:vAlign w:val="bottom"/>
          </w:tcPr>
          <w:p>
            <w:pPr>
              <w:jc w:val="right"/>
              <w:ind w:right="39"/>
              <w:spacing w:after="0"/>
              <w:rPr>
                <w:sz w:val="20"/>
                <w:szCs w:val="20"/>
                <w:color w:val="auto"/>
              </w:rPr>
            </w:pPr>
            <w:r>
              <w:rPr>
                <w:rFonts w:ascii="Arial" w:cs="Arial" w:eastAsia="Arial" w:hAnsi="Arial"/>
                <w:sz w:val="13"/>
                <w:szCs w:val="13"/>
                <w:color w:val="auto"/>
              </w:rPr>
              <w:t>4.0</w:t>
            </w:r>
          </w:p>
        </w:tc>
        <w:tc>
          <w:tcPr>
            <w:tcW w:w="82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55.8</w:t>
            </w:r>
          </w:p>
        </w:tc>
        <w:tc>
          <w:tcPr>
            <w:tcW w:w="0" w:type="dxa"/>
            <w:vAlign w:val="bottom"/>
          </w:tcPr>
          <w:p>
            <w:pPr>
              <w:spacing w:after="0"/>
              <w:rPr>
                <w:sz w:val="1"/>
                <w:szCs w:val="1"/>
                <w:color w:val="auto"/>
              </w:rPr>
            </w:pPr>
          </w:p>
        </w:tc>
      </w:tr>
      <w:tr>
        <w:trPr>
          <w:trHeight w:val="240"/>
        </w:trPr>
        <w:tc>
          <w:tcPr>
            <w:tcW w:w="1820" w:type="dxa"/>
            <w:vAlign w:val="bottom"/>
            <w:gridSpan w:val="2"/>
          </w:tcPr>
          <w:p>
            <w:pPr>
              <w:ind w:left="20"/>
              <w:spacing w:after="0"/>
              <w:rPr>
                <w:sz w:val="20"/>
                <w:szCs w:val="20"/>
                <w:color w:val="auto"/>
              </w:rPr>
            </w:pPr>
            <w:r>
              <w:rPr>
                <w:rFonts w:ascii="Arial" w:cs="Arial" w:eastAsia="Arial" w:hAnsi="Arial"/>
                <w:sz w:val="13"/>
                <w:szCs w:val="13"/>
                <w:color w:val="auto"/>
              </w:rPr>
              <w:t>Income tax expense</w:t>
            </w:r>
          </w:p>
        </w:tc>
        <w:tc>
          <w:tcPr>
            <w:tcW w:w="720" w:type="dxa"/>
            <w:vAlign w:val="bottom"/>
          </w:tcPr>
          <w:p>
            <w:pPr>
              <w:jc w:val="right"/>
              <w:ind w:right="18"/>
              <w:spacing w:after="0"/>
              <w:rPr>
                <w:sz w:val="20"/>
                <w:szCs w:val="20"/>
                <w:color w:val="auto"/>
              </w:rPr>
            </w:pPr>
            <w:r>
              <w:rPr>
                <w:rFonts w:ascii="Arial" w:cs="Arial" w:eastAsia="Arial" w:hAnsi="Arial"/>
                <w:sz w:val="13"/>
                <w:szCs w:val="13"/>
                <w:color w:val="auto"/>
              </w:rPr>
              <w:t>39.1</w:t>
            </w:r>
          </w:p>
        </w:tc>
        <w:tc>
          <w:tcPr>
            <w:tcW w:w="760" w:type="dxa"/>
            <w:vAlign w:val="bottom"/>
          </w:tcPr>
          <w:p>
            <w:pPr>
              <w:jc w:val="right"/>
              <w:ind w:right="39"/>
              <w:spacing w:after="0"/>
              <w:rPr>
                <w:sz w:val="20"/>
                <w:szCs w:val="20"/>
                <w:color w:val="auto"/>
              </w:rPr>
            </w:pPr>
            <w:r>
              <w:rPr>
                <w:rFonts w:ascii="Arial" w:cs="Arial" w:eastAsia="Arial" w:hAnsi="Arial"/>
                <w:sz w:val="13"/>
                <w:szCs w:val="13"/>
                <w:color w:val="auto"/>
              </w:rPr>
              <w:t>1.9</w:t>
            </w:r>
          </w:p>
        </w:tc>
        <w:tc>
          <w:tcPr>
            <w:tcW w:w="900" w:type="dxa"/>
            <w:vAlign w:val="bottom"/>
          </w:tcPr>
          <w:p>
            <w:pPr>
              <w:jc w:val="right"/>
              <w:ind w:right="38"/>
              <w:spacing w:after="0"/>
              <w:rPr>
                <w:sz w:val="20"/>
                <w:szCs w:val="20"/>
                <w:color w:val="auto"/>
              </w:rPr>
            </w:pPr>
            <w:r>
              <w:rPr>
                <w:rFonts w:ascii="Arial" w:cs="Arial" w:eastAsia="Arial" w:hAnsi="Arial"/>
                <w:sz w:val="13"/>
                <w:szCs w:val="13"/>
                <w:color w:val="auto"/>
              </w:rPr>
              <w:t>0.2</w:t>
            </w:r>
          </w:p>
        </w:tc>
        <w:tc>
          <w:tcPr>
            <w:tcW w:w="820" w:type="dxa"/>
            <w:vAlign w:val="bottom"/>
          </w:tcPr>
          <w:p>
            <w:pPr>
              <w:jc w:val="right"/>
              <w:ind w:right="59"/>
              <w:spacing w:after="0"/>
              <w:rPr>
                <w:sz w:val="20"/>
                <w:szCs w:val="20"/>
                <w:color w:val="auto"/>
              </w:rPr>
            </w:pPr>
            <w:r>
              <w:rPr>
                <w:rFonts w:ascii="Arial" w:cs="Arial" w:eastAsia="Arial" w:hAnsi="Arial"/>
                <w:sz w:val="13"/>
                <w:szCs w:val="13"/>
                <w:color w:val="auto"/>
              </w:rPr>
              <w:t>5.0</w:t>
            </w:r>
          </w:p>
        </w:tc>
        <w:tc>
          <w:tcPr>
            <w:tcW w:w="820" w:type="dxa"/>
            <w:vAlign w:val="bottom"/>
          </w:tcPr>
          <w:p>
            <w:pPr>
              <w:jc w:val="right"/>
              <w:spacing w:after="0"/>
              <w:rPr>
                <w:sz w:val="20"/>
                <w:szCs w:val="20"/>
                <w:color w:val="auto"/>
              </w:rPr>
            </w:pPr>
            <w:r>
              <w:rPr>
                <w:rFonts w:ascii="Arial" w:cs="Arial" w:eastAsia="Arial" w:hAnsi="Arial"/>
                <w:sz w:val="13"/>
                <w:szCs w:val="13"/>
                <w:color w:val="auto"/>
              </w:rPr>
              <w:t>1.6</w:t>
            </w:r>
          </w:p>
        </w:tc>
        <w:tc>
          <w:tcPr>
            <w:tcW w:w="720" w:type="dxa"/>
            <w:vAlign w:val="bottom"/>
          </w:tcPr>
          <w:p>
            <w:pPr>
              <w:jc w:val="right"/>
              <w:ind w:right="19"/>
              <w:spacing w:after="0"/>
              <w:rPr>
                <w:sz w:val="20"/>
                <w:szCs w:val="20"/>
                <w:color w:val="auto"/>
              </w:rPr>
            </w:pPr>
            <w:r>
              <w:rPr>
                <w:rFonts w:ascii="Arial" w:cs="Arial" w:eastAsia="Arial" w:hAnsi="Arial"/>
                <w:sz w:val="13"/>
                <w:szCs w:val="13"/>
                <w:color w:val="auto"/>
              </w:rPr>
              <w:t>2.5</w:t>
            </w:r>
          </w:p>
        </w:tc>
        <w:tc>
          <w:tcPr>
            <w:tcW w:w="820" w:type="dxa"/>
            <w:vAlign w:val="bottom"/>
          </w:tcPr>
          <w:p>
            <w:pPr>
              <w:jc w:val="right"/>
              <w:ind w:right="38"/>
              <w:spacing w:after="0"/>
              <w:rPr>
                <w:sz w:val="20"/>
                <w:szCs w:val="20"/>
                <w:color w:val="auto"/>
              </w:rPr>
            </w:pPr>
            <w:r>
              <w:rPr>
                <w:rFonts w:ascii="Arial" w:cs="Arial" w:eastAsia="Arial" w:hAnsi="Arial"/>
                <w:sz w:val="13"/>
                <w:szCs w:val="13"/>
                <w:color w:val="auto"/>
              </w:rPr>
              <w:t>1.6</w:t>
            </w:r>
          </w:p>
        </w:tc>
        <w:tc>
          <w:tcPr>
            <w:tcW w:w="900" w:type="dxa"/>
            <w:vAlign w:val="bottom"/>
          </w:tcPr>
          <w:p>
            <w:pPr>
              <w:jc w:val="right"/>
              <w:ind w:right="19"/>
              <w:spacing w:after="0"/>
              <w:rPr>
                <w:sz w:val="20"/>
                <w:szCs w:val="20"/>
                <w:color w:val="auto"/>
              </w:rPr>
            </w:pPr>
            <w:r>
              <w:rPr>
                <w:rFonts w:ascii="Arial" w:cs="Arial" w:eastAsia="Arial" w:hAnsi="Arial"/>
                <w:sz w:val="13"/>
                <w:szCs w:val="13"/>
                <w:color w:val="auto"/>
              </w:rPr>
              <w:t>(0.1)</w:t>
            </w:r>
          </w:p>
        </w:tc>
        <w:tc>
          <w:tcPr>
            <w:tcW w:w="940" w:type="dxa"/>
            <w:vAlign w:val="bottom"/>
          </w:tcPr>
          <w:p>
            <w:pPr>
              <w:jc w:val="right"/>
              <w:ind w:right="39"/>
              <w:spacing w:after="0"/>
              <w:rPr>
                <w:sz w:val="20"/>
                <w:szCs w:val="20"/>
                <w:color w:val="auto"/>
              </w:rPr>
            </w:pPr>
            <w:r>
              <w:rPr>
                <w:rFonts w:ascii="Arial" w:cs="Arial" w:eastAsia="Arial" w:hAnsi="Arial"/>
                <w:sz w:val="13"/>
                <w:szCs w:val="13"/>
                <w:color w:val="auto"/>
              </w:rPr>
              <w:t>0.5</w:t>
            </w:r>
          </w:p>
        </w:tc>
        <w:tc>
          <w:tcPr>
            <w:tcW w:w="820" w:type="dxa"/>
            <w:vAlign w:val="bottom"/>
          </w:tcPr>
          <w:p>
            <w:pPr>
              <w:jc w:val="right"/>
              <w:spacing w:after="0"/>
              <w:rPr>
                <w:sz w:val="20"/>
                <w:szCs w:val="20"/>
                <w:color w:val="auto"/>
              </w:rPr>
            </w:pPr>
            <w:r>
              <w:rPr>
                <w:rFonts w:ascii="Arial" w:cs="Arial" w:eastAsia="Arial" w:hAnsi="Arial"/>
                <w:sz w:val="13"/>
                <w:szCs w:val="13"/>
                <w:color w:val="auto"/>
              </w:rPr>
              <w:t>(41.7)</w:t>
            </w:r>
          </w:p>
        </w:tc>
        <w:tc>
          <w:tcPr>
            <w:tcW w:w="760" w:type="dxa"/>
            <w:vAlign w:val="bottom"/>
          </w:tcPr>
          <w:p>
            <w:pPr>
              <w:jc w:val="right"/>
              <w:spacing w:after="0"/>
              <w:rPr>
                <w:sz w:val="20"/>
                <w:szCs w:val="20"/>
                <w:color w:val="auto"/>
              </w:rPr>
            </w:pPr>
            <w:r>
              <w:rPr>
                <w:rFonts w:ascii="Arial" w:cs="Arial" w:eastAsia="Arial" w:hAnsi="Arial"/>
                <w:sz w:val="13"/>
                <w:szCs w:val="13"/>
                <w:color w:val="auto"/>
              </w:rPr>
              <w:t>0.3</w:t>
            </w:r>
          </w:p>
        </w:tc>
        <w:tc>
          <w:tcPr>
            <w:tcW w:w="680" w:type="dxa"/>
            <w:vAlign w:val="bottom"/>
          </w:tcPr>
          <w:p>
            <w:pPr>
              <w:jc w:val="right"/>
              <w:spacing w:after="0"/>
              <w:rPr>
                <w:sz w:val="20"/>
                <w:szCs w:val="20"/>
                <w:color w:val="auto"/>
              </w:rPr>
            </w:pPr>
            <w:r>
              <w:rPr>
                <w:rFonts w:ascii="Arial" w:cs="Arial" w:eastAsia="Arial" w:hAnsi="Arial"/>
                <w:sz w:val="13"/>
                <w:szCs w:val="13"/>
                <w:color w:val="auto"/>
              </w:rPr>
              <w:t>11.0</w:t>
            </w:r>
          </w:p>
        </w:tc>
        <w:tc>
          <w:tcPr>
            <w:tcW w:w="0" w:type="dxa"/>
            <w:vAlign w:val="bottom"/>
          </w:tcPr>
          <w:p>
            <w:pPr>
              <w:spacing w:after="0"/>
              <w:rPr>
                <w:sz w:val="1"/>
                <w:szCs w:val="1"/>
                <w:color w:val="auto"/>
              </w:rPr>
            </w:pPr>
          </w:p>
        </w:tc>
      </w:tr>
      <w:tr>
        <w:trPr>
          <w:trHeight w:val="182"/>
        </w:trPr>
        <w:tc>
          <w:tcPr>
            <w:tcW w:w="1820" w:type="dxa"/>
            <w:vAlign w:val="bottom"/>
            <w:gridSpan w:val="2"/>
          </w:tcPr>
          <w:p>
            <w:pPr>
              <w:ind w:left="20"/>
              <w:spacing w:after="0"/>
              <w:rPr>
                <w:sz w:val="20"/>
                <w:szCs w:val="20"/>
                <w:color w:val="auto"/>
              </w:rPr>
            </w:pPr>
            <w:r>
              <w:rPr>
                <w:rFonts w:ascii="Arial" w:cs="Arial" w:eastAsia="Arial" w:hAnsi="Arial"/>
                <w:sz w:val="13"/>
                <w:szCs w:val="13"/>
                <w:color w:val="auto"/>
              </w:rPr>
              <w:t>Net (loss) income from</w:t>
            </w: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1820" w:type="dxa"/>
            <w:vAlign w:val="bottom"/>
            <w:gridSpan w:val="2"/>
          </w:tcPr>
          <w:p>
            <w:pPr>
              <w:ind w:left="20"/>
              <w:spacing w:after="0"/>
              <w:rPr>
                <w:sz w:val="20"/>
                <w:szCs w:val="20"/>
                <w:color w:val="auto"/>
              </w:rPr>
            </w:pPr>
            <w:r>
              <w:rPr>
                <w:rFonts w:ascii="Arial" w:cs="Arial" w:eastAsia="Arial" w:hAnsi="Arial"/>
                <w:sz w:val="13"/>
                <w:szCs w:val="13"/>
                <w:color w:val="auto"/>
              </w:rPr>
              <w:t>continuing operations</w:t>
            </w:r>
          </w:p>
        </w:tc>
        <w:tc>
          <w:tcPr>
            <w:tcW w:w="720" w:type="dxa"/>
            <w:vAlign w:val="bottom"/>
          </w:tcPr>
          <w:p>
            <w:pPr>
              <w:jc w:val="right"/>
              <w:spacing w:after="0"/>
              <w:rPr>
                <w:sz w:val="20"/>
                <w:szCs w:val="20"/>
                <w:color w:val="auto"/>
              </w:rPr>
            </w:pPr>
            <w:r>
              <w:rPr>
                <w:rFonts w:ascii="Arial" w:cs="Arial" w:eastAsia="Arial" w:hAnsi="Arial"/>
                <w:sz w:val="13"/>
                <w:szCs w:val="13"/>
                <w:color w:val="auto"/>
              </w:rPr>
              <w:t>(31.5)</w:t>
            </w:r>
          </w:p>
        </w:tc>
        <w:tc>
          <w:tcPr>
            <w:tcW w:w="760" w:type="dxa"/>
            <w:vAlign w:val="bottom"/>
          </w:tcPr>
          <w:p>
            <w:pPr>
              <w:jc w:val="right"/>
              <w:ind w:right="39"/>
              <w:spacing w:after="0"/>
              <w:rPr>
                <w:sz w:val="20"/>
                <w:szCs w:val="20"/>
                <w:color w:val="auto"/>
              </w:rPr>
            </w:pPr>
            <w:r>
              <w:rPr>
                <w:rFonts w:ascii="Arial" w:cs="Arial" w:eastAsia="Arial" w:hAnsi="Arial"/>
                <w:sz w:val="13"/>
                <w:szCs w:val="13"/>
                <w:color w:val="auto"/>
              </w:rPr>
              <w:t>5.9</w:t>
            </w:r>
          </w:p>
        </w:tc>
        <w:tc>
          <w:tcPr>
            <w:tcW w:w="900" w:type="dxa"/>
            <w:vAlign w:val="bottom"/>
          </w:tcPr>
          <w:p>
            <w:pPr>
              <w:jc w:val="right"/>
              <w:ind w:right="38"/>
              <w:spacing w:after="0"/>
              <w:rPr>
                <w:sz w:val="20"/>
                <w:szCs w:val="20"/>
                <w:color w:val="auto"/>
              </w:rPr>
            </w:pPr>
            <w:r>
              <w:rPr>
                <w:rFonts w:ascii="Arial" w:cs="Arial" w:eastAsia="Arial" w:hAnsi="Arial"/>
                <w:sz w:val="13"/>
                <w:szCs w:val="13"/>
                <w:color w:val="auto"/>
              </w:rPr>
              <w:t>3.1</w:t>
            </w:r>
          </w:p>
        </w:tc>
        <w:tc>
          <w:tcPr>
            <w:tcW w:w="820" w:type="dxa"/>
            <w:vAlign w:val="bottom"/>
          </w:tcPr>
          <w:p>
            <w:pPr>
              <w:jc w:val="right"/>
              <w:ind w:right="59"/>
              <w:spacing w:after="0"/>
              <w:rPr>
                <w:sz w:val="20"/>
                <w:szCs w:val="20"/>
                <w:color w:val="auto"/>
              </w:rPr>
            </w:pPr>
            <w:r>
              <w:rPr>
                <w:rFonts w:ascii="Arial" w:cs="Arial" w:eastAsia="Arial" w:hAnsi="Arial"/>
                <w:sz w:val="13"/>
                <w:szCs w:val="13"/>
                <w:color w:val="auto"/>
              </w:rPr>
              <w:t>4.9</w:t>
            </w:r>
          </w:p>
        </w:tc>
        <w:tc>
          <w:tcPr>
            <w:tcW w:w="820" w:type="dxa"/>
            <w:vAlign w:val="bottom"/>
          </w:tcPr>
          <w:p>
            <w:pPr>
              <w:jc w:val="right"/>
              <w:spacing w:after="0"/>
              <w:rPr>
                <w:sz w:val="20"/>
                <w:szCs w:val="20"/>
                <w:color w:val="auto"/>
              </w:rPr>
            </w:pPr>
            <w:r>
              <w:rPr>
                <w:rFonts w:ascii="Arial" w:cs="Arial" w:eastAsia="Arial" w:hAnsi="Arial"/>
                <w:sz w:val="13"/>
                <w:szCs w:val="13"/>
                <w:color w:val="auto"/>
              </w:rPr>
              <w:t>3.1</w:t>
            </w:r>
          </w:p>
        </w:tc>
        <w:tc>
          <w:tcPr>
            <w:tcW w:w="720" w:type="dxa"/>
            <w:vAlign w:val="bottom"/>
          </w:tcPr>
          <w:p>
            <w:pPr>
              <w:jc w:val="right"/>
              <w:ind w:right="19"/>
              <w:spacing w:after="0"/>
              <w:rPr>
                <w:sz w:val="20"/>
                <w:szCs w:val="20"/>
                <w:color w:val="auto"/>
              </w:rPr>
            </w:pPr>
            <w:r>
              <w:rPr>
                <w:rFonts w:ascii="Arial" w:cs="Arial" w:eastAsia="Arial" w:hAnsi="Arial"/>
                <w:sz w:val="13"/>
                <w:szCs w:val="13"/>
                <w:color w:val="auto"/>
              </w:rPr>
              <w:t>0.4</w:t>
            </w:r>
          </w:p>
        </w:tc>
        <w:tc>
          <w:tcPr>
            <w:tcW w:w="820" w:type="dxa"/>
            <w:vAlign w:val="bottom"/>
          </w:tcPr>
          <w:p>
            <w:pPr>
              <w:jc w:val="right"/>
              <w:ind w:right="38"/>
              <w:spacing w:after="0"/>
              <w:rPr>
                <w:sz w:val="20"/>
                <w:szCs w:val="20"/>
                <w:color w:val="auto"/>
              </w:rPr>
            </w:pPr>
            <w:r>
              <w:rPr>
                <w:rFonts w:ascii="Arial" w:cs="Arial" w:eastAsia="Arial" w:hAnsi="Arial"/>
                <w:sz w:val="13"/>
                <w:szCs w:val="13"/>
                <w:color w:val="auto"/>
              </w:rPr>
              <w:t>7.9</w:t>
            </w:r>
          </w:p>
        </w:tc>
        <w:tc>
          <w:tcPr>
            <w:tcW w:w="900" w:type="dxa"/>
            <w:vAlign w:val="bottom"/>
          </w:tcPr>
          <w:p>
            <w:pPr>
              <w:jc w:val="right"/>
              <w:ind w:right="59"/>
              <w:spacing w:after="0"/>
              <w:rPr>
                <w:sz w:val="20"/>
                <w:szCs w:val="20"/>
                <w:color w:val="auto"/>
              </w:rPr>
            </w:pPr>
            <w:r>
              <w:rPr>
                <w:rFonts w:ascii="Arial" w:cs="Arial" w:eastAsia="Arial" w:hAnsi="Arial"/>
                <w:sz w:val="13"/>
                <w:szCs w:val="13"/>
                <w:color w:val="auto"/>
              </w:rPr>
              <w:t>3.2</w:t>
            </w:r>
          </w:p>
        </w:tc>
        <w:tc>
          <w:tcPr>
            <w:tcW w:w="940" w:type="dxa"/>
            <w:vAlign w:val="bottom"/>
          </w:tcPr>
          <w:p>
            <w:pPr>
              <w:jc w:val="right"/>
              <w:ind w:right="39"/>
              <w:spacing w:after="0"/>
              <w:rPr>
                <w:sz w:val="20"/>
                <w:szCs w:val="20"/>
                <w:color w:val="auto"/>
              </w:rPr>
            </w:pPr>
            <w:r>
              <w:rPr>
                <w:rFonts w:ascii="Arial" w:cs="Arial" w:eastAsia="Arial" w:hAnsi="Arial"/>
                <w:sz w:val="13"/>
                <w:szCs w:val="13"/>
                <w:color w:val="auto"/>
              </w:rPr>
              <w:t>3.5</w:t>
            </w:r>
          </w:p>
        </w:tc>
        <w:tc>
          <w:tcPr>
            <w:tcW w:w="820" w:type="dxa"/>
            <w:vAlign w:val="bottom"/>
          </w:tcPr>
          <w:p>
            <w:pPr>
              <w:jc w:val="right"/>
              <w:ind w:right="38"/>
              <w:spacing w:after="0"/>
              <w:rPr>
                <w:sz w:val="20"/>
                <w:szCs w:val="20"/>
                <w:color w:val="auto"/>
              </w:rPr>
            </w:pPr>
            <w:r>
              <w:rPr>
                <w:rFonts w:ascii="Arial" w:cs="Arial" w:eastAsia="Arial" w:hAnsi="Arial"/>
                <w:sz w:val="13"/>
                <w:szCs w:val="13"/>
                <w:color w:val="auto"/>
              </w:rPr>
              <w:t>41.7</w:t>
            </w:r>
          </w:p>
        </w:tc>
        <w:tc>
          <w:tcPr>
            <w:tcW w:w="760" w:type="dxa"/>
            <w:vAlign w:val="bottom"/>
          </w:tcPr>
          <w:p>
            <w:pPr>
              <w:jc w:val="right"/>
              <w:spacing w:after="0"/>
              <w:rPr>
                <w:sz w:val="20"/>
                <w:szCs w:val="20"/>
                <w:color w:val="auto"/>
              </w:rPr>
            </w:pPr>
            <w:r>
              <w:rPr>
                <w:rFonts w:ascii="Arial" w:cs="Arial" w:eastAsia="Arial" w:hAnsi="Arial"/>
                <w:sz w:val="13"/>
                <w:szCs w:val="13"/>
                <w:color w:val="auto"/>
              </w:rPr>
              <w:t>0.7</w:t>
            </w:r>
          </w:p>
        </w:tc>
        <w:tc>
          <w:tcPr>
            <w:tcW w:w="680" w:type="dxa"/>
            <w:vAlign w:val="bottom"/>
          </w:tcPr>
          <w:p>
            <w:pPr>
              <w:jc w:val="right"/>
              <w:spacing w:after="0"/>
              <w:rPr>
                <w:sz w:val="20"/>
                <w:szCs w:val="20"/>
                <w:color w:val="auto"/>
              </w:rPr>
            </w:pPr>
            <w:r>
              <w:rPr>
                <w:rFonts w:ascii="Arial" w:cs="Arial" w:eastAsia="Arial" w:hAnsi="Arial"/>
                <w:sz w:val="13"/>
                <w:szCs w:val="13"/>
                <w:color w:val="auto"/>
              </w:rPr>
              <w:t>43.1</w:t>
            </w:r>
          </w:p>
        </w:tc>
        <w:tc>
          <w:tcPr>
            <w:tcW w:w="0" w:type="dxa"/>
            <w:vAlign w:val="bottom"/>
          </w:tcPr>
          <w:p>
            <w:pPr>
              <w:spacing w:after="0"/>
              <w:rPr>
                <w:sz w:val="1"/>
                <w:szCs w:val="1"/>
                <w:color w:val="auto"/>
              </w:rPr>
            </w:pPr>
          </w:p>
        </w:tc>
      </w:tr>
      <w:tr>
        <w:trPr>
          <w:trHeight w:val="182"/>
        </w:trPr>
        <w:tc>
          <w:tcPr>
            <w:tcW w:w="1820" w:type="dxa"/>
            <w:vAlign w:val="bottom"/>
            <w:gridSpan w:val="2"/>
          </w:tcPr>
          <w:p>
            <w:pPr>
              <w:ind w:left="20"/>
              <w:spacing w:after="0"/>
              <w:rPr>
                <w:sz w:val="20"/>
                <w:szCs w:val="20"/>
                <w:color w:val="auto"/>
              </w:rPr>
            </w:pPr>
            <w:r>
              <w:rPr>
                <w:rFonts w:ascii="Arial" w:cs="Arial" w:eastAsia="Arial" w:hAnsi="Arial"/>
                <w:sz w:val="13"/>
                <w:szCs w:val="13"/>
                <w:color w:val="auto"/>
              </w:rPr>
              <w:t>Diluted EPS - Continuing</w:t>
            </w: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1820" w:type="dxa"/>
            <w:vAlign w:val="bottom"/>
            <w:gridSpan w:val="2"/>
          </w:tcPr>
          <w:p>
            <w:pPr>
              <w:ind w:left="20"/>
              <w:spacing w:after="0"/>
              <w:rPr>
                <w:sz w:val="20"/>
                <w:szCs w:val="20"/>
                <w:color w:val="auto"/>
              </w:rPr>
            </w:pPr>
            <w:r>
              <w:rPr>
                <w:rFonts w:ascii="Arial" w:cs="Arial" w:eastAsia="Arial" w:hAnsi="Arial"/>
                <w:sz w:val="13"/>
                <w:szCs w:val="13"/>
                <w:color w:val="auto"/>
              </w:rPr>
              <w:t>Operations</w:t>
            </w:r>
          </w:p>
        </w:tc>
        <w:tc>
          <w:tcPr>
            <w:tcW w:w="720" w:type="dxa"/>
            <w:vAlign w:val="bottom"/>
          </w:tcPr>
          <w:p>
            <w:pPr>
              <w:jc w:val="right"/>
              <w:spacing w:after="0"/>
              <w:rPr>
                <w:sz w:val="20"/>
                <w:szCs w:val="20"/>
                <w:color w:val="auto"/>
              </w:rPr>
            </w:pPr>
            <w:r>
              <w:rPr>
                <w:rFonts w:ascii="Arial" w:cs="Arial" w:eastAsia="Arial" w:hAnsi="Arial"/>
                <w:sz w:val="13"/>
                <w:szCs w:val="13"/>
                <w:color w:val="auto"/>
              </w:rPr>
              <w:t>($0.65)</w:t>
            </w:r>
          </w:p>
        </w:tc>
        <w:tc>
          <w:tcPr>
            <w:tcW w:w="760" w:type="dxa"/>
            <w:vAlign w:val="bottom"/>
          </w:tcPr>
          <w:p>
            <w:pPr>
              <w:jc w:val="right"/>
              <w:ind w:right="39"/>
              <w:spacing w:after="0"/>
              <w:rPr>
                <w:sz w:val="20"/>
                <w:szCs w:val="20"/>
                <w:color w:val="auto"/>
              </w:rPr>
            </w:pPr>
            <w:r>
              <w:rPr>
                <w:rFonts w:ascii="Arial" w:cs="Arial" w:eastAsia="Arial" w:hAnsi="Arial"/>
                <w:sz w:val="13"/>
                <w:szCs w:val="13"/>
                <w:color w:val="auto"/>
              </w:rPr>
              <w:t>$0.12</w:t>
            </w:r>
          </w:p>
        </w:tc>
        <w:tc>
          <w:tcPr>
            <w:tcW w:w="900" w:type="dxa"/>
            <w:vAlign w:val="bottom"/>
          </w:tcPr>
          <w:p>
            <w:pPr>
              <w:jc w:val="right"/>
              <w:ind w:right="38"/>
              <w:spacing w:after="0"/>
              <w:rPr>
                <w:sz w:val="20"/>
                <w:szCs w:val="20"/>
                <w:color w:val="auto"/>
              </w:rPr>
            </w:pPr>
            <w:r>
              <w:rPr>
                <w:rFonts w:ascii="Arial" w:cs="Arial" w:eastAsia="Arial" w:hAnsi="Arial"/>
                <w:sz w:val="13"/>
                <w:szCs w:val="13"/>
                <w:color w:val="auto"/>
              </w:rPr>
              <w:t>$0.07</w:t>
            </w:r>
          </w:p>
        </w:tc>
        <w:tc>
          <w:tcPr>
            <w:tcW w:w="820" w:type="dxa"/>
            <w:vAlign w:val="bottom"/>
          </w:tcPr>
          <w:p>
            <w:pPr>
              <w:jc w:val="right"/>
              <w:ind w:right="59"/>
              <w:spacing w:after="0"/>
              <w:rPr>
                <w:sz w:val="20"/>
                <w:szCs w:val="20"/>
                <w:color w:val="auto"/>
              </w:rPr>
            </w:pPr>
            <w:r>
              <w:rPr>
                <w:rFonts w:ascii="Arial" w:cs="Arial" w:eastAsia="Arial" w:hAnsi="Arial"/>
                <w:sz w:val="13"/>
                <w:szCs w:val="13"/>
                <w:color w:val="auto"/>
              </w:rPr>
              <w:t>$0.10</w:t>
            </w:r>
          </w:p>
        </w:tc>
        <w:tc>
          <w:tcPr>
            <w:tcW w:w="820" w:type="dxa"/>
            <w:vAlign w:val="bottom"/>
          </w:tcPr>
          <w:p>
            <w:pPr>
              <w:jc w:val="right"/>
              <w:spacing w:after="0"/>
              <w:rPr>
                <w:sz w:val="20"/>
                <w:szCs w:val="20"/>
                <w:color w:val="auto"/>
              </w:rPr>
            </w:pPr>
            <w:r>
              <w:rPr>
                <w:rFonts w:ascii="Arial" w:cs="Arial" w:eastAsia="Arial" w:hAnsi="Arial"/>
                <w:sz w:val="13"/>
                <w:szCs w:val="13"/>
                <w:color w:val="auto"/>
              </w:rPr>
              <w:t>$0.06</w:t>
            </w:r>
          </w:p>
        </w:tc>
        <w:tc>
          <w:tcPr>
            <w:tcW w:w="720" w:type="dxa"/>
            <w:vAlign w:val="bottom"/>
          </w:tcPr>
          <w:p>
            <w:pPr>
              <w:jc w:val="right"/>
              <w:ind w:right="19"/>
              <w:spacing w:after="0"/>
              <w:rPr>
                <w:sz w:val="20"/>
                <w:szCs w:val="20"/>
                <w:color w:val="auto"/>
              </w:rPr>
            </w:pPr>
            <w:r>
              <w:rPr>
                <w:rFonts w:ascii="Arial" w:cs="Arial" w:eastAsia="Arial" w:hAnsi="Arial"/>
                <w:sz w:val="13"/>
                <w:szCs w:val="13"/>
                <w:color w:val="auto"/>
              </w:rPr>
              <w:t>$0.01</w:t>
            </w:r>
          </w:p>
        </w:tc>
        <w:tc>
          <w:tcPr>
            <w:tcW w:w="820" w:type="dxa"/>
            <w:vAlign w:val="bottom"/>
          </w:tcPr>
          <w:p>
            <w:pPr>
              <w:jc w:val="right"/>
              <w:ind w:right="38"/>
              <w:spacing w:after="0"/>
              <w:rPr>
                <w:sz w:val="20"/>
                <w:szCs w:val="20"/>
                <w:color w:val="auto"/>
              </w:rPr>
            </w:pPr>
            <w:r>
              <w:rPr>
                <w:rFonts w:ascii="Arial" w:cs="Arial" w:eastAsia="Arial" w:hAnsi="Arial"/>
                <w:sz w:val="13"/>
                <w:szCs w:val="13"/>
                <w:color w:val="auto"/>
              </w:rPr>
              <w:t>$0.17</w:t>
            </w:r>
          </w:p>
        </w:tc>
        <w:tc>
          <w:tcPr>
            <w:tcW w:w="900" w:type="dxa"/>
            <w:vAlign w:val="bottom"/>
          </w:tcPr>
          <w:p>
            <w:pPr>
              <w:jc w:val="right"/>
              <w:ind w:right="59"/>
              <w:spacing w:after="0"/>
              <w:rPr>
                <w:sz w:val="20"/>
                <w:szCs w:val="20"/>
                <w:color w:val="auto"/>
              </w:rPr>
            </w:pPr>
            <w:r>
              <w:rPr>
                <w:rFonts w:ascii="Arial" w:cs="Arial" w:eastAsia="Arial" w:hAnsi="Arial"/>
                <w:sz w:val="13"/>
                <w:szCs w:val="13"/>
                <w:color w:val="auto"/>
              </w:rPr>
              <w:t>$0.07</w:t>
            </w:r>
          </w:p>
        </w:tc>
        <w:tc>
          <w:tcPr>
            <w:tcW w:w="940" w:type="dxa"/>
            <w:vAlign w:val="bottom"/>
          </w:tcPr>
          <w:p>
            <w:pPr>
              <w:jc w:val="right"/>
              <w:ind w:right="39"/>
              <w:spacing w:after="0"/>
              <w:rPr>
                <w:sz w:val="20"/>
                <w:szCs w:val="20"/>
                <w:color w:val="auto"/>
              </w:rPr>
            </w:pPr>
            <w:r>
              <w:rPr>
                <w:rFonts w:ascii="Arial" w:cs="Arial" w:eastAsia="Arial" w:hAnsi="Arial"/>
                <w:sz w:val="13"/>
                <w:szCs w:val="13"/>
                <w:color w:val="auto"/>
              </w:rPr>
              <w:t>$0.08</w:t>
            </w:r>
          </w:p>
        </w:tc>
        <w:tc>
          <w:tcPr>
            <w:tcW w:w="820" w:type="dxa"/>
            <w:vAlign w:val="bottom"/>
          </w:tcPr>
          <w:p>
            <w:pPr>
              <w:jc w:val="right"/>
              <w:ind w:right="38"/>
              <w:spacing w:after="0"/>
              <w:rPr>
                <w:sz w:val="20"/>
                <w:szCs w:val="20"/>
                <w:color w:val="auto"/>
              </w:rPr>
            </w:pPr>
            <w:r>
              <w:rPr>
                <w:rFonts w:ascii="Arial" w:cs="Arial" w:eastAsia="Arial" w:hAnsi="Arial"/>
                <w:sz w:val="13"/>
                <w:szCs w:val="13"/>
                <w:color w:val="auto"/>
              </w:rPr>
              <w:t>$0.85</w:t>
            </w:r>
          </w:p>
        </w:tc>
        <w:tc>
          <w:tcPr>
            <w:tcW w:w="760" w:type="dxa"/>
            <w:vAlign w:val="bottom"/>
          </w:tcPr>
          <w:p>
            <w:pPr>
              <w:jc w:val="right"/>
              <w:spacing w:after="0"/>
              <w:rPr>
                <w:sz w:val="20"/>
                <w:szCs w:val="20"/>
                <w:color w:val="auto"/>
              </w:rPr>
            </w:pPr>
            <w:r>
              <w:rPr>
                <w:rFonts w:ascii="Arial" w:cs="Arial" w:eastAsia="Arial" w:hAnsi="Arial"/>
                <w:sz w:val="13"/>
                <w:szCs w:val="13"/>
                <w:color w:val="auto"/>
              </w:rPr>
              <w:t>$0.01</w:t>
            </w:r>
          </w:p>
        </w:tc>
        <w:tc>
          <w:tcPr>
            <w:tcW w:w="680" w:type="dxa"/>
            <w:vAlign w:val="bottom"/>
          </w:tcPr>
          <w:p>
            <w:pPr>
              <w:jc w:val="right"/>
              <w:spacing w:after="0"/>
              <w:rPr>
                <w:sz w:val="20"/>
                <w:szCs w:val="20"/>
                <w:color w:val="auto"/>
              </w:rPr>
            </w:pPr>
            <w:r>
              <w:rPr>
                <w:rFonts w:ascii="Arial" w:cs="Arial" w:eastAsia="Arial" w:hAnsi="Arial"/>
                <w:sz w:val="13"/>
                <w:szCs w:val="13"/>
                <w:color w:val="auto"/>
              </w:rPr>
              <w:t>$0.88</w:t>
            </w:r>
          </w:p>
        </w:tc>
        <w:tc>
          <w:tcPr>
            <w:tcW w:w="0" w:type="dxa"/>
            <w:vAlign w:val="bottom"/>
          </w:tcPr>
          <w:p>
            <w:pPr>
              <w:spacing w:after="0"/>
              <w:rPr>
                <w:sz w:val="1"/>
                <w:szCs w:val="1"/>
                <w:color w:val="auto"/>
              </w:rPr>
            </w:pPr>
          </w:p>
        </w:tc>
      </w:tr>
    </w:tbl>
    <w:p>
      <w:pPr>
        <w:spacing w:after="0" w:line="333"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GAAP results for the three months ended December 31, 2017 include:</w:t>
      </w:r>
    </w:p>
    <w:p>
      <w:pPr>
        <w:spacing w:after="0" w:line="58" w:lineRule="exact"/>
        <w:rPr>
          <w:sz w:val="20"/>
          <w:szCs w:val="20"/>
          <w:color w:val="auto"/>
        </w:rPr>
      </w:pPr>
    </w:p>
    <w:p>
      <w:pPr>
        <w:ind w:left="360" w:hanging="340"/>
        <w:spacing w:after="0"/>
        <w:tabs>
          <w:tab w:leader="none" w:pos="360" w:val="left"/>
        </w:tabs>
        <w:numPr>
          <w:ilvl w:val="0"/>
          <w:numId w:val="13"/>
        </w:numPr>
        <w:rPr>
          <w:rFonts w:ascii="Arial" w:cs="Arial" w:eastAsia="Arial" w:hAnsi="Arial"/>
          <w:sz w:val="13"/>
          <w:szCs w:val="13"/>
          <w:color w:val="auto"/>
        </w:rPr>
      </w:pPr>
      <w:r>
        <w:rPr>
          <w:rFonts w:ascii="Arial" w:cs="Arial" w:eastAsia="Arial" w:hAnsi="Arial"/>
          <w:sz w:val="13"/>
          <w:szCs w:val="13"/>
          <w:color w:val="auto"/>
        </w:rPr>
        <w:t>Merger and integration expenses related to our legacy companies</w:t>
      </w:r>
    </w:p>
    <w:p>
      <w:pPr>
        <w:spacing w:after="0" w:line="42" w:lineRule="exact"/>
        <w:rPr>
          <w:rFonts w:ascii="Arial" w:cs="Arial" w:eastAsia="Arial" w:hAnsi="Arial"/>
          <w:sz w:val="13"/>
          <w:szCs w:val="13"/>
          <w:color w:val="auto"/>
        </w:rPr>
      </w:pPr>
    </w:p>
    <w:p>
      <w:pPr>
        <w:ind w:left="360" w:hanging="340"/>
        <w:spacing w:after="0"/>
        <w:tabs>
          <w:tab w:leader="none" w:pos="360" w:val="left"/>
        </w:tabs>
        <w:numPr>
          <w:ilvl w:val="0"/>
          <w:numId w:val="13"/>
        </w:numPr>
        <w:rPr>
          <w:rFonts w:ascii="Arial" w:cs="Arial" w:eastAsia="Arial" w:hAnsi="Arial"/>
          <w:sz w:val="13"/>
          <w:szCs w:val="13"/>
          <w:color w:val="auto"/>
        </w:rPr>
      </w:pPr>
      <w:r>
        <w:rPr>
          <w:rFonts w:ascii="Arial" w:cs="Arial" w:eastAsia="Arial" w:hAnsi="Arial"/>
          <w:sz w:val="13"/>
          <w:szCs w:val="13"/>
          <w:color w:val="auto"/>
        </w:rPr>
        <w:t>Restructuring expenses related to organizational changes</w:t>
      </w:r>
    </w:p>
    <w:p>
      <w:pPr>
        <w:spacing w:after="0" w:line="42" w:lineRule="exact"/>
        <w:rPr>
          <w:rFonts w:ascii="Arial" w:cs="Arial" w:eastAsia="Arial" w:hAnsi="Arial"/>
          <w:sz w:val="13"/>
          <w:szCs w:val="13"/>
          <w:color w:val="auto"/>
        </w:rPr>
      </w:pPr>
    </w:p>
    <w:p>
      <w:pPr>
        <w:ind w:left="360" w:hanging="340"/>
        <w:spacing w:after="0"/>
        <w:tabs>
          <w:tab w:leader="none" w:pos="360" w:val="left"/>
        </w:tabs>
        <w:numPr>
          <w:ilvl w:val="0"/>
          <w:numId w:val="13"/>
        </w:numPr>
        <w:rPr>
          <w:rFonts w:ascii="Arial" w:cs="Arial" w:eastAsia="Arial" w:hAnsi="Arial"/>
          <w:sz w:val="13"/>
          <w:szCs w:val="13"/>
          <w:color w:val="auto"/>
        </w:rPr>
      </w:pPr>
      <w:r>
        <w:rPr>
          <w:rFonts w:ascii="Arial" w:cs="Arial" w:eastAsia="Arial" w:hAnsi="Arial"/>
          <w:sz w:val="13"/>
          <w:szCs w:val="13"/>
          <w:color w:val="auto"/>
        </w:rPr>
        <w:t>Includes depreciation and amortization associated with purchase price accounting</w:t>
      </w:r>
    </w:p>
    <w:p>
      <w:pPr>
        <w:spacing w:after="0" w:line="42" w:lineRule="exact"/>
        <w:rPr>
          <w:rFonts w:ascii="Arial" w:cs="Arial" w:eastAsia="Arial" w:hAnsi="Arial"/>
          <w:sz w:val="13"/>
          <w:szCs w:val="13"/>
          <w:color w:val="auto"/>
        </w:rPr>
      </w:pPr>
    </w:p>
    <w:p>
      <w:pPr>
        <w:ind w:left="360" w:hanging="340"/>
        <w:spacing w:after="0"/>
        <w:tabs>
          <w:tab w:leader="none" w:pos="360" w:val="left"/>
        </w:tabs>
        <w:numPr>
          <w:ilvl w:val="0"/>
          <w:numId w:val="13"/>
        </w:numPr>
        <w:rPr>
          <w:rFonts w:ascii="Arial" w:cs="Arial" w:eastAsia="Arial" w:hAnsi="Arial"/>
          <w:sz w:val="13"/>
          <w:szCs w:val="13"/>
          <w:color w:val="auto"/>
        </w:rPr>
      </w:pPr>
      <w:r>
        <w:rPr>
          <w:rFonts w:ascii="Arial" w:cs="Arial" w:eastAsia="Arial" w:hAnsi="Arial"/>
          <w:sz w:val="13"/>
          <w:szCs w:val="13"/>
          <w:color w:val="auto"/>
        </w:rPr>
        <w:t>Costs related to the 3T Heater-Cooler remediation plan</w:t>
      </w:r>
    </w:p>
    <w:p>
      <w:pPr>
        <w:spacing w:after="0" w:line="42" w:lineRule="exact"/>
        <w:rPr>
          <w:rFonts w:ascii="Arial" w:cs="Arial" w:eastAsia="Arial" w:hAnsi="Arial"/>
          <w:sz w:val="13"/>
          <w:szCs w:val="13"/>
          <w:color w:val="auto"/>
        </w:rPr>
      </w:pPr>
    </w:p>
    <w:p>
      <w:pPr>
        <w:ind w:left="360" w:hanging="340"/>
        <w:spacing w:after="0"/>
        <w:tabs>
          <w:tab w:leader="none" w:pos="360" w:val="left"/>
        </w:tabs>
        <w:numPr>
          <w:ilvl w:val="0"/>
          <w:numId w:val="13"/>
        </w:numPr>
        <w:rPr>
          <w:rFonts w:ascii="Arial" w:cs="Arial" w:eastAsia="Arial" w:hAnsi="Arial"/>
          <w:sz w:val="13"/>
          <w:szCs w:val="13"/>
          <w:color w:val="auto"/>
        </w:rPr>
      </w:pPr>
      <w:r>
        <w:rPr>
          <w:rFonts w:ascii="Arial" w:cs="Arial" w:eastAsia="Arial" w:hAnsi="Arial"/>
          <w:sz w:val="13"/>
          <w:szCs w:val="13"/>
          <w:color w:val="auto"/>
        </w:rPr>
        <w:t>Caisson-related acquisition costs</w:t>
      </w:r>
    </w:p>
    <w:p>
      <w:pPr>
        <w:spacing w:after="0" w:line="42" w:lineRule="exact"/>
        <w:rPr>
          <w:rFonts w:ascii="Arial" w:cs="Arial" w:eastAsia="Arial" w:hAnsi="Arial"/>
          <w:sz w:val="13"/>
          <w:szCs w:val="13"/>
          <w:color w:val="auto"/>
        </w:rPr>
      </w:pPr>
    </w:p>
    <w:p>
      <w:pPr>
        <w:ind w:left="360" w:hanging="340"/>
        <w:spacing w:after="0"/>
        <w:tabs>
          <w:tab w:leader="none" w:pos="360" w:val="left"/>
        </w:tabs>
        <w:numPr>
          <w:ilvl w:val="0"/>
          <w:numId w:val="13"/>
        </w:numPr>
        <w:rPr>
          <w:rFonts w:ascii="Arial" w:cs="Arial" w:eastAsia="Arial" w:hAnsi="Arial"/>
          <w:sz w:val="13"/>
          <w:szCs w:val="13"/>
          <w:color w:val="auto"/>
        </w:rPr>
      </w:pPr>
      <w:r>
        <w:rPr>
          <w:rFonts w:ascii="Arial" w:cs="Arial" w:eastAsia="Arial" w:hAnsi="Arial"/>
          <w:sz w:val="13"/>
          <w:szCs w:val="13"/>
          <w:color w:val="auto"/>
        </w:rPr>
        <w:t>Impairments of cost-method investments and tangible assets</w:t>
      </w:r>
    </w:p>
    <w:p>
      <w:pPr>
        <w:spacing w:after="0" w:line="42" w:lineRule="exact"/>
        <w:rPr>
          <w:rFonts w:ascii="Arial" w:cs="Arial" w:eastAsia="Arial" w:hAnsi="Arial"/>
          <w:sz w:val="13"/>
          <w:szCs w:val="13"/>
          <w:color w:val="auto"/>
        </w:rPr>
      </w:pPr>
    </w:p>
    <w:p>
      <w:pPr>
        <w:ind w:left="360" w:hanging="340"/>
        <w:spacing w:after="0"/>
        <w:tabs>
          <w:tab w:leader="none" w:pos="360" w:val="left"/>
        </w:tabs>
        <w:numPr>
          <w:ilvl w:val="0"/>
          <w:numId w:val="13"/>
        </w:numPr>
        <w:rPr>
          <w:rFonts w:ascii="Arial" w:cs="Arial" w:eastAsia="Arial" w:hAnsi="Arial"/>
          <w:sz w:val="13"/>
          <w:szCs w:val="13"/>
          <w:color w:val="auto"/>
        </w:rPr>
      </w:pPr>
      <w:r>
        <w:rPr>
          <w:rFonts w:ascii="Arial" w:cs="Arial" w:eastAsia="Arial" w:hAnsi="Arial"/>
          <w:sz w:val="13"/>
          <w:szCs w:val="13"/>
          <w:color w:val="auto"/>
        </w:rPr>
        <w:t>Contingent consideration related to acquisitions, legal expenses primarily related to 3T Heater-Cooler defense and other matters</w:t>
      </w:r>
    </w:p>
    <w:p>
      <w:pPr>
        <w:spacing w:after="0" w:line="42" w:lineRule="exact"/>
        <w:rPr>
          <w:rFonts w:ascii="Arial" w:cs="Arial" w:eastAsia="Arial" w:hAnsi="Arial"/>
          <w:sz w:val="13"/>
          <w:szCs w:val="13"/>
          <w:color w:val="auto"/>
        </w:rPr>
      </w:pPr>
    </w:p>
    <w:p>
      <w:pPr>
        <w:ind w:left="360" w:hanging="340"/>
        <w:spacing w:after="0"/>
        <w:tabs>
          <w:tab w:leader="none" w:pos="360" w:val="left"/>
        </w:tabs>
        <w:numPr>
          <w:ilvl w:val="0"/>
          <w:numId w:val="13"/>
        </w:numPr>
        <w:rPr>
          <w:rFonts w:ascii="Arial" w:cs="Arial" w:eastAsia="Arial" w:hAnsi="Arial"/>
          <w:sz w:val="13"/>
          <w:szCs w:val="13"/>
          <w:color w:val="auto"/>
        </w:rPr>
      </w:pPr>
      <w:r>
        <w:rPr>
          <w:rFonts w:ascii="Arial" w:cs="Arial" w:eastAsia="Arial" w:hAnsi="Arial"/>
          <w:sz w:val="13"/>
          <w:szCs w:val="13"/>
          <w:color w:val="auto"/>
        </w:rPr>
        <w:t>Non-cash expenses associated with stock-based compensation costs</w:t>
      </w:r>
    </w:p>
    <w:p>
      <w:pPr>
        <w:spacing w:after="0" w:line="42" w:lineRule="exact"/>
        <w:rPr>
          <w:rFonts w:ascii="Arial" w:cs="Arial" w:eastAsia="Arial" w:hAnsi="Arial"/>
          <w:sz w:val="13"/>
          <w:szCs w:val="13"/>
          <w:color w:val="auto"/>
        </w:rPr>
      </w:pPr>
    </w:p>
    <w:p>
      <w:pPr>
        <w:ind w:left="360" w:hanging="340"/>
        <w:spacing w:after="0"/>
        <w:tabs>
          <w:tab w:leader="none" w:pos="360" w:val="left"/>
        </w:tabs>
        <w:numPr>
          <w:ilvl w:val="0"/>
          <w:numId w:val="13"/>
        </w:numPr>
        <w:rPr>
          <w:rFonts w:ascii="Arial" w:cs="Arial" w:eastAsia="Arial" w:hAnsi="Arial"/>
          <w:sz w:val="13"/>
          <w:szCs w:val="13"/>
          <w:color w:val="auto"/>
        </w:rPr>
      </w:pPr>
      <w:r>
        <w:rPr>
          <w:rFonts w:ascii="Arial" w:cs="Arial" w:eastAsia="Arial" w:hAnsi="Arial"/>
          <w:sz w:val="13"/>
          <w:szCs w:val="13"/>
          <w:color w:val="auto"/>
        </w:rPr>
        <w:t>Primarily relates to discrete tax items and the tax impact of intercompany transactions</w:t>
      </w:r>
    </w:p>
    <w:p>
      <w:pPr>
        <w:spacing w:after="0" w:line="42" w:lineRule="exact"/>
        <w:rPr>
          <w:rFonts w:ascii="Arial" w:cs="Arial" w:eastAsia="Arial" w:hAnsi="Arial"/>
          <w:sz w:val="13"/>
          <w:szCs w:val="13"/>
          <w:color w:val="auto"/>
        </w:rPr>
      </w:pPr>
    </w:p>
    <w:p>
      <w:pPr>
        <w:ind w:left="360" w:hanging="340"/>
        <w:spacing w:after="0"/>
        <w:tabs>
          <w:tab w:leader="none" w:pos="360" w:val="left"/>
        </w:tabs>
        <w:numPr>
          <w:ilvl w:val="0"/>
          <w:numId w:val="13"/>
        </w:numPr>
        <w:rPr>
          <w:rFonts w:ascii="Arial" w:cs="Arial" w:eastAsia="Arial" w:hAnsi="Arial"/>
          <w:sz w:val="13"/>
          <w:szCs w:val="13"/>
          <w:color w:val="auto"/>
        </w:rPr>
      </w:pPr>
      <w:r>
        <w:rPr>
          <w:rFonts w:ascii="Arial" w:cs="Arial" w:eastAsia="Arial" w:hAnsi="Arial"/>
          <w:sz w:val="13"/>
          <w:szCs w:val="13"/>
          <w:color w:val="auto"/>
        </w:rPr>
        <w:t>Primarily relates to intellectual property migration and other non-recurring impacts to interest expense</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3"/>
          <w:szCs w:val="13"/>
          <w:color w:val="auto"/>
        </w:rPr>
        <w:t>* Numbers may not add precisely due to rounding.</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18</w:t>
      </w:r>
    </w:p>
    <w:p>
      <w:pPr>
        <w:sectPr>
          <w:pgSz w:w="11900" w:h="16838" w:orient="portrait"/>
          <w:cols w:equalWidth="0" w:num="1">
            <w:col w:w="11480"/>
          </w:cols>
          <w:pgMar w:left="240" w:top="715" w:right="179" w:bottom="1440" w:gutter="0" w:footer="0" w:header="0"/>
        </w:sectPr>
      </w:pPr>
    </w:p>
    <w:bookmarkStart w:id="21" w:name="page22"/>
    <w:bookmarkEnd w:id="21"/>
    <w:p>
      <w:pPr>
        <w:ind w:left="20"/>
        <w:spacing w:after="0"/>
        <w:rPr>
          <w:sz w:val="20"/>
          <w:szCs w:val="20"/>
          <w:color w:val="auto"/>
        </w:rPr>
      </w:pPr>
      <w:r>
        <w:rPr>
          <w:rFonts w:ascii="Arial" w:cs="Arial" w:eastAsia="Arial" w:hAnsi="Arial"/>
          <w:sz w:val="13"/>
          <w:szCs w:val="13"/>
          <w:b w:val="1"/>
          <w:bCs w:val="1"/>
          <w:color w:val="auto"/>
        </w:rPr>
        <w:t>RECONCILIATION OF GAAP TO NON-GAAP FINANCIAL MEASURES - UNAUDITED</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(U.S.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727710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7100" cy="7620"/>
                    </a:xfrm>
                    <a:prstGeom prst="rect">
                      <a:avLst/>
                    </a:prstGeom>
                    <a:noFill/>
                  </pic:spPr>
                </pic:pic>
              </a:graphicData>
            </a:graphic>
          </wp:anchor>
        </w:drawing>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3"/>
          </w:tcPr>
          <w:p>
            <w:pPr>
              <w:jc w:val="right"/>
              <w:ind w:right="158"/>
              <w:spacing w:after="0"/>
              <w:rPr>
                <w:sz w:val="20"/>
                <w:szCs w:val="20"/>
                <w:color w:val="auto"/>
              </w:rPr>
            </w:pPr>
            <w:r>
              <w:rPr>
                <w:rFonts w:ascii="Arial" w:cs="Arial" w:eastAsia="Arial" w:hAnsi="Arial"/>
                <w:sz w:val="11"/>
                <w:szCs w:val="11"/>
                <w:b w:val="1"/>
                <w:bCs w:val="1"/>
                <w:color w:val="auto"/>
              </w:rPr>
              <w:t>Specified Items</w:t>
            </w:r>
          </w:p>
        </w:tc>
        <w:tc>
          <w:tcPr>
            <w:tcW w:w="1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jc w:val="center"/>
              <w:ind w:right="19"/>
              <w:spacing w:after="0" w:line="124" w:lineRule="exact"/>
              <w:rPr>
                <w:sz w:val="20"/>
                <w:szCs w:val="20"/>
                <w:color w:val="auto"/>
              </w:rPr>
            </w:pPr>
            <w:r>
              <w:rPr>
                <w:rFonts w:ascii="Arial" w:cs="Arial" w:eastAsia="Arial" w:hAnsi="Arial"/>
                <w:sz w:val="11"/>
                <w:szCs w:val="11"/>
                <w:b w:val="1"/>
                <w:bCs w:val="1"/>
                <w:color w:val="auto"/>
              </w:rPr>
              <w:t>Depreciation</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jc w:val="center"/>
              <w:ind w:right="18"/>
              <w:spacing w:after="0" w:line="124" w:lineRule="exact"/>
              <w:rPr>
                <w:sz w:val="20"/>
                <w:szCs w:val="20"/>
                <w:color w:val="auto"/>
              </w:rPr>
            </w:pPr>
            <w:r>
              <w:rPr>
                <w:rFonts w:ascii="Arial" w:cs="Arial" w:eastAsia="Arial" w:hAnsi="Arial"/>
                <w:sz w:val="11"/>
                <w:szCs w:val="11"/>
                <w:b w:val="1"/>
                <w:bCs w:val="1"/>
                <w:color w:val="auto"/>
              </w:rPr>
              <w:t>Non-recurring</w:t>
            </w: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gridSpan w:val="2"/>
          </w:tcPr>
          <w:p>
            <w:pPr>
              <w:jc w:val="center"/>
              <w:spacing w:after="0" w:line="120" w:lineRule="exact"/>
              <w:rPr>
                <w:sz w:val="20"/>
                <w:szCs w:val="20"/>
                <w:color w:val="auto"/>
              </w:rPr>
            </w:pPr>
            <w:r>
              <w:rPr>
                <w:rFonts w:ascii="Arial" w:cs="Arial" w:eastAsia="Arial" w:hAnsi="Arial"/>
                <w:sz w:val="11"/>
                <w:szCs w:val="11"/>
                <w:b w:val="1"/>
                <w:bCs w:val="1"/>
                <w:color w:val="auto"/>
              </w:rPr>
              <w:t>Merger and</w:t>
            </w: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jc w:val="center"/>
              <w:ind w:right="19"/>
              <w:spacing w:after="0" w:line="120" w:lineRule="exact"/>
              <w:rPr>
                <w:sz w:val="20"/>
                <w:szCs w:val="20"/>
                <w:color w:val="auto"/>
              </w:rPr>
            </w:pPr>
            <w:r>
              <w:rPr>
                <w:rFonts w:ascii="Arial" w:cs="Arial" w:eastAsia="Arial" w:hAnsi="Arial"/>
                <w:sz w:val="11"/>
                <w:szCs w:val="11"/>
                <w:b w:val="1"/>
                <w:bCs w:val="1"/>
                <w:color w:val="auto"/>
              </w:rPr>
              <w:t>and</w:t>
            </w:r>
          </w:p>
        </w:tc>
        <w:tc>
          <w:tcPr>
            <w:tcW w:w="140" w:type="dxa"/>
            <w:vAlign w:val="bottom"/>
          </w:tcPr>
          <w:p>
            <w:pPr>
              <w:spacing w:after="0"/>
              <w:rPr>
                <w:sz w:val="10"/>
                <w:szCs w:val="10"/>
                <w:color w:val="auto"/>
              </w:rPr>
            </w:pPr>
          </w:p>
        </w:tc>
        <w:tc>
          <w:tcPr>
            <w:tcW w:w="680" w:type="dxa"/>
            <w:vAlign w:val="bottom"/>
          </w:tcPr>
          <w:p>
            <w:pPr>
              <w:jc w:val="center"/>
              <w:ind w:right="38"/>
              <w:spacing w:after="0" w:line="120" w:lineRule="exact"/>
              <w:rPr>
                <w:sz w:val="20"/>
                <w:szCs w:val="20"/>
                <w:color w:val="auto"/>
              </w:rPr>
            </w:pPr>
            <w:r>
              <w:rPr>
                <w:rFonts w:ascii="Arial" w:cs="Arial" w:eastAsia="Arial" w:hAnsi="Arial"/>
                <w:sz w:val="11"/>
                <w:szCs w:val="11"/>
                <w:b w:val="1"/>
                <w:bCs w:val="1"/>
                <w:color w:val="auto"/>
              </w:rPr>
              <w:t>Product</w:t>
            </w: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center"/>
              <w:ind w:right="58"/>
              <w:spacing w:after="0" w:line="120" w:lineRule="exact"/>
              <w:rPr>
                <w:sz w:val="20"/>
                <w:szCs w:val="20"/>
                <w:color w:val="auto"/>
              </w:rPr>
            </w:pPr>
            <w:r>
              <w:rPr>
                <w:rFonts w:ascii="Arial" w:cs="Arial" w:eastAsia="Arial" w:hAnsi="Arial"/>
                <w:sz w:val="11"/>
                <w:szCs w:val="11"/>
                <w:b w:val="1"/>
                <w:bCs w:val="1"/>
                <w:color w:val="auto"/>
              </w:rPr>
              <w:t>CRM</w:t>
            </w:r>
          </w:p>
        </w:tc>
        <w:tc>
          <w:tcPr>
            <w:tcW w:w="1040" w:type="dxa"/>
            <w:vAlign w:val="bottom"/>
            <w:gridSpan w:val="2"/>
          </w:tcPr>
          <w:p>
            <w:pPr>
              <w:jc w:val="center"/>
              <w:spacing w:after="0" w:line="120" w:lineRule="exact"/>
              <w:rPr>
                <w:sz w:val="20"/>
                <w:szCs w:val="20"/>
                <w:color w:val="auto"/>
              </w:rPr>
            </w:pPr>
            <w:r>
              <w:rPr>
                <w:rFonts w:ascii="Arial" w:cs="Arial" w:eastAsia="Arial" w:hAnsi="Arial"/>
                <w:sz w:val="11"/>
                <w:szCs w:val="11"/>
                <w:b w:val="1"/>
                <w:bCs w:val="1"/>
                <w:color w:val="auto"/>
              </w:rPr>
              <w:t>Legal, Contingent</w:t>
            </w:r>
          </w:p>
        </w:tc>
        <w:tc>
          <w:tcPr>
            <w:tcW w:w="120" w:type="dxa"/>
            <w:vAlign w:val="bottom"/>
          </w:tcPr>
          <w:p>
            <w:pPr>
              <w:spacing w:after="0"/>
              <w:rPr>
                <w:sz w:val="10"/>
                <w:szCs w:val="10"/>
                <w:color w:val="auto"/>
              </w:rPr>
            </w:pPr>
          </w:p>
        </w:tc>
        <w:tc>
          <w:tcPr>
            <w:tcW w:w="820" w:type="dxa"/>
            <w:vAlign w:val="bottom"/>
          </w:tcPr>
          <w:p>
            <w:pPr>
              <w:jc w:val="center"/>
              <w:ind w:right="38"/>
              <w:spacing w:after="0" w:line="120" w:lineRule="exact"/>
              <w:rPr>
                <w:sz w:val="20"/>
                <w:szCs w:val="20"/>
                <w:color w:val="auto"/>
              </w:rPr>
            </w:pPr>
            <w:r>
              <w:rPr>
                <w:rFonts w:ascii="Arial" w:cs="Arial" w:eastAsia="Arial" w:hAnsi="Arial"/>
                <w:sz w:val="11"/>
                <w:szCs w:val="11"/>
                <w:b w:val="1"/>
                <w:bCs w:val="1"/>
                <w:color w:val="auto"/>
              </w:rPr>
              <w:t>Stock-based</w:t>
            </w: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jc w:val="center"/>
              <w:ind w:right="78"/>
              <w:spacing w:after="0" w:line="120" w:lineRule="exact"/>
              <w:rPr>
                <w:sz w:val="20"/>
                <w:szCs w:val="20"/>
                <w:color w:val="auto"/>
              </w:rPr>
            </w:pPr>
            <w:r>
              <w:rPr>
                <w:rFonts w:ascii="Arial" w:cs="Arial" w:eastAsia="Arial" w:hAnsi="Arial"/>
                <w:sz w:val="11"/>
                <w:szCs w:val="11"/>
                <w:b w:val="1"/>
                <w:bCs w:val="1"/>
                <w:color w:val="auto"/>
              </w:rPr>
              <w:t>Certain</w:t>
            </w: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6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Twelve Months Ended</w:t>
            </w:r>
          </w:p>
        </w:tc>
        <w:tc>
          <w:tcPr>
            <w:tcW w:w="100" w:type="dxa"/>
            <w:vAlign w:val="bottom"/>
          </w:tcPr>
          <w:p>
            <w:pPr>
              <w:spacing w:after="0"/>
              <w:rPr>
                <w:sz w:val="10"/>
                <w:szCs w:val="10"/>
                <w:color w:val="auto"/>
              </w:rPr>
            </w:pPr>
          </w:p>
        </w:tc>
        <w:tc>
          <w:tcPr>
            <w:tcW w:w="580" w:type="dxa"/>
            <w:vAlign w:val="bottom"/>
          </w:tcPr>
          <w:p>
            <w:pPr>
              <w:jc w:val="center"/>
              <w:ind w:right="37"/>
              <w:spacing w:after="0" w:line="120" w:lineRule="exact"/>
              <w:rPr>
                <w:sz w:val="20"/>
                <w:szCs w:val="20"/>
                <w:color w:val="auto"/>
              </w:rPr>
            </w:pPr>
            <w:r>
              <w:rPr>
                <w:rFonts w:ascii="Arial" w:cs="Arial" w:eastAsia="Arial" w:hAnsi="Arial"/>
                <w:sz w:val="11"/>
                <w:szCs w:val="11"/>
                <w:b w:val="1"/>
                <w:bCs w:val="1"/>
                <w:color w:val="auto"/>
              </w:rPr>
              <w:t>GAAP</w:t>
            </w:r>
          </w:p>
        </w:tc>
        <w:tc>
          <w:tcPr>
            <w:tcW w:w="100" w:type="dxa"/>
            <w:vAlign w:val="bottom"/>
          </w:tcPr>
          <w:p>
            <w:pPr>
              <w:spacing w:after="0"/>
              <w:rPr>
                <w:sz w:val="10"/>
                <w:szCs w:val="10"/>
                <w:color w:val="auto"/>
              </w:rPr>
            </w:pPr>
          </w:p>
        </w:tc>
        <w:tc>
          <w:tcPr>
            <w:tcW w:w="660" w:type="dxa"/>
            <w:vAlign w:val="bottom"/>
          </w:tcPr>
          <w:p>
            <w:pPr>
              <w:jc w:val="center"/>
              <w:ind w:right="18"/>
              <w:spacing w:after="0" w:line="120" w:lineRule="exact"/>
              <w:rPr>
                <w:sz w:val="20"/>
                <w:szCs w:val="20"/>
                <w:color w:val="auto"/>
              </w:rPr>
            </w:pPr>
            <w:r>
              <w:rPr>
                <w:rFonts w:ascii="Arial" w:cs="Arial" w:eastAsia="Arial" w:hAnsi="Arial"/>
                <w:sz w:val="11"/>
                <w:szCs w:val="11"/>
                <w:b w:val="1"/>
                <w:bCs w:val="1"/>
                <w:color w:val="auto"/>
              </w:rPr>
              <w:t>Integration</w:t>
            </w:r>
          </w:p>
        </w:tc>
        <w:tc>
          <w:tcPr>
            <w:tcW w:w="900" w:type="dxa"/>
            <w:vAlign w:val="bottom"/>
            <w:gridSpan w:val="2"/>
          </w:tcPr>
          <w:p>
            <w:pPr>
              <w:jc w:val="center"/>
              <w:spacing w:after="0" w:line="120" w:lineRule="exact"/>
              <w:rPr>
                <w:sz w:val="20"/>
                <w:szCs w:val="20"/>
                <w:color w:val="auto"/>
              </w:rPr>
            </w:pPr>
            <w:r>
              <w:rPr>
                <w:rFonts w:ascii="Arial" w:cs="Arial" w:eastAsia="Arial" w:hAnsi="Arial"/>
                <w:sz w:val="11"/>
                <w:szCs w:val="11"/>
                <w:b w:val="1"/>
                <w:bCs w:val="1"/>
                <w:color w:val="auto"/>
              </w:rPr>
              <w:t>Restructuring</w:t>
            </w:r>
          </w:p>
        </w:tc>
        <w:tc>
          <w:tcPr>
            <w:tcW w:w="100" w:type="dxa"/>
            <w:vAlign w:val="bottom"/>
          </w:tcPr>
          <w:p>
            <w:pPr>
              <w:spacing w:after="0"/>
              <w:rPr>
                <w:sz w:val="10"/>
                <w:szCs w:val="10"/>
                <w:color w:val="auto"/>
              </w:rPr>
            </w:pPr>
          </w:p>
        </w:tc>
        <w:tc>
          <w:tcPr>
            <w:tcW w:w="760" w:type="dxa"/>
            <w:vAlign w:val="bottom"/>
          </w:tcPr>
          <w:p>
            <w:pPr>
              <w:jc w:val="center"/>
              <w:ind w:right="19"/>
              <w:spacing w:after="0" w:line="120" w:lineRule="exact"/>
              <w:rPr>
                <w:sz w:val="20"/>
                <w:szCs w:val="20"/>
                <w:color w:val="auto"/>
              </w:rPr>
            </w:pPr>
            <w:r>
              <w:rPr>
                <w:rFonts w:ascii="Arial" w:cs="Arial" w:eastAsia="Arial" w:hAnsi="Arial"/>
                <w:sz w:val="11"/>
                <w:szCs w:val="11"/>
                <w:b w:val="1"/>
                <w:bCs w:val="1"/>
                <w:color w:val="auto"/>
              </w:rPr>
              <w:t>Amortization</w:t>
            </w:r>
          </w:p>
        </w:tc>
        <w:tc>
          <w:tcPr>
            <w:tcW w:w="820" w:type="dxa"/>
            <w:vAlign w:val="bottom"/>
            <w:gridSpan w:val="2"/>
          </w:tcPr>
          <w:p>
            <w:pPr>
              <w:jc w:val="center"/>
              <w:spacing w:after="0" w:line="120" w:lineRule="exact"/>
              <w:rPr>
                <w:sz w:val="20"/>
                <w:szCs w:val="20"/>
                <w:color w:val="auto"/>
              </w:rPr>
            </w:pPr>
            <w:r>
              <w:rPr>
                <w:rFonts w:ascii="Arial" w:cs="Arial" w:eastAsia="Arial" w:hAnsi="Arial"/>
                <w:sz w:val="11"/>
                <w:szCs w:val="11"/>
                <w:b w:val="1"/>
                <w:bCs w:val="1"/>
                <w:color w:val="auto"/>
              </w:rPr>
              <w:t>Remediation</w:t>
            </w:r>
          </w:p>
        </w:tc>
        <w:tc>
          <w:tcPr>
            <w:tcW w:w="780" w:type="dxa"/>
            <w:vAlign w:val="bottom"/>
            <w:gridSpan w:val="2"/>
          </w:tcPr>
          <w:p>
            <w:pPr>
              <w:jc w:val="center"/>
              <w:spacing w:after="0" w:line="120" w:lineRule="exact"/>
              <w:rPr>
                <w:sz w:val="20"/>
                <w:szCs w:val="20"/>
                <w:color w:val="auto"/>
              </w:rPr>
            </w:pPr>
            <w:r>
              <w:rPr>
                <w:rFonts w:ascii="Arial" w:cs="Arial" w:eastAsia="Arial" w:hAnsi="Arial"/>
                <w:sz w:val="11"/>
                <w:szCs w:val="11"/>
                <w:b w:val="1"/>
                <w:bCs w:val="1"/>
                <w:color w:val="auto"/>
              </w:rPr>
              <w:t>Acquisition</w:t>
            </w:r>
          </w:p>
        </w:tc>
        <w:tc>
          <w:tcPr>
            <w:tcW w:w="120" w:type="dxa"/>
            <w:vAlign w:val="bottom"/>
          </w:tcPr>
          <w:p>
            <w:pPr>
              <w:spacing w:after="0"/>
              <w:rPr>
                <w:sz w:val="10"/>
                <w:szCs w:val="10"/>
                <w:color w:val="auto"/>
              </w:rPr>
            </w:pPr>
          </w:p>
        </w:tc>
        <w:tc>
          <w:tcPr>
            <w:tcW w:w="660" w:type="dxa"/>
            <w:vAlign w:val="bottom"/>
          </w:tcPr>
          <w:p>
            <w:pPr>
              <w:jc w:val="center"/>
              <w:ind w:right="58"/>
              <w:spacing w:after="0" w:line="120" w:lineRule="exact"/>
              <w:rPr>
                <w:sz w:val="20"/>
                <w:szCs w:val="20"/>
                <w:color w:val="auto"/>
              </w:rPr>
            </w:pPr>
            <w:r>
              <w:rPr>
                <w:rFonts w:ascii="Arial" w:cs="Arial" w:eastAsia="Arial" w:hAnsi="Arial"/>
                <w:sz w:val="11"/>
                <w:szCs w:val="11"/>
                <w:b w:val="1"/>
                <w:bCs w:val="1"/>
                <w:color w:val="auto"/>
              </w:rPr>
              <w:t>Disposal</w:t>
            </w:r>
          </w:p>
        </w:tc>
        <w:tc>
          <w:tcPr>
            <w:tcW w:w="1040" w:type="dxa"/>
            <w:vAlign w:val="bottom"/>
            <w:gridSpan w:val="2"/>
          </w:tcPr>
          <w:p>
            <w:pPr>
              <w:jc w:val="center"/>
              <w:spacing w:after="0" w:line="120" w:lineRule="exact"/>
              <w:rPr>
                <w:sz w:val="20"/>
                <w:szCs w:val="20"/>
                <w:color w:val="auto"/>
              </w:rPr>
            </w:pPr>
            <w:r>
              <w:rPr>
                <w:rFonts w:ascii="Arial" w:cs="Arial" w:eastAsia="Arial" w:hAnsi="Arial"/>
                <w:sz w:val="11"/>
                <w:szCs w:val="11"/>
                <w:b w:val="1"/>
                <w:bCs w:val="1"/>
                <w:color w:val="auto"/>
              </w:rPr>
              <w:t>Consideration and</w:t>
            </w:r>
          </w:p>
        </w:tc>
        <w:tc>
          <w:tcPr>
            <w:tcW w:w="940" w:type="dxa"/>
            <w:vAlign w:val="bottom"/>
            <w:gridSpan w:val="2"/>
          </w:tcPr>
          <w:p>
            <w:pPr>
              <w:jc w:val="center"/>
              <w:spacing w:after="0" w:line="120" w:lineRule="exact"/>
              <w:rPr>
                <w:sz w:val="20"/>
                <w:szCs w:val="20"/>
                <w:color w:val="auto"/>
              </w:rPr>
            </w:pPr>
            <w:r>
              <w:rPr>
                <w:rFonts w:ascii="Arial" w:cs="Arial" w:eastAsia="Arial" w:hAnsi="Arial"/>
                <w:sz w:val="11"/>
                <w:szCs w:val="11"/>
                <w:b w:val="1"/>
                <w:bCs w:val="1"/>
                <w:color w:val="auto"/>
                <w:w w:val="99"/>
              </w:rPr>
              <w:t>Compensation</w:t>
            </w:r>
          </w:p>
        </w:tc>
        <w:tc>
          <w:tcPr>
            <w:tcW w:w="120" w:type="dxa"/>
            <w:vAlign w:val="bottom"/>
          </w:tcPr>
          <w:p>
            <w:pPr>
              <w:spacing w:after="0"/>
              <w:rPr>
                <w:sz w:val="10"/>
                <w:szCs w:val="10"/>
                <w:color w:val="auto"/>
              </w:rPr>
            </w:pPr>
          </w:p>
        </w:tc>
        <w:tc>
          <w:tcPr>
            <w:tcW w:w="720" w:type="dxa"/>
            <w:vAlign w:val="bottom"/>
          </w:tcPr>
          <w:p>
            <w:pPr>
              <w:jc w:val="center"/>
              <w:ind w:right="57"/>
              <w:spacing w:after="0" w:line="120" w:lineRule="exact"/>
              <w:rPr>
                <w:sz w:val="20"/>
                <w:szCs w:val="20"/>
                <w:color w:val="auto"/>
              </w:rPr>
            </w:pPr>
            <w:r>
              <w:rPr>
                <w:rFonts w:ascii="Arial" w:cs="Arial" w:eastAsia="Arial" w:hAnsi="Arial"/>
                <w:sz w:val="11"/>
                <w:szCs w:val="11"/>
                <w:b w:val="1"/>
                <w:bCs w:val="1"/>
                <w:color w:val="auto"/>
              </w:rPr>
              <w:t>Certain Tax</w:t>
            </w:r>
          </w:p>
        </w:tc>
        <w:tc>
          <w:tcPr>
            <w:tcW w:w="160" w:type="dxa"/>
            <w:vAlign w:val="bottom"/>
          </w:tcPr>
          <w:p>
            <w:pPr>
              <w:spacing w:after="0"/>
              <w:rPr>
                <w:sz w:val="10"/>
                <w:szCs w:val="10"/>
                <w:color w:val="auto"/>
              </w:rPr>
            </w:pPr>
          </w:p>
        </w:tc>
        <w:tc>
          <w:tcPr>
            <w:tcW w:w="640" w:type="dxa"/>
            <w:vAlign w:val="bottom"/>
          </w:tcPr>
          <w:p>
            <w:pPr>
              <w:jc w:val="center"/>
              <w:ind w:right="78"/>
              <w:spacing w:after="0" w:line="120" w:lineRule="exact"/>
              <w:rPr>
                <w:sz w:val="20"/>
                <w:szCs w:val="20"/>
                <w:color w:val="auto"/>
              </w:rPr>
            </w:pPr>
            <w:r>
              <w:rPr>
                <w:rFonts w:ascii="Arial" w:cs="Arial" w:eastAsia="Arial" w:hAnsi="Arial"/>
                <w:sz w:val="11"/>
                <w:szCs w:val="11"/>
                <w:b w:val="1"/>
                <w:bCs w:val="1"/>
                <w:color w:val="auto"/>
              </w:rPr>
              <w:t>Interest</w:t>
            </w:r>
          </w:p>
        </w:tc>
        <w:tc>
          <w:tcPr>
            <w:tcW w:w="660" w:type="dxa"/>
            <w:vAlign w:val="bottom"/>
            <w:gridSpan w:val="2"/>
          </w:tcPr>
          <w:p>
            <w:pPr>
              <w:jc w:val="center"/>
              <w:spacing w:after="0" w:line="120" w:lineRule="exact"/>
              <w:rPr>
                <w:sz w:val="20"/>
                <w:szCs w:val="20"/>
                <w:color w:val="auto"/>
              </w:rPr>
            </w:pPr>
            <w:r>
              <w:rPr>
                <w:rFonts w:ascii="Arial" w:cs="Arial" w:eastAsia="Arial" w:hAnsi="Arial"/>
                <w:sz w:val="11"/>
                <w:szCs w:val="11"/>
                <w:b w:val="1"/>
                <w:bCs w:val="1"/>
                <w:color w:val="auto"/>
              </w:rPr>
              <w:t>Adjusted</w:t>
            </w:r>
          </w:p>
        </w:tc>
        <w:tc>
          <w:tcPr>
            <w:tcW w:w="0" w:type="dxa"/>
            <w:vAlign w:val="bottom"/>
          </w:tcPr>
          <w:p>
            <w:pPr>
              <w:spacing w:after="0"/>
              <w:rPr>
                <w:sz w:val="1"/>
                <w:szCs w:val="1"/>
                <w:color w:val="auto"/>
              </w:rPr>
            </w:pPr>
          </w:p>
        </w:tc>
      </w:tr>
      <w:tr>
        <w:trPr>
          <w:trHeight w:val="115"/>
        </w:trPr>
        <w:tc>
          <w:tcPr>
            <w:tcW w:w="16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center"/>
              <w:ind w:right="37"/>
              <w:spacing w:after="0" w:line="115" w:lineRule="exact"/>
              <w:rPr>
                <w:sz w:val="20"/>
                <w:szCs w:val="20"/>
                <w:color w:val="auto"/>
              </w:rPr>
            </w:pPr>
            <w:r>
              <w:rPr>
                <w:rFonts w:ascii="Arial" w:cs="Arial" w:eastAsia="Arial" w:hAnsi="Arial"/>
                <w:sz w:val="11"/>
                <w:szCs w:val="11"/>
                <w:b w:val="1"/>
                <w:bCs w:val="1"/>
                <w:color w:val="auto"/>
              </w:rPr>
              <w:t>Financial</w:t>
            </w:r>
          </w:p>
        </w:tc>
        <w:tc>
          <w:tcPr>
            <w:tcW w:w="100" w:type="dxa"/>
            <w:vAlign w:val="bottom"/>
          </w:tcPr>
          <w:p>
            <w:pPr>
              <w:spacing w:after="0"/>
              <w:rPr>
                <w:sz w:val="10"/>
                <w:szCs w:val="10"/>
                <w:color w:val="auto"/>
              </w:rPr>
            </w:pPr>
          </w:p>
        </w:tc>
        <w:tc>
          <w:tcPr>
            <w:tcW w:w="660" w:type="dxa"/>
            <w:vAlign w:val="bottom"/>
          </w:tcPr>
          <w:p>
            <w:pPr>
              <w:jc w:val="center"/>
              <w:ind w:right="38"/>
              <w:spacing w:after="0" w:line="115" w:lineRule="exact"/>
              <w:rPr>
                <w:sz w:val="20"/>
                <w:szCs w:val="20"/>
                <w:color w:val="auto"/>
              </w:rPr>
            </w:pPr>
            <w:r>
              <w:rPr>
                <w:rFonts w:ascii="Arial" w:cs="Arial" w:eastAsia="Arial" w:hAnsi="Arial"/>
                <w:sz w:val="11"/>
                <w:szCs w:val="11"/>
                <w:b w:val="1"/>
                <w:bCs w:val="1"/>
                <w:color w:val="auto"/>
              </w:rPr>
              <w:t>Expenses</w:t>
            </w:r>
          </w:p>
        </w:tc>
        <w:tc>
          <w:tcPr>
            <w:tcW w:w="140" w:type="dxa"/>
            <w:vAlign w:val="bottom"/>
          </w:tcPr>
          <w:p>
            <w:pPr>
              <w:spacing w:after="0"/>
              <w:rPr>
                <w:sz w:val="10"/>
                <w:szCs w:val="10"/>
                <w:color w:val="auto"/>
              </w:rPr>
            </w:pPr>
          </w:p>
        </w:tc>
        <w:tc>
          <w:tcPr>
            <w:tcW w:w="760" w:type="dxa"/>
            <w:vAlign w:val="bottom"/>
          </w:tcPr>
          <w:p>
            <w:pPr>
              <w:jc w:val="center"/>
              <w:ind w:right="97"/>
              <w:spacing w:after="0" w:line="115" w:lineRule="exact"/>
              <w:rPr>
                <w:sz w:val="20"/>
                <w:szCs w:val="20"/>
                <w:color w:val="auto"/>
              </w:rPr>
            </w:pPr>
            <w:r>
              <w:rPr>
                <w:rFonts w:ascii="Arial" w:cs="Arial" w:eastAsia="Arial" w:hAnsi="Arial"/>
                <w:sz w:val="11"/>
                <w:szCs w:val="11"/>
                <w:b w:val="1"/>
                <w:bCs w:val="1"/>
                <w:color w:val="auto"/>
              </w:rPr>
              <w:t>Expenses</w:t>
            </w:r>
          </w:p>
        </w:tc>
        <w:tc>
          <w:tcPr>
            <w:tcW w:w="100" w:type="dxa"/>
            <w:vAlign w:val="bottom"/>
          </w:tcPr>
          <w:p>
            <w:pPr>
              <w:spacing w:after="0"/>
              <w:rPr>
                <w:sz w:val="10"/>
                <w:szCs w:val="10"/>
                <w:color w:val="auto"/>
              </w:rPr>
            </w:pPr>
          </w:p>
        </w:tc>
        <w:tc>
          <w:tcPr>
            <w:tcW w:w="760" w:type="dxa"/>
            <w:vAlign w:val="bottom"/>
          </w:tcPr>
          <w:p>
            <w:pPr>
              <w:jc w:val="center"/>
              <w:ind w:right="59"/>
              <w:spacing w:after="0" w:line="115" w:lineRule="exact"/>
              <w:rPr>
                <w:sz w:val="20"/>
                <w:szCs w:val="20"/>
                <w:color w:val="auto"/>
              </w:rPr>
            </w:pPr>
            <w:r>
              <w:rPr>
                <w:rFonts w:ascii="Arial" w:cs="Arial" w:eastAsia="Arial" w:hAnsi="Arial"/>
                <w:sz w:val="11"/>
                <w:szCs w:val="11"/>
                <w:b w:val="1"/>
                <w:bCs w:val="1"/>
                <w:color w:val="auto"/>
              </w:rPr>
              <w:t>Expenses</w:t>
            </w:r>
          </w:p>
        </w:tc>
        <w:tc>
          <w:tcPr>
            <w:tcW w:w="140" w:type="dxa"/>
            <w:vAlign w:val="bottom"/>
          </w:tcPr>
          <w:p>
            <w:pPr>
              <w:spacing w:after="0"/>
              <w:rPr>
                <w:sz w:val="10"/>
                <w:szCs w:val="10"/>
                <w:color w:val="auto"/>
              </w:rPr>
            </w:pPr>
          </w:p>
        </w:tc>
        <w:tc>
          <w:tcPr>
            <w:tcW w:w="680" w:type="dxa"/>
            <w:vAlign w:val="bottom"/>
          </w:tcPr>
          <w:p>
            <w:pPr>
              <w:jc w:val="center"/>
              <w:ind w:right="98"/>
              <w:spacing w:after="0" w:line="115" w:lineRule="exact"/>
              <w:rPr>
                <w:sz w:val="20"/>
                <w:szCs w:val="20"/>
                <w:color w:val="auto"/>
              </w:rPr>
            </w:pPr>
            <w:r>
              <w:rPr>
                <w:rFonts w:ascii="Arial" w:cs="Arial" w:eastAsia="Arial" w:hAnsi="Arial"/>
                <w:sz w:val="11"/>
                <w:szCs w:val="11"/>
                <w:b w:val="1"/>
                <w:bCs w:val="1"/>
                <w:color w:val="auto"/>
              </w:rPr>
              <w:t>Expenses</w:t>
            </w:r>
          </w:p>
        </w:tc>
        <w:tc>
          <w:tcPr>
            <w:tcW w:w="160" w:type="dxa"/>
            <w:vAlign w:val="bottom"/>
          </w:tcPr>
          <w:p>
            <w:pPr>
              <w:spacing w:after="0"/>
              <w:rPr>
                <w:sz w:val="10"/>
                <w:szCs w:val="10"/>
                <w:color w:val="auto"/>
              </w:rPr>
            </w:pPr>
          </w:p>
        </w:tc>
        <w:tc>
          <w:tcPr>
            <w:tcW w:w="620" w:type="dxa"/>
            <w:vAlign w:val="bottom"/>
          </w:tcPr>
          <w:p>
            <w:pPr>
              <w:jc w:val="center"/>
              <w:ind w:right="118"/>
              <w:spacing w:after="0" w:line="115" w:lineRule="exact"/>
              <w:rPr>
                <w:sz w:val="20"/>
                <w:szCs w:val="20"/>
                <w:color w:val="auto"/>
              </w:rPr>
            </w:pPr>
            <w:r>
              <w:rPr>
                <w:rFonts w:ascii="Arial" w:cs="Arial" w:eastAsia="Arial" w:hAnsi="Arial"/>
                <w:sz w:val="11"/>
                <w:szCs w:val="11"/>
                <w:b w:val="1"/>
                <w:bCs w:val="1"/>
                <w:color w:val="auto"/>
              </w:rPr>
              <w:t>Costs</w:t>
            </w:r>
          </w:p>
        </w:tc>
        <w:tc>
          <w:tcPr>
            <w:tcW w:w="120" w:type="dxa"/>
            <w:vAlign w:val="bottom"/>
          </w:tcPr>
          <w:p>
            <w:pPr>
              <w:spacing w:after="0"/>
              <w:rPr>
                <w:sz w:val="10"/>
                <w:szCs w:val="10"/>
                <w:color w:val="auto"/>
              </w:rPr>
            </w:pPr>
          </w:p>
        </w:tc>
        <w:tc>
          <w:tcPr>
            <w:tcW w:w="660" w:type="dxa"/>
            <w:vAlign w:val="bottom"/>
          </w:tcPr>
          <w:p>
            <w:pPr>
              <w:jc w:val="center"/>
              <w:ind w:right="78"/>
              <w:spacing w:after="0" w:line="115" w:lineRule="exact"/>
              <w:rPr>
                <w:sz w:val="20"/>
                <w:szCs w:val="20"/>
                <w:color w:val="auto"/>
              </w:rPr>
            </w:pPr>
            <w:r>
              <w:rPr>
                <w:rFonts w:ascii="Arial" w:cs="Arial" w:eastAsia="Arial" w:hAnsi="Arial"/>
                <w:sz w:val="11"/>
                <w:szCs w:val="11"/>
                <w:b w:val="1"/>
                <w:bCs w:val="1"/>
                <w:color w:val="auto"/>
              </w:rPr>
              <w:t>Costs</w:t>
            </w:r>
          </w:p>
        </w:tc>
        <w:tc>
          <w:tcPr>
            <w:tcW w:w="100" w:type="dxa"/>
            <w:vAlign w:val="bottom"/>
          </w:tcPr>
          <w:p>
            <w:pPr>
              <w:spacing w:after="0"/>
              <w:rPr>
                <w:sz w:val="10"/>
                <w:szCs w:val="10"/>
                <w:color w:val="auto"/>
              </w:rPr>
            </w:pPr>
          </w:p>
        </w:tc>
        <w:tc>
          <w:tcPr>
            <w:tcW w:w="940" w:type="dxa"/>
            <w:vAlign w:val="bottom"/>
          </w:tcPr>
          <w:p>
            <w:pPr>
              <w:jc w:val="center"/>
              <w:ind w:right="58"/>
              <w:spacing w:after="0" w:line="115" w:lineRule="exact"/>
              <w:rPr>
                <w:sz w:val="20"/>
                <w:szCs w:val="20"/>
                <w:color w:val="auto"/>
              </w:rPr>
            </w:pPr>
            <w:r>
              <w:rPr>
                <w:rFonts w:ascii="Arial" w:cs="Arial" w:eastAsia="Arial" w:hAnsi="Arial"/>
                <w:sz w:val="11"/>
                <w:szCs w:val="11"/>
                <w:b w:val="1"/>
                <w:bCs w:val="1"/>
                <w:color w:val="auto"/>
              </w:rPr>
              <w:t>Other Reserves</w:t>
            </w:r>
          </w:p>
        </w:tc>
        <w:tc>
          <w:tcPr>
            <w:tcW w:w="120" w:type="dxa"/>
            <w:vAlign w:val="bottom"/>
          </w:tcPr>
          <w:p>
            <w:pPr>
              <w:spacing w:after="0"/>
              <w:rPr>
                <w:sz w:val="10"/>
                <w:szCs w:val="10"/>
                <w:color w:val="auto"/>
              </w:rPr>
            </w:pPr>
          </w:p>
        </w:tc>
        <w:tc>
          <w:tcPr>
            <w:tcW w:w="820" w:type="dxa"/>
            <w:vAlign w:val="bottom"/>
          </w:tcPr>
          <w:p>
            <w:pPr>
              <w:jc w:val="center"/>
              <w:ind w:right="58"/>
              <w:spacing w:after="0" w:line="115" w:lineRule="exact"/>
              <w:rPr>
                <w:sz w:val="20"/>
                <w:szCs w:val="20"/>
                <w:color w:val="auto"/>
              </w:rPr>
            </w:pPr>
            <w:r>
              <w:rPr>
                <w:rFonts w:ascii="Arial" w:cs="Arial" w:eastAsia="Arial" w:hAnsi="Arial"/>
                <w:sz w:val="11"/>
                <w:szCs w:val="11"/>
                <w:b w:val="1"/>
                <w:bCs w:val="1"/>
                <w:color w:val="auto"/>
                <w:w w:val="98"/>
              </w:rPr>
              <w:t>Costs</w:t>
            </w:r>
          </w:p>
        </w:tc>
        <w:tc>
          <w:tcPr>
            <w:tcW w:w="840" w:type="dxa"/>
            <w:vAlign w:val="bottom"/>
            <w:gridSpan w:val="2"/>
          </w:tcPr>
          <w:p>
            <w:pPr>
              <w:jc w:val="center"/>
              <w:spacing w:after="0" w:line="115" w:lineRule="exact"/>
              <w:rPr>
                <w:sz w:val="20"/>
                <w:szCs w:val="20"/>
                <w:color w:val="auto"/>
              </w:rPr>
            </w:pPr>
            <w:r>
              <w:rPr>
                <w:rFonts w:ascii="Arial" w:cs="Arial" w:eastAsia="Arial" w:hAnsi="Arial"/>
                <w:sz w:val="11"/>
                <w:szCs w:val="11"/>
                <w:b w:val="1"/>
                <w:bCs w:val="1"/>
                <w:color w:val="auto"/>
              </w:rPr>
              <w:t>Adjustments</w:t>
            </w:r>
          </w:p>
        </w:tc>
        <w:tc>
          <w:tcPr>
            <w:tcW w:w="800" w:type="dxa"/>
            <w:vAlign w:val="bottom"/>
            <w:gridSpan w:val="2"/>
          </w:tcPr>
          <w:p>
            <w:pPr>
              <w:jc w:val="center"/>
              <w:spacing w:after="0" w:line="115" w:lineRule="exact"/>
              <w:rPr>
                <w:sz w:val="20"/>
                <w:szCs w:val="20"/>
                <w:color w:val="auto"/>
              </w:rPr>
            </w:pPr>
            <w:r>
              <w:rPr>
                <w:rFonts w:ascii="Arial" w:cs="Arial" w:eastAsia="Arial" w:hAnsi="Arial"/>
                <w:sz w:val="11"/>
                <w:szCs w:val="11"/>
                <w:b w:val="1"/>
                <w:bCs w:val="1"/>
                <w:color w:val="auto"/>
              </w:rPr>
              <w:t>Adjustments</w:t>
            </w:r>
          </w:p>
        </w:tc>
        <w:tc>
          <w:tcPr>
            <w:tcW w:w="660" w:type="dxa"/>
            <w:vAlign w:val="bottom"/>
            <w:gridSpan w:val="2"/>
          </w:tcPr>
          <w:p>
            <w:pPr>
              <w:jc w:val="center"/>
              <w:spacing w:after="0" w:line="115" w:lineRule="exact"/>
              <w:rPr>
                <w:sz w:val="20"/>
                <w:szCs w:val="20"/>
                <w:color w:val="auto"/>
              </w:rPr>
            </w:pPr>
            <w:r>
              <w:rPr>
                <w:rFonts w:ascii="Arial" w:cs="Arial" w:eastAsia="Arial" w:hAnsi="Arial"/>
                <w:sz w:val="11"/>
                <w:szCs w:val="11"/>
                <w:b w:val="1"/>
                <w:bCs w:val="1"/>
                <w:color w:val="auto"/>
              </w:rPr>
              <w:t>Financial</w:t>
            </w:r>
          </w:p>
        </w:tc>
        <w:tc>
          <w:tcPr>
            <w:tcW w:w="0" w:type="dxa"/>
            <w:vAlign w:val="bottom"/>
          </w:tcPr>
          <w:p>
            <w:pPr>
              <w:spacing w:after="0"/>
              <w:rPr>
                <w:sz w:val="1"/>
                <w:szCs w:val="1"/>
                <w:color w:val="auto"/>
              </w:rPr>
            </w:pPr>
          </w:p>
        </w:tc>
      </w:tr>
      <w:tr>
        <w:trPr>
          <w:trHeight w:val="168"/>
        </w:trPr>
        <w:tc>
          <w:tcPr>
            <w:tcW w:w="15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December 31, 2018</w:t>
            </w:r>
          </w:p>
        </w:tc>
        <w:tc>
          <w:tcPr>
            <w:tcW w:w="100" w:type="dxa"/>
            <w:vAlign w:val="bottom"/>
          </w:tcPr>
          <w:p>
            <w:pPr>
              <w:spacing w:after="0"/>
              <w:rPr>
                <w:sz w:val="14"/>
                <w:szCs w:val="14"/>
                <w:color w:val="auto"/>
              </w:rPr>
            </w:pP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rPr>
              <w:t>Measures</w:t>
            </w: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38"/>
              <w:spacing w:after="0"/>
              <w:rPr>
                <w:sz w:val="20"/>
                <w:szCs w:val="20"/>
                <w:color w:val="auto"/>
              </w:rPr>
            </w:pPr>
            <w:r>
              <w:rPr>
                <w:rFonts w:ascii="Arial" w:cs="Arial" w:eastAsia="Arial" w:hAnsi="Arial"/>
                <w:sz w:val="11"/>
                <w:szCs w:val="11"/>
                <w:b w:val="1"/>
                <w:bCs w:val="1"/>
                <w:color w:val="auto"/>
              </w:rPr>
              <w:t>(A)</w:t>
            </w: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57"/>
              <w:spacing w:after="0"/>
              <w:rPr>
                <w:sz w:val="20"/>
                <w:szCs w:val="20"/>
                <w:color w:val="auto"/>
              </w:rPr>
            </w:pPr>
            <w:r>
              <w:rPr>
                <w:rFonts w:ascii="Arial" w:cs="Arial" w:eastAsia="Arial" w:hAnsi="Arial"/>
                <w:sz w:val="11"/>
                <w:szCs w:val="11"/>
                <w:b w:val="1"/>
                <w:bCs w:val="1"/>
                <w:color w:val="auto"/>
              </w:rPr>
              <w:t>(B)</w:t>
            </w: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9"/>
              <w:spacing w:after="0"/>
              <w:rPr>
                <w:sz w:val="20"/>
                <w:szCs w:val="20"/>
                <w:color w:val="auto"/>
              </w:rPr>
            </w:pPr>
            <w:r>
              <w:rPr>
                <w:rFonts w:ascii="Arial" w:cs="Arial" w:eastAsia="Arial" w:hAnsi="Arial"/>
                <w:sz w:val="11"/>
                <w:szCs w:val="11"/>
                <w:b w:val="1"/>
                <w:bCs w:val="1"/>
                <w:color w:val="auto"/>
              </w:rPr>
              <w:t>(C)</w:t>
            </w: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58"/>
              <w:spacing w:after="0"/>
              <w:rPr>
                <w:sz w:val="20"/>
                <w:szCs w:val="20"/>
                <w:color w:val="auto"/>
              </w:rPr>
            </w:pPr>
            <w:r>
              <w:rPr>
                <w:rFonts w:ascii="Arial" w:cs="Arial" w:eastAsia="Arial" w:hAnsi="Arial"/>
                <w:sz w:val="11"/>
                <w:szCs w:val="11"/>
                <w:b w:val="1"/>
                <w:bCs w:val="1"/>
                <w:color w:val="auto"/>
              </w:rPr>
              <w:t>(D)</w:t>
            </w: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98"/>
              <w:spacing w:after="0"/>
              <w:rPr>
                <w:sz w:val="20"/>
                <w:szCs w:val="20"/>
                <w:color w:val="auto"/>
              </w:rPr>
            </w:pPr>
            <w:r>
              <w:rPr>
                <w:rFonts w:ascii="Arial" w:cs="Arial" w:eastAsia="Arial" w:hAnsi="Arial"/>
                <w:sz w:val="11"/>
                <w:szCs w:val="11"/>
                <w:b w:val="1"/>
                <w:bCs w:val="1"/>
                <w:color w:val="auto"/>
                <w:w w:val="95"/>
              </w:rPr>
              <w:t>(E)</w:t>
            </w: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58"/>
              <w:spacing w:after="0"/>
              <w:rPr>
                <w:sz w:val="20"/>
                <w:szCs w:val="20"/>
                <w:color w:val="auto"/>
              </w:rPr>
            </w:pPr>
            <w:r>
              <w:rPr>
                <w:rFonts w:ascii="Arial" w:cs="Arial" w:eastAsia="Arial" w:hAnsi="Arial"/>
                <w:sz w:val="11"/>
                <w:szCs w:val="11"/>
                <w:b w:val="1"/>
                <w:bCs w:val="1"/>
                <w:color w:val="auto"/>
                <w:w w:val="99"/>
              </w:rPr>
              <w:t>(F)</w:t>
            </w: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38"/>
              <w:spacing w:after="0"/>
              <w:rPr>
                <w:sz w:val="20"/>
                <w:szCs w:val="20"/>
                <w:color w:val="auto"/>
              </w:rPr>
            </w:pPr>
            <w:r>
              <w:rPr>
                <w:rFonts w:ascii="Arial" w:cs="Arial" w:eastAsia="Arial" w:hAnsi="Arial"/>
                <w:sz w:val="11"/>
                <w:szCs w:val="11"/>
                <w:b w:val="1"/>
                <w:bCs w:val="1"/>
                <w:color w:val="auto"/>
              </w:rPr>
              <w:t>(G)</w:t>
            </w: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38"/>
              <w:spacing w:after="0"/>
              <w:rPr>
                <w:sz w:val="20"/>
                <w:szCs w:val="20"/>
                <w:color w:val="auto"/>
              </w:rPr>
            </w:pPr>
            <w:r>
              <w:rPr>
                <w:rFonts w:ascii="Arial" w:cs="Arial" w:eastAsia="Arial" w:hAnsi="Arial"/>
                <w:sz w:val="11"/>
                <w:szCs w:val="11"/>
                <w:b w:val="1"/>
                <w:bCs w:val="1"/>
                <w:color w:val="auto"/>
              </w:rPr>
              <w:t>(H)</w:t>
            </w: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37"/>
              <w:spacing w:after="0"/>
              <w:rPr>
                <w:sz w:val="20"/>
                <w:szCs w:val="20"/>
                <w:color w:val="auto"/>
              </w:rPr>
            </w:pPr>
            <w:r>
              <w:rPr>
                <w:rFonts w:ascii="Arial" w:cs="Arial" w:eastAsia="Arial" w:hAnsi="Arial"/>
                <w:sz w:val="11"/>
                <w:szCs w:val="11"/>
                <w:b w:val="1"/>
                <w:bCs w:val="1"/>
                <w:color w:val="auto"/>
                <w:w w:val="95"/>
              </w:rPr>
              <w:t>(I)</w:t>
            </w: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78"/>
              <w:spacing w:after="0"/>
              <w:rPr>
                <w:sz w:val="20"/>
                <w:szCs w:val="20"/>
                <w:color w:val="auto"/>
              </w:rPr>
            </w:pPr>
            <w:r>
              <w:rPr>
                <w:rFonts w:ascii="Arial" w:cs="Arial" w:eastAsia="Arial" w:hAnsi="Arial"/>
                <w:sz w:val="11"/>
                <w:szCs w:val="11"/>
                <w:b w:val="1"/>
                <w:bCs w:val="1"/>
                <w:color w:val="auto"/>
              </w:rPr>
              <w:t>(J)</w:t>
            </w: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rPr>
              <w:t>Measures</w:t>
            </w:r>
          </w:p>
        </w:tc>
        <w:tc>
          <w:tcPr>
            <w:tcW w:w="0" w:type="dxa"/>
            <w:vAlign w:val="bottom"/>
          </w:tcPr>
          <w:p>
            <w:pPr>
              <w:spacing w:after="0"/>
              <w:rPr>
                <w:sz w:val="1"/>
                <w:szCs w:val="1"/>
                <w:color w:val="auto"/>
              </w:rPr>
            </w:pPr>
          </w:p>
        </w:tc>
      </w:tr>
      <w:tr>
        <w:trPr>
          <w:trHeight w:val="210"/>
        </w:trPr>
        <w:tc>
          <w:tcPr>
            <w:tcW w:w="1600" w:type="dxa"/>
            <w:vAlign w:val="bottom"/>
            <w:gridSpan w:val="2"/>
          </w:tcPr>
          <w:p>
            <w:pPr>
              <w:ind w:left="20"/>
              <w:spacing w:after="0"/>
              <w:rPr>
                <w:sz w:val="20"/>
                <w:szCs w:val="20"/>
                <w:color w:val="auto"/>
              </w:rPr>
            </w:pPr>
            <w:r>
              <w:rPr>
                <w:rFonts w:ascii="Arial" w:cs="Arial" w:eastAsia="Arial" w:hAnsi="Arial"/>
                <w:sz w:val="13"/>
                <w:szCs w:val="13"/>
                <w:color w:val="auto"/>
              </w:rPr>
              <w:t>Gross profit</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734.5</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8"/>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9"/>
              <w:spacing w:after="0"/>
              <w:rPr>
                <w:sz w:val="20"/>
                <w:szCs w:val="20"/>
                <w:color w:val="auto"/>
              </w:rPr>
            </w:pPr>
            <w:r>
              <w:rPr>
                <w:rFonts w:ascii="Arial" w:cs="Arial" w:eastAsia="Arial" w:hAnsi="Arial"/>
                <w:sz w:val="13"/>
                <w:szCs w:val="13"/>
                <w:color w:val="auto"/>
              </w:rPr>
              <w:t>11.6</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10.7</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8"/>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18"/>
              <w:spacing w:after="0"/>
              <w:rPr>
                <w:sz w:val="20"/>
                <w:szCs w:val="20"/>
                <w:color w:val="auto"/>
              </w:rPr>
            </w:pPr>
            <w:r>
              <w:rPr>
                <w:rFonts w:ascii="Arial" w:cs="Arial" w:eastAsia="Arial" w:hAnsi="Arial"/>
                <w:sz w:val="13"/>
                <w:szCs w:val="13"/>
                <w:color w:val="auto"/>
              </w:rPr>
              <w:t>(3.5)</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1.1</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42"/>
              <w:spacing w:after="0"/>
              <w:rPr>
                <w:sz w:val="20"/>
                <w:szCs w:val="20"/>
                <w:color w:val="auto"/>
              </w:rPr>
            </w:pPr>
            <w:r>
              <w:rPr>
                <w:rFonts w:ascii="Arial" w:cs="Arial" w:eastAsia="Arial" w:hAnsi="Arial"/>
                <w:sz w:val="13"/>
                <w:szCs w:val="13"/>
                <w:color w:val="auto"/>
              </w:rPr>
              <w:t>— $</w:t>
            </w:r>
          </w:p>
        </w:tc>
        <w:tc>
          <w:tcPr>
            <w:tcW w:w="460" w:type="dxa"/>
            <w:vAlign w:val="bottom"/>
          </w:tcPr>
          <w:p>
            <w:pPr>
              <w:jc w:val="right"/>
              <w:spacing w:after="0"/>
              <w:rPr>
                <w:sz w:val="20"/>
                <w:szCs w:val="20"/>
                <w:color w:val="auto"/>
              </w:rPr>
            </w:pPr>
            <w:r>
              <w:rPr>
                <w:rFonts w:ascii="Arial" w:cs="Arial" w:eastAsia="Arial" w:hAnsi="Arial"/>
                <w:sz w:val="13"/>
                <w:szCs w:val="13"/>
                <w:color w:val="auto"/>
              </w:rPr>
              <w:t>754.3</w:t>
            </w:r>
          </w:p>
        </w:tc>
        <w:tc>
          <w:tcPr>
            <w:tcW w:w="0" w:type="dxa"/>
            <w:vAlign w:val="bottom"/>
          </w:tcPr>
          <w:p>
            <w:pPr>
              <w:spacing w:after="0"/>
              <w:rPr>
                <w:sz w:val="1"/>
                <w:szCs w:val="1"/>
                <w:color w:val="auto"/>
              </w:rPr>
            </w:pPr>
          </w:p>
        </w:tc>
      </w:tr>
      <w:tr>
        <w:trPr>
          <w:trHeight w:val="182"/>
        </w:trPr>
        <w:tc>
          <w:tcPr>
            <w:tcW w:w="1600" w:type="dxa"/>
            <w:vAlign w:val="bottom"/>
            <w:gridSpan w:val="2"/>
          </w:tcPr>
          <w:p>
            <w:pPr>
              <w:ind w:left="20"/>
              <w:spacing w:after="0"/>
              <w:rPr>
                <w:sz w:val="20"/>
                <w:szCs w:val="20"/>
                <w:color w:val="auto"/>
              </w:rPr>
            </w:pPr>
            <w:r>
              <w:rPr>
                <w:rFonts w:ascii="Arial" w:cs="Arial" w:eastAsia="Arial" w:hAnsi="Arial"/>
                <w:sz w:val="13"/>
                <w:szCs w:val="13"/>
                <w:color w:val="auto"/>
              </w:rPr>
              <w:t>Selling, general and</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1600" w:type="dxa"/>
            <w:vAlign w:val="bottom"/>
            <w:gridSpan w:val="2"/>
          </w:tcPr>
          <w:p>
            <w:pPr>
              <w:ind w:left="20"/>
              <w:spacing w:after="0"/>
              <w:rPr>
                <w:sz w:val="20"/>
                <w:szCs w:val="20"/>
                <w:color w:val="auto"/>
              </w:rPr>
            </w:pPr>
            <w:r>
              <w:rPr>
                <w:rFonts w:ascii="Arial" w:cs="Arial" w:eastAsia="Arial" w:hAnsi="Arial"/>
                <w:sz w:val="13"/>
                <w:szCs w:val="13"/>
                <w:color w:val="auto"/>
              </w:rPr>
              <w:t>administrative</w:t>
            </w: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465.0</w:t>
            </w:r>
          </w:p>
        </w:tc>
        <w:tc>
          <w:tcPr>
            <w:tcW w:w="100" w:type="dxa"/>
            <w:vAlign w:val="bottom"/>
          </w:tcPr>
          <w:p>
            <w:pPr>
              <w:spacing w:after="0"/>
              <w:rPr>
                <w:sz w:val="13"/>
                <w:szCs w:val="13"/>
                <w:color w:val="auto"/>
              </w:rPr>
            </w:pPr>
          </w:p>
        </w:tc>
        <w:tc>
          <w:tcPr>
            <w:tcW w:w="660" w:type="dxa"/>
            <w:vAlign w:val="bottom"/>
          </w:tcPr>
          <w:p>
            <w:pPr>
              <w:jc w:val="right"/>
              <w:ind w:right="18"/>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(0.9)</w:t>
            </w: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(5.5)</w:t>
            </w: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(3.8)</w:t>
            </w:r>
          </w:p>
        </w:tc>
        <w:tc>
          <w:tcPr>
            <w:tcW w:w="100" w:type="dxa"/>
            <w:vAlign w:val="bottom"/>
          </w:tcPr>
          <w:p>
            <w:pPr>
              <w:spacing w:after="0"/>
              <w:rPr>
                <w:sz w:val="13"/>
                <w:szCs w:val="13"/>
                <w:color w:val="auto"/>
              </w:rPr>
            </w:pPr>
          </w:p>
        </w:tc>
        <w:tc>
          <w:tcPr>
            <w:tcW w:w="940" w:type="dxa"/>
            <w:vAlign w:val="bottom"/>
          </w:tcPr>
          <w:p>
            <w:pPr>
              <w:jc w:val="right"/>
              <w:ind w:right="18"/>
              <w:spacing w:after="0"/>
              <w:rPr>
                <w:sz w:val="20"/>
                <w:szCs w:val="20"/>
                <w:color w:val="auto"/>
              </w:rPr>
            </w:pPr>
            <w:r>
              <w:rPr>
                <w:rFonts w:ascii="Arial" w:cs="Arial" w:eastAsia="Arial" w:hAnsi="Arial"/>
                <w:sz w:val="13"/>
                <w:szCs w:val="13"/>
                <w:color w:val="auto"/>
              </w:rPr>
              <w:t>(32.9)</w:t>
            </w: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(19.4)</w:t>
            </w: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402.5</w:t>
            </w:r>
          </w:p>
        </w:tc>
        <w:tc>
          <w:tcPr>
            <w:tcW w:w="0" w:type="dxa"/>
            <w:vAlign w:val="bottom"/>
          </w:tcPr>
          <w:p>
            <w:pPr>
              <w:spacing w:after="0"/>
              <w:rPr>
                <w:sz w:val="1"/>
                <w:szCs w:val="1"/>
                <w:color w:val="auto"/>
              </w:rPr>
            </w:pPr>
          </w:p>
        </w:tc>
      </w:tr>
      <w:tr>
        <w:trPr>
          <w:trHeight w:val="182"/>
        </w:trPr>
        <w:tc>
          <w:tcPr>
            <w:tcW w:w="1600" w:type="dxa"/>
            <w:vAlign w:val="bottom"/>
            <w:gridSpan w:val="2"/>
          </w:tcPr>
          <w:p>
            <w:pPr>
              <w:ind w:left="20"/>
              <w:spacing w:after="0"/>
              <w:rPr>
                <w:sz w:val="20"/>
                <w:szCs w:val="20"/>
                <w:color w:val="auto"/>
              </w:rPr>
            </w:pPr>
            <w:r>
              <w:rPr>
                <w:rFonts w:ascii="Arial" w:cs="Arial" w:eastAsia="Arial" w:hAnsi="Arial"/>
                <w:sz w:val="13"/>
                <w:szCs w:val="13"/>
                <w:color w:val="auto"/>
              </w:rPr>
              <w:t>Research and</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1600" w:type="dxa"/>
            <w:vAlign w:val="bottom"/>
            <w:gridSpan w:val="2"/>
          </w:tcPr>
          <w:p>
            <w:pPr>
              <w:ind w:left="20"/>
              <w:spacing w:after="0"/>
              <w:rPr>
                <w:sz w:val="20"/>
                <w:szCs w:val="20"/>
                <w:color w:val="auto"/>
              </w:rPr>
            </w:pPr>
            <w:r>
              <w:rPr>
                <w:rFonts w:ascii="Arial" w:cs="Arial" w:eastAsia="Arial" w:hAnsi="Arial"/>
                <w:sz w:val="13"/>
                <w:szCs w:val="13"/>
                <w:color w:val="auto"/>
              </w:rPr>
              <w:t>development</w:t>
            </w: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146.0</w:t>
            </w:r>
          </w:p>
        </w:tc>
        <w:tc>
          <w:tcPr>
            <w:tcW w:w="100" w:type="dxa"/>
            <w:vAlign w:val="bottom"/>
          </w:tcPr>
          <w:p>
            <w:pPr>
              <w:spacing w:after="0"/>
              <w:rPr>
                <w:sz w:val="13"/>
                <w:szCs w:val="13"/>
                <w:color w:val="auto"/>
              </w:rPr>
            </w:pPr>
          </w:p>
        </w:tc>
        <w:tc>
          <w:tcPr>
            <w:tcW w:w="660" w:type="dxa"/>
            <w:vAlign w:val="bottom"/>
          </w:tcPr>
          <w:p>
            <w:pPr>
              <w:jc w:val="right"/>
              <w:ind w:right="18"/>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(0.3)</w:t>
            </w: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(5.4)</w:t>
            </w: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(0.3)</w:t>
            </w:r>
          </w:p>
        </w:tc>
        <w:tc>
          <w:tcPr>
            <w:tcW w:w="100" w:type="dxa"/>
            <w:vAlign w:val="bottom"/>
          </w:tcPr>
          <w:p>
            <w:pPr>
              <w:spacing w:after="0"/>
              <w:rPr>
                <w:sz w:val="13"/>
                <w:szCs w:val="13"/>
                <w:color w:val="auto"/>
              </w:rPr>
            </w:pPr>
          </w:p>
        </w:tc>
        <w:tc>
          <w:tcPr>
            <w:tcW w:w="940" w:type="dxa"/>
            <w:vAlign w:val="bottom"/>
          </w:tcPr>
          <w:p>
            <w:pPr>
              <w:jc w:val="right"/>
              <w:ind w:right="58"/>
              <w:spacing w:after="0"/>
              <w:rPr>
                <w:sz w:val="20"/>
                <w:szCs w:val="20"/>
                <w:color w:val="auto"/>
              </w:rPr>
            </w:pPr>
            <w:r>
              <w:rPr>
                <w:rFonts w:ascii="Arial" w:cs="Arial" w:eastAsia="Arial" w:hAnsi="Arial"/>
                <w:sz w:val="13"/>
                <w:szCs w:val="13"/>
                <w:color w:val="auto"/>
              </w:rPr>
              <w:t>0.2</w:t>
            </w: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(4.5)</w:t>
            </w: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135.7</w:t>
            </w:r>
          </w:p>
        </w:tc>
        <w:tc>
          <w:tcPr>
            <w:tcW w:w="0" w:type="dxa"/>
            <w:vAlign w:val="bottom"/>
          </w:tcPr>
          <w:p>
            <w:pPr>
              <w:spacing w:after="0"/>
              <w:rPr>
                <w:sz w:val="1"/>
                <w:szCs w:val="1"/>
                <w:color w:val="auto"/>
              </w:rPr>
            </w:pPr>
          </w:p>
        </w:tc>
      </w:tr>
      <w:tr>
        <w:trPr>
          <w:trHeight w:val="240"/>
        </w:trPr>
        <w:tc>
          <w:tcPr>
            <w:tcW w:w="1600" w:type="dxa"/>
            <w:vAlign w:val="bottom"/>
            <w:gridSpan w:val="2"/>
          </w:tcPr>
          <w:p>
            <w:pPr>
              <w:ind w:left="20"/>
              <w:spacing w:after="0"/>
              <w:rPr>
                <w:sz w:val="20"/>
                <w:szCs w:val="20"/>
                <w:color w:val="auto"/>
              </w:rPr>
            </w:pPr>
            <w:r>
              <w:rPr>
                <w:rFonts w:ascii="Arial" w:cs="Arial" w:eastAsia="Arial" w:hAnsi="Arial"/>
                <w:sz w:val="13"/>
                <w:szCs w:val="13"/>
                <w:color w:val="auto"/>
              </w:rPr>
              <w:t>Litigation provision</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294.0</w:t>
            </w:r>
          </w:p>
        </w:tc>
        <w:tc>
          <w:tcPr>
            <w:tcW w:w="100" w:type="dxa"/>
            <w:vAlign w:val="bottom"/>
          </w:tcPr>
          <w:p>
            <w:pPr>
              <w:spacing w:after="0"/>
              <w:rPr>
                <w:sz w:val="20"/>
                <w:szCs w:val="20"/>
                <w:color w:val="auto"/>
              </w:rPr>
            </w:pPr>
          </w:p>
        </w:tc>
        <w:tc>
          <w:tcPr>
            <w:tcW w:w="660" w:type="dxa"/>
            <w:vAlign w:val="bottom"/>
          </w:tcPr>
          <w:p>
            <w:pPr>
              <w:jc w:val="right"/>
              <w:ind w:right="18"/>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0"/>
                <w:szCs w:val="20"/>
                <w:color w:val="auto"/>
              </w:rPr>
            </w:pP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0"/>
                <w:szCs w:val="20"/>
                <w:color w:val="auto"/>
              </w:rPr>
            </w:pPr>
          </w:p>
        </w:tc>
        <w:tc>
          <w:tcPr>
            <w:tcW w:w="660" w:type="dxa"/>
            <w:vAlign w:val="bottom"/>
          </w:tcPr>
          <w:p>
            <w:pPr>
              <w:jc w:val="right"/>
              <w:ind w:right="18"/>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0"/>
                <w:szCs w:val="20"/>
                <w:color w:val="auto"/>
              </w:rPr>
            </w:pPr>
          </w:p>
        </w:tc>
        <w:tc>
          <w:tcPr>
            <w:tcW w:w="940" w:type="dxa"/>
            <w:vAlign w:val="bottom"/>
          </w:tcPr>
          <w:p>
            <w:pPr>
              <w:jc w:val="right"/>
              <w:ind w:right="18"/>
              <w:spacing w:after="0"/>
              <w:rPr>
                <w:sz w:val="20"/>
                <w:szCs w:val="20"/>
                <w:color w:val="auto"/>
              </w:rPr>
            </w:pPr>
            <w:r>
              <w:rPr>
                <w:rFonts w:ascii="Arial" w:cs="Arial" w:eastAsia="Arial" w:hAnsi="Arial"/>
                <w:sz w:val="13"/>
                <w:szCs w:val="13"/>
                <w:color w:val="auto"/>
              </w:rPr>
              <w:t>(294.0)</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2"/>
        </w:trPr>
        <w:tc>
          <w:tcPr>
            <w:tcW w:w="1600" w:type="dxa"/>
            <w:vAlign w:val="bottom"/>
            <w:gridSpan w:val="2"/>
          </w:tcPr>
          <w:p>
            <w:pPr>
              <w:ind w:left="20"/>
              <w:spacing w:after="0"/>
              <w:rPr>
                <w:sz w:val="20"/>
                <w:szCs w:val="20"/>
                <w:color w:val="auto"/>
              </w:rPr>
            </w:pPr>
            <w:r>
              <w:rPr>
                <w:rFonts w:ascii="Arial" w:cs="Arial" w:eastAsia="Arial" w:hAnsi="Arial"/>
                <w:sz w:val="13"/>
                <w:szCs w:val="13"/>
                <w:color w:val="auto"/>
              </w:rPr>
              <w:t>Other operating</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1600" w:type="dxa"/>
            <w:vAlign w:val="bottom"/>
            <w:gridSpan w:val="2"/>
          </w:tcPr>
          <w:p>
            <w:pPr>
              <w:ind w:left="20"/>
              <w:spacing w:after="0"/>
              <w:rPr>
                <w:sz w:val="20"/>
                <w:szCs w:val="20"/>
                <w:color w:val="auto"/>
              </w:rPr>
            </w:pPr>
            <w:r>
              <w:rPr>
                <w:rFonts w:ascii="Arial" w:cs="Arial" w:eastAsia="Arial" w:hAnsi="Arial"/>
                <w:sz w:val="13"/>
                <w:szCs w:val="13"/>
                <w:color w:val="auto"/>
              </w:rPr>
              <w:t>expenses</w:t>
            </w: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77.5</w:t>
            </w:r>
          </w:p>
        </w:tc>
        <w:tc>
          <w:tcPr>
            <w:tcW w:w="1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(24.4)</w:t>
            </w: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(15.9)</w:t>
            </w:r>
          </w:p>
        </w:tc>
        <w:tc>
          <w:tcPr>
            <w:tcW w:w="1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(37.2)</w:t>
            </w: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660" w:type="dxa"/>
            <w:vAlign w:val="bottom"/>
          </w:tcPr>
          <w:p>
            <w:pPr>
              <w:jc w:val="right"/>
              <w:ind w:right="18"/>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94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2"/>
        </w:trPr>
        <w:tc>
          <w:tcPr>
            <w:tcW w:w="1600" w:type="dxa"/>
            <w:vAlign w:val="bottom"/>
            <w:gridSpan w:val="2"/>
          </w:tcPr>
          <w:p>
            <w:pPr>
              <w:ind w:left="20"/>
              <w:spacing w:after="0"/>
              <w:rPr>
                <w:sz w:val="20"/>
                <w:szCs w:val="20"/>
                <w:color w:val="auto"/>
              </w:rPr>
            </w:pPr>
            <w:r>
              <w:rPr>
                <w:rFonts w:ascii="Arial" w:cs="Arial" w:eastAsia="Arial" w:hAnsi="Arial"/>
                <w:sz w:val="13"/>
                <w:szCs w:val="13"/>
                <w:color w:val="auto"/>
              </w:rPr>
              <w:t>Operating (loss) income</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1600" w:type="dxa"/>
            <w:vAlign w:val="bottom"/>
            <w:gridSpan w:val="2"/>
          </w:tcPr>
          <w:p>
            <w:pPr>
              <w:ind w:left="20"/>
              <w:spacing w:after="0" w:line="144" w:lineRule="exact"/>
              <w:rPr>
                <w:sz w:val="20"/>
                <w:szCs w:val="20"/>
                <w:color w:val="auto"/>
              </w:rPr>
            </w:pPr>
            <w:r>
              <w:rPr>
                <w:rFonts w:ascii="Arial" w:cs="Arial" w:eastAsia="Arial" w:hAnsi="Arial"/>
                <w:sz w:val="13"/>
                <w:szCs w:val="13"/>
                <w:color w:val="auto"/>
              </w:rPr>
              <w:t>from continuing</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1600" w:type="dxa"/>
            <w:vAlign w:val="bottom"/>
            <w:gridSpan w:val="2"/>
          </w:tcPr>
          <w:p>
            <w:pPr>
              <w:ind w:left="20"/>
              <w:spacing w:after="0"/>
              <w:rPr>
                <w:sz w:val="20"/>
                <w:szCs w:val="20"/>
                <w:color w:val="auto"/>
              </w:rPr>
            </w:pPr>
            <w:r>
              <w:rPr>
                <w:rFonts w:ascii="Arial" w:cs="Arial" w:eastAsia="Arial" w:hAnsi="Arial"/>
                <w:sz w:val="13"/>
                <w:szCs w:val="13"/>
                <w:color w:val="auto"/>
              </w:rPr>
              <w:t>operations</w:t>
            </w: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(248.1)</w:t>
            </w:r>
          </w:p>
        </w:tc>
        <w:tc>
          <w:tcPr>
            <w:tcW w:w="100" w:type="dxa"/>
            <w:vAlign w:val="bottom"/>
          </w:tcPr>
          <w:p>
            <w:pPr>
              <w:spacing w:after="0"/>
              <w:rPr>
                <w:sz w:val="13"/>
                <w:szCs w:val="13"/>
                <w:color w:val="auto"/>
              </w:rPr>
            </w:pPr>
          </w:p>
        </w:tc>
        <w:tc>
          <w:tcPr>
            <w:tcW w:w="660" w:type="dxa"/>
            <w:vAlign w:val="bottom"/>
          </w:tcPr>
          <w:p>
            <w:pPr>
              <w:jc w:val="right"/>
              <w:ind w:right="18"/>
              <w:spacing w:after="0"/>
              <w:rPr>
                <w:sz w:val="20"/>
                <w:szCs w:val="20"/>
                <w:color w:val="auto"/>
              </w:rPr>
            </w:pPr>
            <w:r>
              <w:rPr>
                <w:rFonts w:ascii="Arial" w:cs="Arial" w:eastAsia="Arial" w:hAnsi="Arial"/>
                <w:sz w:val="13"/>
                <w:szCs w:val="13"/>
                <w:color w:val="auto"/>
              </w:rPr>
              <w:t>24.4</w:t>
            </w:r>
          </w:p>
        </w:tc>
        <w:tc>
          <w:tcPr>
            <w:tcW w:w="140" w:type="dxa"/>
            <w:vAlign w:val="bottom"/>
          </w:tcPr>
          <w:p>
            <w:pPr>
              <w:spacing w:after="0"/>
              <w:rPr>
                <w:sz w:val="13"/>
                <w:szCs w:val="13"/>
                <w:color w:val="auto"/>
              </w:rPr>
            </w:pP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15.9</w:t>
            </w:r>
          </w:p>
        </w:tc>
        <w:tc>
          <w:tcPr>
            <w:tcW w:w="100" w:type="dxa"/>
            <w:vAlign w:val="bottom"/>
          </w:tcPr>
          <w:p>
            <w:pPr>
              <w:spacing w:after="0"/>
              <w:rPr>
                <w:sz w:val="13"/>
                <w:szCs w:val="13"/>
                <w:color w:val="auto"/>
              </w:rPr>
            </w:pPr>
          </w:p>
        </w:tc>
        <w:tc>
          <w:tcPr>
            <w:tcW w:w="760" w:type="dxa"/>
            <w:vAlign w:val="bottom"/>
          </w:tcPr>
          <w:p>
            <w:pPr>
              <w:jc w:val="right"/>
              <w:ind w:right="19"/>
              <w:spacing w:after="0"/>
              <w:rPr>
                <w:sz w:val="20"/>
                <w:szCs w:val="20"/>
                <w:color w:val="auto"/>
              </w:rPr>
            </w:pPr>
            <w:r>
              <w:rPr>
                <w:rFonts w:ascii="Arial" w:cs="Arial" w:eastAsia="Arial" w:hAnsi="Arial"/>
                <w:sz w:val="13"/>
                <w:szCs w:val="13"/>
                <w:color w:val="auto"/>
              </w:rPr>
              <w:t>49.9</w:t>
            </w: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10.7</w:t>
            </w:r>
          </w:p>
        </w:tc>
        <w:tc>
          <w:tcPr>
            <w:tcW w:w="1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10.9</w:t>
            </w:r>
          </w:p>
        </w:tc>
        <w:tc>
          <w:tcPr>
            <w:tcW w:w="120" w:type="dxa"/>
            <w:vAlign w:val="bottom"/>
          </w:tcPr>
          <w:p>
            <w:pPr>
              <w:spacing w:after="0"/>
              <w:rPr>
                <w:sz w:val="13"/>
                <w:szCs w:val="13"/>
                <w:color w:val="auto"/>
              </w:rPr>
            </w:pPr>
          </w:p>
        </w:tc>
        <w:tc>
          <w:tcPr>
            <w:tcW w:w="660" w:type="dxa"/>
            <w:vAlign w:val="bottom"/>
          </w:tcPr>
          <w:p>
            <w:pPr>
              <w:jc w:val="right"/>
              <w:ind w:right="18"/>
              <w:spacing w:after="0"/>
              <w:rPr>
                <w:sz w:val="20"/>
                <w:szCs w:val="20"/>
                <w:color w:val="auto"/>
              </w:rPr>
            </w:pPr>
            <w:r>
              <w:rPr>
                <w:rFonts w:ascii="Arial" w:cs="Arial" w:eastAsia="Arial" w:hAnsi="Arial"/>
                <w:sz w:val="13"/>
                <w:szCs w:val="13"/>
                <w:color w:val="auto"/>
              </w:rPr>
              <w:t>4.2</w:t>
            </w:r>
          </w:p>
        </w:tc>
        <w:tc>
          <w:tcPr>
            <w:tcW w:w="100" w:type="dxa"/>
            <w:vAlign w:val="bottom"/>
          </w:tcPr>
          <w:p>
            <w:pPr>
              <w:spacing w:after="0"/>
              <w:rPr>
                <w:sz w:val="13"/>
                <w:szCs w:val="13"/>
                <w:color w:val="auto"/>
              </w:rPr>
            </w:pPr>
          </w:p>
        </w:tc>
        <w:tc>
          <w:tcPr>
            <w:tcW w:w="940" w:type="dxa"/>
            <w:vAlign w:val="bottom"/>
          </w:tcPr>
          <w:p>
            <w:pPr>
              <w:jc w:val="right"/>
              <w:ind w:right="58"/>
              <w:spacing w:after="0"/>
              <w:rPr>
                <w:sz w:val="20"/>
                <w:szCs w:val="20"/>
                <w:color w:val="auto"/>
              </w:rPr>
            </w:pPr>
            <w:r>
              <w:rPr>
                <w:rFonts w:ascii="Arial" w:cs="Arial" w:eastAsia="Arial" w:hAnsi="Arial"/>
                <w:sz w:val="13"/>
                <w:szCs w:val="13"/>
                <w:color w:val="auto"/>
              </w:rPr>
              <w:t>323.3</w:t>
            </w: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25.0</w:t>
            </w: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216.2</w:t>
            </w:r>
          </w:p>
        </w:tc>
        <w:tc>
          <w:tcPr>
            <w:tcW w:w="0" w:type="dxa"/>
            <w:vAlign w:val="bottom"/>
          </w:tcPr>
          <w:p>
            <w:pPr>
              <w:spacing w:after="0"/>
              <w:rPr>
                <w:sz w:val="1"/>
                <w:szCs w:val="1"/>
                <w:color w:val="auto"/>
              </w:rPr>
            </w:pPr>
          </w:p>
        </w:tc>
      </w:tr>
      <w:tr>
        <w:trPr>
          <w:trHeight w:val="182"/>
        </w:trPr>
        <w:tc>
          <w:tcPr>
            <w:tcW w:w="1600" w:type="dxa"/>
            <w:vAlign w:val="bottom"/>
            <w:gridSpan w:val="2"/>
          </w:tcPr>
          <w:p>
            <w:pPr>
              <w:ind w:left="20"/>
              <w:spacing w:after="0"/>
              <w:rPr>
                <w:sz w:val="20"/>
                <w:szCs w:val="20"/>
                <w:color w:val="auto"/>
              </w:rPr>
            </w:pPr>
            <w:r>
              <w:rPr>
                <w:rFonts w:ascii="Arial" w:cs="Arial" w:eastAsia="Arial" w:hAnsi="Arial"/>
                <w:sz w:val="13"/>
                <w:szCs w:val="13"/>
                <w:color w:val="auto"/>
              </w:rPr>
              <w:t>Gain on acquisition of</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1600" w:type="dxa"/>
            <w:vAlign w:val="bottom"/>
            <w:gridSpan w:val="2"/>
          </w:tcPr>
          <w:p>
            <w:pPr>
              <w:ind w:left="20"/>
              <w:spacing w:after="0"/>
              <w:rPr>
                <w:sz w:val="20"/>
                <w:szCs w:val="20"/>
                <w:color w:val="auto"/>
              </w:rPr>
            </w:pPr>
            <w:r>
              <w:rPr>
                <w:rFonts w:ascii="Arial" w:cs="Arial" w:eastAsia="Arial" w:hAnsi="Arial"/>
                <w:sz w:val="13"/>
                <w:szCs w:val="13"/>
                <w:color w:val="auto"/>
              </w:rPr>
              <w:t>ImThera Medical, Inc.</w:t>
            </w: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11.5</w:t>
            </w:r>
          </w:p>
        </w:tc>
        <w:tc>
          <w:tcPr>
            <w:tcW w:w="100" w:type="dxa"/>
            <w:vAlign w:val="bottom"/>
          </w:tcPr>
          <w:p>
            <w:pPr>
              <w:spacing w:after="0"/>
              <w:rPr>
                <w:sz w:val="13"/>
                <w:szCs w:val="13"/>
                <w:color w:val="auto"/>
              </w:rPr>
            </w:pPr>
          </w:p>
        </w:tc>
        <w:tc>
          <w:tcPr>
            <w:tcW w:w="660" w:type="dxa"/>
            <w:vAlign w:val="bottom"/>
          </w:tcPr>
          <w:p>
            <w:pPr>
              <w:jc w:val="right"/>
              <w:ind w:right="18"/>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760" w:type="dxa"/>
            <w:vAlign w:val="bottom"/>
          </w:tcPr>
          <w:p>
            <w:pPr>
              <w:jc w:val="right"/>
              <w:ind w:right="19"/>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(11.5)</w:t>
            </w:r>
          </w:p>
        </w:tc>
        <w:tc>
          <w:tcPr>
            <w:tcW w:w="120" w:type="dxa"/>
            <w:vAlign w:val="bottom"/>
          </w:tcPr>
          <w:p>
            <w:pPr>
              <w:spacing w:after="0"/>
              <w:rPr>
                <w:sz w:val="13"/>
                <w:szCs w:val="13"/>
                <w:color w:val="auto"/>
              </w:rPr>
            </w:pPr>
          </w:p>
        </w:tc>
        <w:tc>
          <w:tcPr>
            <w:tcW w:w="660" w:type="dxa"/>
            <w:vAlign w:val="bottom"/>
          </w:tcPr>
          <w:p>
            <w:pPr>
              <w:jc w:val="right"/>
              <w:ind w:right="18"/>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94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2"/>
        </w:trPr>
        <w:tc>
          <w:tcPr>
            <w:tcW w:w="1600" w:type="dxa"/>
            <w:vAlign w:val="bottom"/>
            <w:gridSpan w:val="2"/>
          </w:tcPr>
          <w:p>
            <w:pPr>
              <w:ind w:left="20"/>
              <w:spacing w:after="0"/>
              <w:rPr>
                <w:sz w:val="20"/>
                <w:szCs w:val="20"/>
                <w:color w:val="auto"/>
              </w:rPr>
            </w:pPr>
            <w:r>
              <w:rPr>
                <w:rFonts w:ascii="Arial" w:cs="Arial" w:eastAsia="Arial" w:hAnsi="Arial"/>
                <w:sz w:val="13"/>
                <w:szCs w:val="13"/>
                <w:color w:val="auto"/>
              </w:rPr>
              <w:t>Income tax (benefit)</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1600" w:type="dxa"/>
            <w:vAlign w:val="bottom"/>
            <w:gridSpan w:val="2"/>
          </w:tcPr>
          <w:p>
            <w:pPr>
              <w:ind w:left="20"/>
              <w:spacing w:after="0"/>
              <w:rPr>
                <w:sz w:val="20"/>
                <w:szCs w:val="20"/>
                <w:color w:val="auto"/>
              </w:rPr>
            </w:pPr>
            <w:r>
              <w:rPr>
                <w:rFonts w:ascii="Arial" w:cs="Arial" w:eastAsia="Arial" w:hAnsi="Arial"/>
                <w:sz w:val="13"/>
                <w:szCs w:val="13"/>
                <w:color w:val="auto"/>
              </w:rPr>
              <w:t>expense</w:t>
            </w: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(69.6)</w:t>
            </w:r>
          </w:p>
        </w:tc>
        <w:tc>
          <w:tcPr>
            <w:tcW w:w="100" w:type="dxa"/>
            <w:vAlign w:val="bottom"/>
          </w:tcPr>
          <w:p>
            <w:pPr>
              <w:spacing w:after="0"/>
              <w:rPr>
                <w:sz w:val="13"/>
                <w:szCs w:val="13"/>
                <w:color w:val="auto"/>
              </w:rPr>
            </w:pPr>
          </w:p>
        </w:tc>
        <w:tc>
          <w:tcPr>
            <w:tcW w:w="660" w:type="dxa"/>
            <w:vAlign w:val="bottom"/>
          </w:tcPr>
          <w:p>
            <w:pPr>
              <w:jc w:val="right"/>
              <w:ind w:right="18"/>
              <w:spacing w:after="0"/>
              <w:rPr>
                <w:sz w:val="20"/>
                <w:szCs w:val="20"/>
                <w:color w:val="auto"/>
              </w:rPr>
            </w:pPr>
            <w:r>
              <w:rPr>
                <w:rFonts w:ascii="Arial" w:cs="Arial" w:eastAsia="Arial" w:hAnsi="Arial"/>
                <w:sz w:val="13"/>
                <w:szCs w:val="13"/>
                <w:color w:val="auto"/>
              </w:rPr>
              <w:t>5.1</w:t>
            </w:r>
          </w:p>
        </w:tc>
        <w:tc>
          <w:tcPr>
            <w:tcW w:w="140" w:type="dxa"/>
            <w:vAlign w:val="bottom"/>
          </w:tcPr>
          <w:p>
            <w:pPr>
              <w:spacing w:after="0"/>
              <w:rPr>
                <w:sz w:val="13"/>
                <w:szCs w:val="13"/>
                <w:color w:val="auto"/>
              </w:rPr>
            </w:pP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4.0</w:t>
            </w:r>
          </w:p>
        </w:tc>
        <w:tc>
          <w:tcPr>
            <w:tcW w:w="100" w:type="dxa"/>
            <w:vAlign w:val="bottom"/>
          </w:tcPr>
          <w:p>
            <w:pPr>
              <w:spacing w:after="0"/>
              <w:rPr>
                <w:sz w:val="13"/>
                <w:szCs w:val="13"/>
                <w:color w:val="auto"/>
              </w:rPr>
            </w:pPr>
          </w:p>
        </w:tc>
        <w:tc>
          <w:tcPr>
            <w:tcW w:w="760" w:type="dxa"/>
            <w:vAlign w:val="bottom"/>
          </w:tcPr>
          <w:p>
            <w:pPr>
              <w:jc w:val="right"/>
              <w:ind w:right="19"/>
              <w:spacing w:after="0"/>
              <w:rPr>
                <w:sz w:val="20"/>
                <w:szCs w:val="20"/>
                <w:color w:val="auto"/>
              </w:rPr>
            </w:pPr>
            <w:r>
              <w:rPr>
                <w:rFonts w:ascii="Arial" w:cs="Arial" w:eastAsia="Arial" w:hAnsi="Arial"/>
                <w:sz w:val="13"/>
                <w:szCs w:val="13"/>
                <w:color w:val="auto"/>
              </w:rPr>
              <w:t>12.3</w:t>
            </w: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2.5</w:t>
            </w:r>
          </w:p>
        </w:tc>
        <w:tc>
          <w:tcPr>
            <w:tcW w:w="1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2.5</w:t>
            </w:r>
          </w:p>
        </w:tc>
        <w:tc>
          <w:tcPr>
            <w:tcW w:w="120" w:type="dxa"/>
            <w:vAlign w:val="bottom"/>
          </w:tcPr>
          <w:p>
            <w:pPr>
              <w:spacing w:after="0"/>
              <w:rPr>
                <w:sz w:val="13"/>
                <w:szCs w:val="13"/>
                <w:color w:val="auto"/>
              </w:rPr>
            </w:pPr>
          </w:p>
        </w:tc>
        <w:tc>
          <w:tcPr>
            <w:tcW w:w="660" w:type="dxa"/>
            <w:vAlign w:val="bottom"/>
          </w:tcPr>
          <w:p>
            <w:pPr>
              <w:jc w:val="right"/>
              <w:ind w:right="18"/>
              <w:spacing w:after="0"/>
              <w:rPr>
                <w:sz w:val="20"/>
                <w:szCs w:val="20"/>
                <w:color w:val="auto"/>
              </w:rPr>
            </w:pPr>
            <w:r>
              <w:rPr>
                <w:rFonts w:ascii="Arial" w:cs="Arial" w:eastAsia="Arial" w:hAnsi="Arial"/>
                <w:sz w:val="13"/>
                <w:szCs w:val="13"/>
                <w:color w:val="auto"/>
              </w:rPr>
              <w:t>1.4</w:t>
            </w:r>
          </w:p>
        </w:tc>
        <w:tc>
          <w:tcPr>
            <w:tcW w:w="100" w:type="dxa"/>
            <w:vAlign w:val="bottom"/>
          </w:tcPr>
          <w:p>
            <w:pPr>
              <w:spacing w:after="0"/>
              <w:rPr>
                <w:sz w:val="13"/>
                <w:szCs w:val="13"/>
                <w:color w:val="auto"/>
              </w:rPr>
            </w:pPr>
          </w:p>
        </w:tc>
        <w:tc>
          <w:tcPr>
            <w:tcW w:w="940" w:type="dxa"/>
            <w:vAlign w:val="bottom"/>
          </w:tcPr>
          <w:p>
            <w:pPr>
              <w:jc w:val="right"/>
              <w:ind w:right="58"/>
              <w:spacing w:after="0"/>
              <w:rPr>
                <w:sz w:val="20"/>
                <w:szCs w:val="20"/>
                <w:color w:val="auto"/>
              </w:rPr>
            </w:pPr>
            <w:r>
              <w:rPr>
                <w:rFonts w:ascii="Arial" w:cs="Arial" w:eastAsia="Arial" w:hAnsi="Arial"/>
                <w:sz w:val="13"/>
                <w:szCs w:val="13"/>
                <w:color w:val="auto"/>
              </w:rPr>
              <w:t>78.2</w:t>
            </w: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6.3</w:t>
            </w: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(11.0)</w:t>
            </w: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0.8</w:t>
            </w:r>
          </w:p>
        </w:tc>
        <w:tc>
          <w:tcPr>
            <w:tcW w:w="2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32.5</w:t>
            </w:r>
          </w:p>
        </w:tc>
        <w:tc>
          <w:tcPr>
            <w:tcW w:w="0" w:type="dxa"/>
            <w:vAlign w:val="bottom"/>
          </w:tcPr>
          <w:p>
            <w:pPr>
              <w:spacing w:after="0"/>
              <w:rPr>
                <w:sz w:val="1"/>
                <w:szCs w:val="1"/>
                <w:color w:val="auto"/>
              </w:rPr>
            </w:pPr>
          </w:p>
        </w:tc>
      </w:tr>
      <w:tr>
        <w:trPr>
          <w:trHeight w:val="182"/>
        </w:trPr>
        <w:tc>
          <w:tcPr>
            <w:tcW w:w="1600" w:type="dxa"/>
            <w:vAlign w:val="bottom"/>
            <w:gridSpan w:val="2"/>
          </w:tcPr>
          <w:p>
            <w:pPr>
              <w:ind w:left="20"/>
              <w:spacing w:after="0"/>
              <w:rPr>
                <w:sz w:val="20"/>
                <w:szCs w:val="20"/>
                <w:color w:val="auto"/>
              </w:rPr>
            </w:pPr>
            <w:r>
              <w:rPr>
                <w:rFonts w:ascii="Arial" w:cs="Arial" w:eastAsia="Arial" w:hAnsi="Arial"/>
                <w:sz w:val="13"/>
                <w:szCs w:val="13"/>
                <w:color w:val="auto"/>
              </w:rPr>
              <w:t>Net (loss) income from</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1600" w:type="dxa"/>
            <w:vAlign w:val="bottom"/>
            <w:gridSpan w:val="2"/>
          </w:tcPr>
          <w:p>
            <w:pPr>
              <w:ind w:left="20"/>
              <w:spacing w:after="0"/>
              <w:rPr>
                <w:sz w:val="20"/>
                <w:szCs w:val="20"/>
                <w:color w:val="auto"/>
              </w:rPr>
            </w:pPr>
            <w:r>
              <w:rPr>
                <w:rFonts w:ascii="Arial" w:cs="Arial" w:eastAsia="Arial" w:hAnsi="Arial"/>
                <w:sz w:val="13"/>
                <w:szCs w:val="13"/>
                <w:color w:val="auto"/>
              </w:rPr>
              <w:t>continuing operations</w:t>
            </w: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(178.5)</w:t>
            </w:r>
          </w:p>
        </w:tc>
        <w:tc>
          <w:tcPr>
            <w:tcW w:w="100" w:type="dxa"/>
            <w:vAlign w:val="bottom"/>
          </w:tcPr>
          <w:p>
            <w:pPr>
              <w:spacing w:after="0"/>
              <w:rPr>
                <w:sz w:val="13"/>
                <w:szCs w:val="13"/>
                <w:color w:val="auto"/>
              </w:rPr>
            </w:pPr>
          </w:p>
        </w:tc>
        <w:tc>
          <w:tcPr>
            <w:tcW w:w="660" w:type="dxa"/>
            <w:vAlign w:val="bottom"/>
          </w:tcPr>
          <w:p>
            <w:pPr>
              <w:jc w:val="right"/>
              <w:ind w:right="18"/>
              <w:spacing w:after="0"/>
              <w:rPr>
                <w:sz w:val="20"/>
                <w:szCs w:val="20"/>
                <w:color w:val="auto"/>
              </w:rPr>
            </w:pPr>
            <w:r>
              <w:rPr>
                <w:rFonts w:ascii="Arial" w:cs="Arial" w:eastAsia="Arial" w:hAnsi="Arial"/>
                <w:sz w:val="13"/>
                <w:szCs w:val="13"/>
                <w:color w:val="auto"/>
              </w:rPr>
              <w:t>19.3</w:t>
            </w:r>
          </w:p>
        </w:tc>
        <w:tc>
          <w:tcPr>
            <w:tcW w:w="140" w:type="dxa"/>
            <w:vAlign w:val="bottom"/>
          </w:tcPr>
          <w:p>
            <w:pPr>
              <w:spacing w:after="0"/>
              <w:rPr>
                <w:sz w:val="13"/>
                <w:szCs w:val="13"/>
                <w:color w:val="auto"/>
              </w:rPr>
            </w:pP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11.9</w:t>
            </w:r>
          </w:p>
        </w:tc>
        <w:tc>
          <w:tcPr>
            <w:tcW w:w="100" w:type="dxa"/>
            <w:vAlign w:val="bottom"/>
          </w:tcPr>
          <w:p>
            <w:pPr>
              <w:spacing w:after="0"/>
              <w:rPr>
                <w:sz w:val="13"/>
                <w:szCs w:val="13"/>
                <w:color w:val="auto"/>
              </w:rPr>
            </w:pPr>
          </w:p>
        </w:tc>
        <w:tc>
          <w:tcPr>
            <w:tcW w:w="760" w:type="dxa"/>
            <w:vAlign w:val="bottom"/>
          </w:tcPr>
          <w:p>
            <w:pPr>
              <w:jc w:val="right"/>
              <w:ind w:right="19"/>
              <w:spacing w:after="0"/>
              <w:rPr>
                <w:sz w:val="20"/>
                <w:szCs w:val="20"/>
                <w:color w:val="auto"/>
              </w:rPr>
            </w:pPr>
            <w:r>
              <w:rPr>
                <w:rFonts w:ascii="Arial" w:cs="Arial" w:eastAsia="Arial" w:hAnsi="Arial"/>
                <w:sz w:val="13"/>
                <w:szCs w:val="13"/>
                <w:color w:val="auto"/>
              </w:rPr>
              <w:t>37.6</w:t>
            </w: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8.2</w:t>
            </w:r>
          </w:p>
        </w:tc>
        <w:tc>
          <w:tcPr>
            <w:tcW w:w="1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(3.1)</w:t>
            </w:r>
          </w:p>
        </w:tc>
        <w:tc>
          <w:tcPr>
            <w:tcW w:w="120" w:type="dxa"/>
            <w:vAlign w:val="bottom"/>
          </w:tcPr>
          <w:p>
            <w:pPr>
              <w:spacing w:after="0"/>
              <w:rPr>
                <w:sz w:val="13"/>
                <w:szCs w:val="13"/>
                <w:color w:val="auto"/>
              </w:rPr>
            </w:pPr>
          </w:p>
        </w:tc>
        <w:tc>
          <w:tcPr>
            <w:tcW w:w="660" w:type="dxa"/>
            <w:vAlign w:val="bottom"/>
          </w:tcPr>
          <w:p>
            <w:pPr>
              <w:jc w:val="right"/>
              <w:ind w:right="18"/>
              <w:spacing w:after="0"/>
              <w:rPr>
                <w:sz w:val="20"/>
                <w:szCs w:val="20"/>
                <w:color w:val="auto"/>
              </w:rPr>
            </w:pPr>
            <w:r>
              <w:rPr>
                <w:rFonts w:ascii="Arial" w:cs="Arial" w:eastAsia="Arial" w:hAnsi="Arial"/>
                <w:sz w:val="13"/>
                <w:szCs w:val="13"/>
                <w:color w:val="auto"/>
              </w:rPr>
              <w:t>2.8</w:t>
            </w:r>
          </w:p>
        </w:tc>
        <w:tc>
          <w:tcPr>
            <w:tcW w:w="100" w:type="dxa"/>
            <w:vAlign w:val="bottom"/>
          </w:tcPr>
          <w:p>
            <w:pPr>
              <w:spacing w:after="0"/>
              <w:rPr>
                <w:sz w:val="13"/>
                <w:szCs w:val="13"/>
                <w:color w:val="auto"/>
              </w:rPr>
            </w:pPr>
          </w:p>
        </w:tc>
        <w:tc>
          <w:tcPr>
            <w:tcW w:w="940" w:type="dxa"/>
            <w:vAlign w:val="bottom"/>
          </w:tcPr>
          <w:p>
            <w:pPr>
              <w:jc w:val="right"/>
              <w:ind w:right="58"/>
              <w:spacing w:after="0"/>
              <w:rPr>
                <w:sz w:val="20"/>
                <w:szCs w:val="20"/>
                <w:color w:val="auto"/>
              </w:rPr>
            </w:pPr>
            <w:r>
              <w:rPr>
                <w:rFonts w:ascii="Arial" w:cs="Arial" w:eastAsia="Arial" w:hAnsi="Arial"/>
                <w:sz w:val="13"/>
                <w:szCs w:val="13"/>
                <w:color w:val="auto"/>
              </w:rPr>
              <w:t>245.0</w:t>
            </w: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18.6</w:t>
            </w: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11.0</w:t>
            </w: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2.4</w:t>
            </w:r>
          </w:p>
        </w:tc>
        <w:tc>
          <w:tcPr>
            <w:tcW w:w="2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175.3</w:t>
            </w:r>
          </w:p>
        </w:tc>
        <w:tc>
          <w:tcPr>
            <w:tcW w:w="0" w:type="dxa"/>
            <w:vAlign w:val="bottom"/>
          </w:tcPr>
          <w:p>
            <w:pPr>
              <w:spacing w:after="0"/>
              <w:rPr>
                <w:sz w:val="1"/>
                <w:szCs w:val="1"/>
                <w:color w:val="auto"/>
              </w:rPr>
            </w:pPr>
          </w:p>
        </w:tc>
      </w:tr>
      <w:tr>
        <w:trPr>
          <w:trHeight w:val="182"/>
        </w:trPr>
        <w:tc>
          <w:tcPr>
            <w:tcW w:w="1600" w:type="dxa"/>
            <w:vAlign w:val="bottom"/>
            <w:gridSpan w:val="2"/>
          </w:tcPr>
          <w:p>
            <w:pPr>
              <w:ind w:left="20"/>
              <w:spacing w:after="0"/>
              <w:rPr>
                <w:sz w:val="20"/>
                <w:szCs w:val="20"/>
                <w:color w:val="auto"/>
              </w:rPr>
            </w:pPr>
            <w:r>
              <w:rPr>
                <w:rFonts w:ascii="Arial" w:cs="Arial" w:eastAsia="Arial" w:hAnsi="Arial"/>
                <w:sz w:val="13"/>
                <w:szCs w:val="13"/>
                <w:color w:val="auto"/>
              </w:rPr>
              <w:t>Diluted EPS - Continuing</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1600" w:type="dxa"/>
            <w:vAlign w:val="bottom"/>
            <w:gridSpan w:val="2"/>
          </w:tcPr>
          <w:p>
            <w:pPr>
              <w:ind w:left="20"/>
              <w:spacing w:after="0"/>
              <w:rPr>
                <w:sz w:val="20"/>
                <w:szCs w:val="20"/>
                <w:color w:val="auto"/>
              </w:rPr>
            </w:pPr>
            <w:r>
              <w:rPr>
                <w:rFonts w:ascii="Arial" w:cs="Arial" w:eastAsia="Arial" w:hAnsi="Arial"/>
                <w:sz w:val="13"/>
                <w:szCs w:val="13"/>
                <w:color w:val="auto"/>
              </w:rPr>
              <w:t>Operations</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(3.68)</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8"/>
              <w:spacing w:after="0"/>
              <w:rPr>
                <w:sz w:val="20"/>
                <w:szCs w:val="20"/>
                <w:color w:val="auto"/>
              </w:rPr>
            </w:pPr>
            <w:r>
              <w:rPr>
                <w:rFonts w:ascii="Arial" w:cs="Arial" w:eastAsia="Arial" w:hAnsi="Arial"/>
                <w:sz w:val="13"/>
                <w:szCs w:val="13"/>
                <w:color w:val="auto"/>
              </w:rPr>
              <w:t>0.39</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0.24</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9"/>
              <w:spacing w:after="0"/>
              <w:rPr>
                <w:sz w:val="20"/>
                <w:szCs w:val="20"/>
                <w:color w:val="auto"/>
              </w:rPr>
            </w:pPr>
            <w:r>
              <w:rPr>
                <w:rFonts w:ascii="Arial" w:cs="Arial" w:eastAsia="Arial" w:hAnsi="Arial"/>
                <w:sz w:val="13"/>
                <w:szCs w:val="13"/>
                <w:color w:val="auto"/>
              </w:rPr>
              <w:t>0.76</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0.17</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(0.06)</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8"/>
              <w:spacing w:after="0"/>
              <w:rPr>
                <w:sz w:val="20"/>
                <w:szCs w:val="20"/>
                <w:color w:val="auto"/>
              </w:rPr>
            </w:pPr>
            <w:r>
              <w:rPr>
                <w:rFonts w:ascii="Arial" w:cs="Arial" w:eastAsia="Arial" w:hAnsi="Arial"/>
                <w:sz w:val="13"/>
                <w:szCs w:val="13"/>
                <w:color w:val="auto"/>
              </w:rPr>
              <w:t>0.06</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58"/>
              <w:spacing w:after="0"/>
              <w:rPr>
                <w:sz w:val="20"/>
                <w:szCs w:val="20"/>
                <w:color w:val="auto"/>
              </w:rPr>
            </w:pPr>
            <w:r>
              <w:rPr>
                <w:rFonts w:ascii="Arial" w:cs="Arial" w:eastAsia="Arial" w:hAnsi="Arial"/>
                <w:sz w:val="13"/>
                <w:szCs w:val="13"/>
                <w:color w:val="auto"/>
              </w:rPr>
              <w:t>4.96</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0.38</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0.22</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0.05</w:t>
            </w:r>
          </w:p>
        </w:tc>
        <w:tc>
          <w:tcPr>
            <w:tcW w:w="200" w:type="dxa"/>
            <w:vAlign w:val="bottom"/>
          </w:tcPr>
          <w:p>
            <w:pPr>
              <w:jc w:val="right"/>
              <w:ind w:right="42"/>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3.55</w:t>
            </w:r>
          </w:p>
        </w:tc>
        <w:tc>
          <w:tcPr>
            <w:tcW w:w="0" w:type="dxa"/>
            <w:vAlign w:val="bottom"/>
          </w:tcPr>
          <w:p>
            <w:pPr>
              <w:spacing w:after="0"/>
              <w:rPr>
                <w:sz w:val="1"/>
                <w:szCs w:val="1"/>
                <w:color w:val="auto"/>
              </w:rPr>
            </w:pPr>
          </w:p>
        </w:tc>
      </w:tr>
    </w:tbl>
    <w:p>
      <w:pPr>
        <w:spacing w:after="0" w:line="333"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GAAP results for the twelve months ended December 31, 2018 include:</w:t>
      </w:r>
    </w:p>
    <w:p>
      <w:pPr>
        <w:spacing w:after="0" w:line="58" w:lineRule="exact"/>
        <w:rPr>
          <w:sz w:val="20"/>
          <w:szCs w:val="20"/>
          <w:color w:val="auto"/>
        </w:rPr>
      </w:pPr>
    </w:p>
    <w:p>
      <w:pPr>
        <w:ind w:left="360" w:hanging="340"/>
        <w:spacing w:after="0"/>
        <w:tabs>
          <w:tab w:leader="none" w:pos="360" w:val="left"/>
        </w:tabs>
        <w:numPr>
          <w:ilvl w:val="0"/>
          <w:numId w:val="14"/>
        </w:numPr>
        <w:rPr>
          <w:rFonts w:ascii="Arial" w:cs="Arial" w:eastAsia="Arial" w:hAnsi="Arial"/>
          <w:sz w:val="13"/>
          <w:szCs w:val="13"/>
          <w:color w:val="auto"/>
        </w:rPr>
      </w:pPr>
      <w:r>
        <w:rPr>
          <w:rFonts w:ascii="Arial" w:cs="Arial" w:eastAsia="Arial" w:hAnsi="Arial"/>
          <w:sz w:val="13"/>
          <w:szCs w:val="13"/>
          <w:color w:val="auto"/>
        </w:rPr>
        <w:t>Merger and integration expenses related to our legacy companies and recent acquisitions</w:t>
      </w:r>
    </w:p>
    <w:p>
      <w:pPr>
        <w:spacing w:after="0" w:line="42" w:lineRule="exact"/>
        <w:rPr>
          <w:rFonts w:ascii="Arial" w:cs="Arial" w:eastAsia="Arial" w:hAnsi="Arial"/>
          <w:sz w:val="13"/>
          <w:szCs w:val="13"/>
          <w:color w:val="auto"/>
        </w:rPr>
      </w:pPr>
    </w:p>
    <w:p>
      <w:pPr>
        <w:ind w:left="360" w:hanging="340"/>
        <w:spacing w:after="0"/>
        <w:tabs>
          <w:tab w:leader="none" w:pos="360" w:val="left"/>
        </w:tabs>
        <w:numPr>
          <w:ilvl w:val="0"/>
          <w:numId w:val="14"/>
        </w:numPr>
        <w:rPr>
          <w:rFonts w:ascii="Arial" w:cs="Arial" w:eastAsia="Arial" w:hAnsi="Arial"/>
          <w:sz w:val="13"/>
          <w:szCs w:val="13"/>
          <w:color w:val="auto"/>
        </w:rPr>
      </w:pPr>
      <w:r>
        <w:rPr>
          <w:rFonts w:ascii="Arial" w:cs="Arial" w:eastAsia="Arial" w:hAnsi="Arial"/>
          <w:sz w:val="13"/>
          <w:szCs w:val="13"/>
          <w:color w:val="auto"/>
        </w:rPr>
        <w:t>Restructuring expenses related to organizational changes</w:t>
      </w:r>
    </w:p>
    <w:p>
      <w:pPr>
        <w:spacing w:after="0" w:line="42" w:lineRule="exact"/>
        <w:rPr>
          <w:rFonts w:ascii="Arial" w:cs="Arial" w:eastAsia="Arial" w:hAnsi="Arial"/>
          <w:sz w:val="13"/>
          <w:szCs w:val="13"/>
          <w:color w:val="auto"/>
        </w:rPr>
      </w:pPr>
    </w:p>
    <w:p>
      <w:pPr>
        <w:ind w:left="360" w:hanging="340"/>
        <w:spacing w:after="0"/>
        <w:tabs>
          <w:tab w:leader="none" w:pos="360" w:val="left"/>
        </w:tabs>
        <w:numPr>
          <w:ilvl w:val="0"/>
          <w:numId w:val="14"/>
        </w:numPr>
        <w:rPr>
          <w:rFonts w:ascii="Arial" w:cs="Arial" w:eastAsia="Arial" w:hAnsi="Arial"/>
          <w:sz w:val="13"/>
          <w:szCs w:val="13"/>
          <w:color w:val="auto"/>
        </w:rPr>
      </w:pPr>
      <w:r>
        <w:rPr>
          <w:rFonts w:ascii="Arial" w:cs="Arial" w:eastAsia="Arial" w:hAnsi="Arial"/>
          <w:sz w:val="13"/>
          <w:szCs w:val="13"/>
          <w:color w:val="auto"/>
        </w:rPr>
        <w:t>Includes depreciation and amortization associated with purchase price accounting</w:t>
      </w:r>
    </w:p>
    <w:p>
      <w:pPr>
        <w:spacing w:after="0" w:line="42" w:lineRule="exact"/>
        <w:rPr>
          <w:rFonts w:ascii="Arial" w:cs="Arial" w:eastAsia="Arial" w:hAnsi="Arial"/>
          <w:sz w:val="13"/>
          <w:szCs w:val="13"/>
          <w:color w:val="auto"/>
        </w:rPr>
      </w:pPr>
    </w:p>
    <w:p>
      <w:pPr>
        <w:ind w:left="360" w:hanging="340"/>
        <w:spacing w:after="0"/>
        <w:tabs>
          <w:tab w:leader="none" w:pos="360" w:val="left"/>
        </w:tabs>
        <w:numPr>
          <w:ilvl w:val="0"/>
          <w:numId w:val="14"/>
        </w:numPr>
        <w:rPr>
          <w:rFonts w:ascii="Arial" w:cs="Arial" w:eastAsia="Arial" w:hAnsi="Arial"/>
          <w:sz w:val="13"/>
          <w:szCs w:val="13"/>
          <w:color w:val="auto"/>
        </w:rPr>
      </w:pPr>
      <w:r>
        <w:rPr>
          <w:rFonts w:ascii="Arial" w:cs="Arial" w:eastAsia="Arial" w:hAnsi="Arial"/>
          <w:sz w:val="13"/>
          <w:szCs w:val="13"/>
          <w:color w:val="auto"/>
        </w:rPr>
        <w:t>Costs related to the 3T Heater-Cooler remediation plan</w:t>
      </w:r>
    </w:p>
    <w:p>
      <w:pPr>
        <w:spacing w:after="0" w:line="42" w:lineRule="exact"/>
        <w:rPr>
          <w:rFonts w:ascii="Arial" w:cs="Arial" w:eastAsia="Arial" w:hAnsi="Arial"/>
          <w:sz w:val="13"/>
          <w:szCs w:val="13"/>
          <w:color w:val="auto"/>
        </w:rPr>
      </w:pPr>
    </w:p>
    <w:p>
      <w:pPr>
        <w:ind w:left="360" w:hanging="340"/>
        <w:spacing w:after="0"/>
        <w:tabs>
          <w:tab w:leader="none" w:pos="360" w:val="left"/>
        </w:tabs>
        <w:numPr>
          <w:ilvl w:val="0"/>
          <w:numId w:val="14"/>
        </w:numPr>
        <w:rPr>
          <w:rFonts w:ascii="Arial" w:cs="Arial" w:eastAsia="Arial" w:hAnsi="Arial"/>
          <w:sz w:val="13"/>
          <w:szCs w:val="13"/>
          <w:color w:val="auto"/>
        </w:rPr>
      </w:pPr>
      <w:r>
        <w:rPr>
          <w:rFonts w:ascii="Arial" w:cs="Arial" w:eastAsia="Arial" w:hAnsi="Arial"/>
          <w:sz w:val="13"/>
          <w:szCs w:val="13"/>
          <w:color w:val="auto"/>
        </w:rPr>
        <w:t>Costs related to acquisitions</w:t>
      </w:r>
    </w:p>
    <w:p>
      <w:pPr>
        <w:spacing w:after="0" w:line="42" w:lineRule="exact"/>
        <w:rPr>
          <w:rFonts w:ascii="Arial" w:cs="Arial" w:eastAsia="Arial" w:hAnsi="Arial"/>
          <w:sz w:val="13"/>
          <w:szCs w:val="13"/>
          <w:color w:val="auto"/>
        </w:rPr>
      </w:pPr>
    </w:p>
    <w:p>
      <w:pPr>
        <w:ind w:left="360" w:hanging="340"/>
        <w:spacing w:after="0"/>
        <w:tabs>
          <w:tab w:leader="none" w:pos="360" w:val="left"/>
        </w:tabs>
        <w:numPr>
          <w:ilvl w:val="0"/>
          <w:numId w:val="14"/>
        </w:numPr>
        <w:rPr>
          <w:rFonts w:ascii="Arial" w:cs="Arial" w:eastAsia="Arial" w:hAnsi="Arial"/>
          <w:sz w:val="13"/>
          <w:szCs w:val="13"/>
          <w:color w:val="auto"/>
        </w:rPr>
      </w:pPr>
      <w:r>
        <w:rPr>
          <w:rFonts w:ascii="Arial" w:cs="Arial" w:eastAsia="Arial" w:hAnsi="Arial"/>
          <w:sz w:val="13"/>
          <w:szCs w:val="13"/>
          <w:color w:val="auto"/>
        </w:rPr>
        <w:t>Corporate costs incurred to divest of the CRM business not attributable to discontinued operations</w:t>
      </w:r>
    </w:p>
    <w:p>
      <w:pPr>
        <w:spacing w:after="0" w:line="42" w:lineRule="exact"/>
        <w:rPr>
          <w:rFonts w:ascii="Arial" w:cs="Arial" w:eastAsia="Arial" w:hAnsi="Arial"/>
          <w:sz w:val="13"/>
          <w:szCs w:val="13"/>
          <w:color w:val="auto"/>
        </w:rPr>
      </w:pPr>
    </w:p>
    <w:p>
      <w:pPr>
        <w:ind w:left="360" w:hanging="340"/>
        <w:spacing w:after="0" w:line="238" w:lineRule="auto"/>
        <w:tabs>
          <w:tab w:leader="none" w:pos="360" w:val="left"/>
        </w:tabs>
        <w:numPr>
          <w:ilvl w:val="0"/>
          <w:numId w:val="14"/>
        </w:numPr>
        <w:rPr>
          <w:rFonts w:ascii="Arial" w:cs="Arial" w:eastAsia="Arial" w:hAnsi="Arial"/>
          <w:sz w:val="13"/>
          <w:szCs w:val="13"/>
          <w:color w:val="auto"/>
        </w:rPr>
      </w:pPr>
      <w:r>
        <w:rPr>
          <w:rFonts w:ascii="Arial" w:cs="Arial" w:eastAsia="Arial" w:hAnsi="Arial"/>
          <w:sz w:val="13"/>
          <w:szCs w:val="13"/>
          <w:color w:val="auto"/>
        </w:rPr>
        <w:t>3T Heater-Cooler litigation provision, legal expenses primarily related to 3T Heater-Cooler defense, settlements and other matters, remeasurement of contingent consideration related to acquisitions and AR reserves</w:t>
      </w:r>
    </w:p>
    <w:p>
      <w:pPr>
        <w:spacing w:after="0" w:line="38" w:lineRule="exact"/>
        <w:rPr>
          <w:rFonts w:ascii="Arial" w:cs="Arial" w:eastAsia="Arial" w:hAnsi="Arial"/>
          <w:sz w:val="13"/>
          <w:szCs w:val="13"/>
          <w:color w:val="auto"/>
        </w:rPr>
      </w:pPr>
    </w:p>
    <w:p>
      <w:pPr>
        <w:ind w:left="360" w:hanging="340"/>
        <w:spacing w:after="0"/>
        <w:tabs>
          <w:tab w:leader="none" w:pos="360" w:val="left"/>
        </w:tabs>
        <w:numPr>
          <w:ilvl w:val="0"/>
          <w:numId w:val="14"/>
        </w:numPr>
        <w:rPr>
          <w:rFonts w:ascii="Arial" w:cs="Arial" w:eastAsia="Arial" w:hAnsi="Arial"/>
          <w:sz w:val="13"/>
          <w:szCs w:val="13"/>
          <w:color w:val="auto"/>
        </w:rPr>
      </w:pPr>
      <w:r>
        <w:rPr>
          <w:rFonts w:ascii="Arial" w:cs="Arial" w:eastAsia="Arial" w:hAnsi="Arial"/>
          <w:sz w:val="13"/>
          <w:szCs w:val="13"/>
          <w:color w:val="auto"/>
        </w:rPr>
        <w:t>Non-cash expenses associated with stock-based compensation costs</w:t>
      </w:r>
    </w:p>
    <w:p>
      <w:pPr>
        <w:spacing w:after="0" w:line="42" w:lineRule="exact"/>
        <w:rPr>
          <w:rFonts w:ascii="Arial" w:cs="Arial" w:eastAsia="Arial" w:hAnsi="Arial"/>
          <w:sz w:val="13"/>
          <w:szCs w:val="13"/>
          <w:color w:val="auto"/>
        </w:rPr>
      </w:pPr>
    </w:p>
    <w:p>
      <w:pPr>
        <w:ind w:left="360" w:hanging="340"/>
        <w:spacing w:after="0"/>
        <w:tabs>
          <w:tab w:leader="none" w:pos="360" w:val="left"/>
        </w:tabs>
        <w:numPr>
          <w:ilvl w:val="0"/>
          <w:numId w:val="14"/>
        </w:numPr>
        <w:rPr>
          <w:rFonts w:ascii="Arial" w:cs="Arial" w:eastAsia="Arial" w:hAnsi="Arial"/>
          <w:sz w:val="13"/>
          <w:szCs w:val="13"/>
          <w:color w:val="auto"/>
        </w:rPr>
      </w:pPr>
      <w:r>
        <w:rPr>
          <w:rFonts w:ascii="Arial" w:cs="Arial" w:eastAsia="Arial" w:hAnsi="Arial"/>
          <w:sz w:val="13"/>
          <w:szCs w:val="13"/>
          <w:color w:val="auto"/>
        </w:rPr>
        <w:t>Primarily relates to discrete tax items and the tax impact of intercompany transactions</w:t>
      </w:r>
    </w:p>
    <w:p>
      <w:pPr>
        <w:spacing w:after="0" w:line="42" w:lineRule="exact"/>
        <w:rPr>
          <w:rFonts w:ascii="Arial" w:cs="Arial" w:eastAsia="Arial" w:hAnsi="Arial"/>
          <w:sz w:val="13"/>
          <w:szCs w:val="13"/>
          <w:color w:val="auto"/>
        </w:rPr>
      </w:pPr>
    </w:p>
    <w:p>
      <w:pPr>
        <w:ind w:left="360" w:hanging="340"/>
        <w:spacing w:after="0"/>
        <w:tabs>
          <w:tab w:leader="none" w:pos="360" w:val="left"/>
        </w:tabs>
        <w:numPr>
          <w:ilvl w:val="0"/>
          <w:numId w:val="14"/>
        </w:numPr>
        <w:rPr>
          <w:rFonts w:ascii="Arial" w:cs="Arial" w:eastAsia="Arial" w:hAnsi="Arial"/>
          <w:sz w:val="13"/>
          <w:szCs w:val="13"/>
          <w:color w:val="auto"/>
        </w:rPr>
      </w:pPr>
      <w:r>
        <w:rPr>
          <w:rFonts w:ascii="Arial" w:cs="Arial" w:eastAsia="Arial" w:hAnsi="Arial"/>
          <w:sz w:val="13"/>
          <w:szCs w:val="13"/>
          <w:color w:val="auto"/>
        </w:rPr>
        <w:t>Primarily relates to intellectual property migration and other non-recurring impacts to interest expense</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3"/>
          <w:szCs w:val="13"/>
          <w:color w:val="auto"/>
        </w:rPr>
        <w:t>* Numbers may not add precisely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19</w:t>
      </w:r>
    </w:p>
    <w:p>
      <w:pPr>
        <w:sectPr>
          <w:pgSz w:w="11900" w:h="16838" w:orient="portrait"/>
          <w:cols w:equalWidth="0" w:num="1">
            <w:col w:w="11480"/>
          </w:cols>
          <w:pgMar w:left="240" w:top="715" w:right="179" w:bottom="1440" w:gutter="0" w:footer="0" w:header="0"/>
        </w:sectPr>
      </w:pPr>
    </w:p>
    <w:bookmarkStart w:id="22" w:name="page23"/>
    <w:bookmarkEnd w:id="22"/>
    <w:p>
      <w:pPr>
        <w:ind w:left="20"/>
        <w:spacing w:after="0"/>
        <w:rPr>
          <w:sz w:val="20"/>
          <w:szCs w:val="20"/>
          <w:color w:val="auto"/>
        </w:rPr>
      </w:pPr>
      <w:r>
        <w:rPr>
          <w:rFonts w:ascii="Arial" w:cs="Arial" w:eastAsia="Arial" w:hAnsi="Arial"/>
          <w:sz w:val="13"/>
          <w:szCs w:val="13"/>
          <w:b w:val="1"/>
          <w:bCs w:val="1"/>
          <w:color w:val="auto"/>
        </w:rPr>
        <w:t>RECONCILIATION OF GAAP TO NON-GAAP FINANCIAL MEASURES - UNAUDITED</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(U.S.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727710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7100" cy="7620"/>
                    </a:xfrm>
                    <a:prstGeom prst="rect">
                      <a:avLst/>
                    </a:prstGeom>
                    <a:noFill/>
                  </pic:spPr>
                </pic:pic>
              </a:graphicData>
            </a:graphic>
          </wp:anchor>
        </w:drawing>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2"/>
          </w:tcPr>
          <w:p>
            <w:pPr>
              <w:jc w:val="right"/>
              <w:ind w:right="197"/>
              <w:spacing w:after="0"/>
              <w:rPr>
                <w:sz w:val="20"/>
                <w:szCs w:val="20"/>
                <w:color w:val="auto"/>
              </w:rPr>
            </w:pPr>
            <w:r>
              <w:rPr>
                <w:rFonts w:ascii="Arial" w:cs="Arial" w:eastAsia="Arial" w:hAnsi="Arial"/>
                <w:sz w:val="11"/>
                <w:szCs w:val="11"/>
                <w:b w:val="1"/>
                <w:bCs w:val="1"/>
                <w:color w:val="auto"/>
              </w:rPr>
              <w:t>Specified Items</w:t>
            </w:r>
          </w:p>
        </w:tc>
        <w:tc>
          <w:tcPr>
            <w:tcW w:w="9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Depreciation</w:t>
            </w: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2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Non-recurring</w:t>
            </w:r>
          </w:p>
        </w:tc>
        <w:tc>
          <w:tcPr>
            <w:tcW w:w="9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4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rPr>
              <w:t>Merger and</w:t>
            </w:r>
          </w:p>
        </w:tc>
        <w:tc>
          <w:tcPr>
            <w:tcW w:w="880" w:type="dxa"/>
            <w:vAlign w:val="bottom"/>
          </w:tcPr>
          <w:p>
            <w:pPr>
              <w:spacing w:after="0"/>
              <w:rPr>
                <w:sz w:val="10"/>
                <w:szCs w:val="10"/>
                <w:color w:val="auto"/>
              </w:rPr>
            </w:pPr>
          </w:p>
        </w:tc>
        <w:tc>
          <w:tcPr>
            <w:tcW w:w="80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rPr>
              <w:t>and</w:t>
            </w:r>
          </w:p>
        </w:tc>
        <w:tc>
          <w:tcPr>
            <w:tcW w:w="80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rPr>
              <w:t>Product</w:t>
            </w:r>
          </w:p>
        </w:tc>
        <w:tc>
          <w:tcPr>
            <w:tcW w:w="7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2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rPr>
              <w:t>Legal and</w:t>
            </w:r>
          </w:p>
        </w:tc>
        <w:tc>
          <w:tcPr>
            <w:tcW w:w="94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rPr>
              <w:t>Stock-based</w:t>
            </w:r>
          </w:p>
        </w:tc>
        <w:tc>
          <w:tcPr>
            <w:tcW w:w="800" w:type="dxa"/>
            <w:vAlign w:val="bottom"/>
          </w:tcPr>
          <w:p>
            <w:pPr>
              <w:spacing w:after="0"/>
              <w:rPr>
                <w:sz w:val="10"/>
                <w:szCs w:val="10"/>
                <w:color w:val="auto"/>
              </w:rPr>
            </w:pPr>
          </w:p>
        </w:tc>
        <w:tc>
          <w:tcPr>
            <w:tcW w:w="76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rPr>
              <w:t>Certain</w:t>
            </w: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88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Twelve Months Ended</w:t>
            </w:r>
          </w:p>
        </w:tc>
        <w:tc>
          <w:tcPr>
            <w:tcW w:w="68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rPr>
              <w:t>GAAP</w:t>
            </w:r>
          </w:p>
        </w:tc>
        <w:tc>
          <w:tcPr>
            <w:tcW w:w="74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rPr>
              <w:t>Integration</w:t>
            </w:r>
          </w:p>
        </w:tc>
        <w:tc>
          <w:tcPr>
            <w:tcW w:w="88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rPr>
              <w:t>Restructuring</w:t>
            </w:r>
          </w:p>
        </w:tc>
        <w:tc>
          <w:tcPr>
            <w:tcW w:w="80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rPr>
              <w:t>Amortization</w:t>
            </w:r>
          </w:p>
        </w:tc>
        <w:tc>
          <w:tcPr>
            <w:tcW w:w="80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rPr>
              <w:t>Remediation</w:t>
            </w:r>
          </w:p>
        </w:tc>
        <w:tc>
          <w:tcPr>
            <w:tcW w:w="74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rPr>
              <w:t>Acquisition</w:t>
            </w:r>
          </w:p>
        </w:tc>
        <w:tc>
          <w:tcPr>
            <w:tcW w:w="820" w:type="dxa"/>
            <w:vAlign w:val="bottom"/>
          </w:tcPr>
          <w:p>
            <w:pPr>
              <w:spacing w:after="0"/>
              <w:rPr>
                <w:sz w:val="10"/>
                <w:szCs w:val="10"/>
                <w:color w:val="auto"/>
              </w:rPr>
            </w:pPr>
          </w:p>
        </w:tc>
        <w:tc>
          <w:tcPr>
            <w:tcW w:w="92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w w:val="99"/>
              </w:rPr>
              <w:t>Contingent</w:t>
            </w:r>
          </w:p>
        </w:tc>
        <w:tc>
          <w:tcPr>
            <w:tcW w:w="94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rPr>
              <w:t>Compensation</w:t>
            </w:r>
          </w:p>
        </w:tc>
        <w:tc>
          <w:tcPr>
            <w:tcW w:w="80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rPr>
              <w:t>Certain Tax</w:t>
            </w:r>
          </w:p>
        </w:tc>
        <w:tc>
          <w:tcPr>
            <w:tcW w:w="76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rPr>
              <w:t>Interest</w:t>
            </w:r>
          </w:p>
        </w:tc>
        <w:tc>
          <w:tcPr>
            <w:tcW w:w="70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w w:val="97"/>
              </w:rPr>
              <w:t>Adjusted</w:t>
            </w:r>
          </w:p>
        </w:tc>
        <w:tc>
          <w:tcPr>
            <w:tcW w:w="0" w:type="dxa"/>
            <w:vAlign w:val="bottom"/>
          </w:tcPr>
          <w:p>
            <w:pPr>
              <w:spacing w:after="0"/>
              <w:rPr>
                <w:sz w:val="1"/>
                <w:szCs w:val="1"/>
                <w:color w:val="auto"/>
              </w:rPr>
            </w:pPr>
          </w:p>
        </w:tc>
      </w:tr>
      <w:tr>
        <w:trPr>
          <w:trHeight w:val="115"/>
        </w:trPr>
        <w:tc>
          <w:tcPr>
            <w:tcW w:w="1880" w:type="dxa"/>
            <w:vAlign w:val="bottom"/>
            <w:gridSpan w:val="2"/>
            <w:vMerge w:val="continue"/>
          </w:tcPr>
          <w:p>
            <w:pPr>
              <w:spacing w:after="0"/>
              <w:rPr>
                <w:sz w:val="10"/>
                <w:szCs w:val="10"/>
                <w:color w:val="auto"/>
              </w:rPr>
            </w:pPr>
          </w:p>
        </w:tc>
        <w:tc>
          <w:tcPr>
            <w:tcW w:w="68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rPr>
              <w:t>Financial</w:t>
            </w:r>
          </w:p>
        </w:tc>
        <w:tc>
          <w:tcPr>
            <w:tcW w:w="74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rPr>
              <w:t>Expenses</w:t>
            </w:r>
          </w:p>
        </w:tc>
        <w:tc>
          <w:tcPr>
            <w:tcW w:w="88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rPr>
              <w:t>Expenses</w:t>
            </w:r>
          </w:p>
        </w:tc>
        <w:tc>
          <w:tcPr>
            <w:tcW w:w="80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rPr>
              <w:t>Expenses</w:t>
            </w:r>
          </w:p>
        </w:tc>
        <w:tc>
          <w:tcPr>
            <w:tcW w:w="80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rPr>
              <w:t>Expenses</w:t>
            </w:r>
          </w:p>
        </w:tc>
        <w:tc>
          <w:tcPr>
            <w:tcW w:w="74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rPr>
              <w:t>Costs</w:t>
            </w:r>
          </w:p>
        </w:tc>
        <w:tc>
          <w:tcPr>
            <w:tcW w:w="820" w:type="dxa"/>
            <w:vAlign w:val="bottom"/>
          </w:tcPr>
          <w:p>
            <w:pPr>
              <w:jc w:val="right"/>
              <w:ind w:right="57"/>
              <w:spacing w:after="0" w:line="115" w:lineRule="exact"/>
              <w:rPr>
                <w:sz w:val="20"/>
                <w:szCs w:val="20"/>
                <w:color w:val="auto"/>
              </w:rPr>
            </w:pPr>
            <w:r>
              <w:rPr>
                <w:rFonts w:ascii="Arial" w:cs="Arial" w:eastAsia="Arial" w:hAnsi="Arial"/>
                <w:sz w:val="11"/>
                <w:szCs w:val="11"/>
                <w:b w:val="1"/>
                <w:bCs w:val="1"/>
                <w:color w:val="auto"/>
              </w:rPr>
              <w:t>Impairments</w:t>
            </w:r>
          </w:p>
        </w:tc>
        <w:tc>
          <w:tcPr>
            <w:tcW w:w="92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rPr>
              <w:t>Consideration</w:t>
            </w:r>
          </w:p>
        </w:tc>
        <w:tc>
          <w:tcPr>
            <w:tcW w:w="94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rPr>
              <w:t>Costs</w:t>
            </w:r>
          </w:p>
        </w:tc>
        <w:tc>
          <w:tcPr>
            <w:tcW w:w="80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rPr>
              <w:t>Adjustments</w:t>
            </w:r>
          </w:p>
        </w:tc>
        <w:tc>
          <w:tcPr>
            <w:tcW w:w="76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rPr>
              <w:t>Adjustments</w:t>
            </w:r>
          </w:p>
        </w:tc>
        <w:tc>
          <w:tcPr>
            <w:tcW w:w="70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rPr>
              <w:t>Financial</w:t>
            </w:r>
          </w:p>
        </w:tc>
        <w:tc>
          <w:tcPr>
            <w:tcW w:w="0" w:type="dxa"/>
            <w:vAlign w:val="bottom"/>
          </w:tcPr>
          <w:p>
            <w:pPr>
              <w:spacing w:after="0"/>
              <w:rPr>
                <w:sz w:val="1"/>
                <w:szCs w:val="1"/>
                <w:color w:val="auto"/>
              </w:rPr>
            </w:pPr>
          </w:p>
        </w:tc>
      </w:tr>
      <w:tr>
        <w:trPr>
          <w:trHeight w:val="168"/>
        </w:trPr>
        <w:tc>
          <w:tcPr>
            <w:tcW w:w="18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December 31, 2017</w:t>
            </w:r>
          </w:p>
        </w:tc>
        <w:tc>
          <w:tcPr>
            <w:tcW w:w="8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Measures</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1"/>
              </w:rPr>
              <w:t>(A)</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(B)</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(C)</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(D)</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(E)</w:t>
            </w:r>
          </w:p>
        </w:tc>
        <w:tc>
          <w:tcPr>
            <w:tcW w:w="820" w:type="dxa"/>
            <w:vAlign w:val="bottom"/>
            <w:tcBorders>
              <w:bottom w:val="single" w:sz="8" w:color="auto"/>
            </w:tcBorders>
          </w:tcPr>
          <w:p>
            <w:pPr>
              <w:jc w:val="right"/>
              <w:ind w:right="297"/>
              <w:spacing w:after="0"/>
              <w:rPr>
                <w:sz w:val="20"/>
                <w:szCs w:val="20"/>
                <w:color w:val="auto"/>
              </w:rPr>
            </w:pPr>
            <w:r>
              <w:rPr>
                <w:rFonts w:ascii="Arial" w:cs="Arial" w:eastAsia="Arial" w:hAnsi="Arial"/>
                <w:sz w:val="11"/>
                <w:szCs w:val="11"/>
                <w:b w:val="1"/>
                <w:bCs w:val="1"/>
                <w:color w:val="auto"/>
              </w:rPr>
              <w:t>(F)</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(G)</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1"/>
              </w:rPr>
              <w:t>(H)</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(I)</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8"/>
              </w:rPr>
              <w:t>(J)</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Measures</w:t>
            </w:r>
          </w:p>
        </w:tc>
        <w:tc>
          <w:tcPr>
            <w:tcW w:w="0" w:type="dxa"/>
            <w:vAlign w:val="bottom"/>
          </w:tcPr>
          <w:p>
            <w:pPr>
              <w:spacing w:after="0"/>
              <w:rPr>
                <w:sz w:val="1"/>
                <w:szCs w:val="1"/>
                <w:color w:val="auto"/>
              </w:rPr>
            </w:pPr>
          </w:p>
        </w:tc>
      </w:tr>
      <w:tr>
        <w:trPr>
          <w:trHeight w:val="222"/>
        </w:trPr>
        <w:tc>
          <w:tcPr>
            <w:tcW w:w="1880" w:type="dxa"/>
            <w:vAlign w:val="bottom"/>
            <w:gridSpan w:val="2"/>
          </w:tcPr>
          <w:p>
            <w:pPr>
              <w:ind w:left="20"/>
              <w:spacing w:after="0"/>
              <w:rPr>
                <w:sz w:val="20"/>
                <w:szCs w:val="20"/>
                <w:color w:val="auto"/>
              </w:rPr>
            </w:pPr>
            <w:r>
              <w:rPr>
                <w:rFonts w:ascii="Arial" w:cs="Arial" w:eastAsia="Arial" w:hAnsi="Arial"/>
                <w:sz w:val="13"/>
                <w:szCs w:val="13"/>
                <w:color w:val="auto"/>
              </w:rPr>
              <w:t>Gross profit</w:t>
            </w:r>
          </w:p>
        </w:tc>
        <w:tc>
          <w:tcPr>
            <w:tcW w:w="680" w:type="dxa"/>
            <w:vAlign w:val="bottom"/>
          </w:tcPr>
          <w:p>
            <w:pPr>
              <w:jc w:val="right"/>
              <w:ind w:right="38"/>
              <w:spacing w:after="0"/>
              <w:rPr>
                <w:sz w:val="20"/>
                <w:szCs w:val="20"/>
                <w:color w:val="auto"/>
              </w:rPr>
            </w:pPr>
            <w:r>
              <w:rPr>
                <w:rFonts w:ascii="Arial" w:cs="Arial" w:eastAsia="Arial" w:hAnsi="Arial"/>
                <w:sz w:val="13"/>
                <w:szCs w:val="13"/>
                <w:color w:val="auto"/>
              </w:rPr>
              <w:t>$651.8</w:t>
            </w:r>
          </w:p>
        </w:tc>
        <w:tc>
          <w:tcPr>
            <w:tcW w:w="74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39"/>
              <w:spacing w:after="0"/>
              <w:rPr>
                <w:sz w:val="20"/>
                <w:szCs w:val="20"/>
                <w:color w:val="auto"/>
              </w:rPr>
            </w:pPr>
            <w:r>
              <w:rPr>
                <w:rFonts w:ascii="Arial" w:cs="Arial" w:eastAsia="Arial" w:hAnsi="Arial"/>
                <w:sz w:val="13"/>
                <w:szCs w:val="13"/>
                <w:color w:val="auto"/>
              </w:rPr>
              <w:t>$4.4</w:t>
            </w:r>
          </w:p>
        </w:tc>
        <w:tc>
          <w:tcPr>
            <w:tcW w:w="800" w:type="dxa"/>
            <w:vAlign w:val="bottom"/>
          </w:tcPr>
          <w:p>
            <w:pPr>
              <w:jc w:val="right"/>
              <w:spacing w:after="0"/>
              <w:rPr>
                <w:sz w:val="20"/>
                <w:szCs w:val="20"/>
                <w:color w:val="auto"/>
              </w:rPr>
            </w:pPr>
            <w:r>
              <w:rPr>
                <w:rFonts w:ascii="Arial" w:cs="Arial" w:eastAsia="Arial" w:hAnsi="Arial"/>
                <w:sz w:val="13"/>
                <w:szCs w:val="13"/>
                <w:color w:val="auto"/>
              </w:rPr>
              <w:t>$7.3</w:t>
            </w:r>
          </w:p>
        </w:tc>
        <w:tc>
          <w:tcPr>
            <w:tcW w:w="740" w:type="dxa"/>
            <w:vAlign w:val="bottom"/>
          </w:tcPr>
          <w:p>
            <w:pPr>
              <w:jc w:val="right"/>
              <w:ind w:right="18"/>
              <w:spacing w:after="0"/>
              <w:rPr>
                <w:sz w:val="20"/>
                <w:szCs w:val="20"/>
                <w:color w:val="auto"/>
              </w:rPr>
            </w:pPr>
            <w:r>
              <w:rPr>
                <w:rFonts w:ascii="Arial" w:cs="Arial" w:eastAsia="Arial" w:hAnsi="Arial"/>
                <w:sz w:val="13"/>
                <w:szCs w:val="13"/>
                <w:color w:val="auto"/>
              </w:rPr>
              <w:t>$0.2</w:t>
            </w: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$0.7</w:t>
            </w:r>
          </w:p>
        </w:tc>
        <w:tc>
          <w:tcPr>
            <w:tcW w:w="920" w:type="dxa"/>
            <w:vAlign w:val="bottom"/>
          </w:tcPr>
          <w:p>
            <w:pPr>
              <w:jc w:val="right"/>
              <w:ind w:right="59"/>
              <w:spacing w:after="0"/>
              <w:rPr>
                <w:sz w:val="20"/>
                <w:szCs w:val="20"/>
                <w:color w:val="auto"/>
              </w:rPr>
            </w:pPr>
            <w:r>
              <w:rPr>
                <w:rFonts w:ascii="Arial" w:cs="Arial" w:eastAsia="Arial" w:hAnsi="Arial"/>
                <w:sz w:val="13"/>
                <w:szCs w:val="13"/>
                <w:color w:val="auto"/>
              </w:rPr>
              <w:t>$0.1</w:t>
            </w:r>
          </w:p>
        </w:tc>
        <w:tc>
          <w:tcPr>
            <w:tcW w:w="940" w:type="dxa"/>
            <w:vAlign w:val="bottom"/>
          </w:tcPr>
          <w:p>
            <w:pPr>
              <w:jc w:val="right"/>
              <w:ind w:right="38"/>
              <w:spacing w:after="0"/>
              <w:rPr>
                <w:sz w:val="20"/>
                <w:szCs w:val="20"/>
                <w:color w:val="auto"/>
              </w:rPr>
            </w:pPr>
            <w:r>
              <w:rPr>
                <w:rFonts w:ascii="Arial" w:cs="Arial" w:eastAsia="Arial" w:hAnsi="Arial"/>
                <w:sz w:val="13"/>
                <w:szCs w:val="13"/>
                <w:color w:val="auto"/>
              </w:rPr>
              <w:t>$0.4</w:t>
            </w:r>
          </w:p>
        </w:tc>
        <w:tc>
          <w:tcPr>
            <w:tcW w:w="800" w:type="dxa"/>
            <w:vAlign w:val="bottom"/>
          </w:tcPr>
          <w:p>
            <w:pPr>
              <w:jc w:val="right"/>
              <w:ind w:right="18"/>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8"/>
              <w:spacing w:after="0"/>
              <w:rPr>
                <w:sz w:val="20"/>
                <w:szCs w:val="20"/>
                <w:color w:val="auto"/>
              </w:rPr>
            </w:pPr>
            <w:r>
              <w:rPr>
                <w:rFonts w:ascii="Arial" w:cs="Arial" w:eastAsia="Arial" w:hAnsi="Arial"/>
                <w:sz w:val="13"/>
                <w:szCs w:val="13"/>
                <w:color w:val="auto"/>
              </w:rPr>
              <w:t>$665.0</w:t>
            </w:r>
          </w:p>
        </w:tc>
        <w:tc>
          <w:tcPr>
            <w:tcW w:w="0" w:type="dxa"/>
            <w:vAlign w:val="bottom"/>
          </w:tcPr>
          <w:p>
            <w:pPr>
              <w:spacing w:after="0"/>
              <w:rPr>
                <w:sz w:val="1"/>
                <w:szCs w:val="1"/>
                <w:color w:val="auto"/>
              </w:rPr>
            </w:pPr>
          </w:p>
        </w:tc>
      </w:tr>
      <w:tr>
        <w:trPr>
          <w:trHeight w:val="182"/>
        </w:trPr>
        <w:tc>
          <w:tcPr>
            <w:tcW w:w="1880" w:type="dxa"/>
            <w:vAlign w:val="bottom"/>
            <w:gridSpan w:val="2"/>
          </w:tcPr>
          <w:p>
            <w:pPr>
              <w:ind w:left="20"/>
              <w:spacing w:after="0"/>
              <w:rPr>
                <w:sz w:val="20"/>
                <w:szCs w:val="20"/>
                <w:color w:val="auto"/>
              </w:rPr>
            </w:pPr>
            <w:r>
              <w:rPr>
                <w:rFonts w:ascii="Arial" w:cs="Arial" w:eastAsia="Arial" w:hAnsi="Arial"/>
                <w:sz w:val="13"/>
                <w:szCs w:val="13"/>
                <w:color w:val="auto"/>
              </w:rPr>
              <w:t>Selling, general and</w:t>
            </w: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1880" w:type="dxa"/>
            <w:vAlign w:val="bottom"/>
            <w:gridSpan w:val="2"/>
          </w:tcPr>
          <w:p>
            <w:pPr>
              <w:ind w:left="20"/>
              <w:spacing w:after="0"/>
              <w:rPr>
                <w:sz w:val="20"/>
                <w:szCs w:val="20"/>
                <w:color w:val="auto"/>
              </w:rPr>
            </w:pPr>
            <w:r>
              <w:rPr>
                <w:rFonts w:ascii="Arial" w:cs="Arial" w:eastAsia="Arial" w:hAnsi="Arial"/>
                <w:sz w:val="13"/>
                <w:szCs w:val="13"/>
                <w:color w:val="auto"/>
              </w:rPr>
              <w:t>administrative</w:t>
            </w:r>
          </w:p>
        </w:tc>
        <w:tc>
          <w:tcPr>
            <w:tcW w:w="680" w:type="dxa"/>
            <w:vAlign w:val="bottom"/>
          </w:tcPr>
          <w:p>
            <w:pPr>
              <w:jc w:val="right"/>
              <w:ind w:right="38"/>
              <w:spacing w:after="0"/>
              <w:rPr>
                <w:sz w:val="20"/>
                <w:szCs w:val="20"/>
                <w:color w:val="auto"/>
              </w:rPr>
            </w:pPr>
            <w:r>
              <w:rPr>
                <w:rFonts w:ascii="Arial" w:cs="Arial" w:eastAsia="Arial" w:hAnsi="Arial"/>
                <w:sz w:val="13"/>
                <w:szCs w:val="13"/>
                <w:color w:val="auto"/>
              </w:rPr>
              <w:t>380.1</w:t>
            </w:r>
          </w:p>
        </w:tc>
        <w:tc>
          <w:tcPr>
            <w:tcW w:w="74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(1.0)</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(2.3)</w:t>
            </w: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0.3</w:t>
            </w:r>
          </w:p>
        </w:tc>
        <w:tc>
          <w:tcPr>
            <w:tcW w:w="920" w:type="dxa"/>
            <w:vAlign w:val="bottom"/>
          </w:tcPr>
          <w:p>
            <w:pPr>
              <w:jc w:val="right"/>
              <w:ind w:right="19"/>
              <w:spacing w:after="0"/>
              <w:rPr>
                <w:sz w:val="20"/>
                <w:szCs w:val="20"/>
                <w:color w:val="auto"/>
              </w:rPr>
            </w:pPr>
            <w:r>
              <w:rPr>
                <w:rFonts w:ascii="Arial" w:cs="Arial" w:eastAsia="Arial" w:hAnsi="Arial"/>
                <w:sz w:val="13"/>
                <w:szCs w:val="13"/>
                <w:color w:val="auto"/>
              </w:rPr>
              <w:t>(10.5)</w:t>
            </w:r>
          </w:p>
        </w:tc>
        <w:tc>
          <w:tcPr>
            <w:tcW w:w="940" w:type="dxa"/>
            <w:vAlign w:val="bottom"/>
          </w:tcPr>
          <w:p>
            <w:pPr>
              <w:jc w:val="right"/>
              <w:spacing w:after="0"/>
              <w:rPr>
                <w:sz w:val="20"/>
                <w:szCs w:val="20"/>
                <w:color w:val="auto"/>
              </w:rPr>
            </w:pPr>
            <w:r>
              <w:rPr>
                <w:rFonts w:ascii="Arial" w:cs="Arial" w:eastAsia="Arial" w:hAnsi="Arial"/>
                <w:sz w:val="13"/>
                <w:szCs w:val="13"/>
                <w:color w:val="auto"/>
              </w:rPr>
              <w:t>(16.1)</w:t>
            </w:r>
          </w:p>
        </w:tc>
        <w:tc>
          <w:tcPr>
            <w:tcW w:w="800" w:type="dxa"/>
            <w:vAlign w:val="bottom"/>
          </w:tcPr>
          <w:p>
            <w:pPr>
              <w:jc w:val="right"/>
              <w:ind w:right="18"/>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8"/>
              <w:spacing w:after="0"/>
              <w:rPr>
                <w:sz w:val="20"/>
                <w:szCs w:val="20"/>
                <w:color w:val="auto"/>
              </w:rPr>
            </w:pPr>
            <w:r>
              <w:rPr>
                <w:rFonts w:ascii="Arial" w:cs="Arial" w:eastAsia="Arial" w:hAnsi="Arial"/>
                <w:sz w:val="13"/>
                <w:szCs w:val="13"/>
                <w:color w:val="auto"/>
              </w:rPr>
              <w:t>350.5</w:t>
            </w:r>
          </w:p>
        </w:tc>
        <w:tc>
          <w:tcPr>
            <w:tcW w:w="0" w:type="dxa"/>
            <w:vAlign w:val="bottom"/>
          </w:tcPr>
          <w:p>
            <w:pPr>
              <w:spacing w:after="0"/>
              <w:rPr>
                <w:sz w:val="1"/>
                <w:szCs w:val="1"/>
                <w:color w:val="auto"/>
              </w:rPr>
            </w:pPr>
          </w:p>
        </w:tc>
      </w:tr>
      <w:tr>
        <w:trPr>
          <w:trHeight w:val="240"/>
        </w:trPr>
        <w:tc>
          <w:tcPr>
            <w:tcW w:w="1880" w:type="dxa"/>
            <w:vAlign w:val="bottom"/>
            <w:gridSpan w:val="2"/>
          </w:tcPr>
          <w:p>
            <w:pPr>
              <w:ind w:left="20"/>
              <w:spacing w:after="0"/>
              <w:rPr>
                <w:sz w:val="20"/>
                <w:szCs w:val="20"/>
                <w:color w:val="auto"/>
              </w:rPr>
            </w:pPr>
            <w:r>
              <w:rPr>
                <w:rFonts w:ascii="Arial" w:cs="Arial" w:eastAsia="Arial" w:hAnsi="Arial"/>
                <w:sz w:val="13"/>
                <w:szCs w:val="13"/>
                <w:color w:val="auto"/>
              </w:rPr>
              <w:t>Research and development</w:t>
            </w:r>
          </w:p>
        </w:tc>
        <w:tc>
          <w:tcPr>
            <w:tcW w:w="680" w:type="dxa"/>
            <w:vAlign w:val="bottom"/>
          </w:tcPr>
          <w:p>
            <w:pPr>
              <w:jc w:val="right"/>
              <w:ind w:right="38"/>
              <w:spacing w:after="0"/>
              <w:rPr>
                <w:sz w:val="20"/>
                <w:szCs w:val="20"/>
                <w:color w:val="auto"/>
              </w:rPr>
            </w:pPr>
            <w:r>
              <w:rPr>
                <w:rFonts w:ascii="Arial" w:cs="Arial" w:eastAsia="Arial" w:hAnsi="Arial"/>
                <w:sz w:val="13"/>
                <w:szCs w:val="13"/>
                <w:color w:val="auto"/>
              </w:rPr>
              <w:t>109.5</w:t>
            </w:r>
          </w:p>
        </w:tc>
        <w:tc>
          <w:tcPr>
            <w:tcW w:w="74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(0.1)</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(13.0)</w:t>
            </w:r>
          </w:p>
        </w:tc>
        <w:tc>
          <w:tcPr>
            <w:tcW w:w="820" w:type="dxa"/>
            <w:vAlign w:val="bottom"/>
          </w:tcPr>
          <w:p>
            <w:pPr>
              <w:jc w:val="right"/>
              <w:spacing w:after="0"/>
              <w:rPr>
                <w:sz w:val="20"/>
                <w:szCs w:val="20"/>
                <w:color w:val="auto"/>
              </w:rPr>
            </w:pPr>
            <w:r>
              <w:rPr>
                <w:rFonts w:ascii="Arial" w:cs="Arial" w:eastAsia="Arial" w:hAnsi="Arial"/>
                <w:sz w:val="13"/>
                <w:szCs w:val="13"/>
                <w:color w:val="auto"/>
              </w:rPr>
              <w:t>(0.5)</w:t>
            </w:r>
          </w:p>
        </w:tc>
        <w:tc>
          <w:tcPr>
            <w:tcW w:w="920" w:type="dxa"/>
            <w:vAlign w:val="bottom"/>
          </w:tcPr>
          <w:p>
            <w:pPr>
              <w:jc w:val="right"/>
              <w:ind w:right="59"/>
              <w:spacing w:after="0"/>
              <w:rPr>
                <w:sz w:val="20"/>
                <w:szCs w:val="20"/>
                <w:color w:val="auto"/>
              </w:rPr>
            </w:pPr>
            <w:r>
              <w:rPr>
                <w:rFonts w:ascii="Arial" w:cs="Arial" w:eastAsia="Arial" w:hAnsi="Arial"/>
                <w:sz w:val="13"/>
                <w:szCs w:val="13"/>
                <w:color w:val="auto"/>
              </w:rPr>
              <w:t>0.3</w:t>
            </w:r>
          </w:p>
        </w:tc>
        <w:tc>
          <w:tcPr>
            <w:tcW w:w="940" w:type="dxa"/>
            <w:vAlign w:val="bottom"/>
          </w:tcPr>
          <w:p>
            <w:pPr>
              <w:jc w:val="right"/>
              <w:spacing w:after="0"/>
              <w:rPr>
                <w:sz w:val="20"/>
                <w:szCs w:val="20"/>
                <w:color w:val="auto"/>
              </w:rPr>
            </w:pPr>
            <w:r>
              <w:rPr>
                <w:rFonts w:ascii="Arial" w:cs="Arial" w:eastAsia="Arial" w:hAnsi="Arial"/>
                <w:sz w:val="13"/>
                <w:szCs w:val="13"/>
                <w:color w:val="auto"/>
              </w:rPr>
              <w:t>(1.1)</w:t>
            </w:r>
          </w:p>
        </w:tc>
        <w:tc>
          <w:tcPr>
            <w:tcW w:w="800" w:type="dxa"/>
            <w:vAlign w:val="bottom"/>
          </w:tcPr>
          <w:p>
            <w:pPr>
              <w:jc w:val="right"/>
              <w:ind w:right="18"/>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8"/>
              <w:spacing w:after="0"/>
              <w:rPr>
                <w:sz w:val="20"/>
                <w:szCs w:val="20"/>
                <w:color w:val="auto"/>
              </w:rPr>
            </w:pPr>
            <w:r>
              <w:rPr>
                <w:rFonts w:ascii="Arial" w:cs="Arial" w:eastAsia="Arial" w:hAnsi="Arial"/>
                <w:sz w:val="13"/>
                <w:szCs w:val="13"/>
                <w:color w:val="auto"/>
              </w:rPr>
              <w:t>95.0</w:t>
            </w:r>
          </w:p>
        </w:tc>
        <w:tc>
          <w:tcPr>
            <w:tcW w:w="0" w:type="dxa"/>
            <w:vAlign w:val="bottom"/>
          </w:tcPr>
          <w:p>
            <w:pPr>
              <w:spacing w:after="0"/>
              <w:rPr>
                <w:sz w:val="1"/>
                <w:szCs w:val="1"/>
                <w:color w:val="auto"/>
              </w:rPr>
            </w:pPr>
          </w:p>
        </w:tc>
      </w:tr>
      <w:tr>
        <w:trPr>
          <w:trHeight w:val="240"/>
        </w:trPr>
        <w:tc>
          <w:tcPr>
            <w:tcW w:w="1880" w:type="dxa"/>
            <w:vAlign w:val="bottom"/>
            <w:gridSpan w:val="2"/>
          </w:tcPr>
          <w:p>
            <w:pPr>
              <w:ind w:left="20"/>
              <w:spacing w:after="0"/>
              <w:rPr>
                <w:sz w:val="20"/>
                <w:szCs w:val="20"/>
                <w:color w:val="auto"/>
              </w:rPr>
            </w:pPr>
            <w:r>
              <w:rPr>
                <w:rFonts w:ascii="Arial" w:cs="Arial" w:eastAsia="Arial" w:hAnsi="Arial"/>
                <w:sz w:val="13"/>
                <w:szCs w:val="13"/>
                <w:color w:val="auto"/>
              </w:rPr>
              <w:t>Other operating expenses</w:t>
            </w:r>
          </w:p>
        </w:tc>
        <w:tc>
          <w:tcPr>
            <w:tcW w:w="680" w:type="dxa"/>
            <w:vAlign w:val="bottom"/>
          </w:tcPr>
          <w:p>
            <w:pPr>
              <w:jc w:val="right"/>
              <w:ind w:right="38"/>
              <w:spacing w:after="0"/>
              <w:rPr>
                <w:sz w:val="20"/>
                <w:szCs w:val="20"/>
                <w:color w:val="auto"/>
              </w:rPr>
            </w:pPr>
            <w:r>
              <w:rPr>
                <w:rFonts w:ascii="Arial" w:cs="Arial" w:eastAsia="Arial" w:hAnsi="Arial"/>
                <w:sz w:val="13"/>
                <w:szCs w:val="13"/>
                <w:color w:val="auto"/>
              </w:rPr>
              <w:t>65.7</w:t>
            </w:r>
          </w:p>
        </w:tc>
        <w:tc>
          <w:tcPr>
            <w:tcW w:w="740" w:type="dxa"/>
            <w:vAlign w:val="bottom"/>
          </w:tcPr>
          <w:p>
            <w:pPr>
              <w:jc w:val="right"/>
              <w:spacing w:after="0"/>
              <w:rPr>
                <w:sz w:val="20"/>
                <w:szCs w:val="20"/>
                <w:color w:val="auto"/>
              </w:rPr>
            </w:pPr>
            <w:r>
              <w:rPr>
                <w:rFonts w:ascii="Arial" w:cs="Arial" w:eastAsia="Arial" w:hAnsi="Arial"/>
                <w:sz w:val="13"/>
                <w:szCs w:val="13"/>
                <w:color w:val="auto"/>
              </w:rPr>
              <w:t>(14.8)</w:t>
            </w:r>
          </w:p>
        </w:tc>
        <w:tc>
          <w:tcPr>
            <w:tcW w:w="880" w:type="dxa"/>
            <w:vAlign w:val="bottom"/>
          </w:tcPr>
          <w:p>
            <w:pPr>
              <w:jc w:val="right"/>
              <w:spacing w:after="0"/>
              <w:rPr>
                <w:sz w:val="20"/>
                <w:szCs w:val="20"/>
                <w:color w:val="auto"/>
              </w:rPr>
            </w:pPr>
            <w:r>
              <w:rPr>
                <w:rFonts w:ascii="Arial" w:cs="Arial" w:eastAsia="Arial" w:hAnsi="Arial"/>
                <w:sz w:val="13"/>
                <w:szCs w:val="13"/>
                <w:color w:val="auto"/>
              </w:rPr>
              <w:t>(17.1)</w:t>
            </w:r>
          </w:p>
        </w:tc>
        <w:tc>
          <w:tcPr>
            <w:tcW w:w="800" w:type="dxa"/>
            <w:vAlign w:val="bottom"/>
          </w:tcPr>
          <w:p>
            <w:pPr>
              <w:jc w:val="right"/>
              <w:spacing w:after="0"/>
              <w:rPr>
                <w:sz w:val="20"/>
                <w:szCs w:val="20"/>
                <w:color w:val="auto"/>
              </w:rPr>
            </w:pPr>
            <w:r>
              <w:rPr>
                <w:rFonts w:ascii="Arial" w:cs="Arial" w:eastAsia="Arial" w:hAnsi="Arial"/>
                <w:sz w:val="13"/>
                <w:szCs w:val="13"/>
                <w:color w:val="auto"/>
              </w:rPr>
              <w:t>(33.1)</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(0.9)</w:t>
            </w: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59"/>
              <w:spacing w:after="0"/>
              <w:rPr>
                <w:sz w:val="20"/>
                <w:szCs w:val="20"/>
                <w:color w:val="auto"/>
              </w:rPr>
            </w:pPr>
            <w:r>
              <w:rPr>
                <w:rFonts w:ascii="Arial" w:cs="Arial" w:eastAsia="Arial" w:hAnsi="Arial"/>
                <w:sz w:val="13"/>
                <w:szCs w:val="13"/>
                <w:color w:val="auto"/>
              </w:rPr>
              <w:t>0.2</w:t>
            </w:r>
          </w:p>
        </w:tc>
        <w:tc>
          <w:tcPr>
            <w:tcW w:w="94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8"/>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2"/>
        </w:trPr>
        <w:tc>
          <w:tcPr>
            <w:tcW w:w="1880" w:type="dxa"/>
            <w:vAlign w:val="bottom"/>
            <w:gridSpan w:val="2"/>
          </w:tcPr>
          <w:p>
            <w:pPr>
              <w:ind w:left="20"/>
              <w:spacing w:after="0"/>
              <w:rPr>
                <w:sz w:val="20"/>
                <w:szCs w:val="20"/>
                <w:color w:val="auto"/>
              </w:rPr>
            </w:pPr>
            <w:r>
              <w:rPr>
                <w:rFonts w:ascii="Arial" w:cs="Arial" w:eastAsia="Arial" w:hAnsi="Arial"/>
                <w:sz w:val="13"/>
                <w:szCs w:val="13"/>
                <w:color w:val="auto"/>
              </w:rPr>
              <w:t>Operating income from</w:t>
            </w: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1880" w:type="dxa"/>
            <w:vAlign w:val="bottom"/>
            <w:gridSpan w:val="2"/>
          </w:tcPr>
          <w:p>
            <w:pPr>
              <w:ind w:left="20"/>
              <w:spacing w:after="0"/>
              <w:rPr>
                <w:sz w:val="20"/>
                <w:szCs w:val="20"/>
                <w:color w:val="auto"/>
              </w:rPr>
            </w:pPr>
            <w:r>
              <w:rPr>
                <w:rFonts w:ascii="Arial" w:cs="Arial" w:eastAsia="Arial" w:hAnsi="Arial"/>
                <w:sz w:val="13"/>
                <w:szCs w:val="13"/>
                <w:color w:val="auto"/>
              </w:rPr>
              <w:t>continuing operations</w:t>
            </w:r>
          </w:p>
        </w:tc>
        <w:tc>
          <w:tcPr>
            <w:tcW w:w="680" w:type="dxa"/>
            <w:vAlign w:val="bottom"/>
          </w:tcPr>
          <w:p>
            <w:pPr>
              <w:jc w:val="right"/>
              <w:ind w:right="38"/>
              <w:spacing w:after="0"/>
              <w:rPr>
                <w:sz w:val="20"/>
                <w:szCs w:val="20"/>
                <w:color w:val="auto"/>
              </w:rPr>
            </w:pPr>
            <w:r>
              <w:rPr>
                <w:rFonts w:ascii="Arial" w:cs="Arial" w:eastAsia="Arial" w:hAnsi="Arial"/>
                <w:sz w:val="13"/>
                <w:szCs w:val="13"/>
                <w:color w:val="auto"/>
              </w:rPr>
              <w:t>96.5</w:t>
            </w:r>
          </w:p>
        </w:tc>
        <w:tc>
          <w:tcPr>
            <w:tcW w:w="740" w:type="dxa"/>
            <w:vAlign w:val="bottom"/>
          </w:tcPr>
          <w:p>
            <w:pPr>
              <w:jc w:val="right"/>
              <w:ind w:right="38"/>
              <w:spacing w:after="0"/>
              <w:rPr>
                <w:sz w:val="20"/>
                <w:szCs w:val="20"/>
                <w:color w:val="auto"/>
              </w:rPr>
            </w:pPr>
            <w:r>
              <w:rPr>
                <w:rFonts w:ascii="Arial" w:cs="Arial" w:eastAsia="Arial" w:hAnsi="Arial"/>
                <w:sz w:val="13"/>
                <w:szCs w:val="13"/>
                <w:color w:val="auto"/>
              </w:rPr>
              <w:t>14.8</w:t>
            </w:r>
          </w:p>
        </w:tc>
        <w:tc>
          <w:tcPr>
            <w:tcW w:w="880" w:type="dxa"/>
            <w:vAlign w:val="bottom"/>
          </w:tcPr>
          <w:p>
            <w:pPr>
              <w:jc w:val="right"/>
              <w:ind w:right="38"/>
              <w:spacing w:after="0"/>
              <w:rPr>
                <w:sz w:val="20"/>
                <w:szCs w:val="20"/>
                <w:color w:val="auto"/>
              </w:rPr>
            </w:pPr>
            <w:r>
              <w:rPr>
                <w:rFonts w:ascii="Arial" w:cs="Arial" w:eastAsia="Arial" w:hAnsi="Arial"/>
                <w:sz w:val="13"/>
                <w:szCs w:val="13"/>
                <w:color w:val="auto"/>
              </w:rPr>
              <w:t>17.1</w:t>
            </w:r>
          </w:p>
        </w:tc>
        <w:tc>
          <w:tcPr>
            <w:tcW w:w="800" w:type="dxa"/>
            <w:vAlign w:val="bottom"/>
          </w:tcPr>
          <w:p>
            <w:pPr>
              <w:jc w:val="right"/>
              <w:ind w:right="39"/>
              <w:spacing w:after="0"/>
              <w:rPr>
                <w:sz w:val="20"/>
                <w:szCs w:val="20"/>
                <w:color w:val="auto"/>
              </w:rPr>
            </w:pPr>
            <w:r>
              <w:rPr>
                <w:rFonts w:ascii="Arial" w:cs="Arial" w:eastAsia="Arial" w:hAnsi="Arial"/>
                <w:sz w:val="13"/>
                <w:szCs w:val="13"/>
                <w:color w:val="auto"/>
              </w:rPr>
              <w:t>38.7</w:t>
            </w:r>
          </w:p>
        </w:tc>
        <w:tc>
          <w:tcPr>
            <w:tcW w:w="800" w:type="dxa"/>
            <w:vAlign w:val="bottom"/>
          </w:tcPr>
          <w:p>
            <w:pPr>
              <w:jc w:val="right"/>
              <w:spacing w:after="0"/>
              <w:rPr>
                <w:sz w:val="20"/>
                <w:szCs w:val="20"/>
                <w:color w:val="auto"/>
              </w:rPr>
            </w:pPr>
            <w:r>
              <w:rPr>
                <w:rFonts w:ascii="Arial" w:cs="Arial" w:eastAsia="Arial" w:hAnsi="Arial"/>
                <w:sz w:val="13"/>
                <w:szCs w:val="13"/>
                <w:color w:val="auto"/>
              </w:rPr>
              <w:t>7.3</w:t>
            </w:r>
          </w:p>
        </w:tc>
        <w:tc>
          <w:tcPr>
            <w:tcW w:w="740" w:type="dxa"/>
            <w:vAlign w:val="bottom"/>
          </w:tcPr>
          <w:p>
            <w:pPr>
              <w:jc w:val="right"/>
              <w:ind w:right="18"/>
              <w:spacing w:after="0"/>
              <w:rPr>
                <w:sz w:val="20"/>
                <w:szCs w:val="20"/>
                <w:color w:val="auto"/>
              </w:rPr>
            </w:pPr>
            <w:r>
              <w:rPr>
                <w:rFonts w:ascii="Arial" w:cs="Arial" w:eastAsia="Arial" w:hAnsi="Arial"/>
                <w:sz w:val="13"/>
                <w:szCs w:val="13"/>
                <w:color w:val="auto"/>
              </w:rPr>
              <w:t>16.5</w:t>
            </w: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1.0</w:t>
            </w:r>
          </w:p>
        </w:tc>
        <w:tc>
          <w:tcPr>
            <w:tcW w:w="920" w:type="dxa"/>
            <w:vAlign w:val="bottom"/>
          </w:tcPr>
          <w:p>
            <w:pPr>
              <w:jc w:val="right"/>
              <w:ind w:right="59"/>
              <w:spacing w:after="0"/>
              <w:rPr>
                <w:sz w:val="20"/>
                <w:szCs w:val="20"/>
                <w:color w:val="auto"/>
              </w:rPr>
            </w:pPr>
            <w:r>
              <w:rPr>
                <w:rFonts w:ascii="Arial" w:cs="Arial" w:eastAsia="Arial" w:hAnsi="Arial"/>
                <w:sz w:val="13"/>
                <w:szCs w:val="13"/>
                <w:color w:val="auto"/>
              </w:rPr>
              <w:t>10.1</w:t>
            </w:r>
          </w:p>
        </w:tc>
        <w:tc>
          <w:tcPr>
            <w:tcW w:w="940" w:type="dxa"/>
            <w:vAlign w:val="bottom"/>
          </w:tcPr>
          <w:p>
            <w:pPr>
              <w:jc w:val="right"/>
              <w:ind w:right="38"/>
              <w:spacing w:after="0"/>
              <w:rPr>
                <w:sz w:val="20"/>
                <w:szCs w:val="20"/>
                <w:color w:val="auto"/>
              </w:rPr>
            </w:pPr>
            <w:r>
              <w:rPr>
                <w:rFonts w:ascii="Arial" w:cs="Arial" w:eastAsia="Arial" w:hAnsi="Arial"/>
                <w:sz w:val="13"/>
                <w:szCs w:val="13"/>
                <w:color w:val="auto"/>
              </w:rPr>
              <w:t>17.7</w:t>
            </w:r>
          </w:p>
        </w:tc>
        <w:tc>
          <w:tcPr>
            <w:tcW w:w="800" w:type="dxa"/>
            <w:vAlign w:val="bottom"/>
          </w:tcPr>
          <w:p>
            <w:pPr>
              <w:jc w:val="right"/>
              <w:ind w:right="18"/>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8"/>
              <w:spacing w:after="0"/>
              <w:rPr>
                <w:sz w:val="20"/>
                <w:szCs w:val="20"/>
                <w:color w:val="auto"/>
              </w:rPr>
            </w:pPr>
            <w:r>
              <w:rPr>
                <w:rFonts w:ascii="Arial" w:cs="Arial" w:eastAsia="Arial" w:hAnsi="Arial"/>
                <w:sz w:val="13"/>
                <w:szCs w:val="13"/>
                <w:color w:val="auto"/>
              </w:rPr>
              <w:t>219.5</w:t>
            </w:r>
          </w:p>
        </w:tc>
        <w:tc>
          <w:tcPr>
            <w:tcW w:w="0" w:type="dxa"/>
            <w:vAlign w:val="bottom"/>
          </w:tcPr>
          <w:p>
            <w:pPr>
              <w:spacing w:after="0"/>
              <w:rPr>
                <w:sz w:val="1"/>
                <w:szCs w:val="1"/>
                <w:color w:val="auto"/>
              </w:rPr>
            </w:pPr>
          </w:p>
        </w:tc>
      </w:tr>
      <w:tr>
        <w:trPr>
          <w:trHeight w:val="182"/>
        </w:trPr>
        <w:tc>
          <w:tcPr>
            <w:tcW w:w="1880" w:type="dxa"/>
            <w:vAlign w:val="bottom"/>
            <w:gridSpan w:val="2"/>
          </w:tcPr>
          <w:p>
            <w:pPr>
              <w:ind w:left="20"/>
              <w:spacing w:after="0"/>
              <w:rPr>
                <w:sz w:val="20"/>
                <w:szCs w:val="20"/>
                <w:color w:val="auto"/>
              </w:rPr>
            </w:pPr>
            <w:r>
              <w:rPr>
                <w:rFonts w:ascii="Arial" w:cs="Arial" w:eastAsia="Arial" w:hAnsi="Arial"/>
                <w:sz w:val="13"/>
                <w:szCs w:val="13"/>
                <w:color w:val="auto"/>
              </w:rPr>
              <w:t>Gain on acquisition of Caisson</w:t>
            </w: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1880" w:type="dxa"/>
            <w:vAlign w:val="bottom"/>
            <w:gridSpan w:val="2"/>
          </w:tcPr>
          <w:p>
            <w:pPr>
              <w:ind w:left="20"/>
              <w:spacing w:after="0"/>
              <w:rPr>
                <w:sz w:val="20"/>
                <w:szCs w:val="20"/>
                <w:color w:val="auto"/>
              </w:rPr>
            </w:pPr>
            <w:r>
              <w:rPr>
                <w:rFonts w:ascii="Arial" w:cs="Arial" w:eastAsia="Arial" w:hAnsi="Arial"/>
                <w:sz w:val="13"/>
                <w:szCs w:val="13"/>
                <w:color w:val="auto"/>
              </w:rPr>
              <w:t>Interventional, LLC</w:t>
            </w:r>
          </w:p>
        </w:tc>
        <w:tc>
          <w:tcPr>
            <w:tcW w:w="680" w:type="dxa"/>
            <w:vAlign w:val="bottom"/>
          </w:tcPr>
          <w:p>
            <w:pPr>
              <w:jc w:val="right"/>
              <w:ind w:right="38"/>
              <w:spacing w:after="0"/>
              <w:rPr>
                <w:sz w:val="20"/>
                <w:szCs w:val="20"/>
                <w:color w:val="auto"/>
              </w:rPr>
            </w:pPr>
            <w:r>
              <w:rPr>
                <w:rFonts w:ascii="Arial" w:cs="Arial" w:eastAsia="Arial" w:hAnsi="Arial"/>
                <w:sz w:val="13"/>
                <w:szCs w:val="13"/>
                <w:color w:val="auto"/>
              </w:rPr>
              <w:t>39.4</w:t>
            </w:r>
          </w:p>
        </w:tc>
        <w:tc>
          <w:tcPr>
            <w:tcW w:w="74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39"/>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(39.4)</w:t>
            </w: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59"/>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8"/>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2"/>
        </w:trPr>
        <w:tc>
          <w:tcPr>
            <w:tcW w:w="1880" w:type="dxa"/>
            <w:vAlign w:val="bottom"/>
            <w:gridSpan w:val="2"/>
          </w:tcPr>
          <w:p>
            <w:pPr>
              <w:ind w:left="20"/>
              <w:spacing w:after="0"/>
              <w:rPr>
                <w:sz w:val="20"/>
                <w:szCs w:val="20"/>
                <w:color w:val="auto"/>
              </w:rPr>
            </w:pPr>
            <w:r>
              <w:rPr>
                <w:rFonts w:ascii="Arial" w:cs="Arial" w:eastAsia="Arial" w:hAnsi="Arial"/>
                <w:sz w:val="13"/>
                <w:szCs w:val="13"/>
                <w:color w:val="auto"/>
              </w:rPr>
              <w:t>Foreign exchange and other</w:t>
            </w: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1880" w:type="dxa"/>
            <w:vAlign w:val="bottom"/>
            <w:gridSpan w:val="2"/>
          </w:tcPr>
          <w:p>
            <w:pPr>
              <w:ind w:left="20"/>
              <w:spacing w:after="0"/>
              <w:rPr>
                <w:sz w:val="20"/>
                <w:szCs w:val="20"/>
                <w:color w:val="auto"/>
              </w:rPr>
            </w:pPr>
            <w:r>
              <w:rPr>
                <w:rFonts w:ascii="Arial" w:cs="Arial" w:eastAsia="Arial" w:hAnsi="Arial"/>
                <w:sz w:val="13"/>
                <w:szCs w:val="13"/>
                <w:color w:val="auto"/>
              </w:rPr>
              <w:t>(losses) gains</w:t>
            </w:r>
          </w:p>
        </w:tc>
        <w:tc>
          <w:tcPr>
            <w:tcW w:w="680" w:type="dxa"/>
            <w:vAlign w:val="bottom"/>
          </w:tcPr>
          <w:p>
            <w:pPr>
              <w:jc w:val="right"/>
              <w:ind w:right="38"/>
              <w:spacing w:after="0"/>
              <w:rPr>
                <w:sz w:val="20"/>
                <w:szCs w:val="20"/>
                <w:color w:val="auto"/>
              </w:rPr>
            </w:pPr>
            <w:r>
              <w:rPr>
                <w:rFonts w:ascii="Arial" w:cs="Arial" w:eastAsia="Arial" w:hAnsi="Arial"/>
                <w:sz w:val="13"/>
                <w:szCs w:val="13"/>
                <w:color w:val="auto"/>
              </w:rPr>
              <w:t>0.3</w:t>
            </w:r>
          </w:p>
        </w:tc>
        <w:tc>
          <w:tcPr>
            <w:tcW w:w="74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39"/>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8"/>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19"/>
              <w:spacing w:after="0"/>
              <w:rPr>
                <w:sz w:val="20"/>
                <w:szCs w:val="20"/>
                <w:color w:val="auto"/>
              </w:rPr>
            </w:pPr>
            <w:r>
              <w:rPr>
                <w:rFonts w:ascii="Arial" w:cs="Arial" w:eastAsia="Arial" w:hAnsi="Arial"/>
                <w:sz w:val="13"/>
                <w:szCs w:val="13"/>
                <w:color w:val="auto"/>
              </w:rPr>
              <w:t>(3.2)</w:t>
            </w:r>
          </w:p>
        </w:tc>
        <w:tc>
          <w:tcPr>
            <w:tcW w:w="94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8"/>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18"/>
              <w:spacing w:after="0"/>
              <w:rPr>
                <w:sz w:val="20"/>
                <w:szCs w:val="20"/>
                <w:color w:val="auto"/>
              </w:rPr>
            </w:pPr>
            <w:r>
              <w:rPr>
                <w:rFonts w:ascii="Arial" w:cs="Arial" w:eastAsia="Arial" w:hAnsi="Arial"/>
                <w:sz w:val="13"/>
                <w:szCs w:val="13"/>
                <w:color w:val="auto"/>
              </w:rPr>
              <w:t>(2.9)</w:t>
            </w:r>
          </w:p>
        </w:tc>
        <w:tc>
          <w:tcPr>
            <w:tcW w:w="0" w:type="dxa"/>
            <w:vAlign w:val="bottom"/>
          </w:tcPr>
          <w:p>
            <w:pPr>
              <w:spacing w:after="0"/>
              <w:rPr>
                <w:sz w:val="1"/>
                <w:szCs w:val="1"/>
                <w:color w:val="auto"/>
              </w:rPr>
            </w:pPr>
          </w:p>
        </w:tc>
      </w:tr>
      <w:tr>
        <w:trPr>
          <w:trHeight w:val="240"/>
        </w:trPr>
        <w:tc>
          <w:tcPr>
            <w:tcW w:w="1880" w:type="dxa"/>
            <w:vAlign w:val="bottom"/>
            <w:gridSpan w:val="2"/>
          </w:tcPr>
          <w:p>
            <w:pPr>
              <w:ind w:left="20"/>
              <w:spacing w:after="0"/>
              <w:rPr>
                <w:sz w:val="20"/>
                <w:szCs w:val="20"/>
                <w:color w:val="auto"/>
              </w:rPr>
            </w:pPr>
            <w:r>
              <w:rPr>
                <w:rFonts w:ascii="Arial" w:cs="Arial" w:eastAsia="Arial" w:hAnsi="Arial"/>
                <w:sz w:val="13"/>
                <w:szCs w:val="13"/>
                <w:color w:val="auto"/>
              </w:rPr>
              <w:t>Income tax expense</w:t>
            </w:r>
          </w:p>
        </w:tc>
        <w:tc>
          <w:tcPr>
            <w:tcW w:w="680" w:type="dxa"/>
            <w:vAlign w:val="bottom"/>
          </w:tcPr>
          <w:p>
            <w:pPr>
              <w:jc w:val="right"/>
              <w:ind w:right="38"/>
              <w:spacing w:after="0"/>
              <w:rPr>
                <w:sz w:val="20"/>
                <w:szCs w:val="20"/>
                <w:color w:val="auto"/>
              </w:rPr>
            </w:pPr>
            <w:r>
              <w:rPr>
                <w:rFonts w:ascii="Arial" w:cs="Arial" w:eastAsia="Arial" w:hAnsi="Arial"/>
                <w:sz w:val="13"/>
                <w:szCs w:val="13"/>
                <w:color w:val="auto"/>
              </w:rPr>
              <w:t>50.0</w:t>
            </w:r>
          </w:p>
        </w:tc>
        <w:tc>
          <w:tcPr>
            <w:tcW w:w="740" w:type="dxa"/>
            <w:vAlign w:val="bottom"/>
          </w:tcPr>
          <w:p>
            <w:pPr>
              <w:jc w:val="right"/>
              <w:ind w:right="38"/>
              <w:spacing w:after="0"/>
              <w:rPr>
                <w:sz w:val="20"/>
                <w:szCs w:val="20"/>
                <w:color w:val="auto"/>
              </w:rPr>
            </w:pPr>
            <w:r>
              <w:rPr>
                <w:rFonts w:ascii="Arial" w:cs="Arial" w:eastAsia="Arial" w:hAnsi="Arial"/>
                <w:sz w:val="13"/>
                <w:szCs w:val="13"/>
                <w:color w:val="auto"/>
              </w:rPr>
              <w:t>3.2</w:t>
            </w:r>
          </w:p>
        </w:tc>
        <w:tc>
          <w:tcPr>
            <w:tcW w:w="880" w:type="dxa"/>
            <w:vAlign w:val="bottom"/>
          </w:tcPr>
          <w:p>
            <w:pPr>
              <w:jc w:val="right"/>
              <w:ind w:right="38"/>
              <w:spacing w:after="0"/>
              <w:rPr>
                <w:sz w:val="20"/>
                <w:szCs w:val="20"/>
                <w:color w:val="auto"/>
              </w:rPr>
            </w:pPr>
            <w:r>
              <w:rPr>
                <w:rFonts w:ascii="Arial" w:cs="Arial" w:eastAsia="Arial" w:hAnsi="Arial"/>
                <w:sz w:val="13"/>
                <w:szCs w:val="13"/>
                <w:color w:val="auto"/>
              </w:rPr>
              <w:t>2.4</w:t>
            </w:r>
          </w:p>
        </w:tc>
        <w:tc>
          <w:tcPr>
            <w:tcW w:w="800" w:type="dxa"/>
            <w:vAlign w:val="bottom"/>
          </w:tcPr>
          <w:p>
            <w:pPr>
              <w:jc w:val="right"/>
              <w:ind w:right="39"/>
              <w:spacing w:after="0"/>
              <w:rPr>
                <w:sz w:val="20"/>
                <w:szCs w:val="20"/>
                <w:color w:val="auto"/>
              </w:rPr>
            </w:pPr>
            <w:r>
              <w:rPr>
                <w:rFonts w:ascii="Arial" w:cs="Arial" w:eastAsia="Arial" w:hAnsi="Arial"/>
                <w:sz w:val="13"/>
                <w:szCs w:val="13"/>
                <w:color w:val="auto"/>
              </w:rPr>
              <w:t>12.1</w:t>
            </w:r>
          </w:p>
        </w:tc>
        <w:tc>
          <w:tcPr>
            <w:tcW w:w="800" w:type="dxa"/>
            <w:vAlign w:val="bottom"/>
          </w:tcPr>
          <w:p>
            <w:pPr>
              <w:jc w:val="right"/>
              <w:spacing w:after="0"/>
              <w:rPr>
                <w:sz w:val="20"/>
                <w:szCs w:val="20"/>
                <w:color w:val="auto"/>
              </w:rPr>
            </w:pPr>
            <w:r>
              <w:rPr>
                <w:rFonts w:ascii="Arial" w:cs="Arial" w:eastAsia="Arial" w:hAnsi="Arial"/>
                <w:sz w:val="13"/>
                <w:szCs w:val="13"/>
                <w:color w:val="auto"/>
              </w:rPr>
              <w:t>2.4</w:t>
            </w:r>
          </w:p>
        </w:tc>
        <w:tc>
          <w:tcPr>
            <w:tcW w:w="740" w:type="dxa"/>
            <w:vAlign w:val="bottom"/>
          </w:tcPr>
          <w:p>
            <w:pPr>
              <w:jc w:val="right"/>
              <w:ind w:right="18"/>
              <w:spacing w:after="0"/>
              <w:rPr>
                <w:sz w:val="20"/>
                <w:szCs w:val="20"/>
                <w:color w:val="auto"/>
              </w:rPr>
            </w:pPr>
            <w:r>
              <w:rPr>
                <w:rFonts w:ascii="Arial" w:cs="Arial" w:eastAsia="Arial" w:hAnsi="Arial"/>
                <w:sz w:val="13"/>
                <w:szCs w:val="13"/>
                <w:color w:val="auto"/>
              </w:rPr>
              <w:t>5.7</w:t>
            </w: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1.6</w:t>
            </w:r>
          </w:p>
        </w:tc>
        <w:tc>
          <w:tcPr>
            <w:tcW w:w="920" w:type="dxa"/>
            <w:vAlign w:val="bottom"/>
          </w:tcPr>
          <w:p>
            <w:pPr>
              <w:jc w:val="right"/>
              <w:ind w:right="59"/>
              <w:spacing w:after="0"/>
              <w:rPr>
                <w:sz w:val="20"/>
                <w:szCs w:val="20"/>
                <w:color w:val="auto"/>
              </w:rPr>
            </w:pPr>
            <w:r>
              <w:rPr>
                <w:rFonts w:ascii="Arial" w:cs="Arial" w:eastAsia="Arial" w:hAnsi="Arial"/>
                <w:sz w:val="13"/>
                <w:szCs w:val="13"/>
                <w:color w:val="auto"/>
              </w:rPr>
              <w:t>3.2</w:t>
            </w:r>
          </w:p>
        </w:tc>
        <w:tc>
          <w:tcPr>
            <w:tcW w:w="940" w:type="dxa"/>
            <w:vAlign w:val="bottom"/>
          </w:tcPr>
          <w:p>
            <w:pPr>
              <w:jc w:val="right"/>
              <w:ind w:right="38"/>
              <w:spacing w:after="0"/>
              <w:rPr>
                <w:sz w:val="20"/>
                <w:szCs w:val="20"/>
                <w:color w:val="auto"/>
              </w:rPr>
            </w:pPr>
            <w:r>
              <w:rPr>
                <w:rFonts w:ascii="Arial" w:cs="Arial" w:eastAsia="Arial" w:hAnsi="Arial"/>
                <w:sz w:val="13"/>
                <w:szCs w:val="13"/>
                <w:color w:val="auto"/>
              </w:rPr>
              <w:t>4.1</w:t>
            </w:r>
          </w:p>
        </w:tc>
        <w:tc>
          <w:tcPr>
            <w:tcW w:w="800" w:type="dxa"/>
            <w:vAlign w:val="bottom"/>
          </w:tcPr>
          <w:p>
            <w:pPr>
              <w:jc w:val="right"/>
              <w:spacing w:after="0"/>
              <w:rPr>
                <w:sz w:val="20"/>
                <w:szCs w:val="20"/>
                <w:color w:val="auto"/>
              </w:rPr>
            </w:pPr>
            <w:r>
              <w:rPr>
                <w:rFonts w:ascii="Arial" w:cs="Arial" w:eastAsia="Arial" w:hAnsi="Arial"/>
                <w:sz w:val="13"/>
                <w:szCs w:val="13"/>
                <w:color w:val="auto"/>
              </w:rPr>
              <w:t>(37.2)</w:t>
            </w:r>
          </w:p>
        </w:tc>
        <w:tc>
          <w:tcPr>
            <w:tcW w:w="760" w:type="dxa"/>
            <w:vAlign w:val="bottom"/>
          </w:tcPr>
          <w:p>
            <w:pPr>
              <w:jc w:val="right"/>
              <w:spacing w:after="0"/>
              <w:rPr>
                <w:sz w:val="20"/>
                <w:szCs w:val="20"/>
                <w:color w:val="auto"/>
              </w:rPr>
            </w:pPr>
            <w:r>
              <w:rPr>
                <w:rFonts w:ascii="Arial" w:cs="Arial" w:eastAsia="Arial" w:hAnsi="Arial"/>
                <w:sz w:val="13"/>
                <w:szCs w:val="13"/>
                <w:color w:val="auto"/>
              </w:rPr>
              <w:t>1.1</w:t>
            </w:r>
          </w:p>
        </w:tc>
        <w:tc>
          <w:tcPr>
            <w:tcW w:w="700" w:type="dxa"/>
            <w:vAlign w:val="bottom"/>
          </w:tcPr>
          <w:p>
            <w:pPr>
              <w:jc w:val="right"/>
              <w:ind w:right="58"/>
              <w:spacing w:after="0"/>
              <w:rPr>
                <w:sz w:val="20"/>
                <w:szCs w:val="20"/>
                <w:color w:val="auto"/>
              </w:rPr>
            </w:pPr>
            <w:r>
              <w:rPr>
                <w:rFonts w:ascii="Arial" w:cs="Arial" w:eastAsia="Arial" w:hAnsi="Arial"/>
                <w:sz w:val="13"/>
                <w:szCs w:val="13"/>
                <w:color w:val="auto"/>
              </w:rPr>
              <w:t>48.6</w:t>
            </w:r>
          </w:p>
        </w:tc>
        <w:tc>
          <w:tcPr>
            <w:tcW w:w="0" w:type="dxa"/>
            <w:vAlign w:val="bottom"/>
          </w:tcPr>
          <w:p>
            <w:pPr>
              <w:spacing w:after="0"/>
              <w:rPr>
                <w:sz w:val="1"/>
                <w:szCs w:val="1"/>
                <w:color w:val="auto"/>
              </w:rPr>
            </w:pPr>
          </w:p>
        </w:tc>
      </w:tr>
      <w:tr>
        <w:trPr>
          <w:trHeight w:val="182"/>
        </w:trPr>
        <w:tc>
          <w:tcPr>
            <w:tcW w:w="1880" w:type="dxa"/>
            <w:vAlign w:val="bottom"/>
            <w:gridSpan w:val="2"/>
          </w:tcPr>
          <w:p>
            <w:pPr>
              <w:ind w:left="20"/>
              <w:spacing w:after="0"/>
              <w:rPr>
                <w:sz w:val="20"/>
                <w:szCs w:val="20"/>
                <w:color w:val="auto"/>
              </w:rPr>
            </w:pPr>
            <w:r>
              <w:rPr>
                <w:rFonts w:ascii="Arial" w:cs="Arial" w:eastAsia="Arial" w:hAnsi="Arial"/>
                <w:sz w:val="13"/>
                <w:szCs w:val="13"/>
                <w:color w:val="auto"/>
              </w:rPr>
              <w:t>Losses from equity method</w:t>
            </w: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1880" w:type="dxa"/>
            <w:vAlign w:val="bottom"/>
            <w:gridSpan w:val="2"/>
          </w:tcPr>
          <w:p>
            <w:pPr>
              <w:ind w:left="20"/>
              <w:spacing w:after="0"/>
              <w:rPr>
                <w:sz w:val="20"/>
                <w:szCs w:val="20"/>
                <w:color w:val="auto"/>
              </w:rPr>
            </w:pPr>
            <w:r>
              <w:rPr>
                <w:rFonts w:ascii="Arial" w:cs="Arial" w:eastAsia="Arial" w:hAnsi="Arial"/>
                <w:sz w:val="13"/>
                <w:szCs w:val="13"/>
                <w:color w:val="auto"/>
              </w:rPr>
              <w:t>investments</w:t>
            </w:r>
          </w:p>
        </w:tc>
        <w:tc>
          <w:tcPr>
            <w:tcW w:w="680" w:type="dxa"/>
            <w:vAlign w:val="bottom"/>
          </w:tcPr>
          <w:p>
            <w:pPr>
              <w:jc w:val="right"/>
              <w:spacing w:after="0"/>
              <w:rPr>
                <w:sz w:val="20"/>
                <w:szCs w:val="20"/>
                <w:color w:val="auto"/>
              </w:rPr>
            </w:pPr>
            <w:r>
              <w:rPr>
                <w:rFonts w:ascii="Arial" w:cs="Arial" w:eastAsia="Arial" w:hAnsi="Arial"/>
                <w:sz w:val="13"/>
                <w:szCs w:val="13"/>
                <w:color w:val="auto"/>
              </w:rPr>
              <w:t>(16.7)</w:t>
            </w:r>
          </w:p>
        </w:tc>
        <w:tc>
          <w:tcPr>
            <w:tcW w:w="74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39"/>
              <w:spacing w:after="0"/>
              <w:rPr>
                <w:sz w:val="20"/>
                <w:szCs w:val="20"/>
                <w:color w:val="auto"/>
              </w:rPr>
            </w:pPr>
            <w:r>
              <w:rPr>
                <w:rFonts w:ascii="Arial" w:cs="Arial" w:eastAsia="Arial" w:hAnsi="Arial"/>
                <w:sz w:val="13"/>
                <w:szCs w:val="13"/>
                <w:color w:val="auto"/>
              </w:rPr>
              <w:t>0.1</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8"/>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13.0</w:t>
            </w:r>
          </w:p>
        </w:tc>
        <w:tc>
          <w:tcPr>
            <w:tcW w:w="920" w:type="dxa"/>
            <w:vAlign w:val="bottom"/>
          </w:tcPr>
          <w:p>
            <w:pPr>
              <w:jc w:val="right"/>
              <w:ind w:right="59"/>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8"/>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18"/>
              <w:spacing w:after="0"/>
              <w:rPr>
                <w:sz w:val="20"/>
                <w:szCs w:val="20"/>
                <w:color w:val="auto"/>
              </w:rPr>
            </w:pPr>
            <w:r>
              <w:rPr>
                <w:rFonts w:ascii="Arial" w:cs="Arial" w:eastAsia="Arial" w:hAnsi="Arial"/>
                <w:sz w:val="13"/>
                <w:szCs w:val="13"/>
                <w:color w:val="auto"/>
              </w:rPr>
              <w:t>(3.6)</w:t>
            </w:r>
          </w:p>
        </w:tc>
        <w:tc>
          <w:tcPr>
            <w:tcW w:w="0" w:type="dxa"/>
            <w:vAlign w:val="bottom"/>
          </w:tcPr>
          <w:p>
            <w:pPr>
              <w:spacing w:after="0"/>
              <w:rPr>
                <w:sz w:val="1"/>
                <w:szCs w:val="1"/>
                <w:color w:val="auto"/>
              </w:rPr>
            </w:pPr>
          </w:p>
        </w:tc>
      </w:tr>
      <w:tr>
        <w:trPr>
          <w:trHeight w:val="182"/>
        </w:trPr>
        <w:tc>
          <w:tcPr>
            <w:tcW w:w="1880" w:type="dxa"/>
            <w:vAlign w:val="bottom"/>
            <w:gridSpan w:val="2"/>
          </w:tcPr>
          <w:p>
            <w:pPr>
              <w:ind w:left="20"/>
              <w:spacing w:after="0"/>
              <w:rPr>
                <w:sz w:val="20"/>
                <w:szCs w:val="20"/>
                <w:color w:val="auto"/>
              </w:rPr>
            </w:pPr>
            <w:r>
              <w:rPr>
                <w:rFonts w:ascii="Arial" w:cs="Arial" w:eastAsia="Arial" w:hAnsi="Arial"/>
                <w:sz w:val="13"/>
                <w:szCs w:val="13"/>
                <w:color w:val="auto"/>
              </w:rPr>
              <w:t>Net income from continuing</w:t>
            </w: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1880" w:type="dxa"/>
            <w:vAlign w:val="bottom"/>
            <w:gridSpan w:val="2"/>
          </w:tcPr>
          <w:p>
            <w:pPr>
              <w:ind w:left="20"/>
              <w:spacing w:after="0"/>
              <w:rPr>
                <w:sz w:val="20"/>
                <w:szCs w:val="20"/>
                <w:color w:val="auto"/>
              </w:rPr>
            </w:pPr>
            <w:r>
              <w:rPr>
                <w:rFonts w:ascii="Arial" w:cs="Arial" w:eastAsia="Arial" w:hAnsi="Arial"/>
                <w:sz w:val="13"/>
                <w:szCs w:val="13"/>
                <w:color w:val="auto"/>
              </w:rPr>
              <w:t>operations</w:t>
            </w:r>
          </w:p>
        </w:tc>
        <w:tc>
          <w:tcPr>
            <w:tcW w:w="680" w:type="dxa"/>
            <w:vAlign w:val="bottom"/>
          </w:tcPr>
          <w:p>
            <w:pPr>
              <w:jc w:val="right"/>
              <w:ind w:right="38"/>
              <w:spacing w:after="0"/>
              <w:rPr>
                <w:sz w:val="20"/>
                <w:szCs w:val="20"/>
                <w:color w:val="auto"/>
              </w:rPr>
            </w:pPr>
            <w:r>
              <w:rPr>
                <w:rFonts w:ascii="Arial" w:cs="Arial" w:eastAsia="Arial" w:hAnsi="Arial"/>
                <w:sz w:val="13"/>
                <w:szCs w:val="13"/>
                <w:color w:val="auto"/>
              </w:rPr>
              <w:t>54.5</w:t>
            </w:r>
          </w:p>
        </w:tc>
        <w:tc>
          <w:tcPr>
            <w:tcW w:w="740" w:type="dxa"/>
            <w:vAlign w:val="bottom"/>
          </w:tcPr>
          <w:p>
            <w:pPr>
              <w:jc w:val="right"/>
              <w:ind w:right="38"/>
              <w:spacing w:after="0"/>
              <w:rPr>
                <w:sz w:val="20"/>
                <w:szCs w:val="20"/>
                <w:color w:val="auto"/>
              </w:rPr>
            </w:pPr>
            <w:r>
              <w:rPr>
                <w:rFonts w:ascii="Arial" w:cs="Arial" w:eastAsia="Arial" w:hAnsi="Arial"/>
                <w:sz w:val="13"/>
                <w:szCs w:val="13"/>
                <w:color w:val="auto"/>
              </w:rPr>
              <w:t>11.6</w:t>
            </w:r>
          </w:p>
        </w:tc>
        <w:tc>
          <w:tcPr>
            <w:tcW w:w="880" w:type="dxa"/>
            <w:vAlign w:val="bottom"/>
          </w:tcPr>
          <w:p>
            <w:pPr>
              <w:jc w:val="right"/>
              <w:ind w:right="38"/>
              <w:spacing w:after="0"/>
              <w:rPr>
                <w:sz w:val="20"/>
                <w:szCs w:val="20"/>
                <w:color w:val="auto"/>
              </w:rPr>
            </w:pPr>
            <w:r>
              <w:rPr>
                <w:rFonts w:ascii="Arial" w:cs="Arial" w:eastAsia="Arial" w:hAnsi="Arial"/>
                <w:sz w:val="13"/>
                <w:szCs w:val="13"/>
                <w:color w:val="auto"/>
              </w:rPr>
              <w:t>14.7</w:t>
            </w:r>
          </w:p>
        </w:tc>
        <w:tc>
          <w:tcPr>
            <w:tcW w:w="800" w:type="dxa"/>
            <w:vAlign w:val="bottom"/>
          </w:tcPr>
          <w:p>
            <w:pPr>
              <w:jc w:val="right"/>
              <w:ind w:right="39"/>
              <w:spacing w:after="0"/>
              <w:rPr>
                <w:sz w:val="20"/>
                <w:szCs w:val="20"/>
                <w:color w:val="auto"/>
              </w:rPr>
            </w:pPr>
            <w:r>
              <w:rPr>
                <w:rFonts w:ascii="Arial" w:cs="Arial" w:eastAsia="Arial" w:hAnsi="Arial"/>
                <w:sz w:val="13"/>
                <w:szCs w:val="13"/>
                <w:color w:val="auto"/>
              </w:rPr>
              <w:t>26.7</w:t>
            </w:r>
          </w:p>
        </w:tc>
        <w:tc>
          <w:tcPr>
            <w:tcW w:w="800" w:type="dxa"/>
            <w:vAlign w:val="bottom"/>
          </w:tcPr>
          <w:p>
            <w:pPr>
              <w:jc w:val="right"/>
              <w:spacing w:after="0"/>
              <w:rPr>
                <w:sz w:val="20"/>
                <w:szCs w:val="20"/>
                <w:color w:val="auto"/>
              </w:rPr>
            </w:pPr>
            <w:r>
              <w:rPr>
                <w:rFonts w:ascii="Arial" w:cs="Arial" w:eastAsia="Arial" w:hAnsi="Arial"/>
                <w:sz w:val="13"/>
                <w:szCs w:val="13"/>
                <w:color w:val="auto"/>
              </w:rPr>
              <w:t>4.8</w:t>
            </w:r>
          </w:p>
        </w:tc>
        <w:tc>
          <w:tcPr>
            <w:tcW w:w="740" w:type="dxa"/>
            <w:vAlign w:val="bottom"/>
          </w:tcPr>
          <w:p>
            <w:pPr>
              <w:jc w:val="right"/>
              <w:spacing w:after="0"/>
              <w:rPr>
                <w:sz w:val="20"/>
                <w:szCs w:val="20"/>
                <w:color w:val="auto"/>
              </w:rPr>
            </w:pPr>
            <w:r>
              <w:rPr>
                <w:rFonts w:ascii="Arial" w:cs="Arial" w:eastAsia="Arial" w:hAnsi="Arial"/>
                <w:sz w:val="13"/>
                <w:szCs w:val="13"/>
                <w:color w:val="auto"/>
              </w:rPr>
              <w:t>(28.7)</w:t>
            </w: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20.9</w:t>
            </w:r>
          </w:p>
        </w:tc>
        <w:tc>
          <w:tcPr>
            <w:tcW w:w="920" w:type="dxa"/>
            <w:vAlign w:val="bottom"/>
          </w:tcPr>
          <w:p>
            <w:pPr>
              <w:jc w:val="right"/>
              <w:ind w:right="59"/>
              <w:spacing w:after="0"/>
              <w:rPr>
                <w:sz w:val="20"/>
                <w:szCs w:val="20"/>
                <w:color w:val="auto"/>
              </w:rPr>
            </w:pPr>
            <w:r>
              <w:rPr>
                <w:rFonts w:ascii="Arial" w:cs="Arial" w:eastAsia="Arial" w:hAnsi="Arial"/>
                <w:sz w:val="13"/>
                <w:szCs w:val="13"/>
                <w:color w:val="auto"/>
              </w:rPr>
              <w:t>3.7</w:t>
            </w:r>
          </w:p>
        </w:tc>
        <w:tc>
          <w:tcPr>
            <w:tcW w:w="940" w:type="dxa"/>
            <w:vAlign w:val="bottom"/>
          </w:tcPr>
          <w:p>
            <w:pPr>
              <w:jc w:val="right"/>
              <w:ind w:right="38"/>
              <w:spacing w:after="0"/>
              <w:rPr>
                <w:sz w:val="20"/>
                <w:szCs w:val="20"/>
                <w:color w:val="auto"/>
              </w:rPr>
            </w:pPr>
            <w:r>
              <w:rPr>
                <w:rFonts w:ascii="Arial" w:cs="Arial" w:eastAsia="Arial" w:hAnsi="Arial"/>
                <w:sz w:val="13"/>
                <w:szCs w:val="13"/>
                <w:color w:val="auto"/>
              </w:rPr>
              <w:t>13.6</w:t>
            </w:r>
          </w:p>
        </w:tc>
        <w:tc>
          <w:tcPr>
            <w:tcW w:w="800" w:type="dxa"/>
            <w:vAlign w:val="bottom"/>
          </w:tcPr>
          <w:p>
            <w:pPr>
              <w:jc w:val="right"/>
              <w:ind w:right="18"/>
              <w:spacing w:after="0"/>
              <w:rPr>
                <w:sz w:val="20"/>
                <w:szCs w:val="20"/>
                <w:color w:val="auto"/>
              </w:rPr>
            </w:pPr>
            <w:r>
              <w:rPr>
                <w:rFonts w:ascii="Arial" w:cs="Arial" w:eastAsia="Arial" w:hAnsi="Arial"/>
                <w:sz w:val="13"/>
                <w:szCs w:val="13"/>
                <w:color w:val="auto"/>
              </w:rPr>
              <w:t>37.2</w:t>
            </w:r>
          </w:p>
        </w:tc>
        <w:tc>
          <w:tcPr>
            <w:tcW w:w="760" w:type="dxa"/>
            <w:vAlign w:val="bottom"/>
          </w:tcPr>
          <w:p>
            <w:pPr>
              <w:jc w:val="right"/>
              <w:spacing w:after="0"/>
              <w:rPr>
                <w:sz w:val="20"/>
                <w:szCs w:val="20"/>
                <w:color w:val="auto"/>
              </w:rPr>
            </w:pPr>
            <w:r>
              <w:rPr>
                <w:rFonts w:ascii="Arial" w:cs="Arial" w:eastAsia="Arial" w:hAnsi="Arial"/>
                <w:sz w:val="13"/>
                <w:szCs w:val="13"/>
                <w:color w:val="auto"/>
              </w:rPr>
              <w:t>1.5</w:t>
            </w:r>
          </w:p>
        </w:tc>
        <w:tc>
          <w:tcPr>
            <w:tcW w:w="700" w:type="dxa"/>
            <w:vAlign w:val="bottom"/>
          </w:tcPr>
          <w:p>
            <w:pPr>
              <w:jc w:val="right"/>
              <w:ind w:right="58"/>
              <w:spacing w:after="0"/>
              <w:rPr>
                <w:sz w:val="20"/>
                <w:szCs w:val="20"/>
                <w:color w:val="auto"/>
              </w:rPr>
            </w:pPr>
            <w:r>
              <w:rPr>
                <w:rFonts w:ascii="Arial" w:cs="Arial" w:eastAsia="Arial" w:hAnsi="Arial"/>
                <w:sz w:val="13"/>
                <w:szCs w:val="13"/>
                <w:color w:val="auto"/>
              </w:rPr>
              <w:t>160.5</w:t>
            </w:r>
          </w:p>
        </w:tc>
        <w:tc>
          <w:tcPr>
            <w:tcW w:w="0" w:type="dxa"/>
            <w:vAlign w:val="bottom"/>
          </w:tcPr>
          <w:p>
            <w:pPr>
              <w:spacing w:after="0"/>
              <w:rPr>
                <w:sz w:val="1"/>
                <w:szCs w:val="1"/>
                <w:color w:val="auto"/>
              </w:rPr>
            </w:pPr>
          </w:p>
        </w:tc>
      </w:tr>
      <w:tr>
        <w:trPr>
          <w:trHeight w:val="182"/>
        </w:trPr>
        <w:tc>
          <w:tcPr>
            <w:tcW w:w="1880" w:type="dxa"/>
            <w:vAlign w:val="bottom"/>
            <w:gridSpan w:val="2"/>
          </w:tcPr>
          <w:p>
            <w:pPr>
              <w:ind w:left="20"/>
              <w:spacing w:after="0"/>
              <w:rPr>
                <w:sz w:val="20"/>
                <w:szCs w:val="20"/>
                <w:color w:val="auto"/>
              </w:rPr>
            </w:pPr>
            <w:r>
              <w:rPr>
                <w:rFonts w:ascii="Arial" w:cs="Arial" w:eastAsia="Arial" w:hAnsi="Arial"/>
                <w:sz w:val="13"/>
                <w:szCs w:val="13"/>
                <w:color w:val="auto"/>
              </w:rPr>
              <w:t>Diluted EPS - Continuing</w:t>
            </w: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1880" w:type="dxa"/>
            <w:vAlign w:val="bottom"/>
            <w:gridSpan w:val="2"/>
          </w:tcPr>
          <w:p>
            <w:pPr>
              <w:ind w:left="20"/>
              <w:spacing w:after="0"/>
              <w:rPr>
                <w:sz w:val="20"/>
                <w:szCs w:val="20"/>
                <w:color w:val="auto"/>
              </w:rPr>
            </w:pPr>
            <w:r>
              <w:rPr>
                <w:rFonts w:ascii="Arial" w:cs="Arial" w:eastAsia="Arial" w:hAnsi="Arial"/>
                <w:sz w:val="13"/>
                <w:szCs w:val="13"/>
                <w:color w:val="auto"/>
              </w:rPr>
              <w:t>Operations</w:t>
            </w:r>
          </w:p>
        </w:tc>
        <w:tc>
          <w:tcPr>
            <w:tcW w:w="680" w:type="dxa"/>
            <w:vAlign w:val="bottom"/>
          </w:tcPr>
          <w:p>
            <w:pPr>
              <w:jc w:val="right"/>
              <w:ind w:right="38"/>
              <w:spacing w:after="0"/>
              <w:rPr>
                <w:sz w:val="20"/>
                <w:szCs w:val="20"/>
                <w:color w:val="auto"/>
              </w:rPr>
            </w:pPr>
            <w:r>
              <w:rPr>
                <w:rFonts w:ascii="Arial" w:cs="Arial" w:eastAsia="Arial" w:hAnsi="Arial"/>
                <w:sz w:val="13"/>
                <w:szCs w:val="13"/>
                <w:color w:val="auto"/>
              </w:rPr>
              <w:t>$1.12</w:t>
            </w:r>
          </w:p>
        </w:tc>
        <w:tc>
          <w:tcPr>
            <w:tcW w:w="740" w:type="dxa"/>
            <w:vAlign w:val="bottom"/>
          </w:tcPr>
          <w:p>
            <w:pPr>
              <w:jc w:val="right"/>
              <w:ind w:right="38"/>
              <w:spacing w:after="0"/>
              <w:rPr>
                <w:sz w:val="20"/>
                <w:szCs w:val="20"/>
                <w:color w:val="auto"/>
              </w:rPr>
            </w:pPr>
            <w:r>
              <w:rPr>
                <w:rFonts w:ascii="Arial" w:cs="Arial" w:eastAsia="Arial" w:hAnsi="Arial"/>
                <w:sz w:val="13"/>
                <w:szCs w:val="13"/>
                <w:color w:val="auto"/>
              </w:rPr>
              <w:t>$0.24</w:t>
            </w:r>
          </w:p>
        </w:tc>
        <w:tc>
          <w:tcPr>
            <w:tcW w:w="880" w:type="dxa"/>
            <w:vAlign w:val="bottom"/>
          </w:tcPr>
          <w:p>
            <w:pPr>
              <w:jc w:val="right"/>
              <w:ind w:right="38"/>
              <w:spacing w:after="0"/>
              <w:rPr>
                <w:sz w:val="20"/>
                <w:szCs w:val="20"/>
                <w:color w:val="auto"/>
              </w:rPr>
            </w:pPr>
            <w:r>
              <w:rPr>
                <w:rFonts w:ascii="Arial" w:cs="Arial" w:eastAsia="Arial" w:hAnsi="Arial"/>
                <w:sz w:val="13"/>
                <w:szCs w:val="13"/>
                <w:color w:val="auto"/>
              </w:rPr>
              <w:t>$0.30</w:t>
            </w:r>
          </w:p>
        </w:tc>
        <w:tc>
          <w:tcPr>
            <w:tcW w:w="800" w:type="dxa"/>
            <w:vAlign w:val="bottom"/>
          </w:tcPr>
          <w:p>
            <w:pPr>
              <w:jc w:val="right"/>
              <w:ind w:right="39"/>
              <w:spacing w:after="0"/>
              <w:rPr>
                <w:sz w:val="20"/>
                <w:szCs w:val="20"/>
                <w:color w:val="auto"/>
              </w:rPr>
            </w:pPr>
            <w:r>
              <w:rPr>
                <w:rFonts w:ascii="Arial" w:cs="Arial" w:eastAsia="Arial" w:hAnsi="Arial"/>
                <w:sz w:val="13"/>
                <w:szCs w:val="13"/>
                <w:color w:val="auto"/>
              </w:rPr>
              <w:t>$0.55</w:t>
            </w:r>
          </w:p>
        </w:tc>
        <w:tc>
          <w:tcPr>
            <w:tcW w:w="800" w:type="dxa"/>
            <w:vAlign w:val="bottom"/>
          </w:tcPr>
          <w:p>
            <w:pPr>
              <w:jc w:val="right"/>
              <w:spacing w:after="0"/>
              <w:rPr>
                <w:sz w:val="20"/>
                <w:szCs w:val="20"/>
                <w:color w:val="auto"/>
              </w:rPr>
            </w:pPr>
            <w:r>
              <w:rPr>
                <w:rFonts w:ascii="Arial" w:cs="Arial" w:eastAsia="Arial" w:hAnsi="Arial"/>
                <w:sz w:val="13"/>
                <w:szCs w:val="13"/>
                <w:color w:val="auto"/>
              </w:rPr>
              <w:t>$0.10</w:t>
            </w:r>
          </w:p>
        </w:tc>
        <w:tc>
          <w:tcPr>
            <w:tcW w:w="740" w:type="dxa"/>
            <w:vAlign w:val="bottom"/>
          </w:tcPr>
          <w:p>
            <w:pPr>
              <w:jc w:val="right"/>
              <w:spacing w:after="0"/>
              <w:rPr>
                <w:sz w:val="20"/>
                <w:szCs w:val="20"/>
                <w:color w:val="auto"/>
              </w:rPr>
            </w:pPr>
            <w:r>
              <w:rPr>
                <w:rFonts w:ascii="Arial" w:cs="Arial" w:eastAsia="Arial" w:hAnsi="Arial"/>
                <w:sz w:val="13"/>
                <w:szCs w:val="13"/>
                <w:color w:val="auto"/>
              </w:rPr>
              <w:t>($0.59)</w:t>
            </w: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$0.44</w:t>
            </w:r>
          </w:p>
        </w:tc>
        <w:tc>
          <w:tcPr>
            <w:tcW w:w="920" w:type="dxa"/>
            <w:vAlign w:val="bottom"/>
          </w:tcPr>
          <w:p>
            <w:pPr>
              <w:jc w:val="right"/>
              <w:ind w:right="59"/>
              <w:spacing w:after="0"/>
              <w:rPr>
                <w:sz w:val="20"/>
                <w:szCs w:val="20"/>
                <w:color w:val="auto"/>
              </w:rPr>
            </w:pPr>
            <w:r>
              <w:rPr>
                <w:rFonts w:ascii="Arial" w:cs="Arial" w:eastAsia="Arial" w:hAnsi="Arial"/>
                <w:sz w:val="13"/>
                <w:szCs w:val="13"/>
                <w:color w:val="auto"/>
              </w:rPr>
              <w:t>$0.08</w:t>
            </w:r>
          </w:p>
        </w:tc>
        <w:tc>
          <w:tcPr>
            <w:tcW w:w="940" w:type="dxa"/>
            <w:vAlign w:val="bottom"/>
          </w:tcPr>
          <w:p>
            <w:pPr>
              <w:jc w:val="right"/>
              <w:ind w:right="38"/>
              <w:spacing w:after="0"/>
              <w:rPr>
                <w:sz w:val="20"/>
                <w:szCs w:val="20"/>
                <w:color w:val="auto"/>
              </w:rPr>
            </w:pPr>
            <w:r>
              <w:rPr>
                <w:rFonts w:ascii="Arial" w:cs="Arial" w:eastAsia="Arial" w:hAnsi="Arial"/>
                <w:sz w:val="13"/>
                <w:szCs w:val="13"/>
                <w:color w:val="auto"/>
              </w:rPr>
              <w:t>$0.28</w:t>
            </w:r>
          </w:p>
        </w:tc>
        <w:tc>
          <w:tcPr>
            <w:tcW w:w="800" w:type="dxa"/>
            <w:vAlign w:val="bottom"/>
          </w:tcPr>
          <w:p>
            <w:pPr>
              <w:jc w:val="right"/>
              <w:ind w:right="18"/>
              <w:spacing w:after="0"/>
              <w:rPr>
                <w:sz w:val="20"/>
                <w:szCs w:val="20"/>
                <w:color w:val="auto"/>
              </w:rPr>
            </w:pPr>
            <w:r>
              <w:rPr>
                <w:rFonts w:ascii="Arial" w:cs="Arial" w:eastAsia="Arial" w:hAnsi="Arial"/>
                <w:sz w:val="13"/>
                <w:szCs w:val="13"/>
                <w:color w:val="auto"/>
              </w:rPr>
              <w:t>$0.77</w:t>
            </w:r>
          </w:p>
        </w:tc>
        <w:tc>
          <w:tcPr>
            <w:tcW w:w="760" w:type="dxa"/>
            <w:vAlign w:val="bottom"/>
          </w:tcPr>
          <w:p>
            <w:pPr>
              <w:jc w:val="right"/>
              <w:spacing w:after="0"/>
              <w:rPr>
                <w:sz w:val="20"/>
                <w:szCs w:val="20"/>
                <w:color w:val="auto"/>
              </w:rPr>
            </w:pPr>
            <w:r>
              <w:rPr>
                <w:rFonts w:ascii="Arial" w:cs="Arial" w:eastAsia="Arial" w:hAnsi="Arial"/>
                <w:sz w:val="13"/>
                <w:szCs w:val="13"/>
                <w:color w:val="auto"/>
              </w:rPr>
              <w:t>$0.03</w:t>
            </w:r>
          </w:p>
        </w:tc>
        <w:tc>
          <w:tcPr>
            <w:tcW w:w="700" w:type="dxa"/>
            <w:vAlign w:val="bottom"/>
          </w:tcPr>
          <w:p>
            <w:pPr>
              <w:jc w:val="right"/>
              <w:ind w:right="58"/>
              <w:spacing w:after="0"/>
              <w:rPr>
                <w:sz w:val="20"/>
                <w:szCs w:val="20"/>
                <w:color w:val="auto"/>
              </w:rPr>
            </w:pPr>
            <w:r>
              <w:rPr>
                <w:rFonts w:ascii="Arial" w:cs="Arial" w:eastAsia="Arial" w:hAnsi="Arial"/>
                <w:sz w:val="13"/>
                <w:szCs w:val="13"/>
                <w:color w:val="auto"/>
              </w:rPr>
              <w:t>$3.31</w:t>
            </w:r>
          </w:p>
        </w:tc>
        <w:tc>
          <w:tcPr>
            <w:tcW w:w="0" w:type="dxa"/>
            <w:vAlign w:val="bottom"/>
          </w:tcPr>
          <w:p>
            <w:pPr>
              <w:spacing w:after="0"/>
              <w:rPr>
                <w:sz w:val="1"/>
                <w:szCs w:val="1"/>
                <w:color w:val="auto"/>
              </w:rPr>
            </w:pPr>
          </w:p>
        </w:tc>
      </w:tr>
    </w:tbl>
    <w:p>
      <w:pPr>
        <w:spacing w:after="0" w:line="333"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GAAP results for the twelve months ended December 31, 2017 include:</w:t>
      </w:r>
    </w:p>
    <w:p>
      <w:pPr>
        <w:spacing w:after="0" w:line="58" w:lineRule="exact"/>
        <w:rPr>
          <w:sz w:val="20"/>
          <w:szCs w:val="20"/>
          <w:color w:val="auto"/>
        </w:rPr>
      </w:pPr>
    </w:p>
    <w:p>
      <w:pPr>
        <w:ind w:left="360" w:hanging="340"/>
        <w:spacing w:after="0"/>
        <w:tabs>
          <w:tab w:leader="none" w:pos="360" w:val="left"/>
        </w:tabs>
        <w:numPr>
          <w:ilvl w:val="0"/>
          <w:numId w:val="15"/>
        </w:numPr>
        <w:rPr>
          <w:rFonts w:ascii="Arial" w:cs="Arial" w:eastAsia="Arial" w:hAnsi="Arial"/>
          <w:sz w:val="13"/>
          <w:szCs w:val="13"/>
          <w:color w:val="auto"/>
        </w:rPr>
      </w:pPr>
      <w:r>
        <w:rPr>
          <w:rFonts w:ascii="Arial" w:cs="Arial" w:eastAsia="Arial" w:hAnsi="Arial"/>
          <w:sz w:val="13"/>
          <w:szCs w:val="13"/>
          <w:color w:val="auto"/>
        </w:rPr>
        <w:t>Merger and integration expenses related to our legacy companies</w:t>
      </w:r>
    </w:p>
    <w:p>
      <w:pPr>
        <w:spacing w:after="0" w:line="42" w:lineRule="exact"/>
        <w:rPr>
          <w:rFonts w:ascii="Arial" w:cs="Arial" w:eastAsia="Arial" w:hAnsi="Arial"/>
          <w:sz w:val="13"/>
          <w:szCs w:val="13"/>
          <w:color w:val="auto"/>
        </w:rPr>
      </w:pPr>
    </w:p>
    <w:p>
      <w:pPr>
        <w:ind w:left="360" w:hanging="340"/>
        <w:spacing w:after="0"/>
        <w:tabs>
          <w:tab w:leader="none" w:pos="360" w:val="left"/>
        </w:tabs>
        <w:numPr>
          <w:ilvl w:val="0"/>
          <w:numId w:val="15"/>
        </w:numPr>
        <w:rPr>
          <w:rFonts w:ascii="Arial" w:cs="Arial" w:eastAsia="Arial" w:hAnsi="Arial"/>
          <w:sz w:val="13"/>
          <w:szCs w:val="13"/>
          <w:color w:val="auto"/>
        </w:rPr>
      </w:pPr>
      <w:r>
        <w:rPr>
          <w:rFonts w:ascii="Arial" w:cs="Arial" w:eastAsia="Arial" w:hAnsi="Arial"/>
          <w:sz w:val="13"/>
          <w:szCs w:val="13"/>
          <w:color w:val="auto"/>
        </w:rPr>
        <w:t>Restructuring expenses related to organizational changes</w:t>
      </w:r>
    </w:p>
    <w:p>
      <w:pPr>
        <w:spacing w:after="0" w:line="42" w:lineRule="exact"/>
        <w:rPr>
          <w:rFonts w:ascii="Arial" w:cs="Arial" w:eastAsia="Arial" w:hAnsi="Arial"/>
          <w:sz w:val="13"/>
          <w:szCs w:val="13"/>
          <w:color w:val="auto"/>
        </w:rPr>
      </w:pPr>
    </w:p>
    <w:p>
      <w:pPr>
        <w:ind w:left="360" w:hanging="340"/>
        <w:spacing w:after="0"/>
        <w:tabs>
          <w:tab w:leader="none" w:pos="360" w:val="left"/>
        </w:tabs>
        <w:numPr>
          <w:ilvl w:val="0"/>
          <w:numId w:val="15"/>
        </w:numPr>
        <w:rPr>
          <w:rFonts w:ascii="Arial" w:cs="Arial" w:eastAsia="Arial" w:hAnsi="Arial"/>
          <w:sz w:val="13"/>
          <w:szCs w:val="13"/>
          <w:color w:val="auto"/>
        </w:rPr>
      </w:pPr>
      <w:r>
        <w:rPr>
          <w:rFonts w:ascii="Arial" w:cs="Arial" w:eastAsia="Arial" w:hAnsi="Arial"/>
          <w:sz w:val="13"/>
          <w:szCs w:val="13"/>
          <w:color w:val="auto"/>
        </w:rPr>
        <w:t>Includes depreciation and amortization associated with purchase price accounting</w:t>
      </w:r>
    </w:p>
    <w:p>
      <w:pPr>
        <w:spacing w:after="0" w:line="42" w:lineRule="exact"/>
        <w:rPr>
          <w:rFonts w:ascii="Arial" w:cs="Arial" w:eastAsia="Arial" w:hAnsi="Arial"/>
          <w:sz w:val="13"/>
          <w:szCs w:val="13"/>
          <w:color w:val="auto"/>
        </w:rPr>
      </w:pPr>
    </w:p>
    <w:p>
      <w:pPr>
        <w:ind w:left="360" w:hanging="340"/>
        <w:spacing w:after="0"/>
        <w:tabs>
          <w:tab w:leader="none" w:pos="360" w:val="left"/>
        </w:tabs>
        <w:numPr>
          <w:ilvl w:val="0"/>
          <w:numId w:val="15"/>
        </w:numPr>
        <w:rPr>
          <w:rFonts w:ascii="Arial" w:cs="Arial" w:eastAsia="Arial" w:hAnsi="Arial"/>
          <w:sz w:val="13"/>
          <w:szCs w:val="13"/>
          <w:color w:val="auto"/>
        </w:rPr>
      </w:pPr>
      <w:r>
        <w:rPr>
          <w:rFonts w:ascii="Arial" w:cs="Arial" w:eastAsia="Arial" w:hAnsi="Arial"/>
          <w:sz w:val="13"/>
          <w:szCs w:val="13"/>
          <w:color w:val="auto"/>
        </w:rPr>
        <w:t>Costs related to the 3T Heater-Cooler remediation plan</w:t>
      </w:r>
    </w:p>
    <w:p>
      <w:pPr>
        <w:spacing w:after="0" w:line="42" w:lineRule="exact"/>
        <w:rPr>
          <w:rFonts w:ascii="Arial" w:cs="Arial" w:eastAsia="Arial" w:hAnsi="Arial"/>
          <w:sz w:val="13"/>
          <w:szCs w:val="13"/>
          <w:color w:val="auto"/>
        </w:rPr>
      </w:pPr>
    </w:p>
    <w:p>
      <w:pPr>
        <w:ind w:left="360" w:hanging="340"/>
        <w:spacing w:after="0"/>
        <w:tabs>
          <w:tab w:leader="none" w:pos="360" w:val="left"/>
        </w:tabs>
        <w:numPr>
          <w:ilvl w:val="0"/>
          <w:numId w:val="15"/>
        </w:numPr>
        <w:rPr>
          <w:rFonts w:ascii="Arial" w:cs="Arial" w:eastAsia="Arial" w:hAnsi="Arial"/>
          <w:sz w:val="13"/>
          <w:szCs w:val="13"/>
          <w:color w:val="auto"/>
        </w:rPr>
      </w:pPr>
      <w:r>
        <w:rPr>
          <w:rFonts w:ascii="Arial" w:cs="Arial" w:eastAsia="Arial" w:hAnsi="Arial"/>
          <w:sz w:val="13"/>
          <w:szCs w:val="13"/>
          <w:color w:val="auto"/>
        </w:rPr>
        <w:t>Caisson-related acquisition costs and gain on acquisition</w:t>
      </w:r>
    </w:p>
    <w:p>
      <w:pPr>
        <w:spacing w:after="0" w:line="42" w:lineRule="exact"/>
        <w:rPr>
          <w:rFonts w:ascii="Arial" w:cs="Arial" w:eastAsia="Arial" w:hAnsi="Arial"/>
          <w:sz w:val="13"/>
          <w:szCs w:val="13"/>
          <w:color w:val="auto"/>
        </w:rPr>
      </w:pPr>
    </w:p>
    <w:p>
      <w:pPr>
        <w:ind w:left="360" w:hanging="340"/>
        <w:spacing w:after="0"/>
        <w:tabs>
          <w:tab w:leader="none" w:pos="360" w:val="left"/>
        </w:tabs>
        <w:numPr>
          <w:ilvl w:val="0"/>
          <w:numId w:val="15"/>
        </w:numPr>
        <w:rPr>
          <w:rFonts w:ascii="Arial" w:cs="Arial" w:eastAsia="Arial" w:hAnsi="Arial"/>
          <w:sz w:val="13"/>
          <w:szCs w:val="13"/>
          <w:color w:val="auto"/>
        </w:rPr>
      </w:pPr>
      <w:r>
        <w:rPr>
          <w:rFonts w:ascii="Arial" w:cs="Arial" w:eastAsia="Arial" w:hAnsi="Arial"/>
          <w:sz w:val="13"/>
          <w:szCs w:val="13"/>
          <w:color w:val="auto"/>
        </w:rPr>
        <w:t>Impairments of cost-method investments, equity method investments and tangible assets</w:t>
      </w:r>
    </w:p>
    <w:p>
      <w:pPr>
        <w:spacing w:after="0" w:line="42" w:lineRule="exact"/>
        <w:rPr>
          <w:rFonts w:ascii="Arial" w:cs="Arial" w:eastAsia="Arial" w:hAnsi="Arial"/>
          <w:sz w:val="13"/>
          <w:szCs w:val="13"/>
          <w:color w:val="auto"/>
        </w:rPr>
      </w:pPr>
    </w:p>
    <w:p>
      <w:pPr>
        <w:ind w:left="360" w:hanging="340"/>
        <w:spacing w:after="0"/>
        <w:tabs>
          <w:tab w:leader="none" w:pos="360" w:val="left"/>
        </w:tabs>
        <w:numPr>
          <w:ilvl w:val="0"/>
          <w:numId w:val="15"/>
        </w:numPr>
        <w:rPr>
          <w:rFonts w:ascii="Arial" w:cs="Arial" w:eastAsia="Arial" w:hAnsi="Arial"/>
          <w:sz w:val="13"/>
          <w:szCs w:val="13"/>
          <w:color w:val="auto"/>
        </w:rPr>
      </w:pPr>
      <w:r>
        <w:rPr>
          <w:rFonts w:ascii="Arial" w:cs="Arial" w:eastAsia="Arial" w:hAnsi="Arial"/>
          <w:sz w:val="13"/>
          <w:szCs w:val="13"/>
          <w:color w:val="auto"/>
        </w:rPr>
        <w:t>Contingent consideration related to acquisitions, legal expenses primarily related to 3T Heater-Cooler defense, gain on sale of Instituto Europeo di Oncologia S.R.L. and other matters</w:t>
      </w:r>
    </w:p>
    <w:p>
      <w:pPr>
        <w:spacing w:after="0" w:line="42" w:lineRule="exact"/>
        <w:rPr>
          <w:rFonts w:ascii="Arial" w:cs="Arial" w:eastAsia="Arial" w:hAnsi="Arial"/>
          <w:sz w:val="13"/>
          <w:szCs w:val="13"/>
          <w:color w:val="auto"/>
        </w:rPr>
      </w:pPr>
    </w:p>
    <w:p>
      <w:pPr>
        <w:ind w:left="360" w:hanging="340"/>
        <w:spacing w:after="0"/>
        <w:tabs>
          <w:tab w:leader="none" w:pos="360" w:val="left"/>
        </w:tabs>
        <w:numPr>
          <w:ilvl w:val="0"/>
          <w:numId w:val="15"/>
        </w:numPr>
        <w:rPr>
          <w:rFonts w:ascii="Arial" w:cs="Arial" w:eastAsia="Arial" w:hAnsi="Arial"/>
          <w:sz w:val="13"/>
          <w:szCs w:val="13"/>
          <w:color w:val="auto"/>
        </w:rPr>
      </w:pPr>
      <w:r>
        <w:rPr>
          <w:rFonts w:ascii="Arial" w:cs="Arial" w:eastAsia="Arial" w:hAnsi="Arial"/>
          <w:sz w:val="13"/>
          <w:szCs w:val="13"/>
          <w:color w:val="auto"/>
        </w:rPr>
        <w:t>Non-cash expenses associated with stock-based compensation costs</w:t>
      </w:r>
    </w:p>
    <w:p>
      <w:pPr>
        <w:spacing w:after="0" w:line="42" w:lineRule="exact"/>
        <w:rPr>
          <w:rFonts w:ascii="Arial" w:cs="Arial" w:eastAsia="Arial" w:hAnsi="Arial"/>
          <w:sz w:val="13"/>
          <w:szCs w:val="13"/>
          <w:color w:val="auto"/>
        </w:rPr>
      </w:pPr>
    </w:p>
    <w:p>
      <w:pPr>
        <w:ind w:left="360" w:hanging="340"/>
        <w:spacing w:after="0"/>
        <w:tabs>
          <w:tab w:leader="none" w:pos="360" w:val="left"/>
        </w:tabs>
        <w:numPr>
          <w:ilvl w:val="0"/>
          <w:numId w:val="15"/>
        </w:numPr>
        <w:rPr>
          <w:rFonts w:ascii="Arial" w:cs="Arial" w:eastAsia="Arial" w:hAnsi="Arial"/>
          <w:sz w:val="13"/>
          <w:szCs w:val="13"/>
          <w:color w:val="auto"/>
        </w:rPr>
      </w:pPr>
      <w:r>
        <w:rPr>
          <w:rFonts w:ascii="Arial" w:cs="Arial" w:eastAsia="Arial" w:hAnsi="Arial"/>
          <w:sz w:val="13"/>
          <w:szCs w:val="13"/>
          <w:color w:val="auto"/>
        </w:rPr>
        <w:t>Primarily relates to discrete tax items and the tax impact of intercompany transactions</w:t>
      </w:r>
    </w:p>
    <w:p>
      <w:pPr>
        <w:spacing w:after="0" w:line="42" w:lineRule="exact"/>
        <w:rPr>
          <w:rFonts w:ascii="Arial" w:cs="Arial" w:eastAsia="Arial" w:hAnsi="Arial"/>
          <w:sz w:val="13"/>
          <w:szCs w:val="13"/>
          <w:color w:val="auto"/>
        </w:rPr>
      </w:pPr>
    </w:p>
    <w:p>
      <w:pPr>
        <w:ind w:left="360" w:hanging="340"/>
        <w:spacing w:after="0"/>
        <w:tabs>
          <w:tab w:leader="none" w:pos="360" w:val="left"/>
        </w:tabs>
        <w:numPr>
          <w:ilvl w:val="0"/>
          <w:numId w:val="15"/>
        </w:numPr>
        <w:rPr>
          <w:rFonts w:ascii="Arial" w:cs="Arial" w:eastAsia="Arial" w:hAnsi="Arial"/>
          <w:sz w:val="13"/>
          <w:szCs w:val="13"/>
          <w:color w:val="auto"/>
        </w:rPr>
      </w:pPr>
      <w:r>
        <w:rPr>
          <w:rFonts w:ascii="Arial" w:cs="Arial" w:eastAsia="Arial" w:hAnsi="Arial"/>
          <w:sz w:val="13"/>
          <w:szCs w:val="13"/>
          <w:color w:val="auto"/>
        </w:rPr>
        <w:t>Primarily relates to intellectual property migration and other non-recurring impacts to interest expense</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3"/>
          <w:szCs w:val="13"/>
          <w:color w:val="auto"/>
        </w:rPr>
        <w:t>* Numbers may not add precisely due to rounding.</w:t>
      </w:r>
    </w:p>
    <w:p>
      <w:pPr>
        <w:spacing w:after="0" w:line="200" w:lineRule="exact"/>
        <w:rPr>
          <w:sz w:val="20"/>
          <w:szCs w:val="20"/>
          <w:color w:val="auto"/>
        </w:rPr>
      </w:pPr>
    </w:p>
    <w:p>
      <w:pPr>
        <w:spacing w:after="0" w:line="227" w:lineRule="exact"/>
        <w:rPr>
          <w:sz w:val="20"/>
          <w:szCs w:val="20"/>
          <w:color w:val="auto"/>
        </w:rPr>
      </w:pPr>
    </w:p>
    <w:p>
      <w:pPr>
        <w:jc w:val="center"/>
        <w:ind w:right="40"/>
        <w:spacing w:after="0"/>
        <w:rPr>
          <w:sz w:val="20"/>
          <w:szCs w:val="20"/>
          <w:color w:val="auto"/>
        </w:rPr>
      </w:pPr>
      <w:r>
        <w:rPr>
          <w:rFonts w:ascii="Arial" w:cs="Arial" w:eastAsia="Arial" w:hAnsi="Arial"/>
          <w:sz w:val="19"/>
          <w:szCs w:val="19"/>
          <w:color w:val="auto"/>
        </w:rPr>
        <w:t>20</w:t>
      </w:r>
    </w:p>
    <w:p>
      <w:pPr>
        <w:sectPr>
          <w:pgSz w:w="11900" w:h="16838" w:orient="portrait"/>
          <w:cols w:equalWidth="0" w:num="1">
            <w:col w:w="11460"/>
          </w:cols>
          <w:pgMar w:left="240" w:top="715" w:right="199" w:bottom="1440" w:gutter="0" w:footer="0" w:header="0"/>
        </w:sectPr>
      </w:pPr>
    </w:p>
    <w:bookmarkStart w:id="23" w:name="page24"/>
    <w:bookmarkEnd w:id="23"/>
    <w:p>
      <w:pPr>
        <w:ind w:left="24"/>
        <w:spacing w:after="0"/>
        <w:rPr>
          <w:sz w:val="20"/>
          <w:szCs w:val="20"/>
          <w:color w:val="auto"/>
        </w:rPr>
      </w:pPr>
      <w:r>
        <w:rPr>
          <w:rFonts w:ascii="Arial" w:cs="Arial" w:eastAsia="Arial" w:hAnsi="Arial"/>
          <w:sz w:val="16"/>
          <w:szCs w:val="16"/>
          <w:b w:val="1"/>
          <w:bCs w:val="1"/>
          <w:color w:val="auto"/>
        </w:rPr>
        <w:t>LIVANOVA PLC AND SUBSIDIARIES</w:t>
      </w:r>
    </w:p>
    <w:p>
      <w:pPr>
        <w:spacing w:after="0" w:line="56" w:lineRule="exact"/>
        <w:rPr>
          <w:sz w:val="20"/>
          <w:szCs w:val="20"/>
          <w:color w:val="auto"/>
        </w:rPr>
      </w:pPr>
    </w:p>
    <w:p>
      <w:pPr>
        <w:ind w:left="24"/>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56" w:lineRule="exact"/>
        <w:rPr>
          <w:sz w:val="20"/>
          <w:szCs w:val="20"/>
          <w:color w:val="auto"/>
        </w:rPr>
      </w:pPr>
    </w:p>
    <w:p>
      <w:pPr>
        <w:ind w:left="24"/>
        <w:spacing w:after="0"/>
        <w:rPr>
          <w:sz w:val="20"/>
          <w:szCs w:val="20"/>
          <w:color w:val="auto"/>
        </w:rPr>
      </w:pPr>
      <w:r>
        <w:rPr>
          <w:rFonts w:ascii="Arial" w:cs="Arial" w:eastAsia="Arial" w:hAnsi="Arial"/>
          <w:sz w:val="16"/>
          <w:szCs w:val="16"/>
          <w:b w:val="1"/>
          <w:bCs w:val="1"/>
          <w:color w:val="auto"/>
        </w:rPr>
        <w:t>(U.S. dollars in millions)</w:t>
      </w:r>
    </w:p>
    <w:p>
      <w:pPr>
        <w:spacing w:after="0" w:line="319" w:lineRule="exact"/>
        <w:rPr>
          <w:sz w:val="20"/>
          <w:szCs w:val="20"/>
          <w:color w:val="auto"/>
        </w:rPr>
      </w:pPr>
    </w:p>
    <w:tbl>
      <w:tblPr>
        <w:tblLayout w:type="fixed"/>
        <w:tblInd w:w="24" w:type="dxa"/>
        <w:tblCellMar>
          <w:top w:w="0" w:type="dxa"/>
          <w:left w:w="0" w:type="dxa"/>
          <w:bottom w:w="0" w:type="dxa"/>
          <w:right w:w="0" w:type="dxa"/>
        </w:tblCellMar>
      </w:tblPr>
      <w:tr>
        <w:trPr>
          <w:trHeight w:val="216"/>
        </w:trPr>
        <w:tc>
          <w:tcPr>
            <w:tcW w:w="8100" w:type="dxa"/>
            <w:vAlign w:val="bottom"/>
          </w:tcPr>
          <w:p>
            <w:pPr>
              <w:spacing w:after="0"/>
              <w:rPr>
                <w:sz w:val="18"/>
                <w:szCs w:val="18"/>
                <w:color w:val="auto"/>
              </w:rPr>
            </w:pPr>
          </w:p>
        </w:tc>
        <w:tc>
          <w:tcPr>
            <w:tcW w:w="1740" w:type="dxa"/>
            <w:vAlign w:val="bottom"/>
            <w:gridSpan w:val="2"/>
          </w:tcPr>
          <w:p>
            <w:pPr>
              <w:ind w:left="100"/>
              <w:spacing w:after="0"/>
              <w:rPr>
                <w:sz w:val="20"/>
                <w:szCs w:val="20"/>
                <w:color w:val="auto"/>
              </w:rPr>
            </w:pPr>
            <w:r>
              <w:rPr>
                <w:rFonts w:ascii="Arial" w:cs="Arial" w:eastAsia="Arial" w:hAnsi="Arial"/>
                <w:sz w:val="16"/>
                <w:szCs w:val="16"/>
                <w:b w:val="1"/>
                <w:bCs w:val="1"/>
                <w:color w:val="auto"/>
              </w:rPr>
              <w:t>December 31, 2018</w:t>
            </w: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December 31, 2017</w:t>
            </w:r>
          </w:p>
        </w:tc>
        <w:tc>
          <w:tcPr>
            <w:tcW w:w="0" w:type="dxa"/>
            <w:vAlign w:val="bottom"/>
          </w:tcPr>
          <w:p>
            <w:pPr>
              <w:spacing w:after="0"/>
              <w:rPr>
                <w:sz w:val="1"/>
                <w:szCs w:val="1"/>
                <w:color w:val="auto"/>
              </w:rPr>
            </w:pPr>
          </w:p>
        </w:tc>
      </w:tr>
      <w:tr>
        <w:trPr>
          <w:trHeight w:val="228"/>
        </w:trPr>
        <w:tc>
          <w:tcPr>
            <w:tcW w:w="8100" w:type="dxa"/>
            <w:vAlign w:val="bottom"/>
          </w:tcPr>
          <w:p>
            <w:pPr>
              <w:spacing w:after="0"/>
              <w:rPr>
                <w:sz w:val="20"/>
                <w:szCs w:val="20"/>
                <w:color w:val="auto"/>
              </w:rPr>
            </w:pPr>
            <w:r>
              <w:rPr>
                <w:rFonts w:ascii="Arial" w:cs="Arial" w:eastAsia="Arial" w:hAnsi="Arial"/>
                <w:sz w:val="16"/>
                <w:szCs w:val="16"/>
                <w:b w:val="1"/>
                <w:bCs w:val="1"/>
                <w:color w:val="auto"/>
              </w:rPr>
              <w:t>ASSETS</w:t>
            </w:r>
          </w:p>
        </w:tc>
        <w:tc>
          <w:tcPr>
            <w:tcW w:w="16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8100" w:type="dxa"/>
            <w:vAlign w:val="bottom"/>
          </w:tcPr>
          <w:p>
            <w:pPr>
              <w:spacing w:after="0"/>
              <w:rPr>
                <w:sz w:val="20"/>
                <w:szCs w:val="20"/>
                <w:color w:val="auto"/>
              </w:rPr>
            </w:pPr>
            <w:r>
              <w:rPr>
                <w:rFonts w:ascii="Arial" w:cs="Arial" w:eastAsia="Arial" w:hAnsi="Arial"/>
                <w:sz w:val="16"/>
                <w:szCs w:val="16"/>
                <w:i w:val="1"/>
                <w:iCs w:val="1"/>
                <w:color w:val="auto"/>
              </w:rPr>
              <w:t>Current Assets:</w:t>
            </w: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8100" w:type="dxa"/>
            <w:vAlign w:val="bottom"/>
          </w:tcPr>
          <w:p>
            <w:pPr>
              <w:ind w:left="120"/>
              <w:spacing w:after="0"/>
              <w:rPr>
                <w:sz w:val="20"/>
                <w:szCs w:val="20"/>
                <w:color w:val="auto"/>
              </w:rPr>
            </w:pPr>
            <w:r>
              <w:rPr>
                <w:rFonts w:ascii="Arial" w:cs="Arial" w:eastAsia="Arial" w:hAnsi="Arial"/>
                <w:sz w:val="16"/>
                <w:szCs w:val="16"/>
                <w:color w:val="auto"/>
              </w:rPr>
              <w:t>Cash and cash equivalents</w:t>
            </w:r>
          </w:p>
        </w:tc>
        <w:tc>
          <w:tcPr>
            <w:tcW w:w="1620" w:type="dxa"/>
            <w:vAlign w:val="bottom"/>
          </w:tcPr>
          <w:p>
            <w:pPr>
              <w:jc w:val="right"/>
              <w:ind w:right="40"/>
              <w:spacing w:after="0"/>
              <w:rPr>
                <w:sz w:val="20"/>
                <w:szCs w:val="20"/>
                <w:color w:val="auto"/>
              </w:rPr>
            </w:pPr>
            <w:r>
              <w:rPr>
                <w:rFonts w:ascii="Arial" w:cs="Arial" w:eastAsia="Arial" w:hAnsi="Arial"/>
                <w:sz w:val="16"/>
                <w:szCs w:val="16"/>
                <w:color w:val="auto"/>
              </w:rPr>
              <w:t>$47.2</w:t>
            </w:r>
          </w:p>
        </w:tc>
        <w:tc>
          <w:tcPr>
            <w:tcW w:w="120" w:type="dxa"/>
            <w:vAlign w:val="bottom"/>
          </w:tcPr>
          <w:p>
            <w:pPr>
              <w:spacing w:after="0"/>
              <w:rPr>
                <w:sz w:val="20"/>
                <w:szCs w:val="20"/>
                <w:color w:val="auto"/>
              </w:rPr>
            </w:pPr>
          </w:p>
        </w:tc>
        <w:tc>
          <w:tcPr>
            <w:tcW w:w="1580" w:type="dxa"/>
            <w:vAlign w:val="bottom"/>
          </w:tcPr>
          <w:p>
            <w:pPr>
              <w:jc w:val="right"/>
              <w:ind w:right="40"/>
              <w:spacing w:after="0"/>
              <w:rPr>
                <w:sz w:val="20"/>
                <w:szCs w:val="20"/>
                <w:color w:val="auto"/>
              </w:rPr>
            </w:pPr>
            <w:r>
              <w:rPr>
                <w:rFonts w:ascii="Arial" w:cs="Arial" w:eastAsia="Arial" w:hAnsi="Arial"/>
                <w:sz w:val="16"/>
                <w:szCs w:val="16"/>
                <w:color w:val="auto"/>
              </w:rPr>
              <w:t>$93.6</w:t>
            </w:r>
          </w:p>
        </w:tc>
        <w:tc>
          <w:tcPr>
            <w:tcW w:w="0" w:type="dxa"/>
            <w:vAlign w:val="bottom"/>
          </w:tcPr>
          <w:p>
            <w:pPr>
              <w:spacing w:after="0"/>
              <w:rPr>
                <w:sz w:val="1"/>
                <w:szCs w:val="1"/>
                <w:color w:val="auto"/>
              </w:rPr>
            </w:pPr>
          </w:p>
        </w:tc>
      </w:tr>
      <w:tr>
        <w:trPr>
          <w:trHeight w:val="240"/>
        </w:trPr>
        <w:tc>
          <w:tcPr>
            <w:tcW w:w="8100" w:type="dxa"/>
            <w:vAlign w:val="bottom"/>
          </w:tcPr>
          <w:p>
            <w:pPr>
              <w:ind w:left="120"/>
              <w:spacing w:after="0"/>
              <w:rPr>
                <w:sz w:val="20"/>
                <w:szCs w:val="20"/>
                <w:color w:val="auto"/>
              </w:rPr>
            </w:pPr>
            <w:r>
              <w:rPr>
                <w:rFonts w:ascii="Arial" w:cs="Arial" w:eastAsia="Arial" w:hAnsi="Arial"/>
                <w:sz w:val="16"/>
                <w:szCs w:val="16"/>
                <w:color w:val="auto"/>
              </w:rPr>
              <w:t>Accounts receivable, net</w:t>
            </w:r>
          </w:p>
        </w:tc>
        <w:tc>
          <w:tcPr>
            <w:tcW w:w="1620" w:type="dxa"/>
            <w:vAlign w:val="bottom"/>
          </w:tcPr>
          <w:p>
            <w:pPr>
              <w:jc w:val="right"/>
              <w:ind w:right="40"/>
              <w:spacing w:after="0"/>
              <w:rPr>
                <w:sz w:val="20"/>
                <w:szCs w:val="20"/>
                <w:color w:val="auto"/>
              </w:rPr>
            </w:pPr>
            <w:r>
              <w:rPr>
                <w:rFonts w:ascii="Arial" w:cs="Arial" w:eastAsia="Arial" w:hAnsi="Arial"/>
                <w:sz w:val="16"/>
                <w:szCs w:val="16"/>
                <w:color w:val="auto"/>
              </w:rPr>
              <w:t>256.1</w:t>
            </w:r>
          </w:p>
        </w:tc>
        <w:tc>
          <w:tcPr>
            <w:tcW w:w="120" w:type="dxa"/>
            <w:vAlign w:val="bottom"/>
          </w:tcPr>
          <w:p>
            <w:pPr>
              <w:spacing w:after="0"/>
              <w:rPr>
                <w:sz w:val="20"/>
                <w:szCs w:val="20"/>
                <w:color w:val="auto"/>
              </w:rPr>
            </w:pPr>
          </w:p>
        </w:tc>
        <w:tc>
          <w:tcPr>
            <w:tcW w:w="1580" w:type="dxa"/>
            <w:vAlign w:val="bottom"/>
          </w:tcPr>
          <w:p>
            <w:pPr>
              <w:jc w:val="right"/>
              <w:ind w:right="40"/>
              <w:spacing w:after="0"/>
              <w:rPr>
                <w:sz w:val="20"/>
                <w:szCs w:val="20"/>
                <w:color w:val="auto"/>
              </w:rPr>
            </w:pPr>
            <w:r>
              <w:rPr>
                <w:rFonts w:ascii="Arial" w:cs="Arial" w:eastAsia="Arial" w:hAnsi="Arial"/>
                <w:sz w:val="16"/>
                <w:szCs w:val="16"/>
                <w:color w:val="auto"/>
              </w:rPr>
              <w:t>282.1</w:t>
            </w:r>
          </w:p>
        </w:tc>
        <w:tc>
          <w:tcPr>
            <w:tcW w:w="0" w:type="dxa"/>
            <w:vAlign w:val="bottom"/>
          </w:tcPr>
          <w:p>
            <w:pPr>
              <w:spacing w:after="0"/>
              <w:rPr>
                <w:sz w:val="1"/>
                <w:szCs w:val="1"/>
                <w:color w:val="auto"/>
              </w:rPr>
            </w:pPr>
          </w:p>
        </w:tc>
      </w:tr>
      <w:tr>
        <w:trPr>
          <w:trHeight w:val="240"/>
        </w:trPr>
        <w:tc>
          <w:tcPr>
            <w:tcW w:w="8100" w:type="dxa"/>
            <w:vAlign w:val="bottom"/>
          </w:tcPr>
          <w:p>
            <w:pPr>
              <w:ind w:left="120"/>
              <w:spacing w:after="0"/>
              <w:rPr>
                <w:sz w:val="20"/>
                <w:szCs w:val="20"/>
                <w:color w:val="auto"/>
              </w:rPr>
            </w:pPr>
            <w:r>
              <w:rPr>
                <w:rFonts w:ascii="Arial" w:cs="Arial" w:eastAsia="Arial" w:hAnsi="Arial"/>
                <w:sz w:val="16"/>
                <w:szCs w:val="16"/>
                <w:color w:val="auto"/>
              </w:rPr>
              <w:t>Inventories</w:t>
            </w:r>
          </w:p>
        </w:tc>
        <w:tc>
          <w:tcPr>
            <w:tcW w:w="1620" w:type="dxa"/>
            <w:vAlign w:val="bottom"/>
          </w:tcPr>
          <w:p>
            <w:pPr>
              <w:jc w:val="right"/>
              <w:ind w:right="40"/>
              <w:spacing w:after="0"/>
              <w:rPr>
                <w:sz w:val="20"/>
                <w:szCs w:val="20"/>
                <w:color w:val="auto"/>
              </w:rPr>
            </w:pPr>
            <w:r>
              <w:rPr>
                <w:rFonts w:ascii="Arial" w:cs="Arial" w:eastAsia="Arial" w:hAnsi="Arial"/>
                <w:sz w:val="16"/>
                <w:szCs w:val="16"/>
                <w:color w:val="auto"/>
              </w:rPr>
              <w:t>153.5</w:t>
            </w:r>
          </w:p>
        </w:tc>
        <w:tc>
          <w:tcPr>
            <w:tcW w:w="120" w:type="dxa"/>
            <w:vAlign w:val="bottom"/>
          </w:tcPr>
          <w:p>
            <w:pPr>
              <w:spacing w:after="0"/>
              <w:rPr>
                <w:sz w:val="20"/>
                <w:szCs w:val="20"/>
                <w:color w:val="auto"/>
              </w:rPr>
            </w:pPr>
          </w:p>
        </w:tc>
        <w:tc>
          <w:tcPr>
            <w:tcW w:w="1580" w:type="dxa"/>
            <w:vAlign w:val="bottom"/>
          </w:tcPr>
          <w:p>
            <w:pPr>
              <w:jc w:val="right"/>
              <w:ind w:right="40"/>
              <w:spacing w:after="0"/>
              <w:rPr>
                <w:sz w:val="20"/>
                <w:szCs w:val="20"/>
                <w:color w:val="auto"/>
              </w:rPr>
            </w:pPr>
            <w:r>
              <w:rPr>
                <w:rFonts w:ascii="Arial" w:cs="Arial" w:eastAsia="Arial" w:hAnsi="Arial"/>
                <w:sz w:val="16"/>
                <w:szCs w:val="16"/>
                <w:color w:val="auto"/>
              </w:rPr>
              <w:t>144.5</w:t>
            </w:r>
          </w:p>
        </w:tc>
        <w:tc>
          <w:tcPr>
            <w:tcW w:w="0" w:type="dxa"/>
            <w:vAlign w:val="bottom"/>
          </w:tcPr>
          <w:p>
            <w:pPr>
              <w:spacing w:after="0"/>
              <w:rPr>
                <w:sz w:val="1"/>
                <w:szCs w:val="1"/>
                <w:color w:val="auto"/>
              </w:rPr>
            </w:pPr>
          </w:p>
        </w:tc>
      </w:tr>
      <w:tr>
        <w:trPr>
          <w:trHeight w:val="240"/>
        </w:trPr>
        <w:tc>
          <w:tcPr>
            <w:tcW w:w="8100" w:type="dxa"/>
            <w:vAlign w:val="bottom"/>
          </w:tcPr>
          <w:p>
            <w:pPr>
              <w:ind w:left="120"/>
              <w:spacing w:after="0"/>
              <w:rPr>
                <w:sz w:val="20"/>
                <w:szCs w:val="20"/>
                <w:color w:val="auto"/>
              </w:rPr>
            </w:pPr>
            <w:r>
              <w:rPr>
                <w:rFonts w:ascii="Arial" w:cs="Arial" w:eastAsia="Arial" w:hAnsi="Arial"/>
                <w:sz w:val="16"/>
                <w:szCs w:val="16"/>
                <w:color w:val="auto"/>
              </w:rPr>
              <w:t>Prepaid and refundable taxes</w:t>
            </w:r>
          </w:p>
        </w:tc>
        <w:tc>
          <w:tcPr>
            <w:tcW w:w="1620" w:type="dxa"/>
            <w:vAlign w:val="bottom"/>
          </w:tcPr>
          <w:p>
            <w:pPr>
              <w:jc w:val="right"/>
              <w:ind w:right="40"/>
              <w:spacing w:after="0"/>
              <w:rPr>
                <w:sz w:val="20"/>
                <w:szCs w:val="20"/>
                <w:color w:val="auto"/>
              </w:rPr>
            </w:pPr>
            <w:r>
              <w:rPr>
                <w:rFonts w:ascii="Arial" w:cs="Arial" w:eastAsia="Arial" w:hAnsi="Arial"/>
                <w:sz w:val="16"/>
                <w:szCs w:val="16"/>
                <w:color w:val="auto"/>
              </w:rPr>
              <w:t>46.9</w:t>
            </w:r>
          </w:p>
        </w:tc>
        <w:tc>
          <w:tcPr>
            <w:tcW w:w="120" w:type="dxa"/>
            <w:vAlign w:val="bottom"/>
          </w:tcPr>
          <w:p>
            <w:pPr>
              <w:spacing w:after="0"/>
              <w:rPr>
                <w:sz w:val="20"/>
                <w:szCs w:val="20"/>
                <w:color w:val="auto"/>
              </w:rPr>
            </w:pPr>
          </w:p>
        </w:tc>
        <w:tc>
          <w:tcPr>
            <w:tcW w:w="1580" w:type="dxa"/>
            <w:vAlign w:val="bottom"/>
          </w:tcPr>
          <w:p>
            <w:pPr>
              <w:jc w:val="right"/>
              <w:ind w:right="40"/>
              <w:spacing w:after="0"/>
              <w:rPr>
                <w:sz w:val="20"/>
                <w:szCs w:val="20"/>
                <w:color w:val="auto"/>
              </w:rPr>
            </w:pPr>
            <w:r>
              <w:rPr>
                <w:rFonts w:ascii="Arial" w:cs="Arial" w:eastAsia="Arial" w:hAnsi="Arial"/>
                <w:sz w:val="16"/>
                <w:szCs w:val="16"/>
                <w:color w:val="auto"/>
              </w:rPr>
              <w:t>46.3</w:t>
            </w:r>
          </w:p>
        </w:tc>
        <w:tc>
          <w:tcPr>
            <w:tcW w:w="0" w:type="dxa"/>
            <w:vAlign w:val="bottom"/>
          </w:tcPr>
          <w:p>
            <w:pPr>
              <w:spacing w:after="0"/>
              <w:rPr>
                <w:sz w:val="1"/>
                <w:szCs w:val="1"/>
                <w:color w:val="auto"/>
              </w:rPr>
            </w:pPr>
          </w:p>
        </w:tc>
      </w:tr>
      <w:tr>
        <w:trPr>
          <w:trHeight w:val="240"/>
        </w:trPr>
        <w:tc>
          <w:tcPr>
            <w:tcW w:w="8100" w:type="dxa"/>
            <w:vAlign w:val="bottom"/>
          </w:tcPr>
          <w:p>
            <w:pPr>
              <w:ind w:left="120"/>
              <w:spacing w:after="0"/>
              <w:rPr>
                <w:sz w:val="20"/>
                <w:szCs w:val="20"/>
                <w:color w:val="auto"/>
              </w:rPr>
            </w:pPr>
            <w:r>
              <w:rPr>
                <w:rFonts w:ascii="Arial" w:cs="Arial" w:eastAsia="Arial" w:hAnsi="Arial"/>
                <w:sz w:val="16"/>
                <w:szCs w:val="16"/>
                <w:color w:val="auto"/>
              </w:rPr>
              <w:t>Assets held for sale</w:t>
            </w:r>
          </w:p>
        </w:tc>
        <w:tc>
          <w:tcPr>
            <w:tcW w:w="17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40"/>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240"/>
        </w:trPr>
        <w:tc>
          <w:tcPr>
            <w:tcW w:w="8100" w:type="dxa"/>
            <w:vAlign w:val="bottom"/>
          </w:tcPr>
          <w:p>
            <w:pPr>
              <w:ind w:left="120"/>
              <w:spacing w:after="0"/>
              <w:rPr>
                <w:sz w:val="20"/>
                <w:szCs w:val="20"/>
                <w:color w:val="auto"/>
              </w:rPr>
            </w:pPr>
            <w:r>
              <w:rPr>
                <w:rFonts w:ascii="Arial" w:cs="Arial" w:eastAsia="Arial" w:hAnsi="Arial"/>
                <w:sz w:val="16"/>
                <w:szCs w:val="16"/>
                <w:color w:val="auto"/>
              </w:rPr>
              <w:t>Assets of discontinued operations</w:t>
            </w:r>
          </w:p>
        </w:tc>
        <w:tc>
          <w:tcPr>
            <w:tcW w:w="17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40"/>
              <w:spacing w:after="0"/>
              <w:rPr>
                <w:sz w:val="20"/>
                <w:szCs w:val="20"/>
                <w:color w:val="auto"/>
              </w:rPr>
            </w:pPr>
            <w:r>
              <w:rPr>
                <w:rFonts w:ascii="Arial" w:cs="Arial" w:eastAsia="Arial" w:hAnsi="Arial"/>
                <w:sz w:val="16"/>
                <w:szCs w:val="16"/>
                <w:color w:val="auto"/>
              </w:rPr>
              <w:t>250.7</w:t>
            </w:r>
          </w:p>
        </w:tc>
        <w:tc>
          <w:tcPr>
            <w:tcW w:w="0" w:type="dxa"/>
            <w:vAlign w:val="bottom"/>
          </w:tcPr>
          <w:p>
            <w:pPr>
              <w:spacing w:after="0"/>
              <w:rPr>
                <w:sz w:val="1"/>
                <w:szCs w:val="1"/>
                <w:color w:val="auto"/>
              </w:rPr>
            </w:pPr>
          </w:p>
        </w:tc>
      </w:tr>
      <w:tr>
        <w:trPr>
          <w:trHeight w:val="245"/>
        </w:trPr>
        <w:tc>
          <w:tcPr>
            <w:tcW w:w="8100" w:type="dxa"/>
            <w:vAlign w:val="bottom"/>
          </w:tcPr>
          <w:p>
            <w:pPr>
              <w:ind w:left="120"/>
              <w:spacing w:after="0"/>
              <w:rPr>
                <w:sz w:val="20"/>
                <w:szCs w:val="20"/>
                <w:color w:val="auto"/>
              </w:rPr>
            </w:pPr>
            <w:r>
              <w:rPr>
                <w:rFonts w:ascii="Arial" w:cs="Arial" w:eastAsia="Arial" w:hAnsi="Arial"/>
                <w:sz w:val="16"/>
                <w:szCs w:val="16"/>
                <w:color w:val="auto"/>
              </w:rPr>
              <w:t>Prepaid expenses and other current assets</w:t>
            </w:r>
          </w:p>
        </w:tc>
        <w:tc>
          <w:tcPr>
            <w:tcW w:w="16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29.6</w:t>
            </w:r>
          </w:p>
        </w:tc>
        <w:tc>
          <w:tcPr>
            <w:tcW w:w="120" w:type="dxa"/>
            <w:vAlign w:val="bottom"/>
          </w:tcPr>
          <w:p>
            <w:pPr>
              <w:spacing w:after="0"/>
              <w:rPr>
                <w:sz w:val="21"/>
                <w:szCs w:val="21"/>
                <w:color w:val="auto"/>
              </w:rPr>
            </w:pPr>
          </w:p>
        </w:tc>
        <w:tc>
          <w:tcPr>
            <w:tcW w:w="15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39.0</w:t>
            </w:r>
          </w:p>
        </w:tc>
        <w:tc>
          <w:tcPr>
            <w:tcW w:w="0" w:type="dxa"/>
            <w:vAlign w:val="bottom"/>
          </w:tcPr>
          <w:p>
            <w:pPr>
              <w:spacing w:after="0"/>
              <w:rPr>
                <w:sz w:val="1"/>
                <w:szCs w:val="1"/>
                <w:color w:val="auto"/>
              </w:rPr>
            </w:pPr>
          </w:p>
        </w:tc>
      </w:tr>
      <w:tr>
        <w:trPr>
          <w:trHeight w:val="220"/>
        </w:trPr>
        <w:tc>
          <w:tcPr>
            <w:tcW w:w="8100" w:type="dxa"/>
            <w:vAlign w:val="bottom"/>
          </w:tcPr>
          <w:p>
            <w:pPr>
              <w:spacing w:after="0"/>
              <w:rPr>
                <w:sz w:val="20"/>
                <w:szCs w:val="20"/>
                <w:color w:val="auto"/>
              </w:rPr>
            </w:pPr>
            <w:r>
              <w:rPr>
                <w:rFonts w:ascii="Arial" w:cs="Arial" w:eastAsia="Arial" w:hAnsi="Arial"/>
                <w:sz w:val="16"/>
                <w:szCs w:val="16"/>
                <w:color w:val="auto"/>
              </w:rPr>
              <w:t>Total Current Assets</w:t>
            </w:r>
          </w:p>
        </w:tc>
        <w:tc>
          <w:tcPr>
            <w:tcW w:w="16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533.3</w:t>
            </w:r>
          </w:p>
        </w:tc>
        <w:tc>
          <w:tcPr>
            <w:tcW w:w="120" w:type="dxa"/>
            <w:vAlign w:val="bottom"/>
          </w:tcPr>
          <w:p>
            <w:pPr>
              <w:spacing w:after="0"/>
              <w:rPr>
                <w:sz w:val="19"/>
                <w:szCs w:val="19"/>
                <w:color w:val="auto"/>
              </w:rPr>
            </w:pPr>
          </w:p>
        </w:tc>
        <w:tc>
          <w:tcPr>
            <w:tcW w:w="15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869.9</w:t>
            </w:r>
          </w:p>
        </w:tc>
        <w:tc>
          <w:tcPr>
            <w:tcW w:w="0" w:type="dxa"/>
            <w:vAlign w:val="bottom"/>
          </w:tcPr>
          <w:p>
            <w:pPr>
              <w:spacing w:after="0"/>
              <w:rPr>
                <w:sz w:val="1"/>
                <w:szCs w:val="1"/>
                <w:color w:val="auto"/>
              </w:rPr>
            </w:pPr>
          </w:p>
        </w:tc>
      </w:tr>
      <w:tr>
        <w:trPr>
          <w:trHeight w:val="214"/>
        </w:trPr>
        <w:tc>
          <w:tcPr>
            <w:tcW w:w="8100" w:type="dxa"/>
            <w:vAlign w:val="bottom"/>
          </w:tcPr>
          <w:p>
            <w:pPr>
              <w:ind w:left="120"/>
              <w:spacing w:after="0"/>
              <w:rPr>
                <w:sz w:val="20"/>
                <w:szCs w:val="20"/>
                <w:color w:val="auto"/>
              </w:rPr>
            </w:pPr>
            <w:r>
              <w:rPr>
                <w:rFonts w:ascii="Arial" w:cs="Arial" w:eastAsia="Arial" w:hAnsi="Arial"/>
                <w:sz w:val="16"/>
                <w:szCs w:val="16"/>
                <w:color w:val="auto"/>
              </w:rPr>
              <w:t>Property, plant and equipment, net</w:t>
            </w:r>
          </w:p>
        </w:tc>
        <w:tc>
          <w:tcPr>
            <w:tcW w:w="1620" w:type="dxa"/>
            <w:vAlign w:val="bottom"/>
          </w:tcPr>
          <w:p>
            <w:pPr>
              <w:jc w:val="right"/>
              <w:ind w:right="40"/>
              <w:spacing w:after="0"/>
              <w:rPr>
                <w:sz w:val="20"/>
                <w:szCs w:val="20"/>
                <w:color w:val="auto"/>
              </w:rPr>
            </w:pPr>
            <w:r>
              <w:rPr>
                <w:rFonts w:ascii="Arial" w:cs="Arial" w:eastAsia="Arial" w:hAnsi="Arial"/>
                <w:sz w:val="16"/>
                <w:szCs w:val="16"/>
                <w:color w:val="auto"/>
              </w:rPr>
              <w:t>191.4</w:t>
            </w:r>
          </w:p>
        </w:tc>
        <w:tc>
          <w:tcPr>
            <w:tcW w:w="120" w:type="dxa"/>
            <w:vAlign w:val="bottom"/>
          </w:tcPr>
          <w:p>
            <w:pPr>
              <w:spacing w:after="0"/>
              <w:rPr>
                <w:sz w:val="18"/>
                <w:szCs w:val="18"/>
                <w:color w:val="auto"/>
              </w:rPr>
            </w:pPr>
          </w:p>
        </w:tc>
        <w:tc>
          <w:tcPr>
            <w:tcW w:w="1580" w:type="dxa"/>
            <w:vAlign w:val="bottom"/>
          </w:tcPr>
          <w:p>
            <w:pPr>
              <w:jc w:val="right"/>
              <w:ind w:right="40"/>
              <w:spacing w:after="0"/>
              <w:rPr>
                <w:sz w:val="20"/>
                <w:szCs w:val="20"/>
                <w:color w:val="auto"/>
              </w:rPr>
            </w:pPr>
            <w:r>
              <w:rPr>
                <w:rFonts w:ascii="Arial" w:cs="Arial" w:eastAsia="Arial" w:hAnsi="Arial"/>
                <w:sz w:val="16"/>
                <w:szCs w:val="16"/>
                <w:color w:val="auto"/>
              </w:rPr>
              <w:t>192.4</w:t>
            </w:r>
          </w:p>
        </w:tc>
        <w:tc>
          <w:tcPr>
            <w:tcW w:w="0" w:type="dxa"/>
            <w:vAlign w:val="bottom"/>
          </w:tcPr>
          <w:p>
            <w:pPr>
              <w:spacing w:after="0"/>
              <w:rPr>
                <w:sz w:val="1"/>
                <w:szCs w:val="1"/>
                <w:color w:val="auto"/>
              </w:rPr>
            </w:pPr>
          </w:p>
        </w:tc>
      </w:tr>
      <w:tr>
        <w:trPr>
          <w:trHeight w:val="240"/>
        </w:trPr>
        <w:tc>
          <w:tcPr>
            <w:tcW w:w="8100" w:type="dxa"/>
            <w:vAlign w:val="bottom"/>
          </w:tcPr>
          <w:p>
            <w:pPr>
              <w:ind w:left="120"/>
              <w:spacing w:after="0"/>
              <w:rPr>
                <w:sz w:val="20"/>
                <w:szCs w:val="20"/>
                <w:color w:val="auto"/>
              </w:rPr>
            </w:pPr>
            <w:r>
              <w:rPr>
                <w:rFonts w:ascii="Arial" w:cs="Arial" w:eastAsia="Arial" w:hAnsi="Arial"/>
                <w:sz w:val="16"/>
                <w:szCs w:val="16"/>
                <w:color w:val="auto"/>
              </w:rPr>
              <w:t>Goodwill</w:t>
            </w:r>
          </w:p>
        </w:tc>
        <w:tc>
          <w:tcPr>
            <w:tcW w:w="1620" w:type="dxa"/>
            <w:vAlign w:val="bottom"/>
          </w:tcPr>
          <w:p>
            <w:pPr>
              <w:jc w:val="right"/>
              <w:ind w:right="40"/>
              <w:spacing w:after="0"/>
              <w:rPr>
                <w:sz w:val="20"/>
                <w:szCs w:val="20"/>
                <w:color w:val="auto"/>
              </w:rPr>
            </w:pPr>
            <w:r>
              <w:rPr>
                <w:rFonts w:ascii="Arial" w:cs="Arial" w:eastAsia="Arial" w:hAnsi="Arial"/>
                <w:sz w:val="16"/>
                <w:szCs w:val="16"/>
                <w:color w:val="auto"/>
              </w:rPr>
              <w:t>956.8</w:t>
            </w:r>
          </w:p>
        </w:tc>
        <w:tc>
          <w:tcPr>
            <w:tcW w:w="120" w:type="dxa"/>
            <w:vAlign w:val="bottom"/>
          </w:tcPr>
          <w:p>
            <w:pPr>
              <w:spacing w:after="0"/>
              <w:rPr>
                <w:sz w:val="20"/>
                <w:szCs w:val="20"/>
                <w:color w:val="auto"/>
              </w:rPr>
            </w:pPr>
          </w:p>
        </w:tc>
        <w:tc>
          <w:tcPr>
            <w:tcW w:w="1580" w:type="dxa"/>
            <w:vAlign w:val="bottom"/>
          </w:tcPr>
          <w:p>
            <w:pPr>
              <w:jc w:val="right"/>
              <w:ind w:right="40"/>
              <w:spacing w:after="0"/>
              <w:rPr>
                <w:sz w:val="20"/>
                <w:szCs w:val="20"/>
                <w:color w:val="auto"/>
              </w:rPr>
            </w:pPr>
            <w:r>
              <w:rPr>
                <w:rFonts w:ascii="Arial" w:cs="Arial" w:eastAsia="Arial" w:hAnsi="Arial"/>
                <w:sz w:val="16"/>
                <w:szCs w:val="16"/>
                <w:color w:val="auto"/>
              </w:rPr>
              <w:t>784.2</w:t>
            </w:r>
          </w:p>
        </w:tc>
        <w:tc>
          <w:tcPr>
            <w:tcW w:w="0" w:type="dxa"/>
            <w:vAlign w:val="bottom"/>
          </w:tcPr>
          <w:p>
            <w:pPr>
              <w:spacing w:after="0"/>
              <w:rPr>
                <w:sz w:val="1"/>
                <w:szCs w:val="1"/>
                <w:color w:val="auto"/>
              </w:rPr>
            </w:pPr>
          </w:p>
        </w:tc>
      </w:tr>
      <w:tr>
        <w:trPr>
          <w:trHeight w:val="240"/>
        </w:trPr>
        <w:tc>
          <w:tcPr>
            <w:tcW w:w="8100" w:type="dxa"/>
            <w:vAlign w:val="bottom"/>
          </w:tcPr>
          <w:p>
            <w:pPr>
              <w:ind w:left="120"/>
              <w:spacing w:after="0"/>
              <w:rPr>
                <w:sz w:val="20"/>
                <w:szCs w:val="20"/>
                <w:color w:val="auto"/>
              </w:rPr>
            </w:pPr>
            <w:r>
              <w:rPr>
                <w:rFonts w:ascii="Arial" w:cs="Arial" w:eastAsia="Arial" w:hAnsi="Arial"/>
                <w:sz w:val="16"/>
                <w:szCs w:val="16"/>
                <w:color w:val="auto"/>
              </w:rPr>
              <w:t>Intangible assets, net</w:t>
            </w:r>
          </w:p>
        </w:tc>
        <w:tc>
          <w:tcPr>
            <w:tcW w:w="1620" w:type="dxa"/>
            <w:vAlign w:val="bottom"/>
          </w:tcPr>
          <w:p>
            <w:pPr>
              <w:jc w:val="right"/>
              <w:ind w:right="40"/>
              <w:spacing w:after="0"/>
              <w:rPr>
                <w:sz w:val="20"/>
                <w:szCs w:val="20"/>
                <w:color w:val="auto"/>
              </w:rPr>
            </w:pPr>
            <w:r>
              <w:rPr>
                <w:rFonts w:ascii="Arial" w:cs="Arial" w:eastAsia="Arial" w:hAnsi="Arial"/>
                <w:sz w:val="16"/>
                <w:szCs w:val="16"/>
                <w:color w:val="auto"/>
              </w:rPr>
              <w:t>770.4</w:t>
            </w:r>
          </w:p>
        </w:tc>
        <w:tc>
          <w:tcPr>
            <w:tcW w:w="120" w:type="dxa"/>
            <w:vAlign w:val="bottom"/>
          </w:tcPr>
          <w:p>
            <w:pPr>
              <w:spacing w:after="0"/>
              <w:rPr>
                <w:sz w:val="20"/>
                <w:szCs w:val="20"/>
                <w:color w:val="auto"/>
              </w:rPr>
            </w:pPr>
          </w:p>
        </w:tc>
        <w:tc>
          <w:tcPr>
            <w:tcW w:w="1580" w:type="dxa"/>
            <w:vAlign w:val="bottom"/>
          </w:tcPr>
          <w:p>
            <w:pPr>
              <w:jc w:val="right"/>
              <w:ind w:right="40"/>
              <w:spacing w:after="0"/>
              <w:rPr>
                <w:sz w:val="20"/>
                <w:szCs w:val="20"/>
                <w:color w:val="auto"/>
              </w:rPr>
            </w:pPr>
            <w:r>
              <w:rPr>
                <w:rFonts w:ascii="Arial" w:cs="Arial" w:eastAsia="Arial" w:hAnsi="Arial"/>
                <w:sz w:val="16"/>
                <w:szCs w:val="16"/>
                <w:color w:val="auto"/>
              </w:rPr>
              <w:t>535.4</w:t>
            </w:r>
          </w:p>
        </w:tc>
        <w:tc>
          <w:tcPr>
            <w:tcW w:w="0" w:type="dxa"/>
            <w:vAlign w:val="bottom"/>
          </w:tcPr>
          <w:p>
            <w:pPr>
              <w:spacing w:after="0"/>
              <w:rPr>
                <w:sz w:val="1"/>
                <w:szCs w:val="1"/>
                <w:color w:val="auto"/>
              </w:rPr>
            </w:pPr>
          </w:p>
        </w:tc>
      </w:tr>
      <w:tr>
        <w:trPr>
          <w:trHeight w:val="240"/>
        </w:trPr>
        <w:tc>
          <w:tcPr>
            <w:tcW w:w="8100" w:type="dxa"/>
            <w:vAlign w:val="bottom"/>
          </w:tcPr>
          <w:p>
            <w:pPr>
              <w:ind w:left="120"/>
              <w:spacing w:after="0"/>
              <w:rPr>
                <w:sz w:val="20"/>
                <w:szCs w:val="20"/>
                <w:color w:val="auto"/>
              </w:rPr>
            </w:pPr>
            <w:r>
              <w:rPr>
                <w:rFonts w:ascii="Arial" w:cs="Arial" w:eastAsia="Arial" w:hAnsi="Arial"/>
                <w:sz w:val="16"/>
                <w:szCs w:val="16"/>
                <w:color w:val="auto"/>
              </w:rPr>
              <w:t>Investments</w:t>
            </w:r>
          </w:p>
        </w:tc>
        <w:tc>
          <w:tcPr>
            <w:tcW w:w="1620" w:type="dxa"/>
            <w:vAlign w:val="bottom"/>
          </w:tcPr>
          <w:p>
            <w:pPr>
              <w:jc w:val="right"/>
              <w:ind w:right="40"/>
              <w:spacing w:after="0"/>
              <w:rPr>
                <w:sz w:val="20"/>
                <w:szCs w:val="20"/>
                <w:color w:val="auto"/>
              </w:rPr>
            </w:pPr>
            <w:r>
              <w:rPr>
                <w:rFonts w:ascii="Arial" w:cs="Arial" w:eastAsia="Arial" w:hAnsi="Arial"/>
                <w:sz w:val="16"/>
                <w:szCs w:val="16"/>
                <w:color w:val="auto"/>
              </w:rPr>
              <w:t>24.8</w:t>
            </w:r>
          </w:p>
        </w:tc>
        <w:tc>
          <w:tcPr>
            <w:tcW w:w="120" w:type="dxa"/>
            <w:vAlign w:val="bottom"/>
          </w:tcPr>
          <w:p>
            <w:pPr>
              <w:spacing w:after="0"/>
              <w:rPr>
                <w:sz w:val="20"/>
                <w:szCs w:val="20"/>
                <w:color w:val="auto"/>
              </w:rPr>
            </w:pPr>
          </w:p>
        </w:tc>
        <w:tc>
          <w:tcPr>
            <w:tcW w:w="1580" w:type="dxa"/>
            <w:vAlign w:val="bottom"/>
          </w:tcPr>
          <w:p>
            <w:pPr>
              <w:jc w:val="right"/>
              <w:ind w:right="40"/>
              <w:spacing w:after="0"/>
              <w:rPr>
                <w:sz w:val="20"/>
                <w:szCs w:val="20"/>
                <w:color w:val="auto"/>
              </w:rPr>
            </w:pPr>
            <w:r>
              <w:rPr>
                <w:rFonts w:ascii="Arial" w:cs="Arial" w:eastAsia="Arial" w:hAnsi="Arial"/>
                <w:sz w:val="16"/>
                <w:szCs w:val="16"/>
                <w:color w:val="auto"/>
              </w:rPr>
              <w:t>34.5</w:t>
            </w:r>
          </w:p>
        </w:tc>
        <w:tc>
          <w:tcPr>
            <w:tcW w:w="0" w:type="dxa"/>
            <w:vAlign w:val="bottom"/>
          </w:tcPr>
          <w:p>
            <w:pPr>
              <w:spacing w:after="0"/>
              <w:rPr>
                <w:sz w:val="1"/>
                <w:szCs w:val="1"/>
                <w:color w:val="auto"/>
              </w:rPr>
            </w:pPr>
          </w:p>
        </w:tc>
      </w:tr>
      <w:tr>
        <w:trPr>
          <w:trHeight w:val="240"/>
        </w:trPr>
        <w:tc>
          <w:tcPr>
            <w:tcW w:w="8100" w:type="dxa"/>
            <w:vAlign w:val="bottom"/>
          </w:tcPr>
          <w:p>
            <w:pPr>
              <w:ind w:left="120"/>
              <w:spacing w:after="0"/>
              <w:rPr>
                <w:sz w:val="20"/>
                <w:szCs w:val="20"/>
                <w:color w:val="auto"/>
              </w:rPr>
            </w:pPr>
            <w:r>
              <w:rPr>
                <w:rFonts w:ascii="Arial" w:cs="Arial" w:eastAsia="Arial" w:hAnsi="Arial"/>
                <w:sz w:val="16"/>
                <w:szCs w:val="16"/>
                <w:color w:val="auto"/>
              </w:rPr>
              <w:t>Deferred tax assets, net</w:t>
            </w:r>
          </w:p>
        </w:tc>
        <w:tc>
          <w:tcPr>
            <w:tcW w:w="1620" w:type="dxa"/>
            <w:vAlign w:val="bottom"/>
          </w:tcPr>
          <w:p>
            <w:pPr>
              <w:jc w:val="right"/>
              <w:ind w:right="40"/>
              <w:spacing w:after="0"/>
              <w:rPr>
                <w:sz w:val="20"/>
                <w:szCs w:val="20"/>
                <w:color w:val="auto"/>
              </w:rPr>
            </w:pPr>
            <w:r>
              <w:rPr>
                <w:rFonts w:ascii="Arial" w:cs="Arial" w:eastAsia="Arial" w:hAnsi="Arial"/>
                <w:sz w:val="16"/>
                <w:szCs w:val="16"/>
                <w:color w:val="auto"/>
              </w:rPr>
              <w:t>68.1</w:t>
            </w:r>
          </w:p>
        </w:tc>
        <w:tc>
          <w:tcPr>
            <w:tcW w:w="120" w:type="dxa"/>
            <w:vAlign w:val="bottom"/>
          </w:tcPr>
          <w:p>
            <w:pPr>
              <w:spacing w:after="0"/>
              <w:rPr>
                <w:sz w:val="20"/>
                <w:szCs w:val="20"/>
                <w:color w:val="auto"/>
              </w:rPr>
            </w:pPr>
          </w:p>
        </w:tc>
        <w:tc>
          <w:tcPr>
            <w:tcW w:w="1580" w:type="dxa"/>
            <w:vAlign w:val="bottom"/>
          </w:tcPr>
          <w:p>
            <w:pPr>
              <w:jc w:val="right"/>
              <w:ind w:right="40"/>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245"/>
        </w:trPr>
        <w:tc>
          <w:tcPr>
            <w:tcW w:w="8100" w:type="dxa"/>
            <w:vAlign w:val="bottom"/>
          </w:tcPr>
          <w:p>
            <w:pPr>
              <w:ind w:left="120"/>
              <w:spacing w:after="0"/>
              <w:rPr>
                <w:sz w:val="20"/>
                <w:szCs w:val="20"/>
                <w:color w:val="auto"/>
              </w:rPr>
            </w:pPr>
            <w:r>
              <w:rPr>
                <w:rFonts w:ascii="Arial" w:cs="Arial" w:eastAsia="Arial" w:hAnsi="Arial"/>
                <w:sz w:val="16"/>
                <w:szCs w:val="16"/>
                <w:color w:val="auto"/>
              </w:rPr>
              <w:t>Other assets</w:t>
            </w:r>
          </w:p>
        </w:tc>
        <w:tc>
          <w:tcPr>
            <w:tcW w:w="16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21"/>
                <w:szCs w:val="21"/>
                <w:color w:val="auto"/>
              </w:rPr>
            </w:pPr>
          </w:p>
        </w:tc>
        <w:tc>
          <w:tcPr>
            <w:tcW w:w="15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76.0</w:t>
            </w:r>
          </w:p>
        </w:tc>
        <w:tc>
          <w:tcPr>
            <w:tcW w:w="0" w:type="dxa"/>
            <w:vAlign w:val="bottom"/>
          </w:tcPr>
          <w:p>
            <w:pPr>
              <w:spacing w:after="0"/>
              <w:rPr>
                <w:sz w:val="1"/>
                <w:szCs w:val="1"/>
                <w:color w:val="auto"/>
              </w:rPr>
            </w:pPr>
          </w:p>
        </w:tc>
      </w:tr>
      <w:tr>
        <w:trPr>
          <w:trHeight w:val="237"/>
        </w:trPr>
        <w:tc>
          <w:tcPr>
            <w:tcW w:w="8100" w:type="dxa"/>
            <w:vAlign w:val="bottom"/>
          </w:tcPr>
          <w:p>
            <w:pPr>
              <w:spacing w:after="0"/>
              <w:rPr>
                <w:sz w:val="20"/>
                <w:szCs w:val="20"/>
                <w:color w:val="auto"/>
              </w:rPr>
            </w:pPr>
            <w:r>
              <w:rPr>
                <w:rFonts w:ascii="Arial" w:cs="Arial" w:eastAsia="Arial" w:hAnsi="Arial"/>
                <w:sz w:val="16"/>
                <w:szCs w:val="16"/>
                <w:color w:val="auto"/>
              </w:rPr>
              <w:t>Total Assets</w:t>
            </w:r>
          </w:p>
        </w:tc>
        <w:tc>
          <w:tcPr>
            <w:tcW w:w="16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$2,549.7</w:t>
            </w:r>
          </w:p>
        </w:tc>
        <w:tc>
          <w:tcPr>
            <w:tcW w:w="120" w:type="dxa"/>
            <w:vAlign w:val="bottom"/>
          </w:tcPr>
          <w:p>
            <w:pPr>
              <w:spacing w:after="0"/>
              <w:rPr>
                <w:sz w:val="20"/>
                <w:szCs w:val="20"/>
                <w:color w:val="auto"/>
              </w:rPr>
            </w:pPr>
          </w:p>
        </w:tc>
        <w:tc>
          <w:tcPr>
            <w:tcW w:w="15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$2,503.9</w:t>
            </w:r>
          </w:p>
        </w:tc>
        <w:tc>
          <w:tcPr>
            <w:tcW w:w="0" w:type="dxa"/>
            <w:vAlign w:val="bottom"/>
          </w:tcPr>
          <w:p>
            <w:pPr>
              <w:spacing w:after="0"/>
              <w:rPr>
                <w:sz w:val="1"/>
                <w:szCs w:val="1"/>
                <w:color w:val="auto"/>
              </w:rPr>
            </w:pPr>
          </w:p>
        </w:tc>
      </w:tr>
      <w:tr>
        <w:trPr>
          <w:trHeight w:val="20"/>
        </w:trPr>
        <w:tc>
          <w:tcPr>
            <w:tcW w:w="8100" w:type="dxa"/>
            <w:vAlign w:val="bottom"/>
            <w:vMerge w:val="restart"/>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100" w:type="dxa"/>
            <w:vAlign w:val="bottom"/>
            <w:vMerge w:val="continue"/>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8100" w:type="dxa"/>
            <w:vAlign w:val="bottom"/>
          </w:tcPr>
          <w:p>
            <w:pPr>
              <w:spacing w:after="0"/>
              <w:rPr>
                <w:sz w:val="20"/>
                <w:szCs w:val="20"/>
                <w:color w:val="auto"/>
              </w:rPr>
            </w:pPr>
            <w:r>
              <w:rPr>
                <w:rFonts w:ascii="Arial" w:cs="Arial" w:eastAsia="Arial" w:hAnsi="Arial"/>
                <w:sz w:val="16"/>
                <w:szCs w:val="16"/>
                <w:i w:val="1"/>
                <w:iCs w:val="1"/>
                <w:color w:val="auto"/>
              </w:rPr>
              <w:t>Current Liabilities:</w:t>
            </w: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8100" w:type="dxa"/>
            <w:vAlign w:val="bottom"/>
          </w:tcPr>
          <w:p>
            <w:pPr>
              <w:ind w:left="120"/>
              <w:spacing w:after="0"/>
              <w:rPr>
                <w:sz w:val="20"/>
                <w:szCs w:val="20"/>
                <w:color w:val="auto"/>
              </w:rPr>
            </w:pPr>
            <w:r>
              <w:rPr>
                <w:rFonts w:ascii="Arial" w:cs="Arial" w:eastAsia="Arial" w:hAnsi="Arial"/>
                <w:sz w:val="16"/>
                <w:szCs w:val="16"/>
                <w:color w:val="auto"/>
              </w:rPr>
              <w:t>Current debt obligations</w:t>
            </w:r>
          </w:p>
        </w:tc>
        <w:tc>
          <w:tcPr>
            <w:tcW w:w="1620" w:type="dxa"/>
            <w:vAlign w:val="bottom"/>
          </w:tcPr>
          <w:p>
            <w:pPr>
              <w:jc w:val="right"/>
              <w:ind w:right="40"/>
              <w:spacing w:after="0"/>
              <w:rPr>
                <w:sz w:val="20"/>
                <w:szCs w:val="20"/>
                <w:color w:val="auto"/>
              </w:rPr>
            </w:pPr>
            <w:r>
              <w:rPr>
                <w:rFonts w:ascii="Arial" w:cs="Arial" w:eastAsia="Arial" w:hAnsi="Arial"/>
                <w:sz w:val="16"/>
                <w:szCs w:val="16"/>
                <w:color w:val="auto"/>
              </w:rPr>
              <w:t>$28.8</w:t>
            </w:r>
          </w:p>
        </w:tc>
        <w:tc>
          <w:tcPr>
            <w:tcW w:w="120" w:type="dxa"/>
            <w:vAlign w:val="bottom"/>
          </w:tcPr>
          <w:p>
            <w:pPr>
              <w:spacing w:after="0"/>
              <w:rPr>
                <w:sz w:val="20"/>
                <w:szCs w:val="20"/>
                <w:color w:val="auto"/>
              </w:rPr>
            </w:pPr>
          </w:p>
        </w:tc>
        <w:tc>
          <w:tcPr>
            <w:tcW w:w="1580" w:type="dxa"/>
            <w:vAlign w:val="bottom"/>
          </w:tcPr>
          <w:p>
            <w:pPr>
              <w:jc w:val="right"/>
              <w:ind w:right="40"/>
              <w:spacing w:after="0"/>
              <w:rPr>
                <w:sz w:val="20"/>
                <w:szCs w:val="20"/>
                <w:color w:val="auto"/>
              </w:rPr>
            </w:pPr>
            <w:r>
              <w:rPr>
                <w:rFonts w:ascii="Arial" w:cs="Arial" w:eastAsia="Arial" w:hAnsi="Arial"/>
                <w:sz w:val="16"/>
                <w:szCs w:val="16"/>
                <w:color w:val="auto"/>
              </w:rPr>
              <w:t>$84.0</w:t>
            </w:r>
          </w:p>
        </w:tc>
        <w:tc>
          <w:tcPr>
            <w:tcW w:w="0" w:type="dxa"/>
            <w:vAlign w:val="bottom"/>
          </w:tcPr>
          <w:p>
            <w:pPr>
              <w:spacing w:after="0"/>
              <w:rPr>
                <w:sz w:val="1"/>
                <w:szCs w:val="1"/>
                <w:color w:val="auto"/>
              </w:rPr>
            </w:pPr>
          </w:p>
        </w:tc>
      </w:tr>
      <w:tr>
        <w:trPr>
          <w:trHeight w:val="240"/>
        </w:trPr>
        <w:tc>
          <w:tcPr>
            <w:tcW w:w="8100" w:type="dxa"/>
            <w:vAlign w:val="bottom"/>
          </w:tcPr>
          <w:p>
            <w:pPr>
              <w:ind w:left="120"/>
              <w:spacing w:after="0"/>
              <w:rPr>
                <w:sz w:val="20"/>
                <w:szCs w:val="20"/>
                <w:color w:val="auto"/>
              </w:rPr>
            </w:pPr>
            <w:r>
              <w:rPr>
                <w:rFonts w:ascii="Arial" w:cs="Arial" w:eastAsia="Arial" w:hAnsi="Arial"/>
                <w:sz w:val="16"/>
                <w:szCs w:val="16"/>
                <w:color w:val="auto"/>
              </w:rPr>
              <w:t>Accounts payable</w:t>
            </w:r>
          </w:p>
        </w:tc>
        <w:tc>
          <w:tcPr>
            <w:tcW w:w="1620" w:type="dxa"/>
            <w:vAlign w:val="bottom"/>
          </w:tcPr>
          <w:p>
            <w:pPr>
              <w:jc w:val="right"/>
              <w:ind w:right="40"/>
              <w:spacing w:after="0"/>
              <w:rPr>
                <w:sz w:val="20"/>
                <w:szCs w:val="20"/>
                <w:color w:val="auto"/>
              </w:rPr>
            </w:pPr>
            <w:r>
              <w:rPr>
                <w:rFonts w:ascii="Arial" w:cs="Arial" w:eastAsia="Arial" w:hAnsi="Arial"/>
                <w:sz w:val="16"/>
                <w:szCs w:val="16"/>
                <w:color w:val="auto"/>
              </w:rPr>
              <w:t>76.7</w:t>
            </w:r>
          </w:p>
        </w:tc>
        <w:tc>
          <w:tcPr>
            <w:tcW w:w="120" w:type="dxa"/>
            <w:vAlign w:val="bottom"/>
          </w:tcPr>
          <w:p>
            <w:pPr>
              <w:spacing w:after="0"/>
              <w:rPr>
                <w:sz w:val="20"/>
                <w:szCs w:val="20"/>
                <w:color w:val="auto"/>
              </w:rPr>
            </w:pPr>
          </w:p>
        </w:tc>
        <w:tc>
          <w:tcPr>
            <w:tcW w:w="1580" w:type="dxa"/>
            <w:vAlign w:val="bottom"/>
          </w:tcPr>
          <w:p>
            <w:pPr>
              <w:jc w:val="right"/>
              <w:ind w:right="40"/>
              <w:spacing w:after="0"/>
              <w:rPr>
                <w:sz w:val="20"/>
                <w:szCs w:val="20"/>
                <w:color w:val="auto"/>
              </w:rPr>
            </w:pPr>
            <w:r>
              <w:rPr>
                <w:rFonts w:ascii="Arial" w:cs="Arial" w:eastAsia="Arial" w:hAnsi="Arial"/>
                <w:sz w:val="16"/>
                <w:szCs w:val="16"/>
                <w:color w:val="auto"/>
              </w:rPr>
              <w:t>85.9</w:t>
            </w:r>
          </w:p>
        </w:tc>
        <w:tc>
          <w:tcPr>
            <w:tcW w:w="0" w:type="dxa"/>
            <w:vAlign w:val="bottom"/>
          </w:tcPr>
          <w:p>
            <w:pPr>
              <w:spacing w:after="0"/>
              <w:rPr>
                <w:sz w:val="1"/>
                <w:szCs w:val="1"/>
                <w:color w:val="auto"/>
              </w:rPr>
            </w:pPr>
          </w:p>
        </w:tc>
      </w:tr>
      <w:tr>
        <w:trPr>
          <w:trHeight w:val="240"/>
        </w:trPr>
        <w:tc>
          <w:tcPr>
            <w:tcW w:w="8100" w:type="dxa"/>
            <w:vAlign w:val="bottom"/>
          </w:tcPr>
          <w:p>
            <w:pPr>
              <w:ind w:left="120"/>
              <w:spacing w:after="0"/>
              <w:rPr>
                <w:sz w:val="20"/>
                <w:szCs w:val="20"/>
                <w:color w:val="auto"/>
              </w:rPr>
            </w:pPr>
            <w:r>
              <w:rPr>
                <w:rFonts w:ascii="Arial" w:cs="Arial" w:eastAsia="Arial" w:hAnsi="Arial"/>
                <w:sz w:val="16"/>
                <w:szCs w:val="16"/>
                <w:color w:val="auto"/>
              </w:rPr>
              <w:t>Accrued liabilities and other</w:t>
            </w:r>
          </w:p>
        </w:tc>
        <w:tc>
          <w:tcPr>
            <w:tcW w:w="1620" w:type="dxa"/>
            <w:vAlign w:val="bottom"/>
          </w:tcPr>
          <w:p>
            <w:pPr>
              <w:jc w:val="right"/>
              <w:ind w:right="40"/>
              <w:spacing w:after="0"/>
              <w:rPr>
                <w:sz w:val="20"/>
                <w:szCs w:val="20"/>
                <w:color w:val="auto"/>
              </w:rPr>
            </w:pPr>
            <w:r>
              <w:rPr>
                <w:rFonts w:ascii="Arial" w:cs="Arial" w:eastAsia="Arial" w:hAnsi="Arial"/>
                <w:sz w:val="16"/>
                <w:szCs w:val="16"/>
                <w:color w:val="auto"/>
              </w:rPr>
              <w:t>124.3</w:t>
            </w:r>
          </w:p>
        </w:tc>
        <w:tc>
          <w:tcPr>
            <w:tcW w:w="120" w:type="dxa"/>
            <w:vAlign w:val="bottom"/>
          </w:tcPr>
          <w:p>
            <w:pPr>
              <w:spacing w:after="0"/>
              <w:rPr>
                <w:sz w:val="20"/>
                <w:szCs w:val="20"/>
                <w:color w:val="auto"/>
              </w:rPr>
            </w:pPr>
          </w:p>
        </w:tc>
        <w:tc>
          <w:tcPr>
            <w:tcW w:w="1580" w:type="dxa"/>
            <w:vAlign w:val="bottom"/>
          </w:tcPr>
          <w:p>
            <w:pPr>
              <w:jc w:val="right"/>
              <w:ind w:right="40"/>
              <w:spacing w:after="0"/>
              <w:rPr>
                <w:sz w:val="20"/>
                <w:szCs w:val="20"/>
                <w:color w:val="auto"/>
              </w:rPr>
            </w:pPr>
            <w:r>
              <w:rPr>
                <w:rFonts w:ascii="Arial" w:cs="Arial" w:eastAsia="Arial" w:hAnsi="Arial"/>
                <w:sz w:val="16"/>
                <w:szCs w:val="16"/>
                <w:color w:val="auto"/>
              </w:rPr>
              <w:t>78.9</w:t>
            </w:r>
          </w:p>
        </w:tc>
        <w:tc>
          <w:tcPr>
            <w:tcW w:w="0" w:type="dxa"/>
            <w:vAlign w:val="bottom"/>
          </w:tcPr>
          <w:p>
            <w:pPr>
              <w:spacing w:after="0"/>
              <w:rPr>
                <w:sz w:val="1"/>
                <w:szCs w:val="1"/>
                <w:color w:val="auto"/>
              </w:rPr>
            </w:pPr>
          </w:p>
        </w:tc>
      </w:tr>
      <w:tr>
        <w:trPr>
          <w:trHeight w:val="240"/>
        </w:trPr>
        <w:tc>
          <w:tcPr>
            <w:tcW w:w="8100" w:type="dxa"/>
            <w:vAlign w:val="bottom"/>
          </w:tcPr>
          <w:p>
            <w:pPr>
              <w:ind w:left="120"/>
              <w:spacing w:after="0"/>
              <w:rPr>
                <w:sz w:val="20"/>
                <w:szCs w:val="20"/>
                <w:color w:val="auto"/>
              </w:rPr>
            </w:pPr>
            <w:r>
              <w:rPr>
                <w:rFonts w:ascii="Arial" w:cs="Arial" w:eastAsia="Arial" w:hAnsi="Arial"/>
                <w:sz w:val="16"/>
                <w:szCs w:val="16"/>
                <w:color w:val="auto"/>
              </w:rPr>
              <w:t>Current litigation provision liability</w:t>
            </w:r>
          </w:p>
        </w:tc>
        <w:tc>
          <w:tcPr>
            <w:tcW w:w="1620" w:type="dxa"/>
            <w:vAlign w:val="bottom"/>
          </w:tcPr>
          <w:p>
            <w:pPr>
              <w:jc w:val="right"/>
              <w:ind w:right="40"/>
              <w:spacing w:after="0"/>
              <w:rPr>
                <w:sz w:val="20"/>
                <w:szCs w:val="20"/>
                <w:color w:val="auto"/>
              </w:rPr>
            </w:pPr>
            <w:r>
              <w:rPr>
                <w:rFonts w:ascii="Arial" w:cs="Arial" w:eastAsia="Arial" w:hAnsi="Arial"/>
                <w:sz w:val="16"/>
                <w:szCs w:val="16"/>
                <w:color w:val="auto"/>
              </w:rPr>
              <w:t>161.9</w:t>
            </w:r>
          </w:p>
        </w:tc>
        <w:tc>
          <w:tcPr>
            <w:tcW w:w="120" w:type="dxa"/>
            <w:vAlign w:val="bottom"/>
          </w:tcPr>
          <w:p>
            <w:pPr>
              <w:spacing w:after="0"/>
              <w:rPr>
                <w:sz w:val="20"/>
                <w:szCs w:val="20"/>
                <w:color w:val="auto"/>
              </w:rPr>
            </w:pPr>
          </w:p>
        </w:tc>
        <w:tc>
          <w:tcPr>
            <w:tcW w:w="15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0"/>
        </w:trPr>
        <w:tc>
          <w:tcPr>
            <w:tcW w:w="8100" w:type="dxa"/>
            <w:vAlign w:val="bottom"/>
          </w:tcPr>
          <w:p>
            <w:pPr>
              <w:ind w:left="120"/>
              <w:spacing w:after="0"/>
              <w:rPr>
                <w:sz w:val="20"/>
                <w:szCs w:val="20"/>
                <w:color w:val="auto"/>
              </w:rPr>
            </w:pPr>
            <w:r>
              <w:rPr>
                <w:rFonts w:ascii="Arial" w:cs="Arial" w:eastAsia="Arial" w:hAnsi="Arial"/>
                <w:sz w:val="16"/>
                <w:szCs w:val="16"/>
                <w:color w:val="auto"/>
              </w:rPr>
              <w:t>Taxes payable</w:t>
            </w:r>
          </w:p>
        </w:tc>
        <w:tc>
          <w:tcPr>
            <w:tcW w:w="1620" w:type="dxa"/>
            <w:vAlign w:val="bottom"/>
          </w:tcPr>
          <w:p>
            <w:pPr>
              <w:jc w:val="right"/>
              <w:ind w:right="40"/>
              <w:spacing w:after="0"/>
              <w:rPr>
                <w:sz w:val="20"/>
                <w:szCs w:val="20"/>
                <w:color w:val="auto"/>
              </w:rPr>
            </w:pPr>
            <w:r>
              <w:rPr>
                <w:rFonts w:ascii="Arial" w:cs="Arial" w:eastAsia="Arial" w:hAnsi="Arial"/>
                <w:sz w:val="16"/>
                <w:szCs w:val="16"/>
                <w:color w:val="auto"/>
              </w:rPr>
              <w:t>22.5</w:t>
            </w:r>
          </w:p>
        </w:tc>
        <w:tc>
          <w:tcPr>
            <w:tcW w:w="120" w:type="dxa"/>
            <w:vAlign w:val="bottom"/>
          </w:tcPr>
          <w:p>
            <w:pPr>
              <w:spacing w:after="0"/>
              <w:rPr>
                <w:sz w:val="20"/>
                <w:szCs w:val="20"/>
                <w:color w:val="auto"/>
              </w:rPr>
            </w:pPr>
          </w:p>
        </w:tc>
        <w:tc>
          <w:tcPr>
            <w:tcW w:w="1580" w:type="dxa"/>
            <w:vAlign w:val="bottom"/>
          </w:tcPr>
          <w:p>
            <w:pPr>
              <w:jc w:val="right"/>
              <w:ind w:right="40"/>
              <w:spacing w:after="0"/>
              <w:rPr>
                <w:sz w:val="20"/>
                <w:szCs w:val="20"/>
                <w:color w:val="auto"/>
              </w:rPr>
            </w:pPr>
            <w:r>
              <w:rPr>
                <w:rFonts w:ascii="Arial" w:cs="Arial" w:eastAsia="Arial" w:hAnsi="Arial"/>
                <w:sz w:val="16"/>
                <w:szCs w:val="16"/>
                <w:color w:val="auto"/>
              </w:rPr>
              <w:t>12.8</w:t>
            </w:r>
          </w:p>
        </w:tc>
        <w:tc>
          <w:tcPr>
            <w:tcW w:w="0" w:type="dxa"/>
            <w:vAlign w:val="bottom"/>
          </w:tcPr>
          <w:p>
            <w:pPr>
              <w:spacing w:after="0"/>
              <w:rPr>
                <w:sz w:val="1"/>
                <w:szCs w:val="1"/>
                <w:color w:val="auto"/>
              </w:rPr>
            </w:pPr>
          </w:p>
        </w:tc>
      </w:tr>
      <w:tr>
        <w:trPr>
          <w:trHeight w:val="240"/>
        </w:trPr>
        <w:tc>
          <w:tcPr>
            <w:tcW w:w="8100" w:type="dxa"/>
            <w:vAlign w:val="bottom"/>
          </w:tcPr>
          <w:p>
            <w:pPr>
              <w:ind w:left="120"/>
              <w:spacing w:after="0"/>
              <w:rPr>
                <w:sz w:val="20"/>
                <w:szCs w:val="20"/>
                <w:color w:val="auto"/>
              </w:rPr>
            </w:pPr>
            <w:r>
              <w:rPr>
                <w:rFonts w:ascii="Arial" w:cs="Arial" w:eastAsia="Arial" w:hAnsi="Arial"/>
                <w:sz w:val="16"/>
                <w:szCs w:val="16"/>
                <w:color w:val="auto"/>
              </w:rPr>
              <w:t>Accrued employee compensation and related benefits</w:t>
            </w:r>
          </w:p>
        </w:tc>
        <w:tc>
          <w:tcPr>
            <w:tcW w:w="1620" w:type="dxa"/>
            <w:vAlign w:val="bottom"/>
          </w:tcPr>
          <w:p>
            <w:pPr>
              <w:jc w:val="right"/>
              <w:ind w:right="40"/>
              <w:spacing w:after="0"/>
              <w:rPr>
                <w:sz w:val="20"/>
                <w:szCs w:val="20"/>
                <w:color w:val="auto"/>
              </w:rPr>
            </w:pPr>
            <w:r>
              <w:rPr>
                <w:rFonts w:ascii="Arial" w:cs="Arial" w:eastAsia="Arial" w:hAnsi="Arial"/>
                <w:sz w:val="16"/>
                <w:szCs w:val="16"/>
                <w:color w:val="auto"/>
              </w:rPr>
              <w:t>82.6</w:t>
            </w:r>
          </w:p>
        </w:tc>
        <w:tc>
          <w:tcPr>
            <w:tcW w:w="120" w:type="dxa"/>
            <w:vAlign w:val="bottom"/>
          </w:tcPr>
          <w:p>
            <w:pPr>
              <w:spacing w:after="0"/>
              <w:rPr>
                <w:sz w:val="20"/>
                <w:szCs w:val="20"/>
                <w:color w:val="auto"/>
              </w:rPr>
            </w:pPr>
          </w:p>
        </w:tc>
        <w:tc>
          <w:tcPr>
            <w:tcW w:w="1580" w:type="dxa"/>
            <w:vAlign w:val="bottom"/>
          </w:tcPr>
          <w:p>
            <w:pPr>
              <w:jc w:val="right"/>
              <w:ind w:right="40"/>
              <w:spacing w:after="0"/>
              <w:rPr>
                <w:sz w:val="20"/>
                <w:szCs w:val="20"/>
                <w:color w:val="auto"/>
              </w:rPr>
            </w:pPr>
            <w:r>
              <w:rPr>
                <w:rFonts w:ascii="Arial" w:cs="Arial" w:eastAsia="Arial" w:hAnsi="Arial"/>
                <w:sz w:val="16"/>
                <w:szCs w:val="16"/>
                <w:color w:val="auto"/>
              </w:rPr>
              <w:t>66.2</w:t>
            </w:r>
          </w:p>
        </w:tc>
        <w:tc>
          <w:tcPr>
            <w:tcW w:w="0" w:type="dxa"/>
            <w:vAlign w:val="bottom"/>
          </w:tcPr>
          <w:p>
            <w:pPr>
              <w:spacing w:after="0"/>
              <w:rPr>
                <w:sz w:val="1"/>
                <w:szCs w:val="1"/>
                <w:color w:val="auto"/>
              </w:rPr>
            </w:pPr>
          </w:p>
        </w:tc>
      </w:tr>
      <w:tr>
        <w:trPr>
          <w:trHeight w:val="245"/>
        </w:trPr>
        <w:tc>
          <w:tcPr>
            <w:tcW w:w="8100" w:type="dxa"/>
            <w:vAlign w:val="bottom"/>
          </w:tcPr>
          <w:p>
            <w:pPr>
              <w:ind w:left="120"/>
              <w:spacing w:after="0"/>
              <w:rPr>
                <w:sz w:val="20"/>
                <w:szCs w:val="20"/>
                <w:color w:val="auto"/>
              </w:rPr>
            </w:pPr>
            <w:r>
              <w:rPr>
                <w:rFonts w:ascii="Arial" w:cs="Arial" w:eastAsia="Arial" w:hAnsi="Arial"/>
                <w:sz w:val="16"/>
                <w:szCs w:val="16"/>
                <w:color w:val="auto"/>
              </w:rPr>
              <w:t>Liabilities of discontinued operations</w:t>
            </w:r>
          </w:p>
        </w:tc>
        <w:tc>
          <w:tcPr>
            <w:tcW w:w="17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40"/>
              <w:spacing w:after="0"/>
              <w:rPr>
                <w:sz w:val="20"/>
                <w:szCs w:val="20"/>
                <w:color w:val="auto"/>
              </w:rPr>
            </w:pPr>
            <w:r>
              <w:rPr>
                <w:rFonts w:ascii="Arial" w:cs="Arial" w:eastAsia="Arial" w:hAnsi="Arial"/>
                <w:sz w:val="16"/>
                <w:szCs w:val="16"/>
                <w:color w:val="auto"/>
              </w:rPr>
              <w:t>78.1</w:t>
            </w:r>
          </w:p>
        </w:tc>
        <w:tc>
          <w:tcPr>
            <w:tcW w:w="0" w:type="dxa"/>
            <w:vAlign w:val="bottom"/>
          </w:tcPr>
          <w:p>
            <w:pPr>
              <w:spacing w:after="0"/>
              <w:rPr>
                <w:sz w:val="1"/>
                <w:szCs w:val="1"/>
                <w:color w:val="auto"/>
              </w:rPr>
            </w:pPr>
          </w:p>
        </w:tc>
      </w:tr>
      <w:tr>
        <w:trPr>
          <w:trHeight w:val="220"/>
        </w:trPr>
        <w:tc>
          <w:tcPr>
            <w:tcW w:w="8100" w:type="dxa"/>
            <w:vAlign w:val="bottom"/>
          </w:tcPr>
          <w:p>
            <w:pPr>
              <w:spacing w:after="0"/>
              <w:rPr>
                <w:sz w:val="20"/>
                <w:szCs w:val="20"/>
                <w:color w:val="auto"/>
              </w:rPr>
            </w:pPr>
            <w:r>
              <w:rPr>
                <w:rFonts w:ascii="Arial" w:cs="Arial" w:eastAsia="Arial" w:hAnsi="Arial"/>
                <w:sz w:val="16"/>
                <w:szCs w:val="16"/>
                <w:color w:val="auto"/>
              </w:rPr>
              <w:t>Total Current Liabilities</w:t>
            </w:r>
          </w:p>
        </w:tc>
        <w:tc>
          <w:tcPr>
            <w:tcW w:w="16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496.7</w:t>
            </w:r>
          </w:p>
        </w:tc>
        <w:tc>
          <w:tcPr>
            <w:tcW w:w="120" w:type="dxa"/>
            <w:vAlign w:val="bottom"/>
          </w:tcPr>
          <w:p>
            <w:pPr>
              <w:spacing w:after="0"/>
              <w:rPr>
                <w:sz w:val="19"/>
                <w:szCs w:val="19"/>
                <w:color w:val="auto"/>
              </w:rPr>
            </w:pPr>
          </w:p>
        </w:tc>
        <w:tc>
          <w:tcPr>
            <w:tcW w:w="15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406.0</w:t>
            </w:r>
          </w:p>
        </w:tc>
        <w:tc>
          <w:tcPr>
            <w:tcW w:w="0" w:type="dxa"/>
            <w:vAlign w:val="bottom"/>
          </w:tcPr>
          <w:p>
            <w:pPr>
              <w:spacing w:after="0"/>
              <w:rPr>
                <w:sz w:val="1"/>
                <w:szCs w:val="1"/>
                <w:color w:val="auto"/>
              </w:rPr>
            </w:pPr>
          </w:p>
        </w:tc>
      </w:tr>
      <w:tr>
        <w:trPr>
          <w:trHeight w:val="214"/>
        </w:trPr>
        <w:tc>
          <w:tcPr>
            <w:tcW w:w="8100" w:type="dxa"/>
            <w:vAlign w:val="bottom"/>
          </w:tcPr>
          <w:p>
            <w:pPr>
              <w:ind w:left="120"/>
              <w:spacing w:after="0"/>
              <w:rPr>
                <w:sz w:val="20"/>
                <w:szCs w:val="20"/>
                <w:color w:val="auto"/>
              </w:rPr>
            </w:pPr>
            <w:r>
              <w:rPr>
                <w:rFonts w:ascii="Arial" w:cs="Arial" w:eastAsia="Arial" w:hAnsi="Arial"/>
                <w:sz w:val="16"/>
                <w:szCs w:val="16"/>
                <w:color w:val="auto"/>
              </w:rPr>
              <w:t>Long-term debt obligations</w:t>
            </w:r>
          </w:p>
        </w:tc>
        <w:tc>
          <w:tcPr>
            <w:tcW w:w="1620" w:type="dxa"/>
            <w:vAlign w:val="bottom"/>
          </w:tcPr>
          <w:p>
            <w:pPr>
              <w:jc w:val="right"/>
              <w:ind w:right="40"/>
              <w:spacing w:after="0"/>
              <w:rPr>
                <w:sz w:val="20"/>
                <w:szCs w:val="20"/>
                <w:color w:val="auto"/>
              </w:rPr>
            </w:pPr>
            <w:r>
              <w:rPr>
                <w:rFonts w:ascii="Arial" w:cs="Arial" w:eastAsia="Arial" w:hAnsi="Arial"/>
                <w:sz w:val="16"/>
                <w:szCs w:val="16"/>
                <w:color w:val="auto"/>
              </w:rPr>
              <w:t>139.5</w:t>
            </w:r>
          </w:p>
        </w:tc>
        <w:tc>
          <w:tcPr>
            <w:tcW w:w="120" w:type="dxa"/>
            <w:vAlign w:val="bottom"/>
          </w:tcPr>
          <w:p>
            <w:pPr>
              <w:spacing w:after="0"/>
              <w:rPr>
                <w:sz w:val="18"/>
                <w:szCs w:val="18"/>
                <w:color w:val="auto"/>
              </w:rPr>
            </w:pPr>
          </w:p>
        </w:tc>
        <w:tc>
          <w:tcPr>
            <w:tcW w:w="1580" w:type="dxa"/>
            <w:vAlign w:val="bottom"/>
          </w:tcPr>
          <w:p>
            <w:pPr>
              <w:jc w:val="right"/>
              <w:ind w:right="40"/>
              <w:spacing w:after="0"/>
              <w:rPr>
                <w:sz w:val="20"/>
                <w:szCs w:val="20"/>
                <w:color w:val="auto"/>
              </w:rPr>
            </w:pPr>
            <w:r>
              <w:rPr>
                <w:rFonts w:ascii="Arial" w:cs="Arial" w:eastAsia="Arial" w:hAnsi="Arial"/>
                <w:sz w:val="16"/>
                <w:szCs w:val="16"/>
                <w:color w:val="auto"/>
              </w:rPr>
              <w:t>62.0</w:t>
            </w:r>
          </w:p>
        </w:tc>
        <w:tc>
          <w:tcPr>
            <w:tcW w:w="0" w:type="dxa"/>
            <w:vAlign w:val="bottom"/>
          </w:tcPr>
          <w:p>
            <w:pPr>
              <w:spacing w:after="0"/>
              <w:rPr>
                <w:sz w:val="1"/>
                <w:szCs w:val="1"/>
                <w:color w:val="auto"/>
              </w:rPr>
            </w:pPr>
          </w:p>
        </w:tc>
      </w:tr>
      <w:tr>
        <w:trPr>
          <w:trHeight w:val="240"/>
        </w:trPr>
        <w:tc>
          <w:tcPr>
            <w:tcW w:w="8100" w:type="dxa"/>
            <w:vAlign w:val="bottom"/>
          </w:tcPr>
          <w:p>
            <w:pPr>
              <w:ind w:left="120"/>
              <w:spacing w:after="0"/>
              <w:rPr>
                <w:sz w:val="20"/>
                <w:szCs w:val="20"/>
                <w:color w:val="auto"/>
              </w:rPr>
            </w:pPr>
            <w:r>
              <w:rPr>
                <w:rFonts w:ascii="Arial" w:cs="Arial" w:eastAsia="Arial" w:hAnsi="Arial"/>
                <w:sz w:val="16"/>
                <w:szCs w:val="16"/>
                <w:color w:val="auto"/>
              </w:rPr>
              <w:t>Contingent consideration</w:t>
            </w:r>
          </w:p>
        </w:tc>
        <w:tc>
          <w:tcPr>
            <w:tcW w:w="1620" w:type="dxa"/>
            <w:vAlign w:val="bottom"/>
          </w:tcPr>
          <w:p>
            <w:pPr>
              <w:jc w:val="right"/>
              <w:ind w:right="40"/>
              <w:spacing w:after="0"/>
              <w:rPr>
                <w:sz w:val="20"/>
                <w:szCs w:val="20"/>
                <w:color w:val="auto"/>
              </w:rPr>
            </w:pPr>
            <w:r>
              <w:rPr>
                <w:rFonts w:ascii="Arial" w:cs="Arial" w:eastAsia="Arial" w:hAnsi="Arial"/>
                <w:sz w:val="16"/>
                <w:szCs w:val="16"/>
                <w:color w:val="auto"/>
              </w:rPr>
              <w:t>161.4</w:t>
            </w:r>
          </w:p>
        </w:tc>
        <w:tc>
          <w:tcPr>
            <w:tcW w:w="120" w:type="dxa"/>
            <w:vAlign w:val="bottom"/>
          </w:tcPr>
          <w:p>
            <w:pPr>
              <w:spacing w:after="0"/>
              <w:rPr>
                <w:sz w:val="20"/>
                <w:szCs w:val="20"/>
                <w:color w:val="auto"/>
              </w:rPr>
            </w:pPr>
          </w:p>
        </w:tc>
        <w:tc>
          <w:tcPr>
            <w:tcW w:w="1580" w:type="dxa"/>
            <w:vAlign w:val="bottom"/>
          </w:tcPr>
          <w:p>
            <w:pPr>
              <w:jc w:val="right"/>
              <w:ind w:right="40"/>
              <w:spacing w:after="0"/>
              <w:rPr>
                <w:sz w:val="20"/>
                <w:szCs w:val="20"/>
                <w:color w:val="auto"/>
              </w:rPr>
            </w:pPr>
            <w:r>
              <w:rPr>
                <w:rFonts w:ascii="Arial" w:cs="Arial" w:eastAsia="Arial" w:hAnsi="Arial"/>
                <w:sz w:val="16"/>
                <w:szCs w:val="16"/>
                <w:color w:val="auto"/>
              </w:rPr>
              <w:t>34.0</w:t>
            </w:r>
          </w:p>
        </w:tc>
        <w:tc>
          <w:tcPr>
            <w:tcW w:w="0" w:type="dxa"/>
            <w:vAlign w:val="bottom"/>
          </w:tcPr>
          <w:p>
            <w:pPr>
              <w:spacing w:after="0"/>
              <w:rPr>
                <w:sz w:val="1"/>
                <w:szCs w:val="1"/>
                <w:color w:val="auto"/>
              </w:rPr>
            </w:pPr>
          </w:p>
        </w:tc>
      </w:tr>
      <w:tr>
        <w:trPr>
          <w:trHeight w:val="240"/>
        </w:trPr>
        <w:tc>
          <w:tcPr>
            <w:tcW w:w="8100" w:type="dxa"/>
            <w:vAlign w:val="bottom"/>
          </w:tcPr>
          <w:p>
            <w:pPr>
              <w:ind w:left="120"/>
              <w:spacing w:after="0"/>
              <w:rPr>
                <w:sz w:val="20"/>
                <w:szCs w:val="20"/>
                <w:color w:val="auto"/>
              </w:rPr>
            </w:pPr>
            <w:r>
              <w:rPr>
                <w:rFonts w:ascii="Arial" w:cs="Arial" w:eastAsia="Arial" w:hAnsi="Arial"/>
                <w:sz w:val="16"/>
                <w:szCs w:val="16"/>
                <w:color w:val="auto"/>
              </w:rPr>
              <w:t>Litigation provision liability</w:t>
            </w:r>
          </w:p>
        </w:tc>
        <w:tc>
          <w:tcPr>
            <w:tcW w:w="1620" w:type="dxa"/>
            <w:vAlign w:val="bottom"/>
          </w:tcPr>
          <w:p>
            <w:pPr>
              <w:jc w:val="right"/>
              <w:ind w:right="40"/>
              <w:spacing w:after="0"/>
              <w:rPr>
                <w:sz w:val="20"/>
                <w:szCs w:val="20"/>
                <w:color w:val="auto"/>
              </w:rPr>
            </w:pPr>
            <w:r>
              <w:rPr>
                <w:rFonts w:ascii="Arial" w:cs="Arial" w:eastAsia="Arial" w:hAnsi="Arial"/>
                <w:sz w:val="16"/>
                <w:szCs w:val="16"/>
                <w:color w:val="auto"/>
              </w:rPr>
              <w:t>132.2</w:t>
            </w:r>
          </w:p>
        </w:tc>
        <w:tc>
          <w:tcPr>
            <w:tcW w:w="120" w:type="dxa"/>
            <w:vAlign w:val="bottom"/>
          </w:tcPr>
          <w:p>
            <w:pPr>
              <w:spacing w:after="0"/>
              <w:rPr>
                <w:sz w:val="20"/>
                <w:szCs w:val="20"/>
                <w:color w:val="auto"/>
              </w:rPr>
            </w:pPr>
          </w:p>
        </w:tc>
        <w:tc>
          <w:tcPr>
            <w:tcW w:w="15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0"/>
        </w:trPr>
        <w:tc>
          <w:tcPr>
            <w:tcW w:w="8100" w:type="dxa"/>
            <w:vAlign w:val="bottom"/>
          </w:tcPr>
          <w:p>
            <w:pPr>
              <w:ind w:left="120"/>
              <w:spacing w:after="0"/>
              <w:rPr>
                <w:sz w:val="20"/>
                <w:szCs w:val="20"/>
                <w:color w:val="auto"/>
              </w:rPr>
            </w:pPr>
            <w:r>
              <w:rPr>
                <w:rFonts w:ascii="Arial" w:cs="Arial" w:eastAsia="Arial" w:hAnsi="Arial"/>
                <w:sz w:val="16"/>
                <w:szCs w:val="16"/>
                <w:color w:val="auto"/>
              </w:rPr>
              <w:t>Deferred tax liabilities</w:t>
            </w:r>
          </w:p>
        </w:tc>
        <w:tc>
          <w:tcPr>
            <w:tcW w:w="1620" w:type="dxa"/>
            <w:vAlign w:val="bottom"/>
          </w:tcPr>
          <w:p>
            <w:pPr>
              <w:jc w:val="right"/>
              <w:ind w:right="40"/>
              <w:spacing w:after="0"/>
              <w:rPr>
                <w:sz w:val="20"/>
                <w:szCs w:val="20"/>
                <w:color w:val="auto"/>
              </w:rPr>
            </w:pPr>
            <w:r>
              <w:rPr>
                <w:rFonts w:ascii="Arial" w:cs="Arial" w:eastAsia="Arial" w:hAnsi="Arial"/>
                <w:sz w:val="16"/>
                <w:szCs w:val="16"/>
                <w:color w:val="auto"/>
              </w:rPr>
              <w:t>68.2</w:t>
            </w:r>
          </w:p>
        </w:tc>
        <w:tc>
          <w:tcPr>
            <w:tcW w:w="120" w:type="dxa"/>
            <w:vAlign w:val="bottom"/>
          </w:tcPr>
          <w:p>
            <w:pPr>
              <w:spacing w:after="0"/>
              <w:rPr>
                <w:sz w:val="20"/>
                <w:szCs w:val="20"/>
                <w:color w:val="auto"/>
              </w:rPr>
            </w:pPr>
          </w:p>
        </w:tc>
        <w:tc>
          <w:tcPr>
            <w:tcW w:w="1580" w:type="dxa"/>
            <w:vAlign w:val="bottom"/>
          </w:tcPr>
          <w:p>
            <w:pPr>
              <w:jc w:val="right"/>
              <w:ind w:right="40"/>
              <w:spacing w:after="0"/>
              <w:rPr>
                <w:sz w:val="20"/>
                <w:szCs w:val="20"/>
                <w:color w:val="auto"/>
              </w:rPr>
            </w:pPr>
            <w:r>
              <w:rPr>
                <w:rFonts w:ascii="Arial" w:cs="Arial" w:eastAsia="Arial" w:hAnsi="Arial"/>
                <w:sz w:val="16"/>
                <w:szCs w:val="16"/>
                <w:color w:val="auto"/>
              </w:rPr>
              <w:t>123.3</w:t>
            </w:r>
          </w:p>
        </w:tc>
        <w:tc>
          <w:tcPr>
            <w:tcW w:w="0" w:type="dxa"/>
            <w:vAlign w:val="bottom"/>
          </w:tcPr>
          <w:p>
            <w:pPr>
              <w:spacing w:after="0"/>
              <w:rPr>
                <w:sz w:val="1"/>
                <w:szCs w:val="1"/>
                <w:color w:val="auto"/>
              </w:rPr>
            </w:pPr>
          </w:p>
        </w:tc>
      </w:tr>
      <w:tr>
        <w:trPr>
          <w:trHeight w:val="240"/>
        </w:trPr>
        <w:tc>
          <w:tcPr>
            <w:tcW w:w="8100" w:type="dxa"/>
            <w:vAlign w:val="bottom"/>
          </w:tcPr>
          <w:p>
            <w:pPr>
              <w:ind w:left="120"/>
              <w:spacing w:after="0"/>
              <w:rPr>
                <w:sz w:val="20"/>
                <w:szCs w:val="20"/>
                <w:color w:val="auto"/>
              </w:rPr>
            </w:pPr>
            <w:r>
              <w:rPr>
                <w:rFonts w:ascii="Arial" w:cs="Arial" w:eastAsia="Arial" w:hAnsi="Arial"/>
                <w:sz w:val="16"/>
                <w:szCs w:val="16"/>
                <w:color w:val="auto"/>
              </w:rPr>
              <w:t>Long-term employee compensation and related benefits</w:t>
            </w:r>
          </w:p>
        </w:tc>
        <w:tc>
          <w:tcPr>
            <w:tcW w:w="1620" w:type="dxa"/>
            <w:vAlign w:val="bottom"/>
          </w:tcPr>
          <w:p>
            <w:pPr>
              <w:jc w:val="right"/>
              <w:ind w:right="40"/>
              <w:spacing w:after="0"/>
              <w:rPr>
                <w:sz w:val="20"/>
                <w:szCs w:val="20"/>
                <w:color w:val="auto"/>
              </w:rPr>
            </w:pPr>
            <w:r>
              <w:rPr>
                <w:rFonts w:ascii="Arial" w:cs="Arial" w:eastAsia="Arial" w:hAnsi="Arial"/>
                <w:sz w:val="16"/>
                <w:szCs w:val="16"/>
                <w:color w:val="auto"/>
              </w:rPr>
              <w:t>25.3</w:t>
            </w:r>
          </w:p>
        </w:tc>
        <w:tc>
          <w:tcPr>
            <w:tcW w:w="120" w:type="dxa"/>
            <w:vAlign w:val="bottom"/>
          </w:tcPr>
          <w:p>
            <w:pPr>
              <w:spacing w:after="0"/>
              <w:rPr>
                <w:sz w:val="20"/>
                <w:szCs w:val="20"/>
                <w:color w:val="auto"/>
              </w:rPr>
            </w:pPr>
          </w:p>
        </w:tc>
        <w:tc>
          <w:tcPr>
            <w:tcW w:w="1580" w:type="dxa"/>
            <w:vAlign w:val="bottom"/>
          </w:tcPr>
          <w:p>
            <w:pPr>
              <w:jc w:val="right"/>
              <w:ind w:right="40"/>
              <w:spacing w:after="0"/>
              <w:rPr>
                <w:sz w:val="20"/>
                <w:szCs w:val="20"/>
                <w:color w:val="auto"/>
              </w:rPr>
            </w:pPr>
            <w:r>
              <w:rPr>
                <w:rFonts w:ascii="Arial" w:cs="Arial" w:eastAsia="Arial" w:hAnsi="Arial"/>
                <w:sz w:val="16"/>
                <w:szCs w:val="16"/>
                <w:color w:val="auto"/>
              </w:rPr>
              <w:t>28.2</w:t>
            </w:r>
          </w:p>
        </w:tc>
        <w:tc>
          <w:tcPr>
            <w:tcW w:w="0" w:type="dxa"/>
            <w:vAlign w:val="bottom"/>
          </w:tcPr>
          <w:p>
            <w:pPr>
              <w:spacing w:after="0"/>
              <w:rPr>
                <w:sz w:val="1"/>
                <w:szCs w:val="1"/>
                <w:color w:val="auto"/>
              </w:rPr>
            </w:pPr>
          </w:p>
        </w:tc>
      </w:tr>
      <w:tr>
        <w:trPr>
          <w:trHeight w:val="245"/>
        </w:trPr>
        <w:tc>
          <w:tcPr>
            <w:tcW w:w="8100" w:type="dxa"/>
            <w:vAlign w:val="bottom"/>
          </w:tcPr>
          <w:p>
            <w:pPr>
              <w:ind w:left="120"/>
              <w:spacing w:after="0"/>
              <w:rPr>
                <w:sz w:val="20"/>
                <w:szCs w:val="20"/>
                <w:color w:val="auto"/>
              </w:rPr>
            </w:pPr>
            <w:r>
              <w:rPr>
                <w:rFonts w:ascii="Arial" w:cs="Arial" w:eastAsia="Arial" w:hAnsi="Arial"/>
                <w:sz w:val="16"/>
                <w:szCs w:val="16"/>
                <w:color w:val="auto"/>
              </w:rPr>
              <w:t>Other long-term liabilities</w:t>
            </w:r>
          </w:p>
        </w:tc>
        <w:tc>
          <w:tcPr>
            <w:tcW w:w="16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22.6</w:t>
            </w:r>
          </w:p>
        </w:tc>
        <w:tc>
          <w:tcPr>
            <w:tcW w:w="120" w:type="dxa"/>
            <w:vAlign w:val="bottom"/>
          </w:tcPr>
          <w:p>
            <w:pPr>
              <w:spacing w:after="0"/>
              <w:rPr>
                <w:sz w:val="21"/>
                <w:szCs w:val="21"/>
                <w:color w:val="auto"/>
              </w:rPr>
            </w:pPr>
          </w:p>
        </w:tc>
        <w:tc>
          <w:tcPr>
            <w:tcW w:w="15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35.1</w:t>
            </w:r>
          </w:p>
        </w:tc>
        <w:tc>
          <w:tcPr>
            <w:tcW w:w="0" w:type="dxa"/>
            <w:vAlign w:val="bottom"/>
          </w:tcPr>
          <w:p>
            <w:pPr>
              <w:spacing w:after="0"/>
              <w:rPr>
                <w:sz w:val="1"/>
                <w:szCs w:val="1"/>
                <w:color w:val="auto"/>
              </w:rPr>
            </w:pPr>
          </w:p>
        </w:tc>
      </w:tr>
      <w:tr>
        <w:trPr>
          <w:trHeight w:val="220"/>
        </w:trPr>
        <w:tc>
          <w:tcPr>
            <w:tcW w:w="8100" w:type="dxa"/>
            <w:vAlign w:val="bottom"/>
          </w:tcPr>
          <w:p>
            <w:pPr>
              <w:spacing w:after="0"/>
              <w:rPr>
                <w:sz w:val="20"/>
                <w:szCs w:val="20"/>
                <w:color w:val="auto"/>
              </w:rPr>
            </w:pPr>
            <w:r>
              <w:rPr>
                <w:rFonts w:ascii="Arial" w:cs="Arial" w:eastAsia="Arial" w:hAnsi="Arial"/>
                <w:sz w:val="16"/>
                <w:szCs w:val="16"/>
                <w:color w:val="auto"/>
              </w:rPr>
              <w:t>Total Liabilities</w:t>
            </w:r>
          </w:p>
        </w:tc>
        <w:tc>
          <w:tcPr>
            <w:tcW w:w="16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1,046.0</w:t>
            </w:r>
          </w:p>
        </w:tc>
        <w:tc>
          <w:tcPr>
            <w:tcW w:w="120" w:type="dxa"/>
            <w:vAlign w:val="bottom"/>
          </w:tcPr>
          <w:p>
            <w:pPr>
              <w:spacing w:after="0"/>
              <w:rPr>
                <w:sz w:val="19"/>
                <w:szCs w:val="19"/>
                <w:color w:val="auto"/>
              </w:rPr>
            </w:pPr>
          </w:p>
        </w:tc>
        <w:tc>
          <w:tcPr>
            <w:tcW w:w="15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688.6</w:t>
            </w:r>
          </w:p>
        </w:tc>
        <w:tc>
          <w:tcPr>
            <w:tcW w:w="0" w:type="dxa"/>
            <w:vAlign w:val="bottom"/>
          </w:tcPr>
          <w:p>
            <w:pPr>
              <w:spacing w:after="0"/>
              <w:rPr>
                <w:sz w:val="1"/>
                <w:szCs w:val="1"/>
                <w:color w:val="auto"/>
              </w:rPr>
            </w:pPr>
          </w:p>
        </w:tc>
      </w:tr>
      <w:tr>
        <w:trPr>
          <w:trHeight w:val="220"/>
        </w:trPr>
        <w:tc>
          <w:tcPr>
            <w:tcW w:w="8100" w:type="dxa"/>
            <w:vAlign w:val="bottom"/>
          </w:tcPr>
          <w:p>
            <w:pPr>
              <w:spacing w:after="0"/>
              <w:rPr>
                <w:sz w:val="20"/>
                <w:szCs w:val="20"/>
                <w:color w:val="auto"/>
              </w:rPr>
            </w:pPr>
            <w:r>
              <w:rPr>
                <w:rFonts w:ascii="Arial" w:cs="Arial" w:eastAsia="Arial" w:hAnsi="Arial"/>
                <w:sz w:val="16"/>
                <w:szCs w:val="16"/>
                <w:color w:val="auto"/>
              </w:rPr>
              <w:t>Total Stockholders’ Equity</w:t>
            </w:r>
          </w:p>
        </w:tc>
        <w:tc>
          <w:tcPr>
            <w:tcW w:w="16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1,503.7</w:t>
            </w:r>
          </w:p>
        </w:tc>
        <w:tc>
          <w:tcPr>
            <w:tcW w:w="120" w:type="dxa"/>
            <w:vAlign w:val="bottom"/>
          </w:tcPr>
          <w:p>
            <w:pPr>
              <w:spacing w:after="0"/>
              <w:rPr>
                <w:sz w:val="19"/>
                <w:szCs w:val="19"/>
                <w:color w:val="auto"/>
              </w:rPr>
            </w:pPr>
          </w:p>
        </w:tc>
        <w:tc>
          <w:tcPr>
            <w:tcW w:w="15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1,815.3</w:t>
            </w:r>
          </w:p>
        </w:tc>
        <w:tc>
          <w:tcPr>
            <w:tcW w:w="0" w:type="dxa"/>
            <w:vAlign w:val="bottom"/>
          </w:tcPr>
          <w:p>
            <w:pPr>
              <w:spacing w:after="0"/>
              <w:rPr>
                <w:sz w:val="1"/>
                <w:szCs w:val="1"/>
                <w:color w:val="auto"/>
              </w:rPr>
            </w:pPr>
          </w:p>
        </w:tc>
      </w:tr>
      <w:tr>
        <w:trPr>
          <w:trHeight w:val="237"/>
        </w:trPr>
        <w:tc>
          <w:tcPr>
            <w:tcW w:w="8100" w:type="dxa"/>
            <w:vAlign w:val="bottom"/>
          </w:tcPr>
          <w:p>
            <w:pPr>
              <w:spacing w:after="0"/>
              <w:rPr>
                <w:sz w:val="20"/>
                <w:szCs w:val="20"/>
                <w:color w:val="auto"/>
              </w:rPr>
            </w:pPr>
            <w:r>
              <w:rPr>
                <w:rFonts w:ascii="Arial" w:cs="Arial" w:eastAsia="Arial" w:hAnsi="Arial"/>
                <w:sz w:val="16"/>
                <w:szCs w:val="16"/>
                <w:color w:val="auto"/>
              </w:rPr>
              <w:t>Total Liabilities and Stockholders’ Equity</w:t>
            </w:r>
          </w:p>
        </w:tc>
        <w:tc>
          <w:tcPr>
            <w:tcW w:w="16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$2,549.7</w:t>
            </w:r>
          </w:p>
        </w:tc>
        <w:tc>
          <w:tcPr>
            <w:tcW w:w="120" w:type="dxa"/>
            <w:vAlign w:val="bottom"/>
          </w:tcPr>
          <w:p>
            <w:pPr>
              <w:spacing w:after="0"/>
              <w:rPr>
                <w:sz w:val="20"/>
                <w:szCs w:val="20"/>
                <w:color w:val="auto"/>
              </w:rPr>
            </w:pPr>
          </w:p>
        </w:tc>
        <w:tc>
          <w:tcPr>
            <w:tcW w:w="15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$2,503.9</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104" w:hanging="104"/>
        <w:spacing w:after="0"/>
        <w:tabs>
          <w:tab w:leader="none" w:pos="104" w:val="left"/>
        </w:tabs>
        <w:numPr>
          <w:ilvl w:val="0"/>
          <w:numId w:val="16"/>
        </w:numPr>
        <w:rPr>
          <w:rFonts w:ascii="Arial" w:cs="Arial" w:eastAsia="Arial" w:hAnsi="Arial"/>
          <w:sz w:val="13"/>
          <w:szCs w:val="13"/>
          <w:color w:val="auto"/>
        </w:rPr>
      </w:pPr>
      <w:r>
        <w:rPr>
          <w:rFonts w:ascii="Arial" w:cs="Arial" w:eastAsia="Arial" w:hAnsi="Arial"/>
          <w:sz w:val="13"/>
          <w:szCs w:val="13"/>
          <w:color w:val="auto"/>
        </w:rPr>
        <w:t>Numbers may not add up precisely due to rounding.</w:t>
      </w:r>
    </w:p>
    <w:p>
      <w:pPr>
        <w:spacing w:after="0" w:line="6" w:lineRule="exact"/>
        <w:rPr>
          <w:sz w:val="20"/>
          <w:szCs w:val="20"/>
          <w:color w:val="auto"/>
        </w:rPr>
      </w:pPr>
    </w:p>
    <w:p>
      <w:pPr>
        <w:ind w:left="4"/>
        <w:spacing w:after="0"/>
        <w:rPr>
          <w:sz w:val="20"/>
          <w:szCs w:val="20"/>
          <w:color w:val="auto"/>
        </w:rPr>
      </w:pPr>
      <w:r>
        <w:rPr>
          <w:rFonts w:ascii="Arial" w:cs="Arial" w:eastAsia="Arial" w:hAnsi="Arial"/>
          <w:sz w:val="13"/>
          <w:szCs w:val="13"/>
          <w:color w:val="auto"/>
        </w:rPr>
        <w:t>**We have reclassified certain prior period amounts for comparative purposes. These reclassifications did not have a material effect on our financial condition, results of operations or cash flows.</w:t>
      </w:r>
    </w:p>
    <w:p>
      <w:pPr>
        <w:spacing w:after="0" w:line="200" w:lineRule="exact"/>
        <w:rPr>
          <w:sz w:val="20"/>
          <w:szCs w:val="20"/>
          <w:color w:val="auto"/>
        </w:rPr>
      </w:pPr>
    </w:p>
    <w:p>
      <w:pPr>
        <w:spacing w:after="0" w:line="371" w:lineRule="exact"/>
        <w:rPr>
          <w:sz w:val="20"/>
          <w:szCs w:val="20"/>
          <w:color w:val="auto"/>
        </w:rPr>
      </w:pPr>
    </w:p>
    <w:p>
      <w:pPr>
        <w:jc w:val="center"/>
        <w:ind w:right="-3"/>
        <w:spacing w:after="0"/>
        <w:rPr>
          <w:sz w:val="20"/>
          <w:szCs w:val="20"/>
          <w:color w:val="auto"/>
        </w:rPr>
      </w:pPr>
      <w:r>
        <w:rPr>
          <w:rFonts w:ascii="Arial" w:cs="Arial" w:eastAsia="Arial" w:hAnsi="Arial"/>
          <w:sz w:val="19"/>
          <w:szCs w:val="19"/>
          <w:color w:val="auto"/>
        </w:rPr>
        <w:t>21</w:t>
      </w:r>
    </w:p>
    <w:p>
      <w:pPr>
        <w:sectPr>
          <w:pgSz w:w="11900" w:h="16838" w:orient="portrait"/>
          <w:cols w:equalWidth="0" w:num="1">
            <w:col w:w="11444"/>
          </w:cols>
          <w:pgMar w:left="236" w:top="718" w:right="21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LIVANOVA PLC AND SUBSIDIARIES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millions)</w:t>
      </w:r>
    </w:p>
    <w:p>
      <w:pPr>
        <w:spacing w:after="0" w:line="65" w:lineRule="exact"/>
        <w:rPr>
          <w:sz w:val="20"/>
          <w:szCs w:val="20"/>
          <w:color w:val="auto"/>
        </w:rPr>
      </w:pPr>
    </w:p>
    <w:p>
      <w:pPr>
        <w:jc w:val="right"/>
        <w:ind w:right="400"/>
        <w:spacing w:after="0"/>
        <w:rPr>
          <w:sz w:val="20"/>
          <w:szCs w:val="20"/>
          <w:color w:val="auto"/>
        </w:rPr>
      </w:pPr>
      <w:r>
        <w:rPr>
          <w:rFonts w:ascii="Arial" w:cs="Arial" w:eastAsia="Arial" w:hAnsi="Arial"/>
          <w:sz w:val="14"/>
          <w:szCs w:val="14"/>
          <w:b w:val="1"/>
          <w:bCs w:val="1"/>
          <w:color w:val="auto"/>
        </w:rPr>
        <w:t>Twelve Months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5079365</wp:posOffset>
            </wp:positionH>
            <wp:positionV relativeFrom="paragraph">
              <wp:posOffset>29845</wp:posOffset>
            </wp:positionV>
            <wp:extent cx="216725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67255" cy="7620"/>
                    </a:xfrm>
                    <a:prstGeom prst="rect">
                      <a:avLst/>
                    </a:prstGeom>
                    <a:noFill/>
                  </pic:spPr>
                </pic:pic>
              </a:graphicData>
            </a:graphic>
          </wp:anchor>
        </w:drawing>
      </w:r>
    </w:p>
    <w:p>
      <w:pPr>
        <w:sectPr>
          <w:pgSz w:w="11900" w:h="16838" w:orient="portrait"/>
          <w:cols w:equalWidth="0" w:num="1">
            <w:col w:w="11360"/>
          </w:cols>
          <w:pgMar w:left="260" w:top="701" w:right="279" w:bottom="1440" w:gutter="0" w:footer="0" w:header="0"/>
        </w:sectPr>
      </w:pP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Operating Activities:</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color w:val="auto"/>
        </w:rPr>
        <w:t>Net loss</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color w:val="auto"/>
        </w:rPr>
        <w:t>Non-cash items included in net loss:</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Depreciation</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Amortization</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Stock-based compensation</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Deferred tax benefit</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Losses from equity method investments</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Gain on acquisitions</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Impairment of discontinued operations</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Impairment of investments</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Impairment of property, plant and equipment</w:t>
      </w:r>
    </w:p>
    <w:p>
      <w:pPr>
        <w:spacing w:after="0" w:line="79" w:lineRule="exact"/>
        <w:rPr>
          <w:sz w:val="20"/>
          <w:szCs w:val="20"/>
          <w:color w:val="auto"/>
        </w:rPr>
      </w:pPr>
    </w:p>
    <w:p>
      <w:pPr>
        <w:ind w:left="460" w:right="2580"/>
        <w:spacing w:after="0" w:line="343" w:lineRule="auto"/>
        <w:rPr>
          <w:sz w:val="20"/>
          <w:szCs w:val="20"/>
          <w:color w:val="auto"/>
        </w:rPr>
      </w:pPr>
      <w:r>
        <w:rPr>
          <w:rFonts w:ascii="Arial" w:cs="Arial" w:eastAsia="Arial" w:hAnsi="Arial"/>
          <w:sz w:val="14"/>
          <w:szCs w:val="14"/>
          <w:color w:val="auto"/>
        </w:rPr>
        <w:t>Amortization of income taxes payable on inter-company transfers of property Other</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Changes in operating assets and liabilities:</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Accounts receivable, net</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Inventories</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Other current and non-current assets</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Restructuring reserve</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Litigation provision liability</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Accounts payable and accrued current and non-current liabilities</w:t>
      </w:r>
    </w:p>
    <w:p>
      <w:pPr>
        <w:spacing w:after="0" w:line="61"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auto"/>
        </w:rPr>
        <w:t>Net cash provided by operating activities</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Investing Activities:</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4"/>
          <w:szCs w:val="14"/>
          <w:color w:val="auto"/>
        </w:rPr>
        <w:t>Purchases of property, plant and equipment and other</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Acquisitions, net of cash acquired</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Proceeds from the sale of CRM business franchise</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Proceeds from asset sales</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Proceeds from sale of investment</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Purchases of investments</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Loans to investees</w:t>
      </w:r>
    </w:p>
    <w:p>
      <w:pPr>
        <w:spacing w:after="0" w:line="61"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auto"/>
        </w:rPr>
        <w:t>Net cash used in investing activities</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Financing Activities:</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4"/>
          <w:szCs w:val="14"/>
          <w:color w:val="auto"/>
        </w:rPr>
        <w:t>Change in short-term borrowing, net</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Proceeds from short-term borrowing (maturities greater than 90 days)</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Repayment of short-term borrowing (maturities greater than 90 days)</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Proceeds from long-term debt obligations</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Repayment of long-term debt obligations</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Payment of deferred consideration - acquisition of Caisson</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Proceeds from exercise of stock options</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Shares repurchased from employees for minimum tax withholding</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Share repurchases under share repurchase program</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Other</w:t>
      </w:r>
    </w:p>
    <w:p>
      <w:pPr>
        <w:spacing w:after="0" w:line="61"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auto"/>
        </w:rPr>
        <w:t>Net cash (used in) provided by financing activities</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color w:val="auto"/>
        </w:rPr>
        <w:t>Effect of exchange rate changes on cash and cash equivalents</w:t>
      </w:r>
    </w:p>
    <w:p>
      <w:pPr>
        <w:spacing w:after="0" w:line="61"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auto"/>
        </w:rPr>
        <w:t>Net (decrease) increase in cash and cash equivalents</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color w:val="auto"/>
        </w:rPr>
        <w:t>Cash and cash equivalents at beginning of period</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Cash and cash equivalents at end of period</w:t>
      </w:r>
    </w:p>
    <w:p>
      <w:pPr>
        <w:spacing w:after="0" w:line="283" w:lineRule="exact"/>
        <w:rPr>
          <w:sz w:val="20"/>
          <w:szCs w:val="20"/>
          <w:color w:val="auto"/>
        </w:rPr>
      </w:pPr>
    </w:p>
    <w:p>
      <w:pPr>
        <w:ind w:left="460" w:hanging="97"/>
        <w:spacing w:after="0"/>
        <w:tabs>
          <w:tab w:leader="none" w:pos="460" w:val="left"/>
        </w:tabs>
        <w:numPr>
          <w:ilvl w:val="0"/>
          <w:numId w:val="17"/>
        </w:numPr>
        <w:rPr>
          <w:rFonts w:ascii="Arial" w:cs="Arial" w:eastAsia="Arial" w:hAnsi="Arial"/>
          <w:sz w:val="14"/>
          <w:szCs w:val="14"/>
          <w:color w:val="auto"/>
        </w:rPr>
      </w:pPr>
      <w:r>
        <w:rPr>
          <w:rFonts w:ascii="Arial" w:cs="Arial" w:eastAsia="Arial" w:hAnsi="Arial"/>
          <w:sz w:val="13"/>
          <w:szCs w:val="13"/>
          <w:color w:val="auto"/>
        </w:rPr>
        <w:t>Numbers may not add up precisely due to rounding.</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-406400</wp:posOffset>
            </wp:positionH>
            <wp:positionV relativeFrom="paragraph">
              <wp:posOffset>29845</wp:posOffset>
            </wp:positionV>
            <wp:extent cx="101917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19175" cy="7620"/>
                    </a:xfrm>
                    <a:prstGeom prst="rect">
                      <a:avLst/>
                    </a:prstGeom>
                    <a:noFill/>
                  </pic:spPr>
                </pic:pic>
              </a:graphicData>
            </a:graphic>
          </wp:anchor>
        </w:drawing>
      </w:r>
    </w:p>
    <w:p>
      <w:pPr>
        <w:spacing w:after="0" w:line="88" w:lineRule="exact"/>
        <w:rPr>
          <w:sz w:val="20"/>
          <w:szCs w:val="20"/>
          <w:color w:val="auto"/>
        </w:rPr>
      </w:pPr>
    </w:p>
    <w:p>
      <w:pPr>
        <w:jc w:val="right"/>
        <w:ind w:right="200"/>
        <w:spacing w:after="0"/>
        <w:rPr>
          <w:sz w:val="20"/>
          <w:szCs w:val="20"/>
          <w:color w:val="auto"/>
        </w:rPr>
      </w:pPr>
      <w:r>
        <w:rPr>
          <w:rFonts w:ascii="Arial" w:cs="Arial" w:eastAsia="Arial" w:hAnsi="Arial"/>
          <w:sz w:val="14"/>
          <w:szCs w:val="14"/>
          <w:color w:val="auto"/>
        </w:rPr>
        <w:t>($189.4)</w:t>
      </w:r>
    </w:p>
    <w:p>
      <w:pPr>
        <w:spacing w:after="0" w:line="318" w:lineRule="exact"/>
        <w:rPr>
          <w:sz w:val="20"/>
          <w:szCs w:val="20"/>
          <w:color w:val="auto"/>
        </w:rPr>
      </w:pPr>
    </w:p>
    <w:p>
      <w:pPr>
        <w:jc w:val="right"/>
        <w:ind w:right="240"/>
        <w:spacing w:after="0"/>
        <w:rPr>
          <w:sz w:val="20"/>
          <w:szCs w:val="20"/>
          <w:color w:val="auto"/>
        </w:rPr>
      </w:pPr>
      <w:r>
        <w:rPr>
          <w:rFonts w:ascii="Arial" w:cs="Arial" w:eastAsia="Arial" w:hAnsi="Arial"/>
          <w:sz w:val="14"/>
          <w:szCs w:val="14"/>
          <w:color w:val="auto"/>
        </w:rPr>
        <w:t>32.7</w:t>
      </w:r>
    </w:p>
    <w:p>
      <w:pPr>
        <w:spacing w:after="0" w:line="79" w:lineRule="exact"/>
        <w:rPr>
          <w:sz w:val="20"/>
          <w:szCs w:val="20"/>
          <w:color w:val="auto"/>
        </w:rPr>
      </w:pPr>
    </w:p>
    <w:p>
      <w:pPr>
        <w:jc w:val="right"/>
        <w:ind w:right="240"/>
        <w:spacing w:after="0"/>
        <w:rPr>
          <w:sz w:val="20"/>
          <w:szCs w:val="20"/>
          <w:color w:val="auto"/>
        </w:rPr>
      </w:pPr>
      <w:r>
        <w:rPr>
          <w:rFonts w:ascii="Arial" w:cs="Arial" w:eastAsia="Arial" w:hAnsi="Arial"/>
          <w:sz w:val="14"/>
          <w:szCs w:val="14"/>
          <w:color w:val="auto"/>
        </w:rPr>
        <w:t>37.2</w:t>
      </w:r>
    </w:p>
    <w:p>
      <w:pPr>
        <w:spacing w:after="0" w:line="79" w:lineRule="exact"/>
        <w:rPr>
          <w:sz w:val="20"/>
          <w:szCs w:val="20"/>
          <w:color w:val="auto"/>
        </w:rPr>
      </w:pPr>
    </w:p>
    <w:p>
      <w:pPr>
        <w:jc w:val="right"/>
        <w:ind w:right="240"/>
        <w:spacing w:after="0"/>
        <w:rPr>
          <w:sz w:val="20"/>
          <w:szCs w:val="20"/>
          <w:color w:val="auto"/>
        </w:rPr>
      </w:pPr>
      <w:r>
        <w:rPr>
          <w:rFonts w:ascii="Arial" w:cs="Arial" w:eastAsia="Arial" w:hAnsi="Arial"/>
          <w:sz w:val="14"/>
          <w:szCs w:val="14"/>
          <w:color w:val="auto"/>
        </w:rPr>
        <w:t>26.9</w:t>
      </w:r>
    </w:p>
    <w:p>
      <w:pPr>
        <w:spacing w:after="0" w:line="79" w:lineRule="exact"/>
        <w:rPr>
          <w:sz w:val="20"/>
          <w:szCs w:val="20"/>
          <w:color w:val="auto"/>
        </w:rPr>
      </w:pPr>
    </w:p>
    <w:p>
      <w:pPr>
        <w:jc w:val="right"/>
        <w:ind w:right="200"/>
        <w:spacing w:after="0"/>
        <w:rPr>
          <w:sz w:val="20"/>
          <w:szCs w:val="20"/>
          <w:color w:val="auto"/>
        </w:rPr>
      </w:pPr>
      <w:r>
        <w:rPr>
          <w:rFonts w:ascii="Arial" w:cs="Arial" w:eastAsia="Arial" w:hAnsi="Arial"/>
          <w:sz w:val="14"/>
          <w:szCs w:val="14"/>
          <w:color w:val="auto"/>
        </w:rPr>
        <w:t>(95.1)</w:t>
      </w:r>
    </w:p>
    <w:p>
      <w:pPr>
        <w:spacing w:after="0" w:line="79" w:lineRule="exact"/>
        <w:rPr>
          <w:sz w:val="20"/>
          <w:szCs w:val="20"/>
          <w:color w:val="auto"/>
        </w:rPr>
      </w:pPr>
    </w:p>
    <w:p>
      <w:pPr>
        <w:jc w:val="right"/>
        <w:ind w:right="240"/>
        <w:spacing w:after="0"/>
        <w:rPr>
          <w:sz w:val="20"/>
          <w:szCs w:val="20"/>
          <w:color w:val="auto"/>
        </w:rPr>
      </w:pPr>
      <w:r>
        <w:rPr>
          <w:rFonts w:ascii="Arial" w:cs="Arial" w:eastAsia="Arial" w:hAnsi="Arial"/>
          <w:sz w:val="14"/>
          <w:szCs w:val="14"/>
          <w:color w:val="auto"/>
        </w:rPr>
        <w:t>1.9</w:t>
      </w:r>
    </w:p>
    <w:p>
      <w:pPr>
        <w:spacing w:after="0" w:line="79" w:lineRule="exact"/>
        <w:rPr>
          <w:sz w:val="20"/>
          <w:szCs w:val="20"/>
          <w:color w:val="auto"/>
        </w:rPr>
      </w:pPr>
    </w:p>
    <w:p>
      <w:pPr>
        <w:jc w:val="right"/>
        <w:ind w:right="200"/>
        <w:spacing w:after="0"/>
        <w:rPr>
          <w:sz w:val="20"/>
          <w:szCs w:val="20"/>
          <w:color w:val="auto"/>
        </w:rPr>
      </w:pPr>
      <w:r>
        <w:rPr>
          <w:rFonts w:ascii="Arial" w:cs="Arial" w:eastAsia="Arial" w:hAnsi="Arial"/>
          <w:sz w:val="14"/>
          <w:szCs w:val="14"/>
          <w:color w:val="auto"/>
        </w:rPr>
        <w:t>(11.5)</w:t>
      </w:r>
    </w:p>
    <w:p>
      <w:pPr>
        <w:spacing w:after="0" w:line="79" w:lineRule="exact"/>
        <w:rPr>
          <w:sz w:val="20"/>
          <w:szCs w:val="20"/>
          <w:color w:val="auto"/>
        </w:rPr>
      </w:pPr>
    </w:p>
    <w:p>
      <w:pPr>
        <w:jc w:val="right"/>
        <w:ind w:right="240"/>
        <w:spacing w:after="0"/>
        <w:rPr>
          <w:sz w:val="20"/>
          <w:szCs w:val="20"/>
          <w:color w:val="auto"/>
        </w:rPr>
      </w:pPr>
      <w:r>
        <w:rPr>
          <w:rFonts w:ascii="Arial" w:cs="Arial" w:eastAsia="Arial" w:hAnsi="Arial"/>
          <w:sz w:val="14"/>
          <w:szCs w:val="14"/>
          <w:color w:val="auto"/>
        </w:rPr>
        <w:t>—</w:t>
      </w:r>
    </w:p>
    <w:p>
      <w:pPr>
        <w:spacing w:after="0" w:line="79" w:lineRule="exact"/>
        <w:rPr>
          <w:sz w:val="20"/>
          <w:szCs w:val="20"/>
          <w:color w:val="auto"/>
        </w:rPr>
      </w:pPr>
    </w:p>
    <w:p>
      <w:pPr>
        <w:jc w:val="right"/>
        <w:ind w:right="240"/>
        <w:spacing w:after="0"/>
        <w:rPr>
          <w:sz w:val="20"/>
          <w:szCs w:val="20"/>
          <w:color w:val="auto"/>
        </w:rPr>
      </w:pPr>
      <w:r>
        <w:rPr>
          <w:rFonts w:ascii="Arial" w:cs="Arial" w:eastAsia="Arial" w:hAnsi="Arial"/>
          <w:sz w:val="14"/>
          <w:szCs w:val="14"/>
          <w:color w:val="auto"/>
        </w:rPr>
        <w:t>—</w:t>
      </w:r>
    </w:p>
    <w:p>
      <w:pPr>
        <w:spacing w:after="0" w:line="79" w:lineRule="exact"/>
        <w:rPr>
          <w:sz w:val="20"/>
          <w:szCs w:val="20"/>
          <w:color w:val="auto"/>
        </w:rPr>
      </w:pPr>
    </w:p>
    <w:p>
      <w:pPr>
        <w:jc w:val="right"/>
        <w:ind w:right="240"/>
        <w:spacing w:after="0"/>
        <w:rPr>
          <w:sz w:val="20"/>
          <w:szCs w:val="20"/>
          <w:color w:val="auto"/>
        </w:rPr>
      </w:pPr>
      <w:r>
        <w:rPr>
          <w:rFonts w:ascii="Arial" w:cs="Arial" w:eastAsia="Arial" w:hAnsi="Arial"/>
          <w:sz w:val="14"/>
          <w:szCs w:val="14"/>
          <w:color w:val="auto"/>
        </w:rPr>
        <w:t>0.6</w:t>
      </w:r>
    </w:p>
    <w:p>
      <w:pPr>
        <w:spacing w:after="0" w:line="79" w:lineRule="exact"/>
        <w:rPr>
          <w:sz w:val="20"/>
          <w:szCs w:val="20"/>
          <w:color w:val="auto"/>
        </w:rPr>
      </w:pPr>
    </w:p>
    <w:p>
      <w:pPr>
        <w:jc w:val="right"/>
        <w:ind w:right="240"/>
        <w:spacing w:after="0"/>
        <w:rPr>
          <w:sz w:val="20"/>
          <w:szCs w:val="20"/>
          <w:color w:val="auto"/>
        </w:rPr>
      </w:pPr>
      <w:r>
        <w:rPr>
          <w:rFonts w:ascii="Arial" w:cs="Arial" w:eastAsia="Arial" w:hAnsi="Arial"/>
          <w:sz w:val="14"/>
          <w:szCs w:val="14"/>
          <w:color w:val="auto"/>
        </w:rPr>
        <w:t>13.4</w:t>
      </w:r>
    </w:p>
    <w:p>
      <w:pPr>
        <w:spacing w:after="0" w:line="79" w:lineRule="exact"/>
        <w:rPr>
          <w:sz w:val="20"/>
          <w:szCs w:val="20"/>
          <w:color w:val="auto"/>
        </w:rPr>
      </w:pPr>
    </w:p>
    <w:p>
      <w:pPr>
        <w:jc w:val="right"/>
        <w:ind w:right="200"/>
        <w:spacing w:after="0"/>
        <w:rPr>
          <w:sz w:val="20"/>
          <w:szCs w:val="20"/>
          <w:color w:val="auto"/>
        </w:rPr>
      </w:pPr>
      <w:r>
        <w:rPr>
          <w:rFonts w:ascii="Arial" w:cs="Arial" w:eastAsia="Arial" w:hAnsi="Arial"/>
          <w:sz w:val="14"/>
          <w:szCs w:val="14"/>
          <w:color w:val="auto"/>
        </w:rPr>
        <w:t>(1.5)</w:t>
      </w:r>
    </w:p>
    <w:p>
      <w:pPr>
        <w:spacing w:after="0" w:line="318" w:lineRule="exact"/>
        <w:rPr>
          <w:sz w:val="20"/>
          <w:szCs w:val="20"/>
          <w:color w:val="auto"/>
        </w:rPr>
      </w:pPr>
    </w:p>
    <w:p>
      <w:pPr>
        <w:jc w:val="right"/>
        <w:ind w:right="240"/>
        <w:spacing w:after="0"/>
        <w:rPr>
          <w:sz w:val="20"/>
          <w:szCs w:val="20"/>
          <w:color w:val="auto"/>
        </w:rPr>
      </w:pPr>
      <w:r>
        <w:rPr>
          <w:rFonts w:ascii="Arial" w:cs="Arial" w:eastAsia="Arial" w:hAnsi="Arial"/>
          <w:sz w:val="14"/>
          <w:szCs w:val="14"/>
          <w:color w:val="auto"/>
        </w:rPr>
        <w:t>21.2</w:t>
      </w:r>
    </w:p>
    <w:p>
      <w:pPr>
        <w:spacing w:after="0" w:line="79" w:lineRule="exact"/>
        <w:rPr>
          <w:sz w:val="20"/>
          <w:szCs w:val="20"/>
          <w:color w:val="auto"/>
        </w:rPr>
      </w:pPr>
    </w:p>
    <w:p>
      <w:pPr>
        <w:jc w:val="right"/>
        <w:ind w:right="200"/>
        <w:spacing w:after="0"/>
        <w:rPr>
          <w:sz w:val="20"/>
          <w:szCs w:val="20"/>
          <w:color w:val="auto"/>
        </w:rPr>
      </w:pPr>
      <w:r>
        <w:rPr>
          <w:rFonts w:ascii="Arial" w:cs="Arial" w:eastAsia="Arial" w:hAnsi="Arial"/>
          <w:sz w:val="14"/>
          <w:szCs w:val="14"/>
          <w:color w:val="auto"/>
        </w:rPr>
        <w:t>(10.6)</w:t>
      </w:r>
    </w:p>
    <w:p>
      <w:pPr>
        <w:spacing w:after="0" w:line="79" w:lineRule="exact"/>
        <w:rPr>
          <w:sz w:val="20"/>
          <w:szCs w:val="20"/>
          <w:color w:val="auto"/>
        </w:rPr>
      </w:pPr>
    </w:p>
    <w:p>
      <w:pPr>
        <w:jc w:val="right"/>
        <w:ind w:right="200"/>
        <w:spacing w:after="0"/>
        <w:rPr>
          <w:sz w:val="20"/>
          <w:szCs w:val="20"/>
          <w:color w:val="auto"/>
        </w:rPr>
      </w:pPr>
      <w:r>
        <w:rPr>
          <w:rFonts w:ascii="Arial" w:cs="Arial" w:eastAsia="Arial" w:hAnsi="Arial"/>
          <w:sz w:val="14"/>
          <w:szCs w:val="14"/>
          <w:color w:val="auto"/>
        </w:rPr>
        <w:t>(13.0)</w:t>
      </w:r>
    </w:p>
    <w:p>
      <w:pPr>
        <w:spacing w:after="0" w:line="79" w:lineRule="exact"/>
        <w:rPr>
          <w:sz w:val="20"/>
          <w:szCs w:val="20"/>
          <w:color w:val="auto"/>
        </w:rPr>
      </w:pPr>
    </w:p>
    <w:p>
      <w:pPr>
        <w:jc w:val="right"/>
        <w:ind w:right="240"/>
        <w:spacing w:after="0"/>
        <w:rPr>
          <w:sz w:val="20"/>
          <w:szCs w:val="20"/>
          <w:color w:val="auto"/>
        </w:rPr>
      </w:pPr>
      <w:r>
        <w:rPr>
          <w:rFonts w:ascii="Arial" w:cs="Arial" w:eastAsia="Arial" w:hAnsi="Arial"/>
          <w:sz w:val="14"/>
          <w:szCs w:val="14"/>
          <w:color w:val="auto"/>
        </w:rPr>
        <w:t>6.5</w:t>
      </w:r>
    </w:p>
    <w:p>
      <w:pPr>
        <w:spacing w:after="0" w:line="79" w:lineRule="exact"/>
        <w:rPr>
          <w:sz w:val="20"/>
          <w:szCs w:val="20"/>
          <w:color w:val="auto"/>
        </w:rPr>
      </w:pPr>
    </w:p>
    <w:p>
      <w:pPr>
        <w:jc w:val="right"/>
        <w:ind w:right="240"/>
        <w:spacing w:after="0"/>
        <w:rPr>
          <w:sz w:val="20"/>
          <w:szCs w:val="20"/>
          <w:color w:val="auto"/>
        </w:rPr>
      </w:pPr>
      <w:r>
        <w:rPr>
          <w:rFonts w:ascii="Arial" w:cs="Arial" w:eastAsia="Arial" w:hAnsi="Arial"/>
          <w:sz w:val="14"/>
          <w:szCs w:val="14"/>
          <w:color w:val="auto"/>
        </w:rPr>
        <w:t>294.1</w:t>
      </w:r>
    </w:p>
    <w:p>
      <w:pPr>
        <w:spacing w:after="0" w:line="79" w:lineRule="exact"/>
        <w:rPr>
          <w:sz w:val="20"/>
          <w:szCs w:val="20"/>
          <w:color w:val="auto"/>
        </w:rPr>
      </w:pPr>
    </w:p>
    <w:p>
      <w:pPr>
        <w:jc w:val="right"/>
        <w:ind w:right="240"/>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-406400</wp:posOffset>
            </wp:positionH>
            <wp:positionV relativeFrom="paragraph">
              <wp:posOffset>18415</wp:posOffset>
            </wp:positionV>
            <wp:extent cx="101917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19175" cy="7620"/>
                    </a:xfrm>
                    <a:prstGeom prst="rect">
                      <a:avLst/>
                    </a:prstGeom>
                    <a:noFill/>
                  </pic:spPr>
                </pic:pic>
              </a:graphicData>
            </a:graphic>
          </wp:anchor>
        </w:drawing>
      </w:r>
    </w:p>
    <w:p>
      <w:pPr>
        <w:spacing w:after="0" w:line="41" w:lineRule="exact"/>
        <w:rPr>
          <w:sz w:val="20"/>
          <w:szCs w:val="20"/>
          <w:color w:val="auto"/>
        </w:rPr>
      </w:pPr>
    </w:p>
    <w:p>
      <w:pPr>
        <w:jc w:val="right"/>
        <w:ind w:right="240"/>
        <w:spacing w:after="0"/>
        <w:rPr>
          <w:sz w:val="20"/>
          <w:szCs w:val="20"/>
          <w:color w:val="auto"/>
        </w:rPr>
      </w:pPr>
      <w:r>
        <w:rPr>
          <w:rFonts w:ascii="Arial" w:cs="Arial" w:eastAsia="Arial" w:hAnsi="Arial"/>
          <w:sz w:val="14"/>
          <w:szCs w:val="14"/>
          <w:b w:val="1"/>
          <w:bCs w:val="1"/>
          <w:color w:val="auto"/>
        </w:rPr>
        <w:t>120.5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-406400</wp:posOffset>
            </wp:positionH>
            <wp:positionV relativeFrom="paragraph">
              <wp:posOffset>29845</wp:posOffset>
            </wp:positionV>
            <wp:extent cx="101917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19175" cy="7620"/>
                    </a:xfrm>
                    <a:prstGeom prst="rect">
                      <a:avLst/>
                    </a:prstGeom>
                    <a:noFill/>
                  </pic:spPr>
                </pic:pic>
              </a:graphicData>
            </a:graphic>
          </wp:anchor>
        </w:drawing>
      </w:r>
    </w:p>
    <w:p>
      <w:pPr>
        <w:spacing w:after="0" w:line="328" w:lineRule="exact"/>
        <w:rPr>
          <w:sz w:val="20"/>
          <w:szCs w:val="20"/>
          <w:color w:val="auto"/>
        </w:rPr>
      </w:pPr>
    </w:p>
    <w:p>
      <w:pPr>
        <w:jc w:val="right"/>
        <w:ind w:right="200"/>
        <w:spacing w:after="0"/>
        <w:rPr>
          <w:sz w:val="20"/>
          <w:szCs w:val="20"/>
          <w:color w:val="auto"/>
        </w:rPr>
      </w:pPr>
      <w:r>
        <w:rPr>
          <w:rFonts w:ascii="Arial" w:cs="Arial" w:eastAsia="Arial" w:hAnsi="Arial"/>
          <w:sz w:val="14"/>
          <w:szCs w:val="14"/>
          <w:color w:val="auto"/>
        </w:rPr>
        <w:t>(38.0)</w:t>
      </w:r>
    </w:p>
    <w:p>
      <w:pPr>
        <w:spacing w:after="0" w:line="79" w:lineRule="exact"/>
        <w:rPr>
          <w:sz w:val="20"/>
          <w:szCs w:val="20"/>
          <w:color w:val="auto"/>
        </w:rPr>
      </w:pPr>
    </w:p>
    <w:p>
      <w:pPr>
        <w:jc w:val="right"/>
        <w:ind w:right="200"/>
        <w:spacing w:after="0"/>
        <w:rPr>
          <w:sz w:val="20"/>
          <w:szCs w:val="20"/>
          <w:color w:val="auto"/>
        </w:rPr>
      </w:pPr>
      <w:r>
        <w:rPr>
          <w:rFonts w:ascii="Arial" w:cs="Arial" w:eastAsia="Arial" w:hAnsi="Arial"/>
          <w:sz w:val="14"/>
          <w:szCs w:val="14"/>
          <w:color w:val="auto"/>
        </w:rPr>
        <w:t>(279.7)</w:t>
      </w:r>
    </w:p>
    <w:p>
      <w:pPr>
        <w:spacing w:after="0" w:line="79" w:lineRule="exact"/>
        <w:rPr>
          <w:sz w:val="20"/>
          <w:szCs w:val="20"/>
          <w:color w:val="auto"/>
        </w:rPr>
      </w:pPr>
    </w:p>
    <w:p>
      <w:pPr>
        <w:jc w:val="right"/>
        <w:ind w:right="240"/>
        <w:spacing w:after="0"/>
        <w:rPr>
          <w:sz w:val="20"/>
          <w:szCs w:val="20"/>
          <w:color w:val="auto"/>
        </w:rPr>
      </w:pPr>
      <w:r>
        <w:rPr>
          <w:rFonts w:ascii="Arial" w:cs="Arial" w:eastAsia="Arial" w:hAnsi="Arial"/>
          <w:sz w:val="14"/>
          <w:szCs w:val="14"/>
          <w:color w:val="auto"/>
        </w:rPr>
        <w:t>186.7</w:t>
      </w:r>
    </w:p>
    <w:p>
      <w:pPr>
        <w:spacing w:after="0" w:line="79" w:lineRule="exact"/>
        <w:rPr>
          <w:sz w:val="20"/>
          <w:szCs w:val="20"/>
          <w:color w:val="auto"/>
        </w:rPr>
      </w:pPr>
    </w:p>
    <w:p>
      <w:pPr>
        <w:jc w:val="right"/>
        <w:ind w:right="240"/>
        <w:spacing w:after="0"/>
        <w:rPr>
          <w:sz w:val="20"/>
          <w:szCs w:val="20"/>
          <w:color w:val="auto"/>
        </w:rPr>
      </w:pPr>
      <w:r>
        <w:rPr>
          <w:rFonts w:ascii="Arial" w:cs="Arial" w:eastAsia="Arial" w:hAnsi="Arial"/>
          <w:sz w:val="14"/>
          <w:szCs w:val="14"/>
          <w:color w:val="auto"/>
        </w:rPr>
        <w:t>14.2</w:t>
      </w:r>
    </w:p>
    <w:p>
      <w:pPr>
        <w:spacing w:after="0" w:line="79" w:lineRule="exact"/>
        <w:rPr>
          <w:sz w:val="20"/>
          <w:szCs w:val="20"/>
          <w:color w:val="auto"/>
        </w:rPr>
      </w:pPr>
    </w:p>
    <w:p>
      <w:pPr>
        <w:jc w:val="right"/>
        <w:ind w:right="240"/>
        <w:spacing w:after="0"/>
        <w:rPr>
          <w:sz w:val="20"/>
          <w:szCs w:val="20"/>
          <w:color w:val="auto"/>
        </w:rPr>
      </w:pPr>
      <w:r>
        <w:rPr>
          <w:rFonts w:ascii="Arial" w:cs="Arial" w:eastAsia="Arial" w:hAnsi="Arial"/>
          <w:sz w:val="14"/>
          <w:szCs w:val="14"/>
          <w:color w:val="auto"/>
        </w:rPr>
        <w:t>—</w:t>
      </w:r>
    </w:p>
    <w:p>
      <w:pPr>
        <w:spacing w:after="0" w:line="79" w:lineRule="exact"/>
        <w:rPr>
          <w:sz w:val="20"/>
          <w:szCs w:val="20"/>
          <w:color w:val="auto"/>
        </w:rPr>
      </w:pPr>
    </w:p>
    <w:p>
      <w:pPr>
        <w:jc w:val="right"/>
        <w:ind w:right="200"/>
        <w:spacing w:after="0"/>
        <w:rPr>
          <w:sz w:val="20"/>
          <w:szCs w:val="20"/>
          <w:color w:val="auto"/>
        </w:rPr>
      </w:pPr>
      <w:r>
        <w:rPr>
          <w:rFonts w:ascii="Arial" w:cs="Arial" w:eastAsia="Arial" w:hAnsi="Arial"/>
          <w:sz w:val="14"/>
          <w:szCs w:val="14"/>
          <w:color w:val="auto"/>
        </w:rPr>
        <w:t>(3.8)</w:t>
      </w:r>
    </w:p>
    <w:p>
      <w:pPr>
        <w:spacing w:after="0" w:line="79" w:lineRule="exact"/>
        <w:rPr>
          <w:sz w:val="20"/>
          <w:szCs w:val="20"/>
          <w:color w:val="auto"/>
        </w:rPr>
      </w:pPr>
    </w:p>
    <w:p>
      <w:pPr>
        <w:jc w:val="right"/>
        <w:ind w:right="240"/>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-406400</wp:posOffset>
            </wp:positionH>
            <wp:positionV relativeFrom="paragraph">
              <wp:posOffset>18415</wp:posOffset>
            </wp:positionV>
            <wp:extent cx="101917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19175" cy="7620"/>
                    </a:xfrm>
                    <a:prstGeom prst="rect">
                      <a:avLst/>
                    </a:prstGeom>
                    <a:noFill/>
                  </pic:spPr>
                </pic:pic>
              </a:graphicData>
            </a:graphic>
          </wp:anchor>
        </w:drawing>
      </w:r>
    </w:p>
    <w:p>
      <w:pPr>
        <w:spacing w:after="0" w:line="41" w:lineRule="exact"/>
        <w:rPr>
          <w:sz w:val="20"/>
          <w:szCs w:val="20"/>
          <w:color w:val="auto"/>
        </w:rPr>
      </w:pPr>
    </w:p>
    <w:p>
      <w:pPr>
        <w:jc w:val="right"/>
        <w:ind w:right="200"/>
        <w:spacing w:after="0"/>
        <w:rPr>
          <w:sz w:val="20"/>
          <w:szCs w:val="20"/>
          <w:color w:val="auto"/>
        </w:rPr>
      </w:pPr>
      <w:r>
        <w:rPr>
          <w:rFonts w:ascii="Arial" w:cs="Arial" w:eastAsia="Arial" w:hAnsi="Arial"/>
          <w:sz w:val="14"/>
          <w:szCs w:val="14"/>
          <w:b w:val="1"/>
          <w:bCs w:val="1"/>
          <w:color w:val="auto"/>
        </w:rPr>
        <w:t>(120.6)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-406400</wp:posOffset>
            </wp:positionH>
            <wp:positionV relativeFrom="paragraph">
              <wp:posOffset>29845</wp:posOffset>
            </wp:positionV>
            <wp:extent cx="1019175"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19175" cy="7620"/>
                    </a:xfrm>
                    <a:prstGeom prst="rect">
                      <a:avLst/>
                    </a:prstGeom>
                    <a:noFill/>
                  </pic:spPr>
                </pic:pic>
              </a:graphicData>
            </a:graphic>
          </wp:anchor>
        </w:drawing>
      </w:r>
    </w:p>
    <w:p>
      <w:pPr>
        <w:spacing w:after="0" w:line="328" w:lineRule="exact"/>
        <w:rPr>
          <w:sz w:val="20"/>
          <w:szCs w:val="20"/>
          <w:color w:val="auto"/>
        </w:rPr>
      </w:pPr>
    </w:p>
    <w:p>
      <w:pPr>
        <w:jc w:val="right"/>
        <w:ind w:right="200"/>
        <w:spacing w:after="0"/>
        <w:rPr>
          <w:sz w:val="20"/>
          <w:szCs w:val="20"/>
          <w:color w:val="auto"/>
        </w:rPr>
      </w:pPr>
      <w:r>
        <w:rPr>
          <w:rFonts w:ascii="Arial" w:cs="Arial" w:eastAsia="Arial" w:hAnsi="Arial"/>
          <w:sz w:val="14"/>
          <w:szCs w:val="14"/>
          <w:color w:val="auto"/>
        </w:rPr>
        <w:t>(30.7)</w:t>
      </w:r>
    </w:p>
    <w:p>
      <w:pPr>
        <w:spacing w:after="0" w:line="79" w:lineRule="exact"/>
        <w:rPr>
          <w:sz w:val="20"/>
          <w:szCs w:val="20"/>
          <w:color w:val="auto"/>
        </w:rPr>
      </w:pPr>
    </w:p>
    <w:p>
      <w:pPr>
        <w:jc w:val="right"/>
        <w:ind w:right="240"/>
        <w:spacing w:after="0"/>
        <w:rPr>
          <w:sz w:val="20"/>
          <w:szCs w:val="20"/>
          <w:color w:val="auto"/>
        </w:rPr>
      </w:pPr>
      <w:r>
        <w:rPr>
          <w:rFonts w:ascii="Arial" w:cs="Arial" w:eastAsia="Arial" w:hAnsi="Arial"/>
          <w:sz w:val="14"/>
          <w:szCs w:val="14"/>
          <w:color w:val="auto"/>
        </w:rPr>
        <w:t>240.0</w:t>
      </w:r>
    </w:p>
    <w:p>
      <w:pPr>
        <w:spacing w:after="0" w:line="79" w:lineRule="exact"/>
        <w:rPr>
          <w:sz w:val="20"/>
          <w:szCs w:val="20"/>
          <w:color w:val="auto"/>
        </w:rPr>
      </w:pPr>
    </w:p>
    <w:p>
      <w:pPr>
        <w:jc w:val="right"/>
        <w:ind w:right="200"/>
        <w:spacing w:after="0"/>
        <w:rPr>
          <w:sz w:val="20"/>
          <w:szCs w:val="20"/>
          <w:color w:val="auto"/>
        </w:rPr>
      </w:pPr>
      <w:r>
        <w:rPr>
          <w:rFonts w:ascii="Arial" w:cs="Arial" w:eastAsia="Arial" w:hAnsi="Arial"/>
          <w:sz w:val="14"/>
          <w:szCs w:val="14"/>
          <w:color w:val="auto"/>
        </w:rPr>
        <w:t>(260.0)</w:t>
      </w:r>
    </w:p>
    <w:p>
      <w:pPr>
        <w:spacing w:after="0" w:line="79" w:lineRule="exact"/>
        <w:rPr>
          <w:sz w:val="20"/>
          <w:szCs w:val="20"/>
          <w:color w:val="auto"/>
        </w:rPr>
      </w:pPr>
    </w:p>
    <w:p>
      <w:pPr>
        <w:jc w:val="right"/>
        <w:ind w:right="240"/>
        <w:spacing w:after="0"/>
        <w:rPr>
          <w:sz w:val="20"/>
          <w:szCs w:val="20"/>
          <w:color w:val="auto"/>
        </w:rPr>
      </w:pPr>
      <w:r>
        <w:rPr>
          <w:rFonts w:ascii="Arial" w:cs="Arial" w:eastAsia="Arial" w:hAnsi="Arial"/>
          <w:sz w:val="14"/>
          <w:szCs w:val="14"/>
          <w:color w:val="auto"/>
        </w:rPr>
        <w:t>103.6</w:t>
      </w:r>
    </w:p>
    <w:p>
      <w:pPr>
        <w:spacing w:after="0" w:line="79" w:lineRule="exact"/>
        <w:rPr>
          <w:sz w:val="20"/>
          <w:szCs w:val="20"/>
          <w:color w:val="auto"/>
        </w:rPr>
      </w:pPr>
    </w:p>
    <w:p>
      <w:pPr>
        <w:jc w:val="right"/>
        <w:ind w:right="200"/>
        <w:spacing w:after="0"/>
        <w:rPr>
          <w:sz w:val="20"/>
          <w:szCs w:val="20"/>
          <w:color w:val="auto"/>
        </w:rPr>
      </w:pPr>
      <w:r>
        <w:rPr>
          <w:rFonts w:ascii="Arial" w:cs="Arial" w:eastAsia="Arial" w:hAnsi="Arial"/>
          <w:sz w:val="14"/>
          <w:szCs w:val="14"/>
          <w:color w:val="auto"/>
        </w:rPr>
        <w:t>(23.8)</w:t>
      </w:r>
    </w:p>
    <w:p>
      <w:pPr>
        <w:spacing w:after="0" w:line="79" w:lineRule="exact"/>
        <w:rPr>
          <w:sz w:val="20"/>
          <w:szCs w:val="20"/>
          <w:color w:val="auto"/>
        </w:rPr>
      </w:pPr>
    </w:p>
    <w:p>
      <w:pPr>
        <w:jc w:val="right"/>
        <w:ind w:right="200"/>
        <w:spacing w:after="0"/>
        <w:rPr>
          <w:sz w:val="20"/>
          <w:szCs w:val="20"/>
          <w:color w:val="auto"/>
        </w:rPr>
      </w:pPr>
      <w:r>
        <w:rPr>
          <w:rFonts w:ascii="Arial" w:cs="Arial" w:eastAsia="Arial" w:hAnsi="Arial"/>
          <w:sz w:val="14"/>
          <w:szCs w:val="14"/>
          <w:color w:val="auto"/>
        </w:rPr>
        <w:t>(13.0)</w:t>
      </w:r>
    </w:p>
    <w:p>
      <w:pPr>
        <w:spacing w:after="0" w:line="79" w:lineRule="exact"/>
        <w:rPr>
          <w:sz w:val="20"/>
          <w:szCs w:val="20"/>
          <w:color w:val="auto"/>
        </w:rPr>
      </w:pPr>
    </w:p>
    <w:p>
      <w:pPr>
        <w:jc w:val="right"/>
        <w:ind w:right="240"/>
        <w:spacing w:after="0"/>
        <w:rPr>
          <w:sz w:val="20"/>
          <w:szCs w:val="20"/>
          <w:color w:val="auto"/>
        </w:rPr>
      </w:pPr>
      <w:r>
        <w:rPr>
          <w:rFonts w:ascii="Arial" w:cs="Arial" w:eastAsia="Arial" w:hAnsi="Arial"/>
          <w:sz w:val="14"/>
          <w:szCs w:val="14"/>
          <w:color w:val="auto"/>
        </w:rPr>
        <w:t>4.2</w:t>
      </w:r>
    </w:p>
    <w:p>
      <w:pPr>
        <w:spacing w:after="0" w:line="79" w:lineRule="exact"/>
        <w:rPr>
          <w:sz w:val="20"/>
          <w:szCs w:val="20"/>
          <w:color w:val="auto"/>
        </w:rPr>
      </w:pPr>
    </w:p>
    <w:p>
      <w:pPr>
        <w:jc w:val="right"/>
        <w:ind w:right="200"/>
        <w:spacing w:after="0"/>
        <w:rPr>
          <w:sz w:val="20"/>
          <w:szCs w:val="20"/>
          <w:color w:val="auto"/>
        </w:rPr>
      </w:pPr>
      <w:r>
        <w:rPr>
          <w:rFonts w:ascii="Arial" w:cs="Arial" w:eastAsia="Arial" w:hAnsi="Arial"/>
          <w:sz w:val="14"/>
          <w:szCs w:val="14"/>
          <w:color w:val="auto"/>
        </w:rPr>
        <w:t>(11.6)</w:t>
      </w:r>
    </w:p>
    <w:p>
      <w:pPr>
        <w:spacing w:after="0" w:line="79" w:lineRule="exact"/>
        <w:rPr>
          <w:sz w:val="20"/>
          <w:szCs w:val="20"/>
          <w:color w:val="auto"/>
        </w:rPr>
      </w:pPr>
    </w:p>
    <w:p>
      <w:pPr>
        <w:jc w:val="right"/>
        <w:ind w:right="200"/>
        <w:spacing w:after="0"/>
        <w:rPr>
          <w:sz w:val="20"/>
          <w:szCs w:val="20"/>
          <w:color w:val="auto"/>
        </w:rPr>
      </w:pPr>
      <w:r>
        <w:rPr>
          <w:rFonts w:ascii="Arial" w:cs="Arial" w:eastAsia="Arial" w:hAnsi="Arial"/>
          <w:sz w:val="14"/>
          <w:szCs w:val="14"/>
          <w:color w:val="auto"/>
        </w:rPr>
        <w:t>(50.0)</w:t>
      </w:r>
    </w:p>
    <w:p>
      <w:pPr>
        <w:spacing w:after="0" w:line="79" w:lineRule="exact"/>
        <w:rPr>
          <w:sz w:val="20"/>
          <w:szCs w:val="20"/>
          <w:color w:val="auto"/>
        </w:rPr>
      </w:pPr>
    </w:p>
    <w:p>
      <w:pPr>
        <w:jc w:val="right"/>
        <w:ind w:right="200"/>
        <w:spacing w:after="0"/>
        <w:rPr>
          <w:sz w:val="20"/>
          <w:szCs w:val="20"/>
          <w:color w:val="auto"/>
        </w:rPr>
      </w:pPr>
      <w:r>
        <w:rPr>
          <w:rFonts w:ascii="Arial" w:cs="Arial" w:eastAsia="Arial" w:hAnsi="Arial"/>
          <w:sz w:val="14"/>
          <w:szCs w:val="14"/>
          <w:color w:val="auto"/>
        </w:rPr>
        <w:t>(0.9)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-406400</wp:posOffset>
            </wp:positionH>
            <wp:positionV relativeFrom="paragraph">
              <wp:posOffset>18415</wp:posOffset>
            </wp:positionV>
            <wp:extent cx="1019175"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19175" cy="7620"/>
                    </a:xfrm>
                    <a:prstGeom prst="rect">
                      <a:avLst/>
                    </a:prstGeom>
                    <a:noFill/>
                  </pic:spPr>
                </pic:pic>
              </a:graphicData>
            </a:graphic>
          </wp:anchor>
        </w:drawing>
      </w:r>
    </w:p>
    <w:p>
      <w:pPr>
        <w:spacing w:after="0" w:line="41" w:lineRule="exact"/>
        <w:rPr>
          <w:sz w:val="20"/>
          <w:szCs w:val="20"/>
          <w:color w:val="auto"/>
        </w:rPr>
      </w:pPr>
    </w:p>
    <w:p>
      <w:pPr>
        <w:jc w:val="right"/>
        <w:ind w:right="200"/>
        <w:spacing w:after="0"/>
        <w:rPr>
          <w:sz w:val="20"/>
          <w:szCs w:val="20"/>
          <w:color w:val="auto"/>
        </w:rPr>
      </w:pPr>
      <w:r>
        <w:rPr>
          <w:rFonts w:ascii="Arial" w:cs="Arial" w:eastAsia="Arial" w:hAnsi="Arial"/>
          <w:sz w:val="14"/>
          <w:szCs w:val="14"/>
          <w:b w:val="1"/>
          <w:bCs w:val="1"/>
          <w:color w:val="auto"/>
        </w:rPr>
        <w:t>(42.3)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-406400</wp:posOffset>
            </wp:positionH>
            <wp:positionV relativeFrom="paragraph">
              <wp:posOffset>29845</wp:posOffset>
            </wp:positionV>
            <wp:extent cx="1019175"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19175" cy="7620"/>
                    </a:xfrm>
                    <a:prstGeom prst="rect">
                      <a:avLst/>
                    </a:prstGeom>
                    <a:noFill/>
                  </pic:spPr>
                </pic:pic>
              </a:graphicData>
            </a:graphic>
          </wp:anchor>
        </w:drawing>
      </w:r>
    </w:p>
    <w:p>
      <w:pPr>
        <w:spacing w:after="0" w:line="77" w:lineRule="exact"/>
        <w:rPr>
          <w:sz w:val="20"/>
          <w:szCs w:val="20"/>
          <w:color w:val="auto"/>
        </w:rPr>
      </w:pPr>
    </w:p>
    <w:p>
      <w:pPr>
        <w:jc w:val="right"/>
        <w:ind w:right="200"/>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-406400</wp:posOffset>
            </wp:positionH>
            <wp:positionV relativeFrom="paragraph">
              <wp:posOffset>18415</wp:posOffset>
            </wp:positionV>
            <wp:extent cx="1019175"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19175" cy="7620"/>
                    </a:xfrm>
                    <a:prstGeom prst="rect">
                      <a:avLst/>
                    </a:prstGeom>
                    <a:noFill/>
                  </pic:spPr>
                </pic:pic>
              </a:graphicData>
            </a:graphic>
          </wp:anchor>
        </w:drawing>
      </w:r>
    </w:p>
    <w:p>
      <w:pPr>
        <w:spacing w:after="0" w:line="41" w:lineRule="exact"/>
        <w:rPr>
          <w:sz w:val="20"/>
          <w:szCs w:val="20"/>
          <w:color w:val="auto"/>
        </w:rPr>
      </w:pPr>
    </w:p>
    <w:p>
      <w:pPr>
        <w:jc w:val="right"/>
        <w:ind w:right="200"/>
        <w:spacing w:after="0"/>
        <w:rPr>
          <w:sz w:val="20"/>
          <w:szCs w:val="20"/>
          <w:color w:val="auto"/>
        </w:rPr>
      </w:pPr>
      <w:r>
        <w:rPr>
          <w:rFonts w:ascii="Arial" w:cs="Arial" w:eastAsia="Arial" w:hAnsi="Arial"/>
          <w:sz w:val="14"/>
          <w:szCs w:val="14"/>
          <w:b w:val="1"/>
          <w:bCs w:val="1"/>
          <w:color w:val="auto"/>
        </w:rPr>
        <w:t>(46.4)</w:t>
      </w:r>
    </w:p>
    <w:p>
      <w:pPr>
        <w:spacing w:after="0" w:line="97" w:lineRule="exact"/>
        <w:rPr>
          <w:sz w:val="20"/>
          <w:szCs w:val="20"/>
          <w:color w:val="auto"/>
        </w:rPr>
      </w:pPr>
    </w:p>
    <w:p>
      <w:pPr>
        <w:jc w:val="right"/>
        <w:ind w:right="240"/>
        <w:spacing w:after="0"/>
        <w:rPr>
          <w:sz w:val="20"/>
          <w:szCs w:val="20"/>
          <w:color w:val="auto"/>
        </w:rPr>
      </w:pPr>
      <w:r>
        <w:rPr>
          <w:rFonts w:ascii="Arial" w:cs="Arial" w:eastAsia="Arial" w:hAnsi="Arial"/>
          <w:sz w:val="14"/>
          <w:szCs w:val="14"/>
          <w:color w:val="auto"/>
        </w:rPr>
        <w:t>93.6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-406400</wp:posOffset>
            </wp:positionH>
            <wp:positionV relativeFrom="paragraph">
              <wp:posOffset>18415</wp:posOffset>
            </wp:positionV>
            <wp:extent cx="1019175"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19175" cy="7620"/>
                    </a:xfrm>
                    <a:prstGeom prst="rect">
                      <a:avLst/>
                    </a:prstGeom>
                    <a:noFill/>
                  </pic:spPr>
                </pic:pic>
              </a:graphicData>
            </a:graphic>
          </wp:anchor>
        </w:drawing>
      </w:r>
    </w:p>
    <w:p>
      <w:pPr>
        <w:spacing w:after="0" w:line="52" w:lineRule="exact"/>
        <w:rPr>
          <w:sz w:val="20"/>
          <w:szCs w:val="20"/>
          <w:color w:val="auto"/>
        </w:rPr>
      </w:pPr>
    </w:p>
    <w:p>
      <w:pPr>
        <w:jc w:val="right"/>
        <w:ind w:right="240"/>
        <w:spacing w:after="0"/>
        <w:rPr>
          <w:sz w:val="20"/>
          <w:szCs w:val="20"/>
          <w:color w:val="auto"/>
        </w:rPr>
      </w:pPr>
      <w:r>
        <w:rPr>
          <w:rFonts w:ascii="Arial" w:cs="Arial" w:eastAsia="Arial" w:hAnsi="Arial"/>
          <w:sz w:val="14"/>
          <w:szCs w:val="14"/>
          <w:b w:val="1"/>
          <w:bCs w:val="1"/>
          <w:color w:val="auto"/>
        </w:rPr>
        <w:t>$47.2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-406400</wp:posOffset>
            </wp:positionH>
            <wp:positionV relativeFrom="paragraph">
              <wp:posOffset>29845</wp:posOffset>
            </wp:positionV>
            <wp:extent cx="1019175"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19175" cy="7620"/>
                    </a:xfrm>
                    <a:prstGeom prst="rect">
                      <a:avLst/>
                    </a:prstGeom>
                    <a:noFill/>
                  </pic:spPr>
                </pic:pic>
              </a:graphicData>
            </a:graphic>
          </wp:anchor>
        </w:drawing>
        <w:drawing>
          <wp:anchor simplePos="0" relativeHeight="251657728" behindDoc="1" locked="0" layoutInCell="0" allowOverlap="1">
            <wp:simplePos x="0" y="0"/>
            <wp:positionH relativeFrom="column">
              <wp:posOffset>-406400</wp:posOffset>
            </wp:positionH>
            <wp:positionV relativeFrom="paragraph">
              <wp:posOffset>45085</wp:posOffset>
            </wp:positionV>
            <wp:extent cx="1019175"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1917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-398780</wp:posOffset>
            </wp:positionH>
            <wp:positionV relativeFrom="paragraph">
              <wp:posOffset>29845</wp:posOffset>
            </wp:positionV>
            <wp:extent cx="1003935"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03935" cy="7620"/>
                    </a:xfrm>
                    <a:prstGeom prst="rect">
                      <a:avLst/>
                    </a:prstGeom>
                    <a:noFill/>
                  </pic:spPr>
                </pic:pic>
              </a:graphicData>
            </a:graphic>
          </wp:anchor>
        </w:drawing>
      </w:r>
    </w:p>
    <w:p>
      <w:pPr>
        <w:spacing w:after="0" w:line="8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($25.1)</w:t>
      </w:r>
    </w:p>
    <w:p>
      <w:pPr>
        <w:spacing w:after="0" w:line="318"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37.1</w:t>
      </w:r>
    </w:p>
    <w:p>
      <w:pPr>
        <w:spacing w:after="0" w:line="79"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45.9</w:t>
      </w:r>
    </w:p>
    <w:p>
      <w:pPr>
        <w:spacing w:after="0" w:line="79"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19.1</w:t>
      </w:r>
    </w:p>
    <w:p>
      <w:pPr>
        <w:spacing w:after="0" w:line="7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(9.3)</w:t>
      </w:r>
    </w:p>
    <w:p>
      <w:pPr>
        <w:spacing w:after="0" w:line="79"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21.6</w:t>
      </w:r>
    </w:p>
    <w:p>
      <w:pPr>
        <w:spacing w:after="0" w:line="7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(39.4)</w:t>
      </w:r>
    </w:p>
    <w:p>
      <w:pPr>
        <w:spacing w:after="0" w:line="79"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93.6</w:t>
      </w:r>
    </w:p>
    <w:p>
      <w:pPr>
        <w:spacing w:after="0" w:line="79"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8.6</w:t>
      </w:r>
    </w:p>
    <w:p>
      <w:pPr>
        <w:spacing w:after="0" w:line="79"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6.0</w:t>
      </w:r>
    </w:p>
    <w:p>
      <w:pPr>
        <w:spacing w:after="0" w:line="79"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31.8</w:t>
      </w:r>
    </w:p>
    <w:p>
      <w:pPr>
        <w:spacing w:after="0" w:line="79"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5.2</w:t>
      </w:r>
    </w:p>
    <w:p>
      <w:pPr>
        <w:spacing w:after="0" w:line="31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(48.9)</w:t>
      </w:r>
    </w:p>
    <w:p>
      <w:pPr>
        <w:spacing w:after="0" w:line="79"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7.2</w:t>
      </w:r>
    </w:p>
    <w:p>
      <w:pPr>
        <w:spacing w:after="0" w:line="7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(6.2)</w:t>
      </w:r>
    </w:p>
    <w:p>
      <w:pPr>
        <w:spacing w:after="0" w:line="7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(14.6)</w:t>
      </w:r>
    </w:p>
    <w:p>
      <w:pPr>
        <w:spacing w:after="0" w:line="79"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w:t>
      </w:r>
    </w:p>
    <w:p>
      <w:pPr>
        <w:spacing w:after="0" w:line="7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-398780</wp:posOffset>
            </wp:positionH>
            <wp:positionV relativeFrom="paragraph">
              <wp:posOffset>18415</wp:posOffset>
            </wp:positionV>
            <wp:extent cx="1003935"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003935" cy="7620"/>
                    </a:xfrm>
                    <a:prstGeom prst="rect">
                      <a:avLst/>
                    </a:prstGeom>
                    <a:noFill/>
                  </pic:spPr>
                </pic:pic>
              </a:graphicData>
            </a:graphic>
          </wp:anchor>
        </w:drawing>
      </w:r>
    </w:p>
    <w:p>
      <w:pPr>
        <w:spacing w:after="0" w:line="41" w:lineRule="exact"/>
        <w:rPr>
          <w:sz w:val="20"/>
          <w:szCs w:val="20"/>
          <w:color w:val="auto"/>
        </w:rPr>
      </w:pPr>
    </w:p>
    <w:p>
      <w:pPr>
        <w:jc w:val="right"/>
        <w:ind w:right="60"/>
        <w:spacing w:after="0"/>
        <w:rPr>
          <w:sz w:val="20"/>
          <w:szCs w:val="20"/>
          <w:color w:val="auto"/>
        </w:rPr>
      </w:pPr>
      <w:r>
        <w:rPr>
          <w:rFonts w:ascii="Arial" w:cs="Arial" w:eastAsia="Arial" w:hAnsi="Arial"/>
          <w:sz w:val="14"/>
          <w:szCs w:val="14"/>
          <w:b w:val="1"/>
          <w:bCs w:val="1"/>
          <w:color w:val="auto"/>
        </w:rPr>
        <w:t>91.3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-398780</wp:posOffset>
            </wp:positionH>
            <wp:positionV relativeFrom="paragraph">
              <wp:posOffset>29845</wp:posOffset>
            </wp:positionV>
            <wp:extent cx="1003935"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003935" cy="7620"/>
                    </a:xfrm>
                    <a:prstGeom prst="rect">
                      <a:avLst/>
                    </a:prstGeom>
                    <a:noFill/>
                  </pic:spPr>
                </pic:pic>
              </a:graphicData>
            </a:graphic>
          </wp:anchor>
        </w:drawing>
      </w:r>
    </w:p>
    <w:p>
      <w:pPr>
        <w:spacing w:after="0" w:line="32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(34.1)</w:t>
      </w:r>
    </w:p>
    <w:p>
      <w:pPr>
        <w:spacing w:after="0" w:line="7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(14.2)</w:t>
      </w:r>
    </w:p>
    <w:p>
      <w:pPr>
        <w:spacing w:after="0" w:line="79"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w:t>
      </w:r>
    </w:p>
    <w:p>
      <w:pPr>
        <w:spacing w:after="0" w:line="79"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5.9</w:t>
      </w:r>
    </w:p>
    <w:p>
      <w:pPr>
        <w:spacing w:after="0" w:line="79"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3.2</w:t>
      </w:r>
    </w:p>
    <w:p>
      <w:pPr>
        <w:spacing w:after="0" w:line="7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(6.3)</w:t>
      </w:r>
    </w:p>
    <w:p>
      <w:pPr>
        <w:spacing w:after="0" w:line="7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-398780</wp:posOffset>
            </wp:positionH>
            <wp:positionV relativeFrom="paragraph">
              <wp:posOffset>18415</wp:posOffset>
            </wp:positionV>
            <wp:extent cx="1003935"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03935" cy="7620"/>
                    </a:xfrm>
                    <a:prstGeom prst="rect">
                      <a:avLst/>
                    </a:prstGeom>
                    <a:noFill/>
                  </pic:spPr>
                </pic:pic>
              </a:graphicData>
            </a:graphic>
          </wp:anchor>
        </w:drawing>
      </w:r>
    </w:p>
    <w:p>
      <w:pPr>
        <w:spacing w:after="0" w:line="4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(52.9)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-398780</wp:posOffset>
            </wp:positionH>
            <wp:positionV relativeFrom="paragraph">
              <wp:posOffset>29845</wp:posOffset>
            </wp:positionV>
            <wp:extent cx="1003935"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03935" cy="7620"/>
                    </a:xfrm>
                    <a:prstGeom prst="rect">
                      <a:avLst/>
                    </a:prstGeom>
                    <a:noFill/>
                  </pic:spPr>
                </pic:pic>
              </a:graphicData>
            </a:graphic>
          </wp:anchor>
        </w:drawing>
      </w:r>
    </w:p>
    <w:p>
      <w:pPr>
        <w:spacing w:after="0" w:line="328"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12.4</w:t>
      </w:r>
    </w:p>
    <w:p>
      <w:pPr>
        <w:spacing w:after="0" w:line="79"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20.0</w:t>
      </w:r>
    </w:p>
    <w:p>
      <w:pPr>
        <w:spacing w:after="0" w:line="79"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w:t>
      </w:r>
    </w:p>
    <w:p>
      <w:pPr>
        <w:spacing w:after="0" w:line="79"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2.0</w:t>
      </w:r>
    </w:p>
    <w:p>
      <w:pPr>
        <w:spacing w:after="0" w:line="7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(22.8)</w:t>
      </w:r>
    </w:p>
    <w:p>
      <w:pPr>
        <w:spacing w:after="0" w:line="79"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w:t>
      </w:r>
    </w:p>
    <w:p>
      <w:pPr>
        <w:spacing w:after="0" w:line="79"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5.0</w:t>
      </w:r>
    </w:p>
    <w:p>
      <w:pPr>
        <w:spacing w:after="0" w:line="7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(4.1)</w:t>
      </w:r>
    </w:p>
    <w:p>
      <w:pPr>
        <w:spacing w:after="0" w:line="79"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w:t>
      </w:r>
    </w:p>
    <w:p>
      <w:pPr>
        <w:spacing w:after="0" w:line="7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-398780</wp:posOffset>
            </wp:positionH>
            <wp:positionV relativeFrom="paragraph">
              <wp:posOffset>18415</wp:posOffset>
            </wp:positionV>
            <wp:extent cx="1003935"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003935" cy="7620"/>
                    </a:xfrm>
                    <a:prstGeom prst="rect">
                      <a:avLst/>
                    </a:prstGeom>
                    <a:noFill/>
                  </pic:spPr>
                </pic:pic>
              </a:graphicData>
            </a:graphic>
          </wp:anchor>
        </w:drawing>
      </w:r>
    </w:p>
    <w:p>
      <w:pPr>
        <w:spacing w:after="0" w:line="41" w:lineRule="exact"/>
        <w:rPr>
          <w:sz w:val="20"/>
          <w:szCs w:val="20"/>
          <w:color w:val="auto"/>
        </w:rPr>
      </w:pPr>
    </w:p>
    <w:p>
      <w:pPr>
        <w:jc w:val="right"/>
        <w:ind w:right="60"/>
        <w:spacing w:after="0"/>
        <w:rPr>
          <w:sz w:val="20"/>
          <w:szCs w:val="20"/>
          <w:color w:val="auto"/>
        </w:rPr>
      </w:pPr>
      <w:r>
        <w:rPr>
          <w:rFonts w:ascii="Arial" w:cs="Arial" w:eastAsia="Arial" w:hAnsi="Arial"/>
          <w:sz w:val="14"/>
          <w:szCs w:val="14"/>
          <w:b w:val="1"/>
          <w:bCs w:val="1"/>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-398780</wp:posOffset>
            </wp:positionH>
            <wp:positionV relativeFrom="paragraph">
              <wp:posOffset>29845</wp:posOffset>
            </wp:positionV>
            <wp:extent cx="1003935"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003935" cy="7620"/>
                    </a:xfrm>
                    <a:prstGeom prst="rect">
                      <a:avLst/>
                    </a:prstGeom>
                    <a:noFill/>
                  </pic:spPr>
                </pic:pic>
              </a:graphicData>
            </a:graphic>
          </wp:anchor>
        </w:drawing>
      </w:r>
    </w:p>
    <w:p>
      <w:pPr>
        <w:spacing w:after="0" w:line="77"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-398780</wp:posOffset>
            </wp:positionH>
            <wp:positionV relativeFrom="paragraph">
              <wp:posOffset>18415</wp:posOffset>
            </wp:positionV>
            <wp:extent cx="1003935"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003935" cy="7620"/>
                    </a:xfrm>
                    <a:prstGeom prst="rect">
                      <a:avLst/>
                    </a:prstGeom>
                    <a:noFill/>
                  </pic:spPr>
                </pic:pic>
              </a:graphicData>
            </a:graphic>
          </wp:anchor>
        </w:drawing>
      </w:r>
    </w:p>
    <w:p>
      <w:pPr>
        <w:spacing w:after="0" w:line="41" w:lineRule="exact"/>
        <w:rPr>
          <w:sz w:val="20"/>
          <w:szCs w:val="20"/>
          <w:color w:val="auto"/>
        </w:rPr>
      </w:pPr>
    </w:p>
    <w:p>
      <w:pPr>
        <w:jc w:val="right"/>
        <w:ind w:right="60"/>
        <w:spacing w:after="0"/>
        <w:rPr>
          <w:sz w:val="20"/>
          <w:szCs w:val="20"/>
          <w:color w:val="auto"/>
        </w:rPr>
      </w:pPr>
      <w:r>
        <w:rPr>
          <w:rFonts w:ascii="Arial" w:cs="Arial" w:eastAsia="Arial" w:hAnsi="Arial"/>
          <w:sz w:val="14"/>
          <w:szCs w:val="14"/>
          <w:b w:val="1"/>
          <w:bCs w:val="1"/>
          <w:color w:val="auto"/>
        </w:rPr>
        <w:t>53.8</w:t>
      </w:r>
    </w:p>
    <w:p>
      <w:pPr>
        <w:spacing w:after="0" w:line="97"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39.8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-398780</wp:posOffset>
            </wp:positionH>
            <wp:positionV relativeFrom="paragraph">
              <wp:posOffset>18415</wp:posOffset>
            </wp:positionV>
            <wp:extent cx="1003935"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003935" cy="7620"/>
                    </a:xfrm>
                    <a:prstGeom prst="rect">
                      <a:avLst/>
                    </a:prstGeom>
                    <a:noFill/>
                  </pic:spPr>
                </pic:pic>
              </a:graphicData>
            </a:graphic>
          </wp:anchor>
        </w:drawing>
      </w:r>
    </w:p>
    <w:p>
      <w:pPr>
        <w:spacing w:after="0" w:line="52" w:lineRule="exact"/>
        <w:rPr>
          <w:sz w:val="20"/>
          <w:szCs w:val="20"/>
          <w:color w:val="auto"/>
        </w:rPr>
      </w:pPr>
    </w:p>
    <w:p>
      <w:pPr>
        <w:jc w:val="right"/>
        <w:ind w:right="60"/>
        <w:spacing w:after="0"/>
        <w:rPr>
          <w:sz w:val="20"/>
          <w:szCs w:val="20"/>
          <w:color w:val="auto"/>
        </w:rPr>
      </w:pPr>
      <w:r>
        <w:rPr>
          <w:rFonts w:ascii="Arial" w:cs="Arial" w:eastAsia="Arial" w:hAnsi="Arial"/>
          <w:sz w:val="14"/>
          <w:szCs w:val="14"/>
          <w:b w:val="1"/>
          <w:bCs w:val="1"/>
          <w:color w:val="auto"/>
        </w:rPr>
        <w:t>$93.6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-398780</wp:posOffset>
            </wp:positionH>
            <wp:positionV relativeFrom="paragraph">
              <wp:posOffset>29845</wp:posOffset>
            </wp:positionV>
            <wp:extent cx="1003935"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003935" cy="7620"/>
                    </a:xfrm>
                    <a:prstGeom prst="rect">
                      <a:avLst/>
                    </a:prstGeom>
                    <a:noFill/>
                  </pic:spPr>
                </pic:pic>
              </a:graphicData>
            </a:graphic>
          </wp:anchor>
        </w:drawing>
        <w:drawing>
          <wp:anchor simplePos="0" relativeHeight="251657728" behindDoc="1" locked="0" layoutInCell="0" allowOverlap="1">
            <wp:simplePos x="0" y="0"/>
            <wp:positionH relativeFrom="column">
              <wp:posOffset>-398780</wp:posOffset>
            </wp:positionH>
            <wp:positionV relativeFrom="paragraph">
              <wp:posOffset>45085</wp:posOffset>
            </wp:positionV>
            <wp:extent cx="1003935"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003935" cy="7620"/>
                    </a:xfrm>
                    <a:prstGeom prst="rect">
                      <a:avLst/>
                    </a:prstGeom>
                    <a:noFill/>
                  </pic:spPr>
                </pic:pic>
              </a:graphicData>
            </a:graphic>
          </wp:anchor>
        </w:drawing>
      </w:r>
    </w:p>
    <w:p>
      <w:pPr>
        <w:spacing w:after="0" w:line="656" w:lineRule="exact"/>
        <w:rPr>
          <w:sz w:val="20"/>
          <w:szCs w:val="20"/>
          <w:color w:val="auto"/>
        </w:rPr>
      </w:pPr>
    </w:p>
    <w:p>
      <w:pPr>
        <w:sectPr>
          <w:pgSz w:w="11900" w:h="16838" w:orient="portrait"/>
          <w:cols w:equalWidth="0" w:num="3">
            <w:col w:w="7920" w:space="720"/>
            <w:col w:w="1100" w:space="720"/>
            <w:col w:w="900"/>
          </w:cols>
          <w:pgMar w:left="260" w:top="701" w:right="279" w:bottom="1440" w:gutter="0" w:footer="0" w:header="0"/>
          <w:type w:val="continuous"/>
        </w:sectPr>
      </w:pP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22</w:t>
      </w:r>
    </w:p>
    <w:p>
      <w:pPr>
        <w:sectPr>
          <w:pgSz w:w="11900" w:h="16838" w:orient="portrait"/>
          <w:cols w:equalWidth="0" w:num="1">
            <w:col w:w="11360"/>
          </w:cols>
          <w:pgMar w:left="260" w:top="701" w:right="279" w:bottom="1440" w:gutter="0" w:footer="0" w:header="0"/>
          <w:type w:val="continuous"/>
        </w:sectPr>
      </w:pPr>
    </w:p>
    <w:bookmarkStart w:id="25" w:name="page26"/>
    <w:bookmarkEnd w:id="25"/>
    <w:p>
      <w:pPr>
        <w:ind w:right="80"/>
        <w:spacing w:after="0" w:line="252" w:lineRule="auto"/>
        <w:rPr>
          <w:sz w:val="20"/>
          <w:szCs w:val="20"/>
          <w:color w:val="auto"/>
        </w:rPr>
      </w:pPr>
      <w:r>
        <w:rPr>
          <w:rFonts w:ascii="Arial" w:cs="Arial" w:eastAsia="Arial" w:hAnsi="Arial"/>
          <w:sz w:val="18"/>
          <w:szCs w:val="18"/>
          <w:color w:val="auto"/>
        </w:rPr>
        <w:t>The following table presents the reconciliation of GAAP diluted weighted average shares outstanding, used in the computation of GAAP diluted net loss per share from continuing operations, to Adjusted diluted weighted average shares outstanding, used in the computation of Adjusted diluted earnings per share from continuing operations (in millions of shares):</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6400" w:type="dxa"/>
            <w:vAlign w:val="bottom"/>
          </w:tcPr>
          <w:p>
            <w:pPr>
              <w:spacing w:after="0"/>
              <w:rPr>
                <w:sz w:val="16"/>
                <w:szCs w:val="16"/>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For the Three</w:t>
            </w: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9"/>
              </w:rPr>
              <w:t>For the Three</w:t>
            </w:r>
          </w:p>
        </w:tc>
        <w:tc>
          <w:tcPr>
            <w:tcW w:w="1600" w:type="dxa"/>
            <w:vAlign w:val="bottom"/>
          </w:tcPr>
          <w:p>
            <w:pPr>
              <w:spacing w:after="0"/>
              <w:rPr>
                <w:sz w:val="16"/>
                <w:szCs w:val="16"/>
                <w:color w:val="auto"/>
              </w:rPr>
            </w:pPr>
          </w:p>
        </w:tc>
      </w:tr>
      <w:tr>
        <w:trPr>
          <w:trHeight w:val="180"/>
        </w:trPr>
        <w:tc>
          <w:tcPr>
            <w:tcW w:w="6400" w:type="dxa"/>
            <w:vAlign w:val="bottom"/>
          </w:tcPr>
          <w:p>
            <w:pPr>
              <w:spacing w:after="0"/>
              <w:rPr>
                <w:sz w:val="15"/>
                <w:szCs w:val="15"/>
                <w:color w:val="auto"/>
              </w:rPr>
            </w:pPr>
          </w:p>
        </w:tc>
        <w:tc>
          <w:tcPr>
            <w:tcW w:w="1720" w:type="dxa"/>
            <w:vAlign w:val="bottom"/>
            <w:gridSpan w:val="2"/>
          </w:tcPr>
          <w:p>
            <w:pPr>
              <w:jc w:val="center"/>
              <w:ind w:right="100"/>
              <w:spacing w:after="0" w:line="180" w:lineRule="exact"/>
              <w:rPr>
                <w:sz w:val="20"/>
                <w:szCs w:val="20"/>
                <w:color w:val="auto"/>
              </w:rPr>
            </w:pPr>
            <w:r>
              <w:rPr>
                <w:rFonts w:ascii="Arial" w:cs="Arial" w:eastAsia="Arial" w:hAnsi="Arial"/>
                <w:sz w:val="16"/>
                <w:szCs w:val="16"/>
                <w:b w:val="1"/>
                <w:bCs w:val="1"/>
                <w:color w:val="auto"/>
                <w:w w:val="99"/>
              </w:rPr>
              <w:t>Months Ended</w:t>
            </w:r>
          </w:p>
        </w:tc>
        <w:tc>
          <w:tcPr>
            <w:tcW w:w="1700" w:type="dxa"/>
            <w:vAlign w:val="bottom"/>
            <w:gridSpan w:val="2"/>
          </w:tcPr>
          <w:p>
            <w:pPr>
              <w:jc w:val="center"/>
              <w:ind w:right="120"/>
              <w:spacing w:after="0" w:line="180" w:lineRule="exact"/>
              <w:rPr>
                <w:sz w:val="20"/>
                <w:szCs w:val="20"/>
                <w:color w:val="auto"/>
              </w:rPr>
            </w:pPr>
            <w:r>
              <w:rPr>
                <w:rFonts w:ascii="Arial" w:cs="Arial" w:eastAsia="Arial" w:hAnsi="Arial"/>
                <w:sz w:val="16"/>
                <w:szCs w:val="16"/>
                <w:b w:val="1"/>
                <w:bCs w:val="1"/>
                <w:color w:val="auto"/>
                <w:w w:val="99"/>
              </w:rPr>
              <w:t>Months Ended</w:t>
            </w:r>
          </w:p>
        </w:tc>
        <w:tc>
          <w:tcPr>
            <w:tcW w:w="1600" w:type="dxa"/>
            <w:vAlign w:val="bottom"/>
          </w:tcPr>
          <w:p>
            <w:pPr>
              <w:jc w:val="right"/>
              <w:spacing w:after="0" w:line="180" w:lineRule="exact"/>
              <w:rPr>
                <w:sz w:val="20"/>
                <w:szCs w:val="20"/>
                <w:color w:val="auto"/>
              </w:rPr>
            </w:pPr>
            <w:r>
              <w:rPr>
                <w:rFonts w:ascii="Arial" w:cs="Arial" w:eastAsia="Arial" w:hAnsi="Arial"/>
                <w:sz w:val="16"/>
                <w:szCs w:val="16"/>
                <w:b w:val="1"/>
                <w:bCs w:val="1"/>
                <w:color w:val="auto"/>
              </w:rPr>
              <w:t>For the Year Ended</w:t>
            </w:r>
          </w:p>
        </w:tc>
      </w:tr>
      <w:tr>
        <w:trPr>
          <w:trHeight w:val="218"/>
        </w:trPr>
        <w:tc>
          <w:tcPr>
            <w:tcW w:w="6400" w:type="dxa"/>
            <w:vAlign w:val="bottom"/>
          </w:tcPr>
          <w:p>
            <w:pPr>
              <w:spacing w:after="0"/>
              <w:rPr>
                <w:sz w:val="18"/>
                <w:szCs w:val="18"/>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8"/>
              </w:rPr>
              <w:t>December 31, 2018</w:t>
            </w: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December 31, 2017</w:t>
            </w:r>
          </w:p>
        </w:tc>
        <w:tc>
          <w:tcPr>
            <w:tcW w:w="1600" w:type="dxa"/>
            <w:vAlign w:val="bottom"/>
          </w:tcPr>
          <w:p>
            <w:pPr>
              <w:jc w:val="right"/>
              <w:spacing w:after="0"/>
              <w:rPr>
                <w:sz w:val="20"/>
                <w:szCs w:val="20"/>
                <w:color w:val="auto"/>
              </w:rPr>
            </w:pPr>
            <w:r>
              <w:rPr>
                <w:rFonts w:ascii="Arial" w:cs="Arial" w:eastAsia="Arial" w:hAnsi="Arial"/>
                <w:sz w:val="16"/>
                <w:szCs w:val="16"/>
                <w:b w:val="1"/>
                <w:bCs w:val="1"/>
                <w:color w:val="auto"/>
              </w:rPr>
              <w:t>December 31, 2018</w:t>
            </w:r>
          </w:p>
        </w:tc>
      </w:tr>
      <w:tr>
        <w:trPr>
          <w:trHeight w:val="214"/>
        </w:trPr>
        <w:tc>
          <w:tcPr>
            <w:tcW w:w="6400" w:type="dxa"/>
            <w:vAlign w:val="bottom"/>
          </w:tcPr>
          <w:p>
            <w:pPr>
              <w:spacing w:after="0"/>
              <w:rPr>
                <w:sz w:val="20"/>
                <w:szCs w:val="20"/>
                <w:color w:val="auto"/>
              </w:rPr>
            </w:pPr>
            <w:r>
              <w:rPr>
                <w:rFonts w:ascii="Arial" w:cs="Arial" w:eastAsia="Arial" w:hAnsi="Arial"/>
                <w:sz w:val="16"/>
                <w:szCs w:val="16"/>
                <w:color w:val="auto"/>
              </w:rPr>
              <w:t>GAAP diluted weighted average shares outstanding</w:t>
            </w:r>
          </w:p>
        </w:tc>
        <w:tc>
          <w:tcPr>
            <w:tcW w:w="16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48.5</w:t>
            </w:r>
          </w:p>
        </w:tc>
        <w:tc>
          <w:tcPr>
            <w:tcW w:w="100" w:type="dxa"/>
            <w:vAlign w:val="bottom"/>
          </w:tcPr>
          <w:p>
            <w:pPr>
              <w:spacing w:after="0"/>
              <w:rPr>
                <w:sz w:val="18"/>
                <w:szCs w:val="18"/>
                <w:color w:val="auto"/>
              </w:rPr>
            </w:pPr>
          </w:p>
        </w:tc>
        <w:tc>
          <w:tcPr>
            <w:tcW w:w="16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48.2</w:t>
            </w:r>
          </w:p>
        </w:tc>
        <w:tc>
          <w:tcPr>
            <w:tcW w:w="100" w:type="dxa"/>
            <w:vAlign w:val="bottom"/>
          </w:tcPr>
          <w:p>
            <w:pPr>
              <w:spacing w:after="0"/>
              <w:rPr>
                <w:sz w:val="18"/>
                <w:szCs w:val="18"/>
                <w:color w:val="auto"/>
              </w:rPr>
            </w:pPr>
          </w:p>
        </w:tc>
        <w:tc>
          <w:tcPr>
            <w:tcW w:w="16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48.5</w:t>
            </w:r>
          </w:p>
        </w:tc>
      </w:tr>
      <w:tr>
        <w:trPr>
          <w:trHeight w:val="245"/>
        </w:trPr>
        <w:tc>
          <w:tcPr>
            <w:tcW w:w="6400" w:type="dxa"/>
            <w:vAlign w:val="bottom"/>
          </w:tcPr>
          <w:p>
            <w:pPr>
              <w:spacing w:after="0"/>
              <w:rPr>
                <w:sz w:val="20"/>
                <w:szCs w:val="20"/>
                <w:color w:val="auto"/>
              </w:rPr>
            </w:pPr>
            <w:r>
              <w:rPr>
                <w:rFonts w:ascii="Arial" w:cs="Arial" w:eastAsia="Arial" w:hAnsi="Arial"/>
                <w:sz w:val="16"/>
                <w:szCs w:val="16"/>
                <w:color w:val="auto"/>
              </w:rPr>
              <w:t>Add effects of stock-based compensation instruments</w:t>
            </w:r>
          </w:p>
        </w:tc>
        <w:tc>
          <w:tcPr>
            <w:tcW w:w="16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21"/>
                <w:szCs w:val="21"/>
                <w:color w:val="auto"/>
              </w:rPr>
            </w:pPr>
          </w:p>
        </w:tc>
        <w:tc>
          <w:tcPr>
            <w:tcW w:w="16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21"/>
                <w:szCs w:val="21"/>
                <w:color w:val="auto"/>
              </w:rPr>
            </w:pPr>
          </w:p>
        </w:tc>
        <w:tc>
          <w:tcPr>
            <w:tcW w:w="16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0.9</w:t>
            </w:r>
          </w:p>
        </w:tc>
      </w:tr>
      <w:tr>
        <w:trPr>
          <w:trHeight w:val="225"/>
        </w:trPr>
        <w:tc>
          <w:tcPr>
            <w:tcW w:w="6400" w:type="dxa"/>
            <w:vAlign w:val="bottom"/>
          </w:tcPr>
          <w:p>
            <w:pPr>
              <w:spacing w:after="0"/>
              <w:rPr>
                <w:sz w:val="20"/>
                <w:szCs w:val="20"/>
                <w:color w:val="auto"/>
              </w:rPr>
            </w:pPr>
            <w:r>
              <w:rPr>
                <w:rFonts w:ascii="Arial" w:cs="Arial" w:eastAsia="Arial" w:hAnsi="Arial"/>
                <w:sz w:val="16"/>
                <w:szCs w:val="16"/>
                <w:color w:val="auto"/>
              </w:rPr>
              <w:t xml:space="preserve">Adjusted diluted weighted average shares outstanding </w:t>
            </w:r>
            <w:r>
              <w:rPr>
                <w:rFonts w:ascii="Arial" w:cs="Arial" w:eastAsia="Arial" w:hAnsi="Arial"/>
                <w:sz w:val="19"/>
                <w:szCs w:val="19"/>
                <w:color w:val="auto"/>
                <w:vertAlign w:val="superscript"/>
              </w:rPr>
              <w:t>(1)</w:t>
            </w:r>
          </w:p>
        </w:tc>
        <w:tc>
          <w:tcPr>
            <w:tcW w:w="16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49.5</w:t>
            </w:r>
          </w:p>
        </w:tc>
        <w:tc>
          <w:tcPr>
            <w:tcW w:w="100" w:type="dxa"/>
            <w:vAlign w:val="bottom"/>
          </w:tcPr>
          <w:p>
            <w:pPr>
              <w:spacing w:after="0"/>
              <w:rPr>
                <w:sz w:val="19"/>
                <w:szCs w:val="19"/>
                <w:color w:val="auto"/>
              </w:rPr>
            </w:pPr>
          </w:p>
        </w:tc>
        <w:tc>
          <w:tcPr>
            <w:tcW w:w="16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49.0</w:t>
            </w:r>
          </w:p>
        </w:tc>
        <w:tc>
          <w:tcPr>
            <w:tcW w:w="100" w:type="dxa"/>
            <w:vAlign w:val="bottom"/>
          </w:tcPr>
          <w:p>
            <w:pPr>
              <w:spacing w:after="0"/>
              <w:rPr>
                <w:sz w:val="19"/>
                <w:szCs w:val="19"/>
                <w:color w:val="auto"/>
              </w:rPr>
            </w:pPr>
          </w:p>
        </w:tc>
        <w:tc>
          <w:tcPr>
            <w:tcW w:w="16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49.4</w:t>
            </w:r>
          </w:p>
        </w:tc>
      </w:tr>
      <w:tr>
        <w:trPr>
          <w:trHeight w:val="20"/>
        </w:trPr>
        <w:tc>
          <w:tcPr>
            <w:tcW w:w="64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316" w:lineRule="exact"/>
        <w:rPr>
          <w:sz w:val="20"/>
          <w:szCs w:val="20"/>
          <w:color w:val="auto"/>
        </w:rPr>
      </w:pPr>
    </w:p>
    <w:p>
      <w:pPr>
        <w:ind w:left="200" w:right="800" w:hanging="49"/>
        <w:spacing w:after="0" w:line="314" w:lineRule="auto"/>
        <w:tabs>
          <w:tab w:leader="none" w:pos="482" w:val="left"/>
        </w:tabs>
        <w:numPr>
          <w:ilvl w:val="0"/>
          <w:numId w:val="18"/>
        </w:numPr>
        <w:rPr>
          <w:rFonts w:ascii="Arial" w:cs="Arial" w:eastAsia="Arial" w:hAnsi="Arial"/>
          <w:sz w:val="13"/>
          <w:szCs w:val="13"/>
          <w:color w:val="auto"/>
        </w:rPr>
      </w:pPr>
      <w:r>
        <w:rPr>
          <w:rFonts w:ascii="Arial" w:cs="Arial" w:eastAsia="Arial" w:hAnsi="Arial"/>
          <w:sz w:val="13"/>
          <w:szCs w:val="13"/>
          <w:color w:val="auto"/>
        </w:rPr>
        <w:t>Adjusted diluted weighted average shares outstanding is a Non-GAAP measure and includes the effects of stock-based compensation instruments, as reconciled in the above table. * Numbers may not add up precisely due to rounding.</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23</w:t>
      </w:r>
    </w:p>
    <w:sectPr>
      <w:pgSz w:w="11900" w:h="16838" w:orient="portrait"/>
      <w:cols w:equalWidth="0" w:num="1">
        <w:col w:w="11440"/>
      </w:cols>
      <w:pgMar w:left="240" w:top="591"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1)"/>
      <w:numFmt w:val="decimal"/>
      <w:start w:val="1"/>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1)"/>
      <w:numFmt w:val="upperLetter"/>
      <w:start w:val="1"/>
    </w:lvl>
  </w:abstractNum>
  <w:abstractNum w:abstractNumId="12">
    <w:nsid w:val="41A7C4C9"/>
    <w:multiLevelType w:val="hybridMultilevel"/>
    <w:lvl w:ilvl="0">
      <w:lvlJc w:val="left"/>
      <w:lvlText w:val="(%1)"/>
      <w:numFmt w:val="upperLetter"/>
      <w:start w:val="1"/>
    </w:lvl>
  </w:abstractNum>
  <w:abstractNum w:abstractNumId="13">
    <w:nsid w:val="6B68079A"/>
    <w:multiLevelType w:val="hybridMultilevel"/>
    <w:lvl w:ilvl="0">
      <w:lvlJc w:val="left"/>
      <w:lvlText w:val="(%1)"/>
      <w:numFmt w:val="upperLetter"/>
      <w:start w:val="1"/>
    </w:lvl>
  </w:abstractNum>
  <w:abstractNum w:abstractNumId="14">
    <w:nsid w:val="4E6AFB66"/>
    <w:multiLevelType w:val="hybridMultilevel"/>
    <w:lvl w:ilvl="0">
      <w:lvlJc w:val="left"/>
      <w:lvlText w:val="(%1)"/>
      <w:numFmt w:val="upperLetter"/>
      <w:start w:val="1"/>
    </w:lvl>
  </w:abstractNum>
  <w:abstractNum w:abstractNumId="15">
    <w:nsid w:val="25E45D32"/>
    <w:multiLevelType w:val="hybridMultilevel"/>
    <w:lvl w:ilvl="0">
      <w:lvlJc w:val="left"/>
      <w:lvlText w:val="*"/>
      <w:numFmt w:val="bullet"/>
      <w:start w:val="1"/>
    </w:lvl>
  </w:abstractNum>
  <w:abstractNum w:abstractNumId="16">
    <w:nsid w:val="519B500D"/>
    <w:multiLevelType w:val="hybridMultilevel"/>
    <w:lvl w:ilvl="0">
      <w:lvlJc w:val="left"/>
      <w:lvlText w:val="*"/>
      <w:numFmt w:val="bullet"/>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2019-12-28T15:28:20Z</dcterms:created>
  <dcterms:modified xsi:type="dcterms:W3CDTF">2019-12-28T15:28:20Z</dcterms:modified>
</cp:coreProperties>
</file>