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80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80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Andrle Edward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General Manager, NM</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6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jc w:val="right"/>
              <w:ind w:right="13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8"/>
                <w:szCs w:val="18"/>
                <w:color w:val="0000FF"/>
                <w:w w:val="88"/>
              </w:rPr>
              <w:t>03/15/2019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9"/>
              <w:spacing w:after="0"/>
              <w:rPr>
                <w:sz w:val="20"/>
                <w:szCs w:val="20"/>
                <w:color w:val="auto"/>
              </w:rPr>
            </w:pPr>
            <w:r>
              <w:rPr>
                <w:rFonts w:ascii="Arial" w:cs="Arial" w:eastAsia="Arial" w:hAnsi="Arial"/>
                <w:sz w:val="18"/>
                <w:szCs w:val="18"/>
                <w:color w:val="0000FF"/>
                <w:w w:val="86"/>
              </w:rPr>
              <w:t>531</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ind w:left="151"/>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8"/>
                <w:szCs w:val="18"/>
                <w:color w:val="0000FF"/>
                <w:w w:val="83"/>
              </w:rPr>
              <w:t>33,367</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8"/>
                <w:szCs w:val="18"/>
                <w:color w:val="0000FF"/>
                <w:w w:val="88"/>
              </w:rPr>
              <w:t>03/15/2019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9"/>
              <w:spacing w:after="0"/>
              <w:rPr>
                <w:sz w:val="20"/>
                <w:szCs w:val="20"/>
                <w:color w:val="auto"/>
              </w:rPr>
            </w:pPr>
            <w:r>
              <w:rPr>
                <w:rFonts w:ascii="Arial" w:cs="Arial" w:eastAsia="Arial" w:hAnsi="Arial"/>
                <w:sz w:val="18"/>
                <w:szCs w:val="18"/>
                <w:color w:val="0000FF"/>
                <w:w w:val="83"/>
              </w:rPr>
              <w:t>129</w:t>
            </w:r>
            <w:r>
              <w:rPr>
                <w:rFonts w:ascii="Arial" w:cs="Arial" w:eastAsia="Arial" w:hAnsi="Arial"/>
                <w:sz w:val="22"/>
                <w:szCs w:val="22"/>
                <w:color w:val="008000"/>
                <w:w w:val="83"/>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95.84</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8"/>
                <w:szCs w:val="18"/>
                <w:color w:val="0000FF"/>
                <w:w w:val="83"/>
              </w:rPr>
              <w:t>33,238</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8"/>
                <w:szCs w:val="18"/>
                <w:color w:val="0000FF"/>
                <w:w w:val="88"/>
              </w:rPr>
              <w:t>03/15/2019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9"/>
              <w:spacing w:after="0"/>
              <w:rPr>
                <w:sz w:val="20"/>
                <w:szCs w:val="20"/>
                <w:color w:val="auto"/>
              </w:rPr>
            </w:pPr>
            <w:r>
              <w:rPr>
                <w:rFonts w:ascii="Arial" w:cs="Arial" w:eastAsia="Arial" w:hAnsi="Arial"/>
                <w:sz w:val="18"/>
                <w:szCs w:val="18"/>
                <w:color w:val="0000FF"/>
                <w:w w:val="88"/>
              </w:rPr>
              <w:t>1,131</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ind w:left="151"/>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8"/>
                <w:szCs w:val="18"/>
                <w:color w:val="0000FF"/>
                <w:w w:val="83"/>
              </w:rPr>
              <w:t>34,369</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8"/>
                <w:szCs w:val="18"/>
                <w:color w:val="0000FF"/>
                <w:w w:val="88"/>
              </w:rPr>
              <w:t>03/15/2019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9"/>
              <w:spacing w:after="0"/>
              <w:rPr>
                <w:sz w:val="20"/>
                <w:szCs w:val="20"/>
                <w:color w:val="auto"/>
              </w:rPr>
            </w:pPr>
            <w:r>
              <w:rPr>
                <w:rFonts w:ascii="Arial" w:cs="Arial" w:eastAsia="Arial" w:hAnsi="Arial"/>
                <w:sz w:val="18"/>
                <w:szCs w:val="18"/>
                <w:color w:val="0000FF"/>
                <w:w w:val="83"/>
              </w:rPr>
              <w:t>275</w:t>
            </w:r>
            <w:r>
              <w:rPr>
                <w:rFonts w:ascii="Arial" w:cs="Arial" w:eastAsia="Arial" w:hAnsi="Arial"/>
                <w:sz w:val="22"/>
                <w:szCs w:val="22"/>
                <w:color w:val="008000"/>
                <w:w w:val="83"/>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95.84</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8"/>
                <w:szCs w:val="18"/>
                <w:color w:val="0000FF"/>
                <w:w w:val="83"/>
              </w:rPr>
              <w:t>34,094</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Security</w:t>
            </w:r>
          </w:p>
        </w:tc>
        <w:tc>
          <w:tcPr>
            <w:tcW w:w="1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(Instr. 5)</w:t>
            </w:r>
          </w:p>
        </w:tc>
        <w:tc>
          <w:tcPr>
            <w:tcW w:w="18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jc w:val="right"/>
              <w:ind w:right="91"/>
              <w:spacing w:after="0"/>
              <w:rPr>
                <w:sz w:val="20"/>
                <w:szCs w:val="20"/>
                <w:color w:val="auto"/>
              </w:rPr>
            </w:pPr>
            <w:r>
              <w:rPr>
                <w:rFonts w:ascii="Arial" w:cs="Arial" w:eastAsia="Arial" w:hAnsi="Arial"/>
                <w:sz w:val="18"/>
                <w:szCs w:val="18"/>
                <w:color w:val="0000FF"/>
              </w:rPr>
              <w:t>531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03/15/2019</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2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531</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5"/>
                <w:szCs w:val="5"/>
                <w:color w:val="auto"/>
              </w:rPr>
            </w:pPr>
          </w:p>
        </w:tc>
        <w:tc>
          <w:tcPr>
            <w:tcW w:w="70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88"/>
              </w:rPr>
              <w:t>23,569</w:t>
            </w:r>
          </w:p>
        </w:tc>
        <w:tc>
          <w:tcPr>
            <w:tcW w:w="260" w:type="dxa"/>
            <w:vAlign w:val="bottom"/>
          </w:tcPr>
          <w:p>
            <w:pPr>
              <w:spacing w:after="0"/>
              <w:rPr>
                <w:sz w:val="5"/>
                <w:szCs w:val="5"/>
                <w:color w:val="auto"/>
              </w:rPr>
            </w:pPr>
          </w:p>
        </w:tc>
        <w:tc>
          <w:tcPr>
            <w:tcW w:w="72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jc w:val="right"/>
              <w:ind w:right="131"/>
              <w:spacing w:after="0"/>
              <w:rPr>
                <w:sz w:val="20"/>
                <w:szCs w:val="20"/>
                <w:color w:val="auto"/>
              </w:rPr>
            </w:pPr>
            <w:r>
              <w:rPr>
                <w:rFonts w:ascii="Arial" w:cs="Arial" w:eastAsia="Arial" w:hAnsi="Arial"/>
                <w:sz w:val="14"/>
                <w:szCs w:val="14"/>
                <w:color w:val="0000FF"/>
                <w:w w:val="94"/>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jc w:val="right"/>
              <w:ind w:right="31"/>
              <w:spacing w:after="0"/>
              <w:rPr>
                <w:sz w:val="20"/>
                <w:szCs w:val="20"/>
                <w:color w:val="auto"/>
              </w:rPr>
            </w:pPr>
            <w:r>
              <w:rPr>
                <w:rFonts w:ascii="Arial" w:cs="Arial" w:eastAsia="Arial" w:hAnsi="Arial"/>
                <w:sz w:val="18"/>
                <w:szCs w:val="18"/>
                <w:color w:val="0000FF"/>
                <w:w w:val="93"/>
              </w:rPr>
              <w:t>1,131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03/15/2019</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2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rPr>
              <w:t>1,131</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5"/>
                <w:szCs w:val="5"/>
                <w:color w:val="auto"/>
              </w:rPr>
            </w:pPr>
          </w:p>
        </w:tc>
        <w:tc>
          <w:tcPr>
            <w:tcW w:w="70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88"/>
              </w:rPr>
              <w:t>22,438</w:t>
            </w:r>
          </w:p>
        </w:tc>
        <w:tc>
          <w:tcPr>
            <w:tcW w:w="260" w:type="dxa"/>
            <w:vAlign w:val="bottom"/>
          </w:tcPr>
          <w:p>
            <w:pPr>
              <w:spacing w:after="0"/>
              <w:rPr>
                <w:sz w:val="5"/>
                <w:szCs w:val="5"/>
                <w:color w:val="auto"/>
              </w:rPr>
            </w:pPr>
          </w:p>
        </w:tc>
        <w:tc>
          <w:tcPr>
            <w:tcW w:w="72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jc w:val="right"/>
              <w:ind w:right="131"/>
              <w:spacing w:after="0"/>
              <w:rPr>
                <w:sz w:val="20"/>
                <w:szCs w:val="20"/>
                <w:color w:val="auto"/>
              </w:rPr>
            </w:pPr>
            <w:r>
              <w:rPr>
                <w:rFonts w:ascii="Arial" w:cs="Arial" w:eastAsia="Arial" w:hAnsi="Arial"/>
                <w:sz w:val="14"/>
                <w:szCs w:val="14"/>
                <w:color w:val="0000FF"/>
                <w:w w:val="94"/>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March 15, 2018, subject to continued service during the vesting period.</w:t>
      </w:r>
    </w:p>
    <w:p>
      <w:pPr>
        <w:spacing w:after="0" w:line="64" w:lineRule="exact"/>
        <w:rPr>
          <w:rFonts w:ascii="Arial" w:cs="Arial" w:eastAsia="Arial" w:hAnsi="Arial"/>
          <w:sz w:val="12"/>
          <w:szCs w:val="12"/>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 and all forfeiture restrictions thereon shall lapse on March 15, 2019. The RSUs are subject to forfeiture prior to vesting in accordance with the terms of the Plan and the award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0000FF"/>
                <w:w w:val="89"/>
              </w:rPr>
              <w:t>/s/ Catherine Moroz, POA</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03/19/2019</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2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2019-12-24T08:56:50Z</dcterms:created>
  <dcterms:modified xsi:type="dcterms:W3CDTF">2019-12-24T08:56:50Z</dcterms:modified>
</cp:coreProperties>
</file>