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915"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Shvartsburg Alex</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10/29/2020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LivaNova PLC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LIVN</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915" w:orient="portrait"/>
          <w:cols w:equalWidth="0" w:num="2">
            <w:col w:w="4720" w:space="280"/>
            <w:col w:w="5940"/>
          </w:cols>
          <w:pgMar w:left="480" w:top="236" w:right="479" w:bottom="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20 EASTBOURNE TERRACE</w:t>
            </w:r>
          </w:p>
        </w:tc>
      </w:tr>
      <w:tr>
        <w:trPr>
          <w:trHeight w:val="237"/>
        </w:trPr>
        <w:tc>
          <w:tcPr>
            <w:tcW w:w="9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960" w:type="dxa"/>
            <w:vAlign w:val="bottom"/>
          </w:tcPr>
          <w:p>
            <w:pPr>
              <w:ind w:left="40"/>
              <w:spacing w:after="0"/>
              <w:rPr>
                <w:sz w:val="20"/>
                <w:szCs w:val="20"/>
                <w:color w:val="auto"/>
              </w:rPr>
            </w:pPr>
            <w:r>
              <w:rPr>
                <w:rFonts w:ascii="Arial" w:cs="Arial" w:eastAsia="Arial" w:hAnsi="Arial"/>
                <w:sz w:val="20"/>
                <w:szCs w:val="20"/>
                <w:color w:val="0000FF"/>
              </w:rPr>
              <w:t>LONDON</w:t>
            </w:r>
          </w:p>
        </w:tc>
        <w:tc>
          <w:tcPr>
            <w:tcW w:w="840" w:type="dxa"/>
            <w:vAlign w:val="bottom"/>
          </w:tcPr>
          <w:p>
            <w:pPr>
              <w:spacing w:after="0"/>
              <w:rPr>
                <w:sz w:val="23"/>
                <w:szCs w:val="23"/>
                <w:color w:val="auto"/>
              </w:rPr>
            </w:pPr>
          </w:p>
        </w:tc>
        <w:tc>
          <w:tcPr>
            <w:tcW w:w="1300" w:type="dxa"/>
            <w:vAlign w:val="bottom"/>
          </w:tcPr>
          <w:p>
            <w:pPr>
              <w:ind w:left="300"/>
              <w:spacing w:after="0"/>
              <w:rPr>
                <w:sz w:val="20"/>
                <w:szCs w:val="20"/>
                <w:color w:val="auto"/>
              </w:rPr>
            </w:pPr>
            <w:r>
              <w:rPr>
                <w:rFonts w:ascii="Arial" w:cs="Arial" w:eastAsia="Arial" w:hAnsi="Arial"/>
                <w:sz w:val="20"/>
                <w:szCs w:val="20"/>
                <w:color w:val="0000FF"/>
              </w:rPr>
              <w:t>W26LG</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40" w:type="dxa"/>
            <w:vAlign w:val="bottom"/>
          </w:tcPr>
          <w:p>
            <w:pPr>
              <w:ind w:left="1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1063"/>
        <w:spacing w:after="0"/>
        <w:rPr>
          <w:sz w:val="20"/>
          <w:szCs w:val="20"/>
          <w:color w:val="auto"/>
        </w:rPr>
      </w:pPr>
      <w:r>
        <w:rPr>
          <w:rFonts w:ascii="Arial" w:cs="Arial" w:eastAsia="Arial" w:hAnsi="Arial"/>
          <w:sz w:val="20"/>
          <w:szCs w:val="20"/>
          <w:color w:val="0000FF"/>
        </w:rPr>
        <w:t>Interim CFO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488950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915" w:orient="portrait"/>
          <w:cols w:equalWidth="0" w:num="3">
            <w:col w:w="4277" w:space="720"/>
            <w:col w:w="3003" w:space="269"/>
            <w:col w:w="2671"/>
          </w:cols>
          <w:pgMar w:left="480" w:top="236"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Ordinary Shares</w:t>
            </w: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20" w:type="dxa"/>
            <w:vAlign w:val="bottom"/>
          </w:tcPr>
          <w:p>
            <w:pPr>
              <w:ind w:left="640"/>
              <w:spacing w:after="0"/>
              <w:rPr>
                <w:sz w:val="20"/>
                <w:szCs w:val="20"/>
                <w:color w:val="auto"/>
              </w:rPr>
            </w:pPr>
            <w:r>
              <w:rPr>
                <w:rFonts w:ascii="Arial" w:cs="Arial" w:eastAsia="Arial" w:hAnsi="Arial"/>
                <w:sz w:val="20"/>
                <w:szCs w:val="20"/>
                <w:color w:val="0000FF"/>
              </w:rPr>
              <w:t>1,537</w:t>
            </w:r>
          </w:p>
        </w:tc>
        <w:tc>
          <w:tcPr>
            <w:tcW w:w="880" w:type="dxa"/>
            <w:vAlign w:val="bottom"/>
            <w:gridSpan w:val="2"/>
          </w:tcPr>
          <w:p>
            <w:pPr>
              <w:ind w:left="700"/>
              <w:spacing w:after="0"/>
              <w:rPr>
                <w:sz w:val="20"/>
                <w:szCs w:val="20"/>
                <w:color w:val="auto"/>
              </w:rPr>
            </w:pPr>
            <w:r>
              <w:rPr>
                <w:rFonts w:ascii="Arial" w:cs="Arial" w:eastAsia="Arial" w:hAnsi="Arial"/>
                <w:sz w:val="20"/>
                <w:szCs w:val="20"/>
                <w:color w:val="0000FF"/>
              </w:rPr>
              <w:t>D</w:t>
            </w: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42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4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Restricted Stock Units</w:t>
            </w:r>
            <w:r>
              <w:rPr>
                <w:rFonts w:ascii="Arial" w:cs="Arial" w:eastAsia="Arial" w:hAnsi="Arial"/>
                <w:sz w:val="25"/>
                <w:szCs w:val="25"/>
                <w:color w:val="008000"/>
                <w:vertAlign w:val="superscript"/>
              </w:rPr>
              <w:t>(1)</w:t>
            </w:r>
          </w:p>
        </w:tc>
        <w:tc>
          <w:tcPr>
            <w:tcW w:w="1320" w:type="dxa"/>
            <w:vAlign w:val="bottom"/>
            <w:tcBorders>
              <w:bottom w:val="single" w:sz="8" w:color="2C2C2C"/>
            </w:tcBorders>
            <w:gridSpan w:val="2"/>
          </w:tcPr>
          <w:p>
            <w:pPr>
              <w:jc w:val="center"/>
              <w:ind w:left="274"/>
              <w:spacing w:after="0"/>
              <w:rPr>
                <w:sz w:val="20"/>
                <w:szCs w:val="20"/>
                <w:color w:val="auto"/>
              </w:rPr>
            </w:pPr>
            <w:r>
              <w:rPr>
                <w:rFonts w:ascii="Arial" w:cs="Arial" w:eastAsia="Arial" w:hAnsi="Arial"/>
                <w:sz w:val="13"/>
                <w:szCs w:val="13"/>
                <w:color w:val="008000"/>
                <w:w w:val="87"/>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90"/>
              </w:rPr>
              <w:t>12/15/2021</w:t>
            </w:r>
          </w:p>
        </w:tc>
        <w:tc>
          <w:tcPr>
            <w:tcW w:w="172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w w:val="97"/>
              </w:rPr>
              <w:t>Ordinary Shares</w:t>
            </w:r>
          </w:p>
        </w:tc>
        <w:tc>
          <w:tcPr>
            <w:tcW w:w="820" w:type="dxa"/>
            <w:vAlign w:val="bottom"/>
            <w:tcBorders>
              <w:bottom w:val="single" w:sz="8" w:color="2C2C2C"/>
            </w:tcBorders>
          </w:tcPr>
          <w:p>
            <w:pPr>
              <w:jc w:val="center"/>
              <w:ind w:left="10"/>
              <w:spacing w:after="0"/>
              <w:rPr>
                <w:sz w:val="20"/>
                <w:szCs w:val="20"/>
                <w:color w:val="auto"/>
              </w:rPr>
            </w:pPr>
            <w:r>
              <w:rPr>
                <w:rFonts w:ascii="Arial" w:cs="Arial" w:eastAsia="Arial" w:hAnsi="Arial"/>
                <w:sz w:val="20"/>
                <w:szCs w:val="20"/>
                <w:color w:val="0000FF"/>
                <w:w w:val="87"/>
              </w:rPr>
              <w:t>1,327</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(2)</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Restricted Stock Units</w:t>
            </w:r>
            <w:r>
              <w:rPr>
                <w:rFonts w:ascii="Arial" w:cs="Arial" w:eastAsia="Arial" w:hAnsi="Arial"/>
                <w:sz w:val="25"/>
                <w:szCs w:val="25"/>
                <w:color w:val="008000"/>
                <w:vertAlign w:val="superscript"/>
              </w:rPr>
              <w:t>(1)</w:t>
            </w:r>
          </w:p>
        </w:tc>
        <w:tc>
          <w:tcPr>
            <w:tcW w:w="1320" w:type="dxa"/>
            <w:vAlign w:val="bottom"/>
            <w:tcBorders>
              <w:bottom w:val="single" w:sz="8" w:color="2C2C2C"/>
            </w:tcBorders>
            <w:gridSpan w:val="2"/>
          </w:tcPr>
          <w:p>
            <w:pPr>
              <w:jc w:val="center"/>
              <w:ind w:left="274"/>
              <w:spacing w:after="0"/>
              <w:rPr>
                <w:sz w:val="20"/>
                <w:szCs w:val="20"/>
                <w:color w:val="auto"/>
              </w:rPr>
            </w:pPr>
            <w:r>
              <w:rPr>
                <w:rFonts w:ascii="Arial" w:cs="Arial" w:eastAsia="Arial" w:hAnsi="Arial"/>
                <w:sz w:val="13"/>
                <w:szCs w:val="13"/>
                <w:color w:val="008000"/>
                <w:w w:val="87"/>
              </w:rPr>
              <w:t>(3)</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90"/>
              </w:rPr>
              <w:t>03/15/2022</w:t>
            </w:r>
          </w:p>
        </w:tc>
        <w:tc>
          <w:tcPr>
            <w:tcW w:w="172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w w:val="97"/>
              </w:rPr>
              <w:t>Ordinary Shares</w:t>
            </w:r>
          </w:p>
        </w:tc>
        <w:tc>
          <w:tcPr>
            <w:tcW w:w="820" w:type="dxa"/>
            <w:vAlign w:val="bottom"/>
            <w:tcBorders>
              <w:bottom w:val="single" w:sz="8" w:color="2C2C2C"/>
            </w:tcBorders>
          </w:tcPr>
          <w:p>
            <w:pPr>
              <w:jc w:val="center"/>
              <w:ind w:left="30"/>
              <w:spacing w:after="0"/>
              <w:rPr>
                <w:sz w:val="20"/>
                <w:szCs w:val="20"/>
                <w:color w:val="auto"/>
              </w:rPr>
            </w:pPr>
            <w:r>
              <w:rPr>
                <w:rFonts w:ascii="Arial" w:cs="Arial" w:eastAsia="Arial" w:hAnsi="Arial"/>
                <w:sz w:val="20"/>
                <w:szCs w:val="20"/>
                <w:color w:val="0000FF"/>
                <w:w w:val="89"/>
              </w:rPr>
              <w:t>781</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(3)</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Restricted Stock Units</w:t>
            </w:r>
            <w:r>
              <w:rPr>
                <w:rFonts w:ascii="Arial" w:cs="Arial" w:eastAsia="Arial" w:hAnsi="Arial"/>
                <w:sz w:val="25"/>
                <w:szCs w:val="25"/>
                <w:color w:val="008000"/>
                <w:vertAlign w:val="superscript"/>
              </w:rPr>
              <w:t>(1)</w:t>
            </w:r>
          </w:p>
        </w:tc>
        <w:tc>
          <w:tcPr>
            <w:tcW w:w="1320" w:type="dxa"/>
            <w:vAlign w:val="bottom"/>
            <w:tcBorders>
              <w:bottom w:val="single" w:sz="8" w:color="2C2C2C"/>
            </w:tcBorders>
            <w:gridSpan w:val="2"/>
          </w:tcPr>
          <w:p>
            <w:pPr>
              <w:jc w:val="center"/>
              <w:ind w:left="274"/>
              <w:spacing w:after="0"/>
              <w:rPr>
                <w:sz w:val="20"/>
                <w:szCs w:val="20"/>
                <w:color w:val="auto"/>
              </w:rPr>
            </w:pPr>
            <w:r>
              <w:rPr>
                <w:rFonts w:ascii="Arial" w:cs="Arial" w:eastAsia="Arial" w:hAnsi="Arial"/>
                <w:sz w:val="13"/>
                <w:szCs w:val="13"/>
                <w:color w:val="008000"/>
                <w:w w:val="87"/>
              </w:rPr>
              <w:t>(4)</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90"/>
              </w:rPr>
              <w:t>03/30/2023</w:t>
            </w:r>
          </w:p>
        </w:tc>
        <w:tc>
          <w:tcPr>
            <w:tcW w:w="172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w w:val="97"/>
              </w:rPr>
              <w:t>Ordinary Shares</w:t>
            </w:r>
          </w:p>
        </w:tc>
        <w:tc>
          <w:tcPr>
            <w:tcW w:w="820" w:type="dxa"/>
            <w:vAlign w:val="bottom"/>
            <w:tcBorders>
              <w:bottom w:val="single" w:sz="8" w:color="2C2C2C"/>
            </w:tcBorders>
          </w:tcPr>
          <w:p>
            <w:pPr>
              <w:jc w:val="center"/>
              <w:ind w:left="10"/>
              <w:spacing w:after="0"/>
              <w:rPr>
                <w:sz w:val="20"/>
                <w:szCs w:val="20"/>
                <w:color w:val="auto"/>
              </w:rPr>
            </w:pPr>
            <w:r>
              <w:rPr>
                <w:rFonts w:ascii="Arial" w:cs="Arial" w:eastAsia="Arial" w:hAnsi="Arial"/>
                <w:sz w:val="20"/>
                <w:szCs w:val="20"/>
                <w:color w:val="0000FF"/>
                <w:w w:val="87"/>
              </w:rPr>
              <w:t>1,178</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Restricted Stock Units</w:t>
            </w:r>
            <w:r>
              <w:rPr>
                <w:rFonts w:ascii="Arial" w:cs="Arial" w:eastAsia="Arial" w:hAnsi="Arial"/>
                <w:sz w:val="25"/>
                <w:szCs w:val="25"/>
                <w:color w:val="008000"/>
                <w:vertAlign w:val="superscript"/>
              </w:rPr>
              <w:t>(1)</w:t>
            </w:r>
          </w:p>
        </w:tc>
        <w:tc>
          <w:tcPr>
            <w:tcW w:w="1320" w:type="dxa"/>
            <w:vAlign w:val="bottom"/>
            <w:tcBorders>
              <w:bottom w:val="single" w:sz="8" w:color="2C2C2C"/>
            </w:tcBorders>
            <w:gridSpan w:val="2"/>
          </w:tcPr>
          <w:p>
            <w:pPr>
              <w:jc w:val="center"/>
              <w:ind w:left="274"/>
              <w:spacing w:after="0"/>
              <w:rPr>
                <w:sz w:val="20"/>
                <w:szCs w:val="20"/>
                <w:color w:val="auto"/>
              </w:rPr>
            </w:pPr>
            <w:r>
              <w:rPr>
                <w:rFonts w:ascii="Arial" w:cs="Arial" w:eastAsia="Arial" w:hAnsi="Arial"/>
                <w:sz w:val="13"/>
                <w:szCs w:val="13"/>
                <w:color w:val="008000"/>
                <w:w w:val="87"/>
              </w:rPr>
              <w:t>(5)</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90"/>
              </w:rPr>
              <w:t>03/30/2024</w:t>
            </w:r>
          </w:p>
        </w:tc>
        <w:tc>
          <w:tcPr>
            <w:tcW w:w="172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w w:val="97"/>
              </w:rPr>
              <w:t>Ordinary Shares</w:t>
            </w:r>
          </w:p>
        </w:tc>
        <w:tc>
          <w:tcPr>
            <w:tcW w:w="820" w:type="dxa"/>
            <w:vAlign w:val="bottom"/>
            <w:tcBorders>
              <w:bottom w:val="single" w:sz="8" w:color="2C2C2C"/>
            </w:tcBorders>
          </w:tcPr>
          <w:p>
            <w:pPr>
              <w:jc w:val="center"/>
              <w:ind w:left="10"/>
              <w:spacing w:after="0"/>
              <w:rPr>
                <w:sz w:val="20"/>
                <w:szCs w:val="20"/>
                <w:color w:val="auto"/>
              </w:rPr>
            </w:pPr>
            <w:r>
              <w:rPr>
                <w:rFonts w:ascii="Arial" w:cs="Arial" w:eastAsia="Arial" w:hAnsi="Arial"/>
                <w:sz w:val="20"/>
                <w:szCs w:val="20"/>
                <w:color w:val="0000FF"/>
                <w:w w:val="87"/>
              </w:rPr>
              <w:t>2,820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(5)</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Restricted Stock Units</w:t>
            </w:r>
            <w:r>
              <w:rPr>
                <w:rFonts w:ascii="Arial" w:cs="Arial" w:eastAsia="Arial" w:hAnsi="Arial"/>
                <w:sz w:val="25"/>
                <w:szCs w:val="25"/>
                <w:color w:val="008000"/>
                <w:vertAlign w:val="superscript"/>
              </w:rPr>
              <w:t>(1)</w:t>
            </w:r>
          </w:p>
        </w:tc>
        <w:tc>
          <w:tcPr>
            <w:tcW w:w="1320" w:type="dxa"/>
            <w:vAlign w:val="bottom"/>
            <w:tcBorders>
              <w:bottom w:val="single" w:sz="8" w:color="2C2C2C"/>
            </w:tcBorders>
            <w:gridSpan w:val="2"/>
          </w:tcPr>
          <w:p>
            <w:pPr>
              <w:jc w:val="center"/>
              <w:ind w:left="274"/>
              <w:spacing w:after="0"/>
              <w:rPr>
                <w:sz w:val="20"/>
                <w:szCs w:val="20"/>
                <w:color w:val="auto"/>
              </w:rPr>
            </w:pPr>
            <w:r>
              <w:rPr>
                <w:rFonts w:ascii="Arial" w:cs="Arial" w:eastAsia="Arial" w:hAnsi="Arial"/>
                <w:sz w:val="13"/>
                <w:szCs w:val="13"/>
                <w:color w:val="008000"/>
                <w:w w:val="87"/>
              </w:rPr>
              <w:t>(6)</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90"/>
              </w:rPr>
              <w:t>06/15/2024</w:t>
            </w:r>
          </w:p>
        </w:tc>
        <w:tc>
          <w:tcPr>
            <w:tcW w:w="172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w w:val="97"/>
              </w:rPr>
              <w:t>Ordinary Shares</w:t>
            </w:r>
          </w:p>
        </w:tc>
        <w:tc>
          <w:tcPr>
            <w:tcW w:w="820" w:type="dxa"/>
            <w:vAlign w:val="bottom"/>
            <w:tcBorders>
              <w:bottom w:val="single" w:sz="8" w:color="2C2C2C"/>
            </w:tcBorders>
          </w:tcPr>
          <w:p>
            <w:pPr>
              <w:jc w:val="center"/>
              <w:ind w:left="10"/>
              <w:spacing w:after="0"/>
              <w:rPr>
                <w:sz w:val="20"/>
                <w:szCs w:val="20"/>
                <w:color w:val="auto"/>
              </w:rPr>
            </w:pPr>
            <w:r>
              <w:rPr>
                <w:rFonts w:ascii="Arial" w:cs="Arial" w:eastAsia="Arial" w:hAnsi="Arial"/>
                <w:sz w:val="20"/>
                <w:szCs w:val="20"/>
                <w:color w:val="0000FF"/>
                <w:w w:val="87"/>
              </w:rPr>
              <w:t>6,307</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(6)</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Appreciation Rights</w:t>
            </w:r>
          </w:p>
        </w:tc>
        <w:tc>
          <w:tcPr>
            <w:tcW w:w="1320" w:type="dxa"/>
            <w:vAlign w:val="bottom"/>
            <w:gridSpan w:val="2"/>
          </w:tcPr>
          <w:p>
            <w:pPr>
              <w:jc w:val="center"/>
              <w:ind w:left="274"/>
              <w:spacing w:after="0"/>
              <w:rPr>
                <w:sz w:val="20"/>
                <w:szCs w:val="20"/>
                <w:color w:val="auto"/>
              </w:rPr>
            </w:pPr>
            <w:r>
              <w:rPr>
                <w:rFonts w:ascii="Arial" w:cs="Arial" w:eastAsia="Arial" w:hAnsi="Arial"/>
                <w:sz w:val="13"/>
                <w:szCs w:val="13"/>
                <w:color w:val="008000"/>
                <w:w w:val="87"/>
              </w:rPr>
              <w:t>(7)</w:t>
            </w:r>
          </w:p>
        </w:tc>
        <w:tc>
          <w:tcPr>
            <w:tcW w:w="900" w:type="dxa"/>
            <w:vAlign w:val="bottom"/>
          </w:tcPr>
          <w:p>
            <w:pPr>
              <w:jc w:val="center"/>
              <w:spacing w:after="0"/>
              <w:rPr>
                <w:sz w:val="20"/>
                <w:szCs w:val="20"/>
                <w:color w:val="auto"/>
              </w:rPr>
            </w:pPr>
            <w:r>
              <w:rPr>
                <w:rFonts w:ascii="Arial" w:cs="Arial" w:eastAsia="Arial" w:hAnsi="Arial"/>
                <w:sz w:val="15"/>
                <w:szCs w:val="15"/>
                <w:color w:val="0000FF"/>
                <w:w w:val="90"/>
              </w:rPr>
              <w:t>12/15/2027</w:t>
            </w:r>
          </w:p>
        </w:tc>
        <w:tc>
          <w:tcPr>
            <w:tcW w:w="1720" w:type="dxa"/>
            <w:vAlign w:val="bottom"/>
          </w:tcPr>
          <w:p>
            <w:pPr>
              <w:ind w:left="280"/>
              <w:spacing w:after="0"/>
              <w:rPr>
                <w:sz w:val="20"/>
                <w:szCs w:val="20"/>
                <w:color w:val="auto"/>
              </w:rPr>
            </w:pPr>
            <w:r>
              <w:rPr>
                <w:rFonts w:ascii="Arial" w:cs="Arial" w:eastAsia="Arial" w:hAnsi="Arial"/>
                <w:sz w:val="20"/>
                <w:szCs w:val="20"/>
                <w:color w:val="0000FF"/>
                <w:w w:val="97"/>
              </w:rPr>
              <w:t>Ordinary Shares</w:t>
            </w:r>
          </w:p>
        </w:tc>
        <w:tc>
          <w:tcPr>
            <w:tcW w:w="820" w:type="dxa"/>
            <w:vAlign w:val="bottom"/>
          </w:tcPr>
          <w:p>
            <w:pPr>
              <w:jc w:val="center"/>
              <w:ind w:left="10"/>
              <w:spacing w:after="0"/>
              <w:rPr>
                <w:sz w:val="20"/>
                <w:szCs w:val="20"/>
                <w:color w:val="auto"/>
              </w:rPr>
            </w:pPr>
            <w:r>
              <w:rPr>
                <w:rFonts w:ascii="Arial" w:cs="Arial" w:eastAsia="Arial" w:hAnsi="Arial"/>
                <w:sz w:val="20"/>
                <w:szCs w:val="20"/>
                <w:color w:val="0000FF"/>
                <w:w w:val="87"/>
              </w:rPr>
              <w:t>5,833</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80.26</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Appreciation Rights</w:t>
            </w:r>
          </w:p>
        </w:tc>
        <w:tc>
          <w:tcPr>
            <w:tcW w:w="1320" w:type="dxa"/>
            <w:vAlign w:val="bottom"/>
            <w:gridSpan w:val="2"/>
          </w:tcPr>
          <w:p>
            <w:pPr>
              <w:jc w:val="center"/>
              <w:ind w:left="274"/>
              <w:spacing w:after="0"/>
              <w:rPr>
                <w:sz w:val="20"/>
                <w:szCs w:val="20"/>
                <w:color w:val="auto"/>
              </w:rPr>
            </w:pPr>
            <w:r>
              <w:rPr>
                <w:rFonts w:ascii="Arial" w:cs="Arial" w:eastAsia="Arial" w:hAnsi="Arial"/>
                <w:sz w:val="13"/>
                <w:szCs w:val="13"/>
                <w:color w:val="008000"/>
                <w:w w:val="87"/>
              </w:rPr>
              <w:t>(8)</w:t>
            </w:r>
          </w:p>
        </w:tc>
        <w:tc>
          <w:tcPr>
            <w:tcW w:w="900" w:type="dxa"/>
            <w:vAlign w:val="bottom"/>
          </w:tcPr>
          <w:p>
            <w:pPr>
              <w:jc w:val="center"/>
              <w:spacing w:after="0"/>
              <w:rPr>
                <w:sz w:val="20"/>
                <w:szCs w:val="20"/>
                <w:color w:val="auto"/>
              </w:rPr>
            </w:pPr>
            <w:r>
              <w:rPr>
                <w:rFonts w:ascii="Arial" w:cs="Arial" w:eastAsia="Arial" w:hAnsi="Arial"/>
                <w:sz w:val="15"/>
                <w:szCs w:val="15"/>
                <w:color w:val="0000FF"/>
                <w:w w:val="90"/>
              </w:rPr>
              <w:t>03/15/2028</w:t>
            </w:r>
          </w:p>
        </w:tc>
        <w:tc>
          <w:tcPr>
            <w:tcW w:w="1720" w:type="dxa"/>
            <w:vAlign w:val="bottom"/>
          </w:tcPr>
          <w:p>
            <w:pPr>
              <w:ind w:left="280"/>
              <w:spacing w:after="0"/>
              <w:rPr>
                <w:sz w:val="20"/>
                <w:szCs w:val="20"/>
                <w:color w:val="auto"/>
              </w:rPr>
            </w:pPr>
            <w:r>
              <w:rPr>
                <w:rFonts w:ascii="Arial" w:cs="Arial" w:eastAsia="Arial" w:hAnsi="Arial"/>
                <w:sz w:val="20"/>
                <w:szCs w:val="20"/>
                <w:color w:val="0000FF"/>
                <w:w w:val="97"/>
              </w:rPr>
              <w:t>Ordinary Shares</w:t>
            </w:r>
          </w:p>
        </w:tc>
        <w:tc>
          <w:tcPr>
            <w:tcW w:w="820" w:type="dxa"/>
            <w:vAlign w:val="bottom"/>
          </w:tcPr>
          <w:p>
            <w:pPr>
              <w:jc w:val="center"/>
              <w:ind w:left="10"/>
              <w:spacing w:after="0"/>
              <w:rPr>
                <w:sz w:val="20"/>
                <w:szCs w:val="20"/>
                <w:color w:val="auto"/>
              </w:rPr>
            </w:pPr>
            <w:r>
              <w:rPr>
                <w:rFonts w:ascii="Arial" w:cs="Arial" w:eastAsia="Arial" w:hAnsi="Arial"/>
                <w:sz w:val="20"/>
                <w:szCs w:val="20"/>
                <w:color w:val="0000FF"/>
                <w:w w:val="87"/>
              </w:rPr>
              <w:t>5,076</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88.38</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Appreciation Rights</w:t>
            </w:r>
          </w:p>
        </w:tc>
        <w:tc>
          <w:tcPr>
            <w:tcW w:w="1320" w:type="dxa"/>
            <w:vAlign w:val="bottom"/>
            <w:gridSpan w:val="2"/>
          </w:tcPr>
          <w:p>
            <w:pPr>
              <w:jc w:val="center"/>
              <w:ind w:left="274"/>
              <w:spacing w:after="0"/>
              <w:rPr>
                <w:sz w:val="20"/>
                <w:szCs w:val="20"/>
                <w:color w:val="auto"/>
              </w:rPr>
            </w:pPr>
            <w:r>
              <w:rPr>
                <w:rFonts w:ascii="Arial" w:cs="Arial" w:eastAsia="Arial" w:hAnsi="Arial"/>
                <w:sz w:val="13"/>
                <w:szCs w:val="13"/>
                <w:color w:val="008000"/>
                <w:w w:val="87"/>
              </w:rPr>
              <w:t>(9)</w:t>
            </w:r>
          </w:p>
        </w:tc>
        <w:tc>
          <w:tcPr>
            <w:tcW w:w="900" w:type="dxa"/>
            <w:vAlign w:val="bottom"/>
          </w:tcPr>
          <w:p>
            <w:pPr>
              <w:jc w:val="center"/>
              <w:spacing w:after="0"/>
              <w:rPr>
                <w:sz w:val="20"/>
                <w:szCs w:val="20"/>
                <w:color w:val="auto"/>
              </w:rPr>
            </w:pPr>
            <w:r>
              <w:rPr>
                <w:rFonts w:ascii="Arial" w:cs="Arial" w:eastAsia="Arial" w:hAnsi="Arial"/>
                <w:sz w:val="15"/>
                <w:szCs w:val="15"/>
                <w:color w:val="0000FF"/>
                <w:w w:val="90"/>
              </w:rPr>
              <w:t>03/30/2029</w:t>
            </w:r>
          </w:p>
        </w:tc>
        <w:tc>
          <w:tcPr>
            <w:tcW w:w="1720" w:type="dxa"/>
            <w:vAlign w:val="bottom"/>
          </w:tcPr>
          <w:p>
            <w:pPr>
              <w:ind w:left="280"/>
              <w:spacing w:after="0"/>
              <w:rPr>
                <w:sz w:val="20"/>
                <w:szCs w:val="20"/>
                <w:color w:val="auto"/>
              </w:rPr>
            </w:pPr>
            <w:r>
              <w:rPr>
                <w:rFonts w:ascii="Arial" w:cs="Arial" w:eastAsia="Arial" w:hAnsi="Arial"/>
                <w:sz w:val="20"/>
                <w:szCs w:val="20"/>
                <w:color w:val="0000FF"/>
                <w:w w:val="97"/>
              </w:rPr>
              <w:t>Ordinary Shares</w:t>
            </w:r>
          </w:p>
        </w:tc>
        <w:tc>
          <w:tcPr>
            <w:tcW w:w="820" w:type="dxa"/>
            <w:vAlign w:val="bottom"/>
          </w:tcPr>
          <w:p>
            <w:pPr>
              <w:jc w:val="center"/>
              <w:ind w:left="10"/>
              <w:spacing w:after="0"/>
              <w:rPr>
                <w:sz w:val="20"/>
                <w:szCs w:val="20"/>
                <w:color w:val="auto"/>
              </w:rPr>
            </w:pPr>
            <w:r>
              <w:rPr>
                <w:rFonts w:ascii="Arial" w:cs="Arial" w:eastAsia="Arial" w:hAnsi="Arial"/>
                <w:sz w:val="20"/>
                <w:szCs w:val="20"/>
                <w:color w:val="0000FF"/>
                <w:w w:val="87"/>
              </w:rPr>
              <w:t>4,874</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97.25</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Appreciation Rights</w:t>
            </w:r>
          </w:p>
        </w:tc>
        <w:tc>
          <w:tcPr>
            <w:tcW w:w="1320" w:type="dxa"/>
            <w:vAlign w:val="bottom"/>
            <w:gridSpan w:val="2"/>
          </w:tcPr>
          <w:p>
            <w:pPr>
              <w:jc w:val="center"/>
              <w:ind w:left="294"/>
              <w:spacing w:after="0"/>
              <w:rPr>
                <w:sz w:val="20"/>
                <w:szCs w:val="20"/>
                <w:color w:val="auto"/>
              </w:rPr>
            </w:pPr>
            <w:r>
              <w:rPr>
                <w:rFonts w:ascii="Arial" w:cs="Arial" w:eastAsia="Arial" w:hAnsi="Arial"/>
                <w:sz w:val="13"/>
                <w:szCs w:val="13"/>
                <w:color w:val="008000"/>
                <w:w w:val="86"/>
              </w:rPr>
              <w:t>(10)</w:t>
            </w:r>
          </w:p>
        </w:tc>
        <w:tc>
          <w:tcPr>
            <w:tcW w:w="900" w:type="dxa"/>
            <w:vAlign w:val="bottom"/>
          </w:tcPr>
          <w:p>
            <w:pPr>
              <w:jc w:val="center"/>
              <w:spacing w:after="0"/>
              <w:rPr>
                <w:sz w:val="20"/>
                <w:szCs w:val="20"/>
                <w:color w:val="auto"/>
              </w:rPr>
            </w:pPr>
            <w:r>
              <w:rPr>
                <w:rFonts w:ascii="Arial" w:cs="Arial" w:eastAsia="Arial" w:hAnsi="Arial"/>
                <w:sz w:val="15"/>
                <w:szCs w:val="15"/>
                <w:color w:val="0000FF"/>
                <w:w w:val="90"/>
              </w:rPr>
              <w:t>03/30/2030</w:t>
            </w:r>
          </w:p>
        </w:tc>
        <w:tc>
          <w:tcPr>
            <w:tcW w:w="1720" w:type="dxa"/>
            <w:vAlign w:val="bottom"/>
          </w:tcPr>
          <w:p>
            <w:pPr>
              <w:ind w:left="280"/>
              <w:spacing w:after="0"/>
              <w:rPr>
                <w:sz w:val="20"/>
                <w:szCs w:val="20"/>
                <w:color w:val="auto"/>
              </w:rPr>
            </w:pPr>
            <w:r>
              <w:rPr>
                <w:rFonts w:ascii="Arial" w:cs="Arial" w:eastAsia="Arial" w:hAnsi="Arial"/>
                <w:sz w:val="20"/>
                <w:szCs w:val="20"/>
                <w:color w:val="0000FF"/>
                <w:w w:val="97"/>
              </w:rPr>
              <w:t>Ordinary Shares</w:t>
            </w:r>
          </w:p>
        </w:tc>
        <w:tc>
          <w:tcPr>
            <w:tcW w:w="820" w:type="dxa"/>
            <w:vAlign w:val="bottom"/>
          </w:tcPr>
          <w:p>
            <w:pPr>
              <w:jc w:val="center"/>
              <w:ind w:left="10"/>
              <w:spacing w:after="0"/>
              <w:rPr>
                <w:sz w:val="20"/>
                <w:szCs w:val="20"/>
                <w:color w:val="auto"/>
              </w:rPr>
            </w:pPr>
            <w:r>
              <w:rPr>
                <w:rFonts w:ascii="Arial" w:cs="Arial" w:eastAsia="Arial" w:hAnsi="Arial"/>
                <w:sz w:val="20"/>
                <w:szCs w:val="20"/>
                <w:color w:val="0000FF"/>
                <w:w w:val="87"/>
              </w:rPr>
              <w:t>7,838</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43.57</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-3801110</wp:posOffset>
            </wp:positionV>
            <wp:extent cx="6946900" cy="3659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3659505"/>
                    </a:xfrm>
                    <a:prstGeom prst="rect">
                      <a:avLst/>
                    </a:prstGeom>
                    <a:noFill/>
                  </pic:spPr>
                </pic:pic>
              </a:graphicData>
            </a:graphic>
          </wp:anchor>
        </w:drawing>
      </w:r>
    </w:p>
    <w:p>
      <w:pPr>
        <w:spacing w:after="0" w:line="15" w:lineRule="exact"/>
        <w:rPr>
          <w:sz w:val="24"/>
          <w:szCs w:val="24"/>
          <w:color w:val="auto"/>
        </w:rPr>
      </w:pPr>
    </w:p>
    <w:p>
      <w:pPr>
        <w:ind w:left="40" w:right="7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26" w:lineRule="exact"/>
        <w:rPr>
          <w:rFonts w:ascii="Arial" w:cs="Arial" w:eastAsia="Arial" w:hAnsi="Arial"/>
          <w:sz w:val="15"/>
          <w:szCs w:val="15"/>
          <w:color w:val="008000"/>
        </w:rPr>
      </w:pPr>
    </w:p>
    <w:p>
      <w:pPr>
        <w:jc w:val="both"/>
        <w:ind w:left="40" w:right="40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reporting person was granted RSUs on December 15, 2017, subject to a four-year vesting schedule, which began on December 15, 2018. The remaining unvested RSUs reported here vest 25% on December 15, 2020 and on December 15, 2021. The RSUs are subject to forfeiture prior to vesting in accordance with the terms of the Plan and the award agreement.</w:t>
      </w:r>
    </w:p>
    <w:p>
      <w:pPr>
        <w:spacing w:after="0" w:line="35" w:lineRule="exact"/>
        <w:rPr>
          <w:rFonts w:ascii="Arial" w:cs="Arial" w:eastAsia="Arial" w:hAnsi="Arial"/>
          <w:sz w:val="15"/>
          <w:szCs w:val="15"/>
          <w:color w:val="008000"/>
        </w:rPr>
      </w:pPr>
    </w:p>
    <w:p>
      <w:pPr>
        <w:jc w:val="both"/>
        <w:ind w:left="40" w:right="280" w:firstLine="5"/>
        <w:spacing w:after="0" w:line="313" w:lineRule="auto"/>
        <w:tabs>
          <w:tab w:leader="none" w:pos="19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reporting person was granted RSUs on March 15, 2018, subject to a four-year vesting schedule, which began on March 15, 2019. The remaining unvested RSUs reported here vest 25% on March 15, 2021, and on March 15, 2022. The RSUs are subject to forfeiture prior to vesting in accordance with the terms of the Plan and the award agreement.</w:t>
      </w:r>
    </w:p>
    <w:p>
      <w:pPr>
        <w:ind w:left="40" w:right="20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reporting person was granted RSUs on March 15, 2019, subject to a four-year vesting schedule, which began on March 15, 2020. The remaining unvested RSUs reported here vest 25% on March 15, 2021, on March 15, 2022 and on March 15, 2023. The RSUs are subject to forfeiture prior to vesting in accordance with the terms of the Plan and the award agreement.</w:t>
      </w:r>
    </w:p>
    <w:p>
      <w:pPr>
        <w:spacing w:after="0" w:line="35" w:lineRule="exact"/>
        <w:rPr>
          <w:rFonts w:ascii="Arial" w:cs="Arial" w:eastAsia="Arial" w:hAnsi="Arial"/>
          <w:sz w:val="15"/>
          <w:szCs w:val="15"/>
          <w:color w:val="008000"/>
        </w:rPr>
      </w:pPr>
    </w:p>
    <w:p>
      <w:pPr>
        <w:ind w:left="40" w:right="16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reporting person was granted RSUs on March 30, 2020, subject to a four-year vesting schedule, to begin on March 30, 2021. The unvested RSUs reported here vest 25% on March 30, 2021, on March 30, 2022, on March 30, 2023, and on March 30, 2024. The RSUs are subject to forfeiture prior to vesting in accordance with the terms of the Plan and the award agreement.</w:t>
      </w:r>
    </w:p>
    <w:p>
      <w:pPr>
        <w:spacing w:after="0" w:line="35" w:lineRule="exact"/>
        <w:rPr>
          <w:rFonts w:ascii="Arial" w:cs="Arial" w:eastAsia="Arial" w:hAnsi="Arial"/>
          <w:sz w:val="15"/>
          <w:szCs w:val="15"/>
          <w:color w:val="008000"/>
        </w:rPr>
      </w:pPr>
    </w:p>
    <w:p>
      <w:pPr>
        <w:ind w:left="40" w:right="8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reporting person was granted RSUs on June 15, 2020, subject to a four-year vesting schedule, to begin on June 15, 2021. The unvested RSUs reported here vest 25% on June 15, 2021, on June 15, 2022, on June 15, 2023, and on June 15, 2024. The RSUs are subject to forfeiture prior to vesting in accordance with the terms of the Plan and the award agreement.</w:t>
      </w:r>
    </w:p>
    <w:p>
      <w:pPr>
        <w:spacing w:after="0" w:line="35" w:lineRule="exact"/>
        <w:rPr>
          <w:rFonts w:ascii="Arial" w:cs="Arial" w:eastAsia="Arial" w:hAnsi="Arial"/>
          <w:sz w:val="15"/>
          <w:szCs w:val="15"/>
          <w:color w:val="008000"/>
        </w:rPr>
      </w:pPr>
    </w:p>
    <w:p>
      <w:pPr>
        <w:ind w:left="40" w:right="2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Reporting person was granted an award of stock appreciation rights ("SARs"). Subject to the terms and conditions of the Plan and the award agreement, the SARs shall vest in equal installments of 25% on each of the first four anniversaries of the grant date, December 15, 2017.</w:t>
      </w:r>
    </w:p>
    <w:p>
      <w:pPr>
        <w:sectPr>
          <w:pgSz w:w="11900" w:h="16915" w:orient="portrait"/>
          <w:cols w:equalWidth="0" w:num="1">
            <w:col w:w="10940"/>
          </w:cols>
          <w:pgMar w:left="480" w:top="236" w:right="479" w:bottom="0" w:gutter="0" w:footer="0" w:header="0"/>
          <w:type w:val="continuous"/>
        </w:sectPr>
      </w:pPr>
    </w:p>
    <w:bookmarkStart w:id="1" w:name="page2"/>
    <w:bookmarkEnd w:id="1"/>
    <w:p>
      <w:pPr>
        <w:ind w:right="180" w:firstLine="5"/>
        <w:spacing w:after="0" w:line="253"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Reporting person was granted an award of stock appreciation rights ("SARs"). Subject to the terms and conditions of the Plan and the award agreement, the SARs shall vest in equal installments of 25% on each of the first four anniversaries of the grant date, March 15, 2018.</w:t>
      </w:r>
    </w:p>
    <w:p>
      <w:pPr>
        <w:spacing w:after="0" w:line="26" w:lineRule="exact"/>
        <w:rPr>
          <w:rFonts w:ascii="Arial" w:cs="Arial" w:eastAsia="Arial" w:hAnsi="Arial"/>
          <w:sz w:val="15"/>
          <w:szCs w:val="15"/>
          <w:color w:val="008000"/>
        </w:rPr>
      </w:pPr>
    </w:p>
    <w:p>
      <w:pPr>
        <w:ind w:right="220" w:firstLine="5"/>
        <w:spacing w:after="0" w:line="253"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Reporting person was granted an award of stock appreciation rights ("SARs"). Subject to the terms and conditions of the Plan and the SAR Agreement, the SARs shall vest in equal installments of 25% on each of the first four anniversaries of the grant date, March 30, 2019.</w:t>
      </w:r>
    </w:p>
    <w:p>
      <w:pPr>
        <w:spacing w:after="0" w:line="26" w:lineRule="exact"/>
        <w:rPr>
          <w:rFonts w:ascii="Arial" w:cs="Arial" w:eastAsia="Arial" w:hAnsi="Arial"/>
          <w:sz w:val="15"/>
          <w:szCs w:val="15"/>
          <w:color w:val="008000"/>
        </w:rPr>
      </w:pPr>
    </w:p>
    <w:p>
      <w:pPr>
        <w:ind w:right="140" w:firstLine="5"/>
        <w:spacing w:after="0" w:line="253" w:lineRule="auto"/>
        <w:tabs>
          <w:tab w:leader="none" w:pos="225"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Reporting person was granted an award of stock appreciation rights ("SARs"). Subject to the terms and conditions of the Plan and the SAR Agreement, the SARs shall vest in equal installments of 25% on each of the first four anniversaries of the grant date, March 30, 2020.</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80" w:type="dxa"/>
            <w:vAlign w:val="bottom"/>
          </w:tcPr>
          <w:p>
            <w:pPr>
              <w:spacing w:after="0"/>
              <w:rPr>
                <w:sz w:val="20"/>
                <w:szCs w:val="20"/>
                <w:color w:val="auto"/>
              </w:rPr>
            </w:pPr>
            <w:r>
              <w:rPr>
                <w:rFonts w:ascii="Arial" w:cs="Arial" w:eastAsia="Arial" w:hAnsi="Arial"/>
                <w:sz w:val="20"/>
                <w:szCs w:val="20"/>
                <w:color w:val="0000FF"/>
                <w:w w:val="88"/>
              </w:rPr>
              <w:t>/s/ Sarah K. Mohr, POA</w:t>
            </w:r>
          </w:p>
        </w:tc>
        <w:tc>
          <w:tcPr>
            <w:tcW w:w="1180" w:type="dxa"/>
            <w:vAlign w:val="bottom"/>
            <w:gridSpan w:val="2"/>
          </w:tcPr>
          <w:p>
            <w:pPr>
              <w:ind w:left="300"/>
              <w:spacing w:after="0"/>
              <w:rPr>
                <w:sz w:val="20"/>
                <w:szCs w:val="20"/>
                <w:color w:val="auto"/>
              </w:rPr>
            </w:pPr>
            <w:r>
              <w:rPr>
                <w:rFonts w:ascii="Arial" w:cs="Arial" w:eastAsia="Arial" w:hAnsi="Arial"/>
                <w:sz w:val="20"/>
                <w:szCs w:val="20"/>
                <w:color w:val="0000FF"/>
                <w:w w:val="85"/>
              </w:rPr>
              <w:t>11/06/2020</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8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300" w:type="dxa"/>
            <w:vAlign w:val="bottom"/>
          </w:tcPr>
          <w:p>
            <w:pPr>
              <w:spacing w:after="0"/>
              <w:rPr>
                <w:sz w:val="21"/>
                <w:szCs w:val="21"/>
                <w:color w:val="auto"/>
              </w:rPr>
            </w:pPr>
          </w:p>
        </w:tc>
        <w:tc>
          <w:tcPr>
            <w:tcW w:w="88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880" w:type="dxa"/>
            <w:vAlign w:val="bottom"/>
            <w:vMerge w:val="restart"/>
          </w:tcPr>
          <w:p>
            <w:pPr>
              <w:spacing w:after="0"/>
              <w:rPr>
                <w:sz w:val="20"/>
                <w:szCs w:val="20"/>
                <w:color w:val="auto"/>
              </w:rPr>
            </w:pPr>
            <w:r>
              <w:rPr>
                <w:rFonts w:ascii="Arial" w:cs="Arial" w:eastAsia="Arial" w:hAnsi="Arial"/>
                <w:sz w:val="15"/>
                <w:szCs w:val="15"/>
                <w:color w:val="auto"/>
              </w:rPr>
              <w:t>Person</w:t>
            </w:r>
          </w:p>
        </w:tc>
        <w:tc>
          <w:tcPr>
            <w:tcW w:w="3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8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20" w:type="dxa"/>
            <w:vAlign w:val="bottom"/>
            <w:gridSpan w:val="2"/>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20" w:type="dxa"/>
            <w:vAlign w:val="bottom"/>
            <w:gridSpan w:val="2"/>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74" w:right="5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48" w:lineRule="exact"/>
        <w:rPr>
          <w:sz w:val="20"/>
          <w:szCs w:val="20"/>
          <w:color w:val="auto"/>
        </w:rPr>
      </w:pPr>
    </w:p>
    <w:p>
      <w:pPr>
        <w:ind w:right="60" w:firstLine="720"/>
        <w:spacing w:after="0" w:line="311" w:lineRule="auto"/>
        <w:rPr>
          <w:sz w:val="20"/>
          <w:szCs w:val="20"/>
          <w:color w:val="auto"/>
        </w:rPr>
      </w:pPr>
      <w:r>
        <w:rPr>
          <w:rFonts w:ascii="Arial" w:cs="Arial" w:eastAsia="Arial" w:hAnsi="Arial"/>
          <w:sz w:val="21"/>
          <w:szCs w:val="21"/>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44" w:lineRule="exact"/>
        <w:rPr>
          <w:sz w:val="20"/>
          <w:szCs w:val="20"/>
          <w:color w:val="auto"/>
        </w:rPr>
      </w:pPr>
    </w:p>
    <w:p>
      <w:pPr>
        <w:ind w:left="1440" w:right="320" w:hanging="720"/>
        <w:spacing w:after="0" w:line="293" w:lineRule="auto"/>
        <w:tabs>
          <w:tab w:leader="none" w:pos="1440" w:val="left"/>
        </w:tabs>
        <w:numPr>
          <w:ilvl w:val="0"/>
          <w:numId w:val="7"/>
        </w:numPr>
        <w:rPr>
          <w:rFonts w:ascii="Arial" w:cs="Arial" w:eastAsia="Arial" w:hAnsi="Arial"/>
          <w:sz w:val="22"/>
          <w:szCs w:val="22"/>
          <w:color w:val="auto"/>
        </w:rPr>
      </w:pPr>
      <w:r>
        <w:rPr>
          <w:rFonts w:ascii="Arial" w:cs="Arial" w:eastAsia="Arial" w:hAnsi="Arial"/>
          <w:sz w:val="22"/>
          <w:szCs w:val="22"/>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60" w:lineRule="exact"/>
        <w:rPr>
          <w:rFonts w:ascii="Arial" w:cs="Arial" w:eastAsia="Arial" w:hAnsi="Arial"/>
          <w:sz w:val="22"/>
          <w:szCs w:val="22"/>
          <w:color w:val="auto"/>
        </w:rPr>
      </w:pPr>
    </w:p>
    <w:p>
      <w:pPr>
        <w:ind w:left="1440" w:right="100" w:hanging="720"/>
        <w:spacing w:after="0" w:line="293" w:lineRule="auto"/>
        <w:tabs>
          <w:tab w:leader="none" w:pos="1440" w:val="left"/>
        </w:tabs>
        <w:numPr>
          <w:ilvl w:val="0"/>
          <w:numId w:val="7"/>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60" w:lineRule="exact"/>
        <w:rPr>
          <w:rFonts w:ascii="Arial" w:cs="Arial" w:eastAsia="Arial" w:hAnsi="Arial"/>
          <w:sz w:val="22"/>
          <w:szCs w:val="22"/>
          <w:color w:val="auto"/>
        </w:rPr>
      </w:pPr>
    </w:p>
    <w:p>
      <w:pPr>
        <w:ind w:left="1440" w:hanging="720"/>
        <w:spacing w:after="0" w:line="307" w:lineRule="auto"/>
        <w:tabs>
          <w:tab w:leader="none" w:pos="1440" w:val="left"/>
        </w:tabs>
        <w:numPr>
          <w:ilvl w:val="0"/>
          <w:numId w:val="7"/>
        </w:numPr>
        <w:rPr>
          <w:rFonts w:ascii="Arial" w:cs="Arial" w:eastAsia="Arial" w:hAnsi="Arial"/>
          <w:sz w:val="21"/>
          <w:szCs w:val="21"/>
          <w:color w:val="auto"/>
        </w:rPr>
      </w:pPr>
      <w:r>
        <w:rPr>
          <w:rFonts w:ascii="Arial" w:cs="Arial" w:eastAsia="Arial" w:hAnsi="Arial"/>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51" w:lineRule="exact"/>
        <w:rPr>
          <w:sz w:val="20"/>
          <w:szCs w:val="20"/>
          <w:color w:val="auto"/>
        </w:rPr>
      </w:pPr>
    </w:p>
    <w:p>
      <w:pPr>
        <w:ind w:right="120" w:firstLine="720"/>
        <w:spacing w:after="0" w:line="303"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57" w:lineRule="exact"/>
        <w:rPr>
          <w:sz w:val="20"/>
          <w:szCs w:val="20"/>
          <w:color w:val="auto"/>
        </w:rPr>
      </w:pPr>
    </w:p>
    <w:p>
      <w:pPr>
        <w:ind w:right="80" w:firstLine="720"/>
        <w:spacing w:after="0" w:line="288" w:lineRule="auto"/>
        <w:rPr>
          <w:sz w:val="20"/>
          <w:szCs w:val="20"/>
          <w:color w:val="auto"/>
        </w:rPr>
      </w:pPr>
      <w:r>
        <w:rPr>
          <w:rFonts w:ascii="Arial" w:cs="Arial" w:eastAsia="Arial" w:hAnsi="Arial"/>
          <w:sz w:val="22"/>
          <w:szCs w:val="22"/>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68" w:lineRule="exact"/>
        <w:rPr>
          <w:sz w:val="20"/>
          <w:szCs w:val="20"/>
          <w:color w:val="auto"/>
        </w:rPr>
      </w:pPr>
    </w:p>
    <w:p>
      <w:pPr>
        <w:ind w:right="340" w:firstLine="720"/>
        <w:spacing w:after="0" w:line="297" w:lineRule="auto"/>
        <w:rPr>
          <w:sz w:val="20"/>
          <w:szCs w:val="20"/>
          <w:color w:val="auto"/>
        </w:rPr>
      </w:pPr>
      <w:r>
        <w:rPr>
          <w:rFonts w:ascii="Arial" w:cs="Arial" w:eastAsia="Arial" w:hAnsi="Arial"/>
          <w:sz w:val="22"/>
          <w:szCs w:val="22"/>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56" w:lineRule="exact"/>
        <w:rPr>
          <w:sz w:val="20"/>
          <w:szCs w:val="20"/>
          <w:color w:val="auto"/>
        </w:rPr>
      </w:pPr>
    </w:p>
    <w:p>
      <w:pPr>
        <w:ind w:right="20" w:firstLine="720"/>
        <w:spacing w:after="0" w:line="330"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31" w:lineRule="exact"/>
        <w:rPr>
          <w:sz w:val="20"/>
          <w:szCs w:val="20"/>
          <w:color w:val="auto"/>
        </w:rPr>
      </w:pPr>
    </w:p>
    <w:p>
      <w:pPr>
        <w:ind w:right="60" w:firstLine="720"/>
        <w:spacing w:after="0" w:line="310" w:lineRule="auto"/>
        <w:rPr>
          <w:sz w:val="20"/>
          <w:szCs w:val="20"/>
          <w:color w:val="auto"/>
        </w:rPr>
      </w:pPr>
      <w:r>
        <w:rPr>
          <w:rFonts w:ascii="Arial" w:cs="Arial" w:eastAsia="Arial" w:hAnsi="Arial"/>
          <w:sz w:val="22"/>
          <w:szCs w:val="22"/>
          <w:color w:val="auto"/>
        </w:rPr>
        <w:t xml:space="preserve">IN WITNESS WHEREOF, the undersigned has caused this Power of Attorney to be executed as of this </w:t>
      </w:r>
      <w:r>
        <w:rPr>
          <w:rFonts w:ascii="Arial" w:cs="Arial" w:eastAsia="Arial" w:hAnsi="Arial"/>
          <w:sz w:val="22"/>
          <w:szCs w:val="22"/>
          <w:u w:val="single" w:color="auto"/>
          <w:color w:val="auto"/>
        </w:rPr>
        <w:t>28th</w:t>
      </w:r>
      <w:r>
        <w:rPr>
          <w:rFonts w:ascii="Arial" w:cs="Arial" w:eastAsia="Arial" w:hAnsi="Arial"/>
          <w:sz w:val="22"/>
          <w:szCs w:val="22"/>
          <w:color w:val="auto"/>
        </w:rPr>
        <w:t xml:space="preserve"> day of October 2020.</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56464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564640" cy="952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Alex Shvartsburg</w:t>
      </w:r>
    </w:p>
    <w:sectPr>
      <w:pgSz w:w="11900" w:h="16838" w:orient="portrait"/>
      <w:cols w:equalWidth="0" w:num="1">
        <w:col w:w="10920"/>
      </w:cols>
      <w:pgMar w:left="480" w:top="385" w:right="499" w:bottom="2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8"/>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30830" TargetMode="External"/><Relationship Id="rId11"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2020-11-06T17:52:27Z</dcterms:created>
  <dcterms:modified xsi:type="dcterms:W3CDTF">2020-11-06T17:52:27Z</dcterms:modified>
</cp:coreProperties>
</file>