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7660"/>
        <w:spacing w:after="0"/>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20"/>
          <w:szCs w:val="20"/>
          <w:color w:val="auto"/>
        </w:rPr>
        <w:t>o</w:t>
      </w: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3" w:lineRule="exact"/>
        <w:rPr>
          <w:sz w:val="24"/>
          <w:szCs w:val="24"/>
          <w:color w:val="auto"/>
        </w:rPr>
      </w:pPr>
    </w:p>
    <w:p>
      <w:pPr>
        <w:ind w:left="11260"/>
        <w:spacing w:after="0"/>
        <w:rPr>
          <w:sz w:val="20"/>
          <w:szCs w:val="20"/>
          <w:color w:val="auto"/>
        </w:rPr>
      </w:pPr>
      <w:r>
        <w:rPr>
          <w:rFonts w:ascii="Times New Roman" w:cs="Times New Roman" w:eastAsia="Times New Roman" w:hAnsi="Times New Roman"/>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 w:name="page2"/>
    <w:bookmarkEnd w:id="1"/>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LivaNova 2019 Long-Term Incentive Plan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29, 2019, the Compensation Committee (the "Committee") of the Board of Directors of LivaNova Plc (the "Company") approved our 2019 annual long-term incentive program (the "2019 LTIP"), pursuant to which the Company will grant equity awards to certain employees under the Company's 2015 Incentive Award Plan. Our chief executive officer, Damien McDonald, and chief financial officer, Thad Huston, as well as our other named executive officers, Doug Manko, Keyna Skeffington and David Wise, are eligible to participate in the 2019 LTIP. The 2019 LTIP is described in Exhibit 10.1, which is attached hereto and incorporated herein by reference. Complete copies of the forms of award agreements in respect of each of the following (each as described in Exhibit 10.1) are filed herewith as Exhibits 10.2, 10.3, 10.4, and 10.5, respectively, and incorporated herein by reference:</w:t>
      </w:r>
    </w:p>
    <w:p>
      <w:pPr>
        <w:spacing w:after="0" w:line="188" w:lineRule="exact"/>
        <w:rPr>
          <w:sz w:val="20"/>
          <w:szCs w:val="20"/>
          <w:color w:val="auto"/>
        </w:rPr>
      </w:pPr>
    </w:p>
    <w:p>
      <w:pPr>
        <w:ind w:left="760" w:hanging="10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restricted stock units</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subject to a relative total shareholder return market condition</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subject to achievement of a three-year cumulative adjusted free cash flow target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420"/>
          </w:cols>
          <w:pgMar w:left="240" w:top="360" w:right="2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Exhibit</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6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Description of 2019 Long Term Incentive Plan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Form of 2019 Long Term Incentive Plan RSU Award Agreement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Form of 2019 Long Term Incentive Plan SAR Award Agreement</w:t>
        </w:r>
      </w:hyperlink>
    </w:p>
    <w:p>
      <w:pPr>
        <w:spacing w:after="0" w:line="7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39">
        <w:r>
          <w:rPr>
            <w:rFonts w:ascii="Times New Roman" w:cs="Times New Roman" w:eastAsia="Times New Roman" w:hAnsi="Times New Roman"/>
            <w:sz w:val="17"/>
            <w:szCs w:val="17"/>
            <w:u w:val="single" w:color="auto"/>
            <w:color w:val="0000FF"/>
          </w:rPr>
          <w:t>Form of 2019 Long Term Incentive Plan PSU Award Agreement (rTSR condition)</w:t>
        </w:r>
      </w:hyperlink>
    </w:p>
    <w:p>
      <w:pPr>
        <w:spacing w:after="0" w:line="8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Form of 2019 Long Term Incentive Plan PSU Award Agreement (FCF condition)</w:t>
        </w:r>
      </w:hyperlink>
    </w:p>
    <w:p>
      <w:pPr>
        <w:spacing w:after="0" w:line="213" w:lineRule="exact"/>
        <w:rPr>
          <w:sz w:val="20"/>
          <w:szCs w:val="20"/>
          <w:color w:val="auto"/>
        </w:rPr>
      </w:pPr>
    </w:p>
    <w:p>
      <w:pPr>
        <w:sectPr>
          <w:pgSz w:w="11900" w:h="16838" w:orient="portrait"/>
          <w:cols w:equalWidth="0" w:num="2">
            <w:col w:w="800" w:space="720"/>
            <w:col w:w="9900"/>
          </w:cols>
          <w:pgMar w:left="240" w:top="360"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type w:val="continuous"/>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April 1, 2019</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Catherine Moroz</w:t>
      </w:r>
    </w:p>
    <w:p>
      <w:pPr>
        <w:spacing w:after="0" w:line="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240" w:top="36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LivaNova Long-Term Incentive Program</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March 29, 2019, the Compensation Committee (the "Committee") of the Board of Directors of LivaNova Plc approved our 2019 annual long-term incentive program (the "2019 LTIP"). Our chief executive officer, Damien McDonald, and chief financial officer, Thad Huston, as well as our other named executive officers, Doug Manko, Keyna Skeffington and David Wise, are eligible to participate in the 2019 LTIP.</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2019 LTIP, the Committee approved an equity award value (the “Award Value”) for each of four award vehicles for each participant with an effective date of March 30, 2019, as follows:</w:t>
      </w:r>
    </w:p>
    <w:p>
      <w:pPr>
        <w:spacing w:after="0" w:line="32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RSUs ($)</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SARs ($)</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rTSR PSUs ($)</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FCF PSUs ($)</w:t>
            </w:r>
          </w:p>
        </w:tc>
      </w:tr>
      <w:tr>
        <w:trPr>
          <w:trHeight w:val="68"/>
        </w:trPr>
        <w:tc>
          <w:tcPr>
            <w:tcW w:w="18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34"/>
        </w:trPr>
        <w:tc>
          <w:tcPr>
            <w:tcW w:w="180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McDonald</w:t>
            </w:r>
          </w:p>
        </w:tc>
        <w:tc>
          <w:tcPr>
            <w:tcW w:w="174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9"/>
              </w:rPr>
              <w:t>1,250,000</w:t>
            </w:r>
          </w:p>
        </w:tc>
        <w:tc>
          <w:tcPr>
            <w:tcW w:w="154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9"/>
              </w:rPr>
              <w:t>1,250,000</w:t>
            </w:r>
          </w:p>
        </w:tc>
        <w:tc>
          <w:tcPr>
            <w:tcW w:w="18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16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r>
      <w:tr>
        <w:trPr>
          <w:trHeight w:val="63"/>
        </w:trPr>
        <w:tc>
          <w:tcPr>
            <w:tcW w:w="1800" w:type="dxa"/>
            <w:vAlign w:val="bottom"/>
            <w:shd w:val="clear" w:color="auto" w:fill="D9D9D9"/>
          </w:tcPr>
          <w:p>
            <w:pPr>
              <w:spacing w:after="0"/>
              <w:rPr>
                <w:sz w:val="5"/>
                <w:szCs w:val="5"/>
                <w:color w:val="auto"/>
              </w:rPr>
            </w:pPr>
          </w:p>
        </w:tc>
        <w:tc>
          <w:tcPr>
            <w:tcW w:w="1740" w:type="dxa"/>
            <w:vAlign w:val="bottom"/>
            <w:shd w:val="clear" w:color="auto" w:fill="D9D9D9"/>
          </w:tcPr>
          <w:p>
            <w:pPr>
              <w:spacing w:after="0"/>
              <w:rPr>
                <w:sz w:val="5"/>
                <w:szCs w:val="5"/>
                <w:color w:val="auto"/>
              </w:rPr>
            </w:pPr>
          </w:p>
        </w:tc>
        <w:tc>
          <w:tcPr>
            <w:tcW w:w="1540" w:type="dxa"/>
            <w:vAlign w:val="bottom"/>
            <w:shd w:val="clear" w:color="auto" w:fill="D9D9D9"/>
          </w:tcPr>
          <w:p>
            <w:pPr>
              <w:spacing w:after="0"/>
              <w:rPr>
                <w:sz w:val="5"/>
                <w:szCs w:val="5"/>
                <w:color w:val="auto"/>
              </w:rPr>
            </w:pPr>
          </w:p>
        </w:tc>
        <w:tc>
          <w:tcPr>
            <w:tcW w:w="1820" w:type="dxa"/>
            <w:vAlign w:val="bottom"/>
            <w:shd w:val="clear" w:color="auto" w:fill="D9D9D9"/>
          </w:tcPr>
          <w:p>
            <w:pPr>
              <w:spacing w:after="0"/>
              <w:rPr>
                <w:sz w:val="5"/>
                <w:szCs w:val="5"/>
                <w:color w:val="auto"/>
              </w:rPr>
            </w:pPr>
          </w:p>
        </w:tc>
        <w:tc>
          <w:tcPr>
            <w:tcW w:w="1680" w:type="dxa"/>
            <w:vAlign w:val="bottom"/>
            <w:shd w:val="clear" w:color="auto" w:fill="D9D9D9"/>
          </w:tcPr>
          <w:p>
            <w:pPr>
              <w:spacing w:after="0"/>
              <w:rPr>
                <w:sz w:val="5"/>
                <w:szCs w:val="5"/>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Mr. Huston</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500,000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r>
      <w:tr>
        <w:trPr>
          <w:trHeight w:val="63"/>
        </w:trPr>
        <w:tc>
          <w:tcPr>
            <w:tcW w:w="18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34"/>
        </w:trPr>
        <w:tc>
          <w:tcPr>
            <w:tcW w:w="180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Manko</w:t>
            </w:r>
          </w:p>
        </w:tc>
        <w:tc>
          <w:tcPr>
            <w:tcW w:w="1740" w:type="dxa"/>
            <w:vAlign w:val="bottom"/>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100,000</w:t>
            </w:r>
          </w:p>
        </w:tc>
        <w:tc>
          <w:tcPr>
            <w:tcW w:w="15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8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6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63"/>
        </w:trPr>
        <w:tc>
          <w:tcPr>
            <w:tcW w:w="1800" w:type="dxa"/>
            <w:vAlign w:val="bottom"/>
            <w:shd w:val="clear" w:color="auto" w:fill="D9D9D9"/>
          </w:tcPr>
          <w:p>
            <w:pPr>
              <w:spacing w:after="0"/>
              <w:rPr>
                <w:sz w:val="5"/>
                <w:szCs w:val="5"/>
                <w:color w:val="auto"/>
              </w:rPr>
            </w:pPr>
          </w:p>
        </w:tc>
        <w:tc>
          <w:tcPr>
            <w:tcW w:w="1740" w:type="dxa"/>
            <w:vAlign w:val="bottom"/>
            <w:shd w:val="clear" w:color="auto" w:fill="D9D9D9"/>
          </w:tcPr>
          <w:p>
            <w:pPr>
              <w:spacing w:after="0"/>
              <w:rPr>
                <w:sz w:val="5"/>
                <w:szCs w:val="5"/>
                <w:color w:val="auto"/>
              </w:rPr>
            </w:pPr>
          </w:p>
        </w:tc>
        <w:tc>
          <w:tcPr>
            <w:tcW w:w="1540" w:type="dxa"/>
            <w:vAlign w:val="bottom"/>
            <w:shd w:val="clear" w:color="auto" w:fill="D9D9D9"/>
          </w:tcPr>
          <w:p>
            <w:pPr>
              <w:spacing w:after="0"/>
              <w:rPr>
                <w:sz w:val="5"/>
                <w:szCs w:val="5"/>
                <w:color w:val="auto"/>
              </w:rPr>
            </w:pPr>
          </w:p>
        </w:tc>
        <w:tc>
          <w:tcPr>
            <w:tcW w:w="1820" w:type="dxa"/>
            <w:vAlign w:val="bottom"/>
            <w:shd w:val="clear" w:color="auto" w:fill="D9D9D9"/>
          </w:tcPr>
          <w:p>
            <w:pPr>
              <w:spacing w:after="0"/>
              <w:rPr>
                <w:sz w:val="5"/>
                <w:szCs w:val="5"/>
                <w:color w:val="auto"/>
              </w:rPr>
            </w:pPr>
          </w:p>
        </w:tc>
        <w:tc>
          <w:tcPr>
            <w:tcW w:w="1680" w:type="dxa"/>
            <w:vAlign w:val="bottom"/>
            <w:shd w:val="clear" w:color="auto" w:fill="D9D9D9"/>
          </w:tcPr>
          <w:p>
            <w:pPr>
              <w:spacing w:after="0"/>
              <w:rPr>
                <w:sz w:val="5"/>
                <w:szCs w:val="5"/>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Skeffington</w:t>
            </w: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225,000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225,000</w:t>
            </w:r>
          </w:p>
        </w:tc>
      </w:tr>
      <w:tr>
        <w:trPr>
          <w:trHeight w:val="63"/>
        </w:trPr>
        <w:tc>
          <w:tcPr>
            <w:tcW w:w="18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34"/>
        </w:trPr>
        <w:tc>
          <w:tcPr>
            <w:tcW w:w="180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Wise</w:t>
            </w:r>
          </w:p>
        </w:tc>
        <w:tc>
          <w:tcPr>
            <w:tcW w:w="1740" w:type="dxa"/>
            <w:vAlign w:val="bottom"/>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9"/>
              </w:rPr>
              <w:t>112,500</w:t>
            </w:r>
          </w:p>
        </w:tc>
        <w:tc>
          <w:tcPr>
            <w:tcW w:w="15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112,500</w:t>
            </w:r>
          </w:p>
        </w:tc>
        <w:tc>
          <w:tcPr>
            <w:tcW w:w="18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112,500</w:t>
            </w:r>
          </w:p>
        </w:tc>
        <w:tc>
          <w:tcPr>
            <w:tcW w:w="16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112,500</w:t>
            </w:r>
          </w:p>
        </w:tc>
      </w:tr>
      <w:tr>
        <w:trPr>
          <w:trHeight w:val="63"/>
        </w:trPr>
        <w:tc>
          <w:tcPr>
            <w:tcW w:w="1800" w:type="dxa"/>
            <w:vAlign w:val="bottom"/>
            <w:shd w:val="clear" w:color="auto" w:fill="D9D9D9"/>
          </w:tcPr>
          <w:p>
            <w:pPr>
              <w:spacing w:after="0"/>
              <w:rPr>
                <w:sz w:val="5"/>
                <w:szCs w:val="5"/>
                <w:color w:val="auto"/>
              </w:rPr>
            </w:pPr>
          </w:p>
        </w:tc>
        <w:tc>
          <w:tcPr>
            <w:tcW w:w="1740" w:type="dxa"/>
            <w:vAlign w:val="bottom"/>
            <w:shd w:val="clear" w:color="auto" w:fill="D9D9D9"/>
          </w:tcPr>
          <w:p>
            <w:pPr>
              <w:spacing w:after="0"/>
              <w:rPr>
                <w:sz w:val="5"/>
                <w:szCs w:val="5"/>
                <w:color w:val="auto"/>
              </w:rPr>
            </w:pPr>
          </w:p>
        </w:tc>
        <w:tc>
          <w:tcPr>
            <w:tcW w:w="1540" w:type="dxa"/>
            <w:vAlign w:val="bottom"/>
            <w:shd w:val="clear" w:color="auto" w:fill="D9D9D9"/>
          </w:tcPr>
          <w:p>
            <w:pPr>
              <w:spacing w:after="0"/>
              <w:rPr>
                <w:sz w:val="5"/>
                <w:szCs w:val="5"/>
                <w:color w:val="auto"/>
              </w:rPr>
            </w:pPr>
          </w:p>
        </w:tc>
        <w:tc>
          <w:tcPr>
            <w:tcW w:w="1820" w:type="dxa"/>
            <w:vAlign w:val="bottom"/>
            <w:shd w:val="clear" w:color="auto" w:fill="D9D9D9"/>
          </w:tcPr>
          <w:p>
            <w:pPr>
              <w:spacing w:after="0"/>
              <w:rPr>
                <w:sz w:val="5"/>
                <w:szCs w:val="5"/>
                <w:color w:val="auto"/>
              </w:rPr>
            </w:pPr>
          </w:p>
        </w:tc>
        <w:tc>
          <w:tcPr>
            <w:tcW w:w="1680" w:type="dxa"/>
            <w:vAlign w:val="bottom"/>
            <w:shd w:val="clear" w:color="auto" w:fill="D9D9D9"/>
          </w:tcPr>
          <w:p>
            <w:pPr>
              <w:spacing w:after="0"/>
              <w:rPr>
                <w:sz w:val="5"/>
                <w:szCs w:val="5"/>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Restricted Stock Units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participant received an award of service-based restricted stock units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the NASDAQ Stock Market as of the grant date (the “Closing Price”) and rounding down to the nearest whole unit.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Each participant received an award of stock appreciation rights (“SARs”) vesting in equal or substantially equal amounts on each of the first four anniversaries of the grant date. The Committee determined the number of SARs awarded to each participant by dividing the Award Value by the Black-Scholes value of a SAR based on the Closing Price and rounding down to the nearest whole right.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Relative Total Shareholder Return Performance Stock Units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participant received an award of performance stock units (“PSUs”) subject to a three-year relative total shareholder return (“rTSR”) market condition. The Committee determined the number of PSUs awarded to each participant by dividing the Award Value by the Closing Price and rounding down to the nearest whole unit. At the end of calendar year 2021, our TSR for the three-year period 2019 through 2021 will be compared to the TSR for a group of 27 companies (the “2019 rTSR Comparator Group”) selected by the Committee’s compensation consultant, Pearl Meyer &amp; Partners, and the number of shares of our stock actually delivered to the participants will be determined by the following chart, with linear interpolation applied between specified levels:</w:t>
      </w:r>
    </w:p>
    <w:p>
      <w:pPr>
        <w:sectPr>
          <w:pgSz w:w="11900" w:h="16838" w:orient="portrait"/>
          <w:cols w:equalWidth="0" w:num="1">
            <w:col w:w="11420"/>
          </w:cols>
          <w:pgMar w:left="240" w:top="57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46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TSR Performance</w:t>
            </w: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 Funding for Objective</w:t>
            </w: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4660" w:type="dxa"/>
            <w:vAlign w:val="bottom"/>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Percentile Rank</w:t>
            </w: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466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2440" w:type="dxa"/>
            <w:vAlign w:val="bottom"/>
            <w:tcBorders>
              <w:bottom w:val="single" w:sz="8" w:color="auto"/>
            </w:tcBorders>
            <w:shd w:val="clear" w:color="auto" w:fill="D9D9D9"/>
          </w:tcPr>
          <w:p>
            <w:pPr>
              <w:jc w:val="center"/>
              <w:ind w:left="1590"/>
              <w:spacing w:after="0"/>
              <w:rPr>
                <w:sz w:val="20"/>
                <w:szCs w:val="20"/>
                <w:color w:val="auto"/>
              </w:rPr>
            </w:pPr>
            <w:r>
              <w:rPr>
                <w:rFonts w:ascii="Times New Roman" w:cs="Times New Roman" w:eastAsia="Times New Roman" w:hAnsi="Times New Roman"/>
                <w:sz w:val="18"/>
                <w:szCs w:val="18"/>
                <w:color w:val="auto"/>
                <w:w w:val="88"/>
              </w:rPr>
              <w:t>≥90</w:t>
            </w:r>
            <w:r>
              <w:rPr>
                <w:rFonts w:ascii="Times New Roman" w:cs="Times New Roman" w:eastAsia="Times New Roman" w:hAnsi="Times New Roman"/>
                <w:sz w:val="25"/>
                <w:szCs w:val="25"/>
                <w:color w:val="auto"/>
                <w:w w:val="88"/>
                <w:vertAlign w:val="superscript"/>
              </w:rPr>
              <w:t>th</w:t>
            </w:r>
          </w:p>
        </w:tc>
        <w:tc>
          <w:tcPr>
            <w:tcW w:w="2220" w:type="dxa"/>
            <w:vAlign w:val="bottom"/>
            <w:tcBorders>
              <w:bottom w:val="single" w:sz="8" w:color="auto"/>
            </w:tcBorders>
            <w:shd w:val="clear" w:color="auto" w:fill="D9D9D9"/>
          </w:tcPr>
          <w:p>
            <w:pPr>
              <w:spacing w:after="0"/>
              <w:rPr>
                <w:sz w:val="24"/>
                <w:szCs w:val="24"/>
                <w:color w:val="auto"/>
              </w:rPr>
            </w:pPr>
          </w:p>
        </w:tc>
        <w:tc>
          <w:tcPr>
            <w:tcW w:w="2920" w:type="dxa"/>
            <w:vAlign w:val="bottom"/>
            <w:tcBorders>
              <w:bottom w:val="single" w:sz="8" w:color="auto"/>
            </w:tcBorders>
            <w:shd w:val="clear" w:color="auto" w:fill="D9D9D9"/>
          </w:tcPr>
          <w:p>
            <w:pPr>
              <w:jc w:val="center"/>
              <w:ind w:right="4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244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0"/>
              </w:rPr>
              <w:t>80</w:t>
            </w:r>
            <w:r>
              <w:rPr>
                <w:rFonts w:ascii="Times New Roman" w:cs="Times New Roman" w:eastAsia="Times New Roman" w:hAnsi="Times New Roman"/>
                <w:sz w:val="25"/>
                <w:szCs w:val="25"/>
                <w:color w:val="auto"/>
                <w:w w:val="90"/>
                <w:vertAlign w:val="superscript"/>
              </w:rPr>
              <w:t>th</w:t>
            </w:r>
          </w:p>
        </w:tc>
        <w:tc>
          <w:tcPr>
            <w:tcW w:w="2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2440" w:type="dxa"/>
            <w:vAlign w:val="bottom"/>
            <w:tcBorders>
              <w:bottom w:val="single" w:sz="8" w:color="auto"/>
            </w:tcBorders>
            <w:shd w:val="clear" w:color="auto" w:fill="D9D9D9"/>
          </w:tcPr>
          <w:p>
            <w:pPr>
              <w:jc w:val="center"/>
              <w:ind w:left="1590"/>
              <w:spacing w:after="0"/>
              <w:rPr>
                <w:sz w:val="20"/>
                <w:szCs w:val="20"/>
                <w:color w:val="auto"/>
              </w:rPr>
            </w:pPr>
            <w:r>
              <w:rPr>
                <w:rFonts w:ascii="Times New Roman" w:cs="Times New Roman" w:eastAsia="Times New Roman" w:hAnsi="Times New Roman"/>
                <w:sz w:val="18"/>
                <w:szCs w:val="18"/>
                <w:color w:val="auto"/>
                <w:w w:val="90"/>
              </w:rPr>
              <w:t>50</w:t>
            </w:r>
            <w:r>
              <w:rPr>
                <w:rFonts w:ascii="Times New Roman" w:cs="Times New Roman" w:eastAsia="Times New Roman" w:hAnsi="Times New Roman"/>
                <w:sz w:val="25"/>
                <w:szCs w:val="25"/>
                <w:color w:val="auto"/>
                <w:w w:val="90"/>
                <w:vertAlign w:val="superscript"/>
              </w:rPr>
              <w:t>th</w:t>
            </w:r>
          </w:p>
        </w:tc>
        <w:tc>
          <w:tcPr>
            <w:tcW w:w="2220" w:type="dxa"/>
            <w:vAlign w:val="bottom"/>
            <w:tcBorders>
              <w:bottom w:val="single" w:sz="8" w:color="auto"/>
            </w:tcBorders>
            <w:shd w:val="clear" w:color="auto" w:fill="D9D9D9"/>
          </w:tcPr>
          <w:p>
            <w:pPr>
              <w:spacing w:after="0"/>
              <w:rPr>
                <w:sz w:val="24"/>
                <w:szCs w:val="24"/>
                <w:color w:val="auto"/>
              </w:rPr>
            </w:pPr>
          </w:p>
        </w:tc>
        <w:tc>
          <w:tcPr>
            <w:tcW w:w="2920" w:type="dxa"/>
            <w:vAlign w:val="bottom"/>
            <w:tcBorders>
              <w:bottom w:val="single" w:sz="8" w:color="auto"/>
            </w:tcBorders>
            <w:shd w:val="clear" w:color="auto" w:fill="D9D9D9"/>
          </w:tcPr>
          <w:p>
            <w:pPr>
              <w:jc w:val="center"/>
              <w:ind w:right="4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244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0"/>
              </w:rPr>
              <w:t>30</w:t>
            </w:r>
            <w:r>
              <w:rPr>
                <w:rFonts w:ascii="Times New Roman" w:cs="Times New Roman" w:eastAsia="Times New Roman" w:hAnsi="Times New Roman"/>
                <w:sz w:val="25"/>
                <w:szCs w:val="25"/>
                <w:color w:val="auto"/>
                <w:w w:val="90"/>
                <w:vertAlign w:val="superscript"/>
              </w:rPr>
              <w:t>th</w:t>
            </w:r>
          </w:p>
        </w:tc>
        <w:tc>
          <w:tcPr>
            <w:tcW w:w="2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2440" w:type="dxa"/>
            <w:vAlign w:val="bottom"/>
            <w:tcBorders>
              <w:bottom w:val="single" w:sz="8" w:color="auto"/>
            </w:tcBorders>
            <w:shd w:val="clear" w:color="auto" w:fill="D9D9D9"/>
          </w:tcPr>
          <w:p>
            <w:pPr>
              <w:jc w:val="center"/>
              <w:ind w:left="1570"/>
              <w:spacing w:after="0"/>
              <w:rPr>
                <w:sz w:val="20"/>
                <w:szCs w:val="20"/>
                <w:color w:val="auto"/>
              </w:rPr>
            </w:pPr>
            <w:r>
              <w:rPr>
                <w:rFonts w:ascii="Times New Roman" w:cs="Times New Roman" w:eastAsia="Times New Roman" w:hAnsi="Times New Roman"/>
                <w:sz w:val="18"/>
                <w:szCs w:val="18"/>
                <w:color w:val="auto"/>
                <w:w w:val="92"/>
              </w:rPr>
              <w:t>&lt;30</w:t>
            </w:r>
            <w:r>
              <w:rPr>
                <w:rFonts w:ascii="Times New Roman" w:cs="Times New Roman" w:eastAsia="Times New Roman" w:hAnsi="Times New Roman"/>
                <w:sz w:val="25"/>
                <w:szCs w:val="25"/>
                <w:color w:val="auto"/>
                <w:w w:val="92"/>
                <w:vertAlign w:val="superscript"/>
              </w:rPr>
              <w:t>th</w:t>
            </w:r>
          </w:p>
        </w:tc>
        <w:tc>
          <w:tcPr>
            <w:tcW w:w="2220" w:type="dxa"/>
            <w:vAlign w:val="bottom"/>
            <w:tcBorders>
              <w:bottom w:val="single" w:sz="8" w:color="auto"/>
            </w:tcBorders>
            <w:shd w:val="clear" w:color="auto" w:fill="D9D9D9"/>
          </w:tcPr>
          <w:p>
            <w:pPr>
              <w:spacing w:after="0"/>
              <w:rPr>
                <w:sz w:val="24"/>
                <w:szCs w:val="24"/>
                <w:color w:val="auto"/>
              </w:rPr>
            </w:pPr>
          </w:p>
        </w:tc>
        <w:tc>
          <w:tcPr>
            <w:tcW w:w="2920" w:type="dxa"/>
            <w:vAlign w:val="bottom"/>
            <w:tcBorders>
              <w:bottom w:val="single" w:sz="8" w:color="auto"/>
            </w:tcBorders>
            <w:shd w:val="clear" w:color="auto" w:fill="D9D9D9"/>
          </w:tcPr>
          <w:p>
            <w:pPr>
              <w:jc w:val="center"/>
              <w:ind w:right="43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2019 rTSR Comparator Group includes:</w:t>
            </w:r>
          </w:p>
        </w:tc>
        <w:tc>
          <w:tcPr>
            <w:tcW w:w="2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ABIOMED,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Intuitive Surgical, Inc.</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Baxter International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Invacare Corporation</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Becton, Dickinson and Company</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Masimo Corporation</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Boston Scientific Corporation</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Medtronic plc</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Cantel Medical Corp.</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NuVasive, Inc.</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CONMED Corporation</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ResMed Inc.</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DexCom,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Smith &amp; Nephew plc</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Edwards Lifesciences Corporation</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Steris Plc</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Globus Medical,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Stryker Corporation</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Haemonetics Corporation</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Teleflex Incorporated</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Hill-Rom Holdings, Inc.</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Varian Medical Systems, Inc.</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Hologic,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Wright Medical Group N.V.</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Integer Holdings Corporation</w:t>
            </w: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Zimmer Biomet Holdings, Inc.</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Holdings Corp.</w:t>
            </w:r>
          </w:p>
        </w:tc>
        <w:tc>
          <w:tcPr>
            <w:tcW w:w="22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Three-Year Cumulative Adjusted Free Cash Flow Performance Stock Units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participant received an award of PSUs subject to achievement of a three-year cumulative adjusted free cash flow target (the “FCF Target”). The Committee determined the number of PSUs awarded to each participant by dividing the Award Value by the Closing Price and rounding down to the nearest whole unit. At the end of calendar year 2021, cumulative adjusted free cash flow for the period 2019 through 2021 will be compared to the FCF Target, and the number of shares of our stock actually delivered to the participants will be determined by the following chart, with linear interpolation applied between specified levels:</w:t>
      </w:r>
    </w:p>
    <w:p>
      <w:pPr>
        <w:spacing w:after="0" w:line="356"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38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FCF Achievement</w:t>
            </w:r>
          </w:p>
        </w:tc>
        <w:tc>
          <w:tcPr>
            <w:tcW w:w="37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Percent Funding for Objective</w:t>
            </w:r>
          </w:p>
        </w:tc>
        <w:tc>
          <w:tcPr>
            <w:tcW w:w="0" w:type="dxa"/>
            <w:vAlign w:val="bottom"/>
          </w:tcPr>
          <w:p>
            <w:pPr>
              <w:spacing w:after="0"/>
              <w:rPr>
                <w:sz w:val="1"/>
                <w:szCs w:val="1"/>
                <w:color w:val="auto"/>
              </w:rPr>
            </w:pPr>
          </w:p>
        </w:tc>
      </w:tr>
      <w:tr>
        <w:trPr>
          <w:trHeight w:val="108"/>
        </w:trPr>
        <w:tc>
          <w:tcPr>
            <w:tcW w:w="38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Relative to FCF Target</w:t>
            </w: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38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D9D9D9"/>
            </w:tcBorders>
            <w:shd w:val="clear" w:color="auto" w:fill="D9D9D9"/>
          </w:tcPr>
          <w:p>
            <w:pPr>
              <w:jc w:val="center"/>
              <w:ind w:left="210"/>
              <w:spacing w:after="0"/>
              <w:rPr>
                <w:sz w:val="20"/>
                <w:szCs w:val="20"/>
                <w:color w:val="auto"/>
              </w:rPr>
            </w:pPr>
            <w:r>
              <w:rPr>
                <w:rFonts w:ascii="Times New Roman" w:cs="Times New Roman" w:eastAsia="Times New Roman" w:hAnsi="Times New Roman"/>
                <w:sz w:val="18"/>
                <w:szCs w:val="18"/>
                <w:color w:val="auto"/>
              </w:rPr>
              <w:t>≥150%</w:t>
            </w:r>
          </w:p>
        </w:tc>
        <w:tc>
          <w:tcPr>
            <w:tcW w:w="3760" w:type="dxa"/>
            <w:vAlign w:val="bottom"/>
            <w:tcBorders>
              <w:bottom w:val="single" w:sz="8" w:color="D9D9D9"/>
            </w:tcBorders>
            <w:shd w:val="clear" w:color="auto" w:fill="D9D9D9"/>
          </w:tcPr>
          <w:p>
            <w:pPr>
              <w:jc w:val="center"/>
              <w:ind w:left="21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125%</w:t>
            </w:r>
          </w:p>
        </w:tc>
        <w:tc>
          <w:tcPr>
            <w:tcW w:w="376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2"/>
        </w:trPr>
        <w:tc>
          <w:tcPr>
            <w:tcW w:w="38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D9D9D9"/>
            </w:tcBorders>
            <w:shd w:val="clear" w:color="auto" w:fill="D9D9D9"/>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c>
          <w:tcPr>
            <w:tcW w:w="3760" w:type="dxa"/>
            <w:vAlign w:val="bottom"/>
            <w:tcBorders>
              <w:bottom w:val="single" w:sz="8" w:color="D9D9D9"/>
            </w:tcBorders>
            <w:shd w:val="clear" w:color="auto" w:fill="D9D9D9"/>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60%</w:t>
            </w:r>
          </w:p>
        </w:tc>
        <w:tc>
          <w:tcPr>
            <w:tcW w:w="376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
        </w:trPr>
        <w:tc>
          <w:tcPr>
            <w:tcW w:w="38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D9D9D9"/>
            </w:tcBorders>
            <w:shd w:val="clear" w:color="auto" w:fill="D9D9D9"/>
          </w:tcPr>
          <w:p>
            <w:pPr>
              <w:jc w:val="center"/>
              <w:ind w:left="210"/>
              <w:spacing w:after="0"/>
              <w:rPr>
                <w:sz w:val="20"/>
                <w:szCs w:val="20"/>
                <w:color w:val="auto"/>
              </w:rPr>
            </w:pPr>
            <w:r>
              <w:rPr>
                <w:rFonts w:ascii="Times New Roman" w:cs="Times New Roman" w:eastAsia="Times New Roman" w:hAnsi="Times New Roman"/>
                <w:sz w:val="18"/>
                <w:szCs w:val="18"/>
                <w:color w:val="auto"/>
              </w:rPr>
              <w:t>&lt;60%</w:t>
            </w:r>
          </w:p>
        </w:tc>
        <w:tc>
          <w:tcPr>
            <w:tcW w:w="3760" w:type="dxa"/>
            <w:vAlign w:val="bottom"/>
            <w:tcBorders>
              <w:bottom w:val="single" w:sz="8" w:color="D9D9D9"/>
            </w:tcBorders>
            <w:shd w:val="clear" w:color="auto" w:fill="D9D9D9"/>
          </w:tcPr>
          <w:p>
            <w:pPr>
              <w:jc w:val="center"/>
              <w:ind w:left="23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0"/>
        </w:trPr>
        <w:tc>
          <w:tcPr>
            <w:tcW w:w="38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“Adjusted Free Cash Flow“ is defined as the Company’s reported cash flow from operating activities (including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536"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INCENTIVE AWARD SUB-PLAN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GRANT NOTICE</w:t>
      </w:r>
    </w:p>
    <w:p>
      <w:pPr>
        <w:spacing w:after="0" w:line="3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LivaNova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Incentive Award Plan (including where relevant the Sub-Plan for UK Participants and/or the Sub-Plan for France), as amended from time to time (the “</w:t>
      </w:r>
      <w:r>
        <w:rPr>
          <w:rFonts w:ascii="Times New Roman" w:cs="Times New Roman" w:eastAsia="Times New Roman" w:hAnsi="Times New Roman"/>
          <w:sz w:val="20"/>
          <w:szCs w:val="20"/>
          <w:u w:val="single" w:color="auto"/>
          <w:color w:val="auto"/>
        </w:rPr>
        <w:t>Sub-Plan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Restricted Stock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RSUs are subject to the terms and conditions set forth in this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Sub-Plan (including or as replaced by any local sub-plan referred to in the Foreign Appendix) and the special provisions for Participant’s country of residence, if any, attached here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Foreign Appendix</w:t>
      </w:r>
      <w:r>
        <w:rPr>
          <w:rFonts w:ascii="Times New Roman" w:cs="Times New Roman" w:eastAsia="Times New Roman" w:hAnsi="Times New Roman"/>
          <w:sz w:val="20"/>
          <w:szCs w:val="20"/>
          <w:color w:val="auto"/>
        </w:rPr>
        <w:t>”) each of which is incorporated herein by reference. Unless otherwise defined herein, the terms defined in (or by reference in) the Sub-Plan shall have the same defined meanings in the Grant Notice and the Agreement.</w:t>
      </w:r>
    </w:p>
    <w:p>
      <w:pPr>
        <w:sectPr>
          <w:pgSz w:w="11900" w:h="16838" w:orient="portrait"/>
          <w:cols w:equalWidth="0" w:num="1">
            <w:col w:w="11420"/>
          </w:cols>
          <w:pgMar w:left="240" w:top="356" w:right="239" w:bottom="1440" w:gutter="0" w:footer="0" w:header="0"/>
        </w:sectPr>
      </w:pPr>
    </w:p>
    <w:p>
      <w:pPr>
        <w:spacing w:after="0" w:line="3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w:t>
      </w:r>
    </w:p>
    <w:p>
      <w:pPr>
        <w:spacing w:after="0" w:line="142" w:lineRule="exact"/>
        <w:rPr>
          <w:sz w:val="20"/>
          <w:szCs w:val="20"/>
          <w:color w:val="auto"/>
        </w:rPr>
      </w:pPr>
    </w:p>
    <w:p>
      <w:pPr>
        <w:sectPr>
          <w:pgSz w:w="11900" w:h="16838" w:orient="portrait"/>
          <w:cols w:equalWidth="0" w:num="2">
            <w:col w:w="2900" w:space="720"/>
            <w:col w:w="7800"/>
          </w:cols>
          <w:pgMar w:left="240" w:top="356" w:right="2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March 30, 2019</w:t>
      </w:r>
    </w:p>
    <w:p>
      <w:pPr>
        <w:spacing w:after="0" w:line="142" w:lineRule="exact"/>
        <w:rPr>
          <w:sz w:val="20"/>
          <w:szCs w:val="20"/>
          <w:color w:val="auto"/>
        </w:rPr>
      </w:pPr>
    </w:p>
    <w:p>
      <w:pPr>
        <w:sectPr>
          <w:pgSz w:w="11900" w:h="16838" w:orient="portrait"/>
          <w:cols w:equalWidth="0" w:num="2">
            <w:col w:w="2900" w:space="720"/>
            <w:col w:w="7800"/>
          </w:cols>
          <w:pgMar w:left="240" w:top="356" w:right="2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w:t>
      </w:r>
    </w:p>
    <w:p>
      <w:pPr>
        <w:spacing w:after="0" w:line="196" w:lineRule="exact"/>
        <w:rPr>
          <w:sz w:val="20"/>
          <w:szCs w:val="20"/>
          <w:color w:val="auto"/>
        </w:rPr>
      </w:pPr>
    </w:p>
    <w:p>
      <w:pPr>
        <w:sectPr>
          <w:pgSz w:w="11900" w:h="16838" w:orient="portrait"/>
          <w:cols w:equalWidth="0" w:num="2">
            <w:col w:w="2900" w:space="720"/>
            <w:col w:w="7800"/>
          </w:cols>
          <w:pgMar w:left="240" w:top="356" w:right="2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Times New Roman" w:cs="Times New Roman" w:eastAsia="Times New Roman" w:hAnsi="Times New Roman"/>
          <w:sz w:val="19"/>
          <w:szCs w:val="19"/>
          <w:color w:val="auto"/>
        </w:rPr>
        <w:t>Subject to Section 2.2 of the Agreement, the RSUs will vest as follows:</w:t>
      </w:r>
    </w:p>
    <w:p>
      <w:pPr>
        <w:spacing w:after="0" w:line="119" w:lineRule="exact"/>
        <w:rPr>
          <w:sz w:val="20"/>
          <w:szCs w:val="20"/>
          <w:color w:val="auto"/>
        </w:rPr>
      </w:pPr>
    </w:p>
    <w:p>
      <w:pPr>
        <w:sectPr>
          <w:pgSz w:w="11900" w:h="16838" w:orient="portrait"/>
          <w:cols w:equalWidth="0" w:num="2">
            <w:col w:w="2960" w:space="720"/>
            <w:col w:w="7740"/>
          </w:cols>
          <w:pgMar w:left="240" w:top="356" w:right="239" w:bottom="1440" w:gutter="0" w:footer="0" w:header="0"/>
          <w:type w:val="continuous"/>
        </w:sectPr>
      </w:pPr>
    </w:p>
    <w:p>
      <w:pPr>
        <w:ind w:left="3680"/>
        <w:spacing w:after="0"/>
        <w:rPr>
          <w:sz w:val="20"/>
          <w:szCs w:val="20"/>
          <w:color w:val="auto"/>
        </w:rPr>
      </w:pPr>
      <w:r>
        <w:rPr>
          <w:rFonts w:ascii="Times New Roman" w:cs="Times New Roman" w:eastAsia="Times New Roman" w:hAnsi="Times New Roman"/>
          <w:sz w:val="19"/>
          <w:szCs w:val="19"/>
          <w:color w:val="auto"/>
        </w:rPr>
        <w:t>25% of RSUs shall vest on each of the first four anniversaries of the Grant Date</w:t>
      </w:r>
    </w:p>
    <w:p>
      <w:pPr>
        <w:sectPr>
          <w:pgSz w:w="11900" w:h="16838" w:orient="portrait"/>
          <w:cols w:equalWidth="0" w:num="1">
            <w:col w:w="11420"/>
          </w:cols>
          <w:pgMar w:left="240" w:top="356"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200" w:lineRule="exact"/>
        <w:rPr>
          <w:sz w:val="20"/>
          <w:szCs w:val="20"/>
          <w:color w:val="auto"/>
        </w:rPr>
      </w:pPr>
    </w:p>
    <w:p>
      <w:pPr>
        <w:spacing w:after="0" w:line="201" w:lineRule="exact"/>
        <w:rPr>
          <w:sz w:val="20"/>
          <w:szCs w:val="20"/>
          <w:color w:val="auto"/>
        </w:rPr>
      </w:pPr>
    </w:p>
    <w:p>
      <w:pPr>
        <w:jc w:val="both"/>
        <w:ind w:right="20" w:firstLine="648"/>
        <w:spacing w:after="0" w:line="311" w:lineRule="auto"/>
        <w:rPr>
          <w:sz w:val="20"/>
          <w:szCs w:val="20"/>
          <w:color w:val="auto"/>
        </w:rPr>
      </w:pPr>
      <w:r>
        <w:rPr>
          <w:rFonts w:ascii="Times New Roman" w:cs="Times New Roman" w:eastAsia="Times New Roman" w:hAnsi="Times New Roman"/>
          <w:sz w:val="20"/>
          <w:szCs w:val="20"/>
          <w:color w:val="auto"/>
        </w:rPr>
        <w:t>By clicking "ACCEPT" you confirm that you understand and agree to be bound by the provisions below. This will apply where the Company elects that any tax liability arising in respect of your RSUs shall be satisfied pursuant to Section 2.5(a)(v).</w:t>
      </w:r>
    </w:p>
    <w:p>
      <w:pPr>
        <w:spacing w:after="0" w:line="3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I understand that by clicking ‘Accept,’ I am instructing Merrill Lynch to execute my order to sell shares of LivaNova plc common stock at market price to obtain cash for payment of any withholding taxes due as a result of the vesting or payment of my restricted stock unit (“RSU”) equity award(s) (“Tax”), including any previously vested RSU awards that are currently pending settlement (1) or outstanding unvested RSU awards (2). This instruction will only be valid for my limited purpose brokerage account at Merrill Lynch and will not be valid for any other broker dealer. Merrill Lynch will sell an amount of shares on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56" w:right="239" w:bottom="1440" w:gutter="0" w:footer="0" w:header="0"/>
          <w:type w:val="continuous"/>
        </w:sectPr>
      </w:pPr>
    </w:p>
    <w:bookmarkStart w:id="6" w:name="page7"/>
    <w:bookmarkEnd w:id="6"/>
    <w:p>
      <w:pPr>
        <w:jc w:val="both"/>
        <w:spacing w:after="0" w:line="295" w:lineRule="auto"/>
        <w:rPr>
          <w:sz w:val="20"/>
          <w:szCs w:val="20"/>
          <w:color w:val="auto"/>
        </w:rPr>
      </w:pPr>
      <w:r>
        <w:rPr>
          <w:rFonts w:ascii="Times New Roman" w:cs="Times New Roman" w:eastAsia="Times New Roman" w:hAnsi="Times New Roman"/>
          <w:sz w:val="19"/>
          <w:szCs w:val="19"/>
          <w:color w:val="auto"/>
        </w:rPr>
        <w:t>next trading day after the vest or payment date of my RSU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Any residual cash after payment of the Tax, commissions and fees will be deposited into my Merrill Lynch brokerage account.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I permit Merrill Lynch to discuss with and disclose to LivaNova plc any information relating to my account for the purposes of this transaction.</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You must also check your W-9 or W-8 tax certification</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36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369" w:lineRule="exact"/>
        <w:rPr>
          <w:sz w:val="20"/>
          <w:szCs w:val="20"/>
          <w:color w:val="auto"/>
        </w:rPr>
      </w:pPr>
    </w:p>
    <w:p>
      <w:pPr>
        <w:ind w:firstLine="656"/>
        <w:spacing w:after="0" w:line="315" w:lineRule="auto"/>
        <w:tabs>
          <w:tab w:leader="none" w:pos="92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RESTRICTED STOCK UNIT AWARD GRANT NOTICE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26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RSUs set forth in the Grant Notice.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7"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5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Sub-Plan and Foreign Appendix</w:t>
      </w:r>
      <w:r>
        <w:rPr>
          <w:rFonts w:ascii="Times New Roman" w:cs="Times New Roman" w:eastAsia="Times New Roman" w:hAnsi="Times New Roman"/>
          <w:sz w:val="20"/>
          <w:szCs w:val="20"/>
          <w:color w:val="auto"/>
        </w:rPr>
        <w:t>. The RSUs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1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auto"/>
        </w:rPr>
        <w:t>AWARD OF RESTRICTED STOCK UNITS AND DIVIDEND EQUIVALENTS</w:t>
      </w:r>
    </w:p>
    <w:p>
      <w:pPr>
        <w:spacing w:after="0" w:line="2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RSUs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20" w:hanging="415"/>
        <w:spacing w:after="0"/>
        <w:tabs>
          <w:tab w:leader="none" w:pos="1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Participant’s past and/or continued employment with the Company or a Subsidiary and for other good</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Grant Notice, upon the terms and conditions set forth in the Grant Notice, the Sub-Plan, this Agreement and the Foreign Appendix, if applicable,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88" w:lineRule="exact"/>
        <w:rPr>
          <w:rFonts w:ascii="Times New Roman" w:cs="Times New Roman" w:eastAsia="Times New Roman" w:hAnsi="Times New Roman"/>
          <w:sz w:val="19"/>
          <w:szCs w:val="19"/>
          <w:color w:val="auto"/>
        </w:rPr>
      </w:pPr>
    </w:p>
    <w:p>
      <w:pPr>
        <w:ind w:left="1720" w:hanging="415"/>
        <w:spacing w:after="0"/>
        <w:tabs>
          <w:tab w:leader="none" w:pos="1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grants to Participant an Award of Dividend Equivalents with respect to each RSU granted pursuant</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ectPr>
          <w:pgSz w:w="11900" w:h="16838" w:orient="portrait"/>
          <w:cols w:equalWidth="0" w:num="1">
            <w:col w:w="11420"/>
          </w:cols>
          <w:pgMar w:left="240" w:top="599" w:right="239" w:bottom="1440" w:gutter="0" w:footer="0" w:header="0"/>
        </w:sectPr>
      </w:pPr>
    </w:p>
    <w:bookmarkStart w:id="8" w:name="page9"/>
    <w:bookmarkEnd w:id="8"/>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RSUs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80" w:hanging="475"/>
        <w:spacing w:after="0"/>
        <w:tabs>
          <w:tab w:leader="none" w:pos="1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the Company or a Subsidiary on each applicable vesting date and</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7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except as may be otherwise provided by the Administrator or as</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75"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In the event a Participant incurs a Termination of Service due to an Approved Retirement, the Participant’s outstanding</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RSUs will not be forfeited upon such Approved Retirement, but instead outstanding RSUs shall continue to vest on the date(s) set out in the Grant Notice (provided all other terms which apply to the RSUs are met, including the terms regarding restricted activities set forth below).</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“Approved Retirement” means a Termination of Service designated by the Committee, in its absolute discretion, as an Approved Retirement.</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exercising its discretion in designating a Termination of Service as an Approved Retirement, the Committee will strongly consider management recommendations based on each specific situation including the Participant's written and expressed commitment at the time of Termination of Service to cease any form of paid work or economic activity (including, but not limited to, self-employment; agency work; employment; non-executive directorship),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RSUs unvested at such time shall be immediately forfeited for no consideration. For the purposes of this Section 2.2.(c),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RSUs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 operate, in each case with which the Participant has been materially involved or for which the Participant was responsible in the 12 months immediately before his or her Termination of Service.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ectPr>
          <w:pgSz w:w="11900" w:h="16838" w:orient="portrait"/>
          <w:cols w:equalWidth="0" w:num="1">
            <w:col w:w="11420"/>
          </w:cols>
          <w:pgMar w:left="240" w:top="387" w:right="239" w:bottom="1440" w:gutter="0" w:footer="0" w:header="0"/>
        </w:sectPr>
      </w:pPr>
    </w:p>
    <w:bookmarkStart w:id="9" w:name="page10"/>
    <w:bookmarkEnd w:id="9"/>
    <w:p>
      <w:pPr>
        <w:ind w:left="1800" w:hanging="495"/>
        <w:spacing w:after="0"/>
        <w:tabs>
          <w:tab w:leader="none" w:pos="1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that occurs following the Measure Date, the RSUs, to the extent not forfeited or</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RSUs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00" w:hanging="395"/>
        <w:spacing w:after="0"/>
        <w:tabs>
          <w:tab w:leader="none" w:pos="1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Participant’s RSUs shall be distributed in Shares (either in book-entry form or otherwise) or, at the option of the Company,</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paid in an amount of cash as set forth in Section 2.3(b), in either case, as soon as administratively practicable following the vesting of the applicable RSU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84" w:lineRule="exact"/>
        <w:rPr>
          <w:rFonts w:ascii="Times New Roman" w:cs="Times New Roman" w:eastAsia="Times New Roman" w:hAnsi="Times New Roman"/>
          <w:sz w:val="19"/>
          <w:szCs w:val="19"/>
          <w:color w:val="auto"/>
        </w:rPr>
      </w:pPr>
    </w:p>
    <w:p>
      <w:pPr>
        <w:ind w:left="1800" w:hanging="495"/>
        <w:spacing w:after="0"/>
        <w:tabs>
          <w:tab w:leader="none" w:pos="1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determines in its discretion that due to regulatory or administrative needs it will make</w:t>
      </w:r>
    </w:p>
    <w:p>
      <w:pPr>
        <w:spacing w:after="0" w:line="53" w:lineRule="exact"/>
        <w:rPr>
          <w:rFonts w:ascii="Times New Roman" w:cs="Times New Roman" w:eastAsia="Times New Roman" w:hAnsi="Times New Roman"/>
          <w:sz w:val="20"/>
          <w:szCs w:val="20"/>
          <w:color w:val="auto"/>
        </w:rPr>
      </w:pPr>
    </w:p>
    <w:p>
      <w:pPr>
        <w:jc w:val="both"/>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8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Subsidiaries have the authority to deduct or withhold, or require Participant to remit to the Company</w:t>
      </w:r>
    </w:p>
    <w:p>
      <w:pPr>
        <w:spacing w:after="0" w:line="65" w:lineRule="exact"/>
        <w:rPr>
          <w:rFonts w:ascii="Times New Roman" w:cs="Times New Roman" w:eastAsia="Times New Roman" w:hAnsi="Times New Roman"/>
          <w:sz w:val="19"/>
          <w:szCs w:val="19"/>
          <w:color w:val="auto"/>
        </w:rPr>
      </w:pPr>
    </w:p>
    <w:p>
      <w:pPr>
        <w:jc w:val="both"/>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RSUs, the settlement of the RSUs on vesting in either Shares or cash and the sale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ectPr>
          <w:pgSz w:w="11900" w:h="16838" w:orient="portrait"/>
          <w:cols w:equalWidth="0" w:num="1">
            <w:col w:w="11420"/>
          </w:cols>
          <w:pgMar w:left="240" w:top="387" w:right="239" w:bottom="1440" w:gutter="0" w:footer="0" w:header="0"/>
        </w:sectPr>
      </w:pPr>
    </w:p>
    <w:bookmarkStart w:id="10" w:name="page11"/>
    <w:bookmarkEnd w:id="10"/>
    <w:p>
      <w:pPr>
        <w:spacing w:after="0" w:line="311" w:lineRule="auto"/>
        <w:rPr>
          <w:sz w:val="20"/>
          <w:szCs w:val="20"/>
          <w:color w:val="auto"/>
        </w:rPr>
      </w:pPr>
      <w:r>
        <w:rPr>
          <w:rFonts w:ascii="Times New Roman" w:cs="Times New Roman" w:eastAsia="Times New Roman" w:hAnsi="Times New Roman"/>
          <w:sz w:val="20"/>
          <w:szCs w:val="20"/>
          <w:color w:val="auto"/>
        </w:rPr>
        <w:t>any of the Shares (any a “</w:t>
      </w: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The Company and its Subsidiaries may withhold or Participant may make such payment in one or more of the forms specified below:</w:t>
      </w:r>
    </w:p>
    <w:p>
      <w:pPr>
        <w:spacing w:after="0" w:line="160"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arises;</w:t>
      </w:r>
    </w:p>
    <w:p>
      <w:pPr>
        <w:spacing w:after="0" w:line="256" w:lineRule="exact"/>
        <w:rPr>
          <w:sz w:val="20"/>
          <w:szCs w:val="20"/>
          <w:color w:val="auto"/>
        </w:rPr>
      </w:pPr>
    </w:p>
    <w:p>
      <w:pPr>
        <w:ind w:left="2380" w:hanging="427"/>
        <w:spacing w:after="0"/>
        <w:tabs>
          <w:tab w:leader="none" w:pos="23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69"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RSUs, by the Company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a net number of vested Shares otherwise issuable pursuant to the RSUs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RSUs, with the consent of</w:t>
      </w:r>
    </w:p>
    <w:p>
      <w:pPr>
        <w:spacing w:after="0" w:line="65"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19"/>
          <w:szCs w:val="19"/>
          <w:color w:val="auto"/>
        </w:rPr>
      </w:pPr>
    </w:p>
    <w:p>
      <w:pPr>
        <w:ind w:left="2360" w:hanging="407"/>
        <w:spacing w:after="0"/>
        <w:tabs>
          <w:tab w:leader="none" w:pos="236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RSUs, through the delivery</w:t>
      </w:r>
    </w:p>
    <w:p>
      <w:pPr>
        <w:spacing w:after="0" w:line="65" w:lineRule="exact"/>
        <w:rPr>
          <w:rFonts w:ascii="Times New Roman" w:cs="Times New Roman" w:eastAsia="Times New Roman" w:hAnsi="Times New Roman"/>
          <w:sz w:val="19"/>
          <w:szCs w:val="19"/>
          <w:color w:val="auto"/>
        </w:rPr>
      </w:pPr>
    </w:p>
    <w:p>
      <w:pPr>
        <w:jc w:val="both"/>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1" w:lineRule="exact"/>
        <w:rPr>
          <w:rFonts w:ascii="Times New Roman" w:cs="Times New Roman" w:eastAsia="Times New Roman" w:hAnsi="Times New Roman"/>
          <w:sz w:val="19"/>
          <w:szCs w:val="19"/>
          <w:color w:val="auto"/>
        </w:rPr>
      </w:pPr>
    </w:p>
    <w:p>
      <w:pPr>
        <w:ind w:left="2420" w:hanging="467"/>
        <w:spacing w:after="0"/>
        <w:tabs>
          <w:tab w:leader="none" w:pos="24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6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to, or</w:t>
      </w:r>
    </w:p>
    <w:p>
      <w:pPr>
        <w:spacing w:after="0" w:line="65" w:lineRule="exact"/>
        <w:rPr>
          <w:rFonts w:ascii="Times New Roman" w:cs="Times New Roman" w:eastAsia="Times New Roman" w:hAnsi="Times New Roman"/>
          <w:sz w:val="19"/>
          <w:szCs w:val="19"/>
          <w:color w:val="auto"/>
        </w:rPr>
      </w:pPr>
    </w:p>
    <w:p>
      <w:pPr>
        <w:jc w:val="both"/>
        <w:ind w:right="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 provided that no payment shall be delayed under this Section 2.5(d) if such delay will result in a violation of Section 409A of the Code.</w:t>
      </w:r>
    </w:p>
    <w:p>
      <w:pPr>
        <w:spacing w:after="0" w:line="164" w:lineRule="exact"/>
        <w:rPr>
          <w:rFonts w:ascii="Times New Roman" w:cs="Times New Roman" w:eastAsia="Times New Roman" w:hAnsi="Times New Roman"/>
          <w:sz w:val="19"/>
          <w:szCs w:val="19"/>
          <w:color w:val="auto"/>
        </w:rPr>
      </w:pPr>
    </w:p>
    <w:p>
      <w:pPr>
        <w:ind w:left="1780" w:hanging="475"/>
        <w:spacing w:after="0"/>
        <w:tabs>
          <w:tab w:leader="none" w:pos="17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 Liability arising in connection with the RSUs, in the event Participant fails to provide timely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17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Liability arising in connection with the RSUs will be satisfied under Section 2.5(a)(iii), then the</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may elect to instruct any brokerage firm determined acceptable to the Company for such purpose to sell on Participant’s behalf a whole number of shares from those Shares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ectPr>
          <w:pgSz w:w="11900" w:h="16838" w:orient="portrait"/>
          <w:cols w:equalWidth="0" w:num="1">
            <w:col w:w="11420"/>
          </w:cols>
          <w:pgMar w:left="240" w:top="387" w:right="239" w:bottom="1440" w:gutter="0" w:footer="0" w:header="0"/>
        </w:sectPr>
      </w:pPr>
    </w:p>
    <w:bookmarkStart w:id="11" w:name="page12"/>
    <w:bookmarkEnd w:id="11"/>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RSUs to Participant until the foregoing Tax Liability is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2.5(d) if such delay will result in a violation of Section 409A of the Code.</w:t>
      </w:r>
    </w:p>
    <w:p>
      <w:pPr>
        <w:spacing w:after="0" w:line="187" w:lineRule="exact"/>
        <w:rPr>
          <w:sz w:val="20"/>
          <w:szCs w:val="20"/>
          <w:color w:val="auto"/>
        </w:rPr>
      </w:pPr>
    </w:p>
    <w:p>
      <w:pPr>
        <w:ind w:left="1800" w:hanging="495"/>
        <w:spacing w:after="0"/>
        <w:tabs>
          <w:tab w:leader="none" w:pos="1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and indemnifies the Company and each Subsidiary against all Tax</w:t>
      </w:r>
    </w:p>
    <w:p>
      <w:pPr>
        <w:spacing w:after="0" w:line="53" w:lineRule="exact"/>
        <w:rPr>
          <w:rFonts w:ascii="Times New Roman" w:cs="Times New Roman" w:eastAsia="Times New Roman" w:hAnsi="Times New Roman"/>
          <w:sz w:val="20"/>
          <w:szCs w:val="20"/>
          <w:color w:val="auto"/>
        </w:rPr>
      </w:pPr>
    </w:p>
    <w:p>
      <w:pPr>
        <w:jc w:val="both"/>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arising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18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32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18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ectPr>
          <w:pgSz w:w="11900" w:h="16838" w:orient="portrait"/>
          <w:cols w:equalWidth="0" w:num="1">
            <w:col w:w="11420"/>
          </w:cols>
          <w:pgMar w:left="240" w:top="387" w:right="239" w:bottom="1440" w:gutter="0" w:footer="0" w:header="0"/>
        </w:sectPr>
      </w:pPr>
    </w:p>
    <w:bookmarkStart w:id="12" w:name="page13"/>
    <w:bookmarkEnd w:id="12"/>
    <w:p>
      <w:pPr>
        <w:jc w:val="both"/>
        <w:spacing w:after="0" w:line="291" w:lineRule="auto"/>
        <w:rPr>
          <w:sz w:val="20"/>
          <w:szCs w:val="20"/>
          <w:color w:val="auto"/>
        </w:rPr>
      </w:pPr>
      <w:r>
        <w:rPr>
          <w:rFonts w:ascii="Times New Roman" w:cs="Times New Roman" w:eastAsia="Times New Roman" w:hAnsi="Times New Roman"/>
          <w:sz w:val="20"/>
          <w:szCs w:val="20"/>
          <w:color w:val="auto"/>
        </w:rPr>
        <w:t>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1"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16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7"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Sub-Plan,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 however</w:t>
      </w:r>
      <w:r>
        <w:rPr>
          <w:rFonts w:ascii="Times New Roman" w:cs="Times New Roman" w:eastAsia="Times New Roman" w:hAnsi="Times New Roman"/>
          <w:sz w:val="20"/>
          <w:szCs w:val="20"/>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ectPr>
          <w:pgSz w:w="11900" w:h="16838" w:orient="portrait"/>
          <w:cols w:equalWidth="0" w:num="1">
            <w:col w:w="11420"/>
          </w:cols>
          <w:pgMar w:left="240" w:top="387" w:right="239" w:bottom="1440" w:gutter="0" w:footer="0" w:header="0"/>
        </w:sectPr>
      </w:pPr>
    </w:p>
    <w:bookmarkStart w:id="13" w:name="page14"/>
    <w:bookmarkEnd w:id="13"/>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RSUs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19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RSUs Not Part of Employment Compensation</w:t>
      </w:r>
      <w:r>
        <w:rPr>
          <w:rFonts w:ascii="Times New Roman" w:cs="Times New Roman" w:eastAsia="Times New Roman" w:hAnsi="Times New Roman"/>
          <w:sz w:val="20"/>
          <w:szCs w:val="20"/>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8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Data Protection</w:t>
      </w:r>
      <w:r>
        <w:rPr>
          <w:rFonts w:ascii="Times New Roman" w:cs="Times New Roman" w:eastAsia="Times New Roman" w:hAnsi="Times New Roman"/>
          <w:sz w:val="19"/>
          <w:szCs w:val="19"/>
          <w:color w:val="auto"/>
        </w:rPr>
        <w:t>. By electronically signing the Grant Notice and this Agreement, the Participant acknowledges and agrees that:</w:t>
      </w:r>
    </w:p>
    <w:p>
      <w:pPr>
        <w:spacing w:after="0" w:line="270" w:lineRule="exact"/>
        <w:rPr>
          <w:sz w:val="20"/>
          <w:szCs w:val="20"/>
          <w:color w:val="auto"/>
        </w:rPr>
      </w:pPr>
    </w:p>
    <w:p>
      <w:pPr>
        <w:ind w:left="1880" w:hanging="575"/>
        <w:spacing w:after="0"/>
        <w:tabs>
          <w:tab w:leader="none" w:pos="1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 Subsidiary or the Participant’s employer are permitted to hold and process personal information</w:t>
      </w:r>
    </w:p>
    <w:p>
      <w:pPr>
        <w:spacing w:after="0" w:line="49" w:lineRule="exact"/>
        <w:rPr>
          <w:rFonts w:ascii="Times New Roman" w:cs="Times New Roman" w:eastAsia="Times New Roman" w:hAnsi="Times New Roman"/>
          <w:sz w:val="20"/>
          <w:szCs w:val="20"/>
          <w:color w:val="auto"/>
        </w:rPr>
      </w:pPr>
    </w:p>
    <w:p>
      <w:pPr>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sensitive personal information)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about the Participant as part of their personnel and other business records and may use such information for the purpose of managing and administering the Sub-Plan;</w:t>
      </w:r>
    </w:p>
    <w:p>
      <w:pPr>
        <w:spacing w:after="0" w:line="156"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 Subsidiary or the Participant’s employer may disclose the Data (as described in (a) above) to third parties</w:t>
      </w:r>
    </w:p>
    <w:p>
      <w:pPr>
        <w:spacing w:after="0" w:line="65" w:lineRule="exact"/>
        <w:rPr>
          <w:rFonts w:ascii="Times New Roman" w:cs="Times New Roman" w:eastAsia="Times New Roman" w:hAnsi="Times New Roman"/>
          <w:sz w:val="19"/>
          <w:szCs w:val="19"/>
          <w:color w:val="auto"/>
        </w:rPr>
      </w:pPr>
    </w:p>
    <w:p>
      <w:pPr>
        <w:jc w:val="both"/>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ectPr>
          <w:pgSz w:w="11900" w:h="16838" w:orient="portrait"/>
          <w:cols w:equalWidth="0" w:num="1">
            <w:col w:w="11420"/>
          </w:cols>
          <w:pgMar w:left="240" w:top="387" w:right="239" w:bottom="1440" w:gutter="0" w:footer="0" w:header="0"/>
        </w:sectPr>
      </w:pPr>
    </w:p>
    <w:bookmarkStart w:id="14" w:name="page15"/>
    <w:bookmarkEnd w:id="14"/>
    <w:p>
      <w:pPr>
        <w:ind w:left="1860" w:hanging="555"/>
        <w:spacing w:after="0"/>
        <w:tabs>
          <w:tab w:leader="none" w:pos="1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at any time, review Data, require any necessary amendments to it or withdraw their consent herein by</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160" w:lineRule="exact"/>
        <w:rPr>
          <w:rFonts w:ascii="Times New Roman" w:cs="Times New Roman" w:eastAsia="Times New Roman" w:hAnsi="Times New Roman"/>
          <w:sz w:val="20"/>
          <w:szCs w:val="20"/>
          <w:color w:val="auto"/>
        </w:rPr>
      </w:pPr>
    </w:p>
    <w:p>
      <w:pPr>
        <w:ind w:firstLine="1305"/>
        <w:spacing w:after="0" w:line="325" w:lineRule="auto"/>
        <w:tabs>
          <w:tab w:leader="none" w:pos="177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will only be held as long as necessary to implement, administer and manage the Participant’s participation in the Sub-Plan and any subsequent claims or rights; and</w:t>
      </w:r>
    </w:p>
    <w:p>
      <w:pPr>
        <w:spacing w:after="0" w:line="146"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69"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pacing w:after="0" w:line="185"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6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 and rights no greater than the right to receive Shares or cash as a general unsecured creditor with respect to the RSUs, as and when settled pursuant to the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ectPr>
          <w:pgSz w:w="11900" w:h="16838" w:orient="portrait"/>
          <w:cols w:equalWidth="0" w:num="1">
            <w:col w:w="11420"/>
          </w:cols>
          <w:pgMar w:left="240" w:top="387" w:right="239" w:bottom="1440" w:gutter="0" w:footer="0" w:header="0"/>
        </w:sectPr>
      </w:pPr>
    </w:p>
    <w:bookmarkStart w:id="15" w:name="page16"/>
    <w:bookmarkEnd w:id="15"/>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7"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Special Provisions for RSUs Granted to Participants Outside the U.S</w:t>
      </w:r>
      <w:r>
        <w:rPr>
          <w:rFonts w:ascii="Times New Roman" w:cs="Times New Roman" w:eastAsia="Times New Roman" w:hAnsi="Times New Roman"/>
          <w:sz w:val="20"/>
          <w:szCs w:val="20"/>
          <w:color w:val="auto"/>
        </w:rPr>
        <w:t>. If Participant performs services for the Company or any Subsidiary outside of the United States, the RSUs shall be subject to the special provisions, if any, for Participant’s country of residence, as set forth in the Foreign Appendix.</w:t>
      </w:r>
    </w:p>
    <w:p>
      <w:pPr>
        <w:spacing w:after="0" w:line="169" w:lineRule="exact"/>
        <w:rPr>
          <w:sz w:val="20"/>
          <w:szCs w:val="20"/>
          <w:color w:val="auto"/>
        </w:rPr>
      </w:pPr>
    </w:p>
    <w:p>
      <w:pPr>
        <w:ind w:left="1720" w:hanging="415"/>
        <w:spacing w:after="0"/>
        <w:tabs>
          <w:tab w:leader="none" w:pos="1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relocates to one of the countries included in the Foreign Appendix during the life of this Award, the special</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60"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impose other requirements on this Award and any Shares received upon settlement of</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ectPr>
          <w:pgSz w:w="11900" w:h="16838" w:orient="portrait"/>
          <w:cols w:equalWidth="0" w:num="1">
            <w:col w:w="11420"/>
          </w:cols>
          <w:pgMar w:left="240" w:top="38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RESTRICTED STOCK UNIT AWARD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RESTRICTED STOCK UNITS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PARTICIPANTS OUTSIDE THE U.S.</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This Exhibit B includes special terms and conditions applicable to Participants in the countries below. These terms and conditions are in addition to those set forth in the RSU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RSUs are settled or any Shares acquired under the Sub-Plan are sold.</w:t>
      </w:r>
    </w:p>
    <w:p>
      <w:pPr>
        <w:spacing w:after="0" w:line="18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Sub-Plan is enclosed with this Grant Notice and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The Sub-Plan, the Agreement and this Grant Notice do not constitute financial advice</w:t>
      </w:r>
    </w:p>
    <w:p>
      <w:pPr>
        <w:spacing w:after="0" w:line="2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Any advice given by the Company in relation to the Grant Notice, the Agreement, the Sub-Plan, the RSUs or the Shares does not constitute financial advice and does not take into account your objectives, financial situation and needs. In considering the RSUs and the amount of cash and/or Shares that you will receive on vesting of the RSUs, you should consider the risk factors that could affect the performance of the Company and the value of RSUs and Shares, which value can increase or decrease from time to time, and the amount of any Tax Liability.</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RSUs or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ectPr>
          <w:pgSz w:w="11900" w:h="16838" w:orient="portrait"/>
          <w:cols w:equalWidth="0" w:num="1">
            <w:col w:w="11420"/>
          </w:cols>
          <w:pgMar w:left="240" w:top="356" w:right="2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b w:val="1"/>
          <w:bCs w:val="1"/>
          <w:color w:val="auto"/>
        </w:rPr>
        <w:t>How to calculate values in Australian dollars</w:t>
      </w:r>
    </w:p>
    <w:p>
      <w:pPr>
        <w:spacing w:after="0" w:line="260" w:lineRule="exact"/>
        <w:rPr>
          <w:sz w:val="20"/>
          <w:szCs w:val="20"/>
          <w:color w:val="auto"/>
        </w:rPr>
      </w:pPr>
    </w:p>
    <w:p>
      <w:pPr>
        <w:jc w:val="both"/>
        <w:ind w:firstLine="648"/>
        <w:spacing w:after="0" w:line="340" w:lineRule="auto"/>
        <w:rPr>
          <w:sz w:val="20"/>
          <w:szCs w:val="20"/>
          <w:color w:val="auto"/>
        </w:rPr>
      </w:pPr>
      <w:r>
        <w:rPr>
          <w:rFonts w:ascii="Times New Roman" w:cs="Times New Roman" w:eastAsia="Times New Roman" w:hAnsi="Times New Roman"/>
          <w:sz w:val="19"/>
          <w:szCs w:val="19"/>
          <w:color w:val="auto"/>
        </w:rPr>
        <w:t>Your RSUs will vest in accordance with the Grant Notice and the Agreement (which require certain conditions to be met) and are subject to a four year graded vesting schedule. The RSUs may result in Shares or cash being given to you, in accordance with the Grant Notice.</w:t>
      </w:r>
    </w:p>
    <w:p>
      <w:pPr>
        <w:spacing w:after="0" w:line="1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will not be required to pay any amount for the RSUs or any Shares that will be issued to you upon vesting. However the amount of cash or number of Shares you receive will depend on the market price of Shares at the time and the amount of any Tax Liability in connection with the grant and vesting of the RSUs and the issue of any Shares.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can ascertain the market price of a Share in the Company in United States Dollars (“USD”) from time to time by visiting either:</w:t>
      </w:r>
    </w:p>
    <w:p>
      <w:pPr>
        <w:spacing w:after="0" w:line="256" w:lineRule="exact"/>
        <w:rPr>
          <w:sz w:val="20"/>
          <w:szCs w:val="20"/>
          <w:color w:val="auto"/>
        </w:rPr>
      </w:pPr>
    </w:p>
    <w:p>
      <w:pPr>
        <w:ind w:left="880" w:hanging="224"/>
        <w:spacing w:after="0"/>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website (http://www.livanova.com/investor-relations/stock-information); or</w:t>
      </w:r>
    </w:p>
    <w:p>
      <w:pPr>
        <w:spacing w:after="0" w:line="256" w:lineRule="exact"/>
        <w:rPr>
          <w:rFonts w:ascii="Times New Roman" w:cs="Times New Roman" w:eastAsia="Times New Roman" w:hAnsi="Times New Roman"/>
          <w:sz w:val="20"/>
          <w:szCs w:val="20"/>
          <w:color w:val="auto"/>
        </w:rPr>
      </w:pPr>
    </w:p>
    <w:p>
      <w:pPr>
        <w:ind w:left="880" w:hanging="224"/>
        <w:spacing w:after="0"/>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NASDAQ website (http://www.nasdaq.com/symbol/livn).</w:t>
      </w:r>
    </w:p>
    <w:p>
      <w:pPr>
        <w:spacing w:after="0" w:line="25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0" w:lineRule="exact"/>
        <w:rPr>
          <w:sz w:val="20"/>
          <w:szCs w:val="20"/>
          <w:color w:val="auto"/>
        </w:rPr>
      </w:pPr>
    </w:p>
    <w:p>
      <w:pPr>
        <w:ind w:right="74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RSUs shall only be distributed in Shares (either in book-entry form or otherwise), and no portion of the Participant’s RSUs shall be payable to the Participant in cash.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0" w:lineRule="exact"/>
        <w:rPr>
          <w:sz w:val="20"/>
          <w:szCs w:val="20"/>
          <w:color w:val="auto"/>
        </w:rPr>
      </w:pPr>
    </w:p>
    <w:p>
      <w:pPr>
        <w:ind w:right="28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RSUs shall only be settled in cash, and no portion of the Participant’s RSUs shall be distributed in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If the Participant is employed by a French subsidiary of the Group, the terms and conditions provided in the French Sub-Plan will apply, in addition to the terms set out below. References in the Agreement to “Sub-Plan” shall be references to the “French Sub-Plan”.</w:t>
      </w:r>
    </w:p>
    <w:p>
      <w:pPr>
        <w:spacing w:after="0" w:line="120" w:lineRule="exact"/>
        <w:rPr>
          <w:sz w:val="20"/>
          <w:szCs w:val="20"/>
          <w:color w:val="auto"/>
        </w:rPr>
      </w:pPr>
    </w:p>
    <w:p>
      <w:pPr>
        <w:jc w:val="both"/>
        <w:ind w:right="220"/>
        <w:spacing w:after="0" w:line="296" w:lineRule="auto"/>
        <w:rPr>
          <w:sz w:val="20"/>
          <w:szCs w:val="20"/>
          <w:color w:val="auto"/>
        </w:rPr>
      </w:pPr>
      <w:r>
        <w:rPr>
          <w:rFonts w:ascii="Times New Roman" w:cs="Times New Roman" w:eastAsia="Times New Roman" w:hAnsi="Times New Roman"/>
          <w:sz w:val="20"/>
          <w:szCs w:val="20"/>
          <w:color w:val="auto"/>
        </w:rPr>
        <w:t>Participant’s RSUs shall only be distributed in Shares (either in book-entry form or otherwise), and no portion of the Participant’s RSUs shall be payable to the Participant in cash. Participant cannot benefit from any Dividend Equivalent provided for under Sections 2.1 and 2.2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at Section 2.7 of the Agreement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Holding Period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1180"/>
        <w:spacing w:after="0" w:line="296" w:lineRule="auto"/>
        <w:tabs>
          <w:tab w:leader="none" w:pos="12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Times New Roman" w:cs="Times New Roman" w:eastAsia="Times New Roman" w:hAnsi="Times New Roman"/>
          <w:sz w:val="20"/>
          <w:szCs w:val="20"/>
          <w:u w:val="single" w:color="auto"/>
          <w:color w:val="auto"/>
        </w:rPr>
        <w:t>Holding Period</w:t>
      </w:r>
      <w:r>
        <w:rPr>
          <w:rFonts w:ascii="Times New Roman" w:cs="Times New Roman" w:eastAsia="Times New Roman" w:hAnsi="Times New Roman"/>
          <w:sz w:val="20"/>
          <w:szCs w:val="20"/>
          <w:color w:val="auto"/>
        </w:rPr>
        <w:t>”) (as such terms are defined in the French Sub-Plan).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w:t>
      </w:r>
    </w:p>
    <w:p>
      <w:pPr>
        <w:sectPr>
          <w:pgSz w:w="11900" w:h="16838" w:orient="portrait"/>
          <w:cols w:equalWidth="0" w:num="1">
            <w:col w:w="11420"/>
          </w:cols>
          <w:pgMar w:left="240" w:top="383" w:right="239" w:bottom="1440" w:gutter="0" w:footer="0" w:header="0"/>
        </w:sectPr>
      </w:pPr>
    </w:p>
    <w:bookmarkStart w:id="18" w:name="page19"/>
    <w:bookmarkEnd w:id="18"/>
    <w:p>
      <w:pPr>
        <w:ind w:left="2160" w:hanging="1180"/>
        <w:spacing w:after="0" w:line="291"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35" w:lineRule="exact"/>
        <w:rPr>
          <w:rFonts w:ascii="Times New Roman" w:cs="Times New Roman" w:eastAsia="Times New Roman" w:hAnsi="Times New Roman"/>
          <w:sz w:val="20"/>
          <w:szCs w:val="20"/>
          <w:color w:val="auto"/>
        </w:rPr>
      </w:pPr>
    </w:p>
    <w:p>
      <w:pPr>
        <w:ind w:left="2160" w:hanging="1180"/>
        <w:spacing w:after="0" w:line="296"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29" w:lineRule="exact"/>
        <w:rPr>
          <w:rFonts w:ascii="Times New Roman" w:cs="Times New Roman" w:eastAsia="Times New Roman" w:hAnsi="Times New Roman"/>
          <w:sz w:val="20"/>
          <w:szCs w:val="20"/>
          <w:color w:val="auto"/>
        </w:rPr>
      </w:pPr>
    </w:p>
    <w:p>
      <w:pPr>
        <w:ind w:left="2160" w:hanging="1180"/>
        <w:spacing w:after="0" w:line="289"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35" w:lineRule="exact"/>
        <w:rPr>
          <w:rFonts w:ascii="Times New Roman" w:cs="Times New Roman" w:eastAsia="Times New Roman" w:hAnsi="Times New Roman"/>
          <w:sz w:val="20"/>
          <w:szCs w:val="20"/>
          <w:color w:val="auto"/>
        </w:rPr>
      </w:pPr>
    </w:p>
    <w:p>
      <w:pPr>
        <w:ind w:left="2160" w:hanging="1180"/>
        <w:spacing w:after="0" w:line="286"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Times New Roman" w:cs="Times New Roman" w:eastAsia="Times New Roman" w:hAnsi="Times New Roman"/>
          <w:sz w:val="20"/>
          <w:szCs w:val="20"/>
          <w:color w:val="auto"/>
        </w:rPr>
      </w:pPr>
    </w:p>
    <w:p>
      <w:pPr>
        <w:ind w:left="2160" w:right="20" w:hanging="1180"/>
        <w:spacing w:after="0" w:line="311" w:lineRule="auto"/>
        <w:tabs>
          <w:tab w:leader="none" w:pos="12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agrees that Merrill Lynch may discuss with and disclose to LivaNova plc any information relating to their account for the purposes of any sale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19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20"/>
          <w:szCs w:val="20"/>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w:t>
      </w:r>
    </w:p>
    <w:p>
      <w:pPr>
        <w:sectPr>
          <w:pgSz w:w="11900" w:h="16838" w:orient="portrait"/>
          <w:cols w:equalWidth="0" w:num="1">
            <w:col w:w="11420"/>
          </w:cols>
          <w:pgMar w:left="240" w:top="387" w:right="239" w:bottom="1440" w:gutter="0" w:footer="0" w:header="0"/>
        </w:sectPr>
      </w:pPr>
    </w:p>
    <w:bookmarkStart w:id="19" w:name="page20"/>
    <w:bookmarkEnd w:id="19"/>
    <w:p>
      <w:pPr>
        <w:ind w:right="180"/>
        <w:spacing w:after="0" w:line="243" w:lineRule="auto"/>
        <w:rPr>
          <w:sz w:val="20"/>
          <w:szCs w:val="20"/>
          <w:color w:val="auto"/>
        </w:rPr>
      </w:pPr>
      <w:r>
        <w:rPr>
          <w:rFonts w:ascii="Times New Roman" w:cs="Times New Roman" w:eastAsia="Times New Roman" w:hAnsi="Times New Roman"/>
          <w:sz w:val="20"/>
          <w:szCs w:val="20"/>
          <w:color w:val="auto"/>
        </w:rPr>
        <w:t>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“Tax Liability” in Section 2.5:</w:t>
      </w:r>
    </w:p>
    <w:p>
      <w:pPr>
        <w:spacing w:after="0" w:line="220"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For the avoidance of doubt, the definition of “Tax Liability” shall only include the employee portions of the social security contributions.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sentence is inserted at Section 3.1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the Administrator’s decisions and interpretations shall be subject to reasonable discretion.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heading of Section 3.12 shall be supplemented and read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Section 3.12 RSUs Not Part of Employment Compensation, No Legal Claim to Grant(s)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287" w:lineRule="auto"/>
        <w:tabs>
          <w:tab w:leader="none" w:pos="1913"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1"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78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29" w:lineRule="exact"/>
        <w:rPr>
          <w:rFonts w:ascii="Times New Roman" w:cs="Times New Roman" w:eastAsia="Times New Roman" w:hAnsi="Times New Roman"/>
          <w:sz w:val="20"/>
          <w:szCs w:val="20"/>
          <w:b w:val="1"/>
          <w:bCs w:val="1"/>
          <w:color w:val="auto"/>
        </w:rPr>
      </w:pPr>
    </w:p>
    <w:p>
      <w:pPr>
        <w:ind w:left="1720" w:hanging="415"/>
        <w:spacing w:after="0"/>
        <w:tabs>
          <w:tab w:leader="none" w:pos="17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this section applies to any Data held, used or disclosed in any medium;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w:t>
      </w:r>
    </w:p>
    <w:p>
      <w:pPr>
        <w:sectPr>
          <w:pgSz w:w="11900" w:h="16838" w:orient="portrait"/>
          <w:cols w:equalWidth="0" w:num="1">
            <w:col w:w="11420"/>
          </w:cols>
          <w:pgMar w:left="240" w:top="360" w:right="239" w:bottom="1440" w:gutter="0" w:footer="0" w:header="0"/>
        </w:sectPr>
      </w:pPr>
    </w:p>
    <w:bookmarkStart w:id="20" w:name="page21"/>
    <w:bookmarkEnd w:id="20"/>
    <w:p>
      <w:pPr>
        <w:ind w:firstLine="1278"/>
        <w:spacing w:after="0" w:line="315" w:lineRule="auto"/>
        <w:tabs>
          <w:tab w:leader="none" w:pos="1871"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12" w:lineRule="exact"/>
        <w:rPr>
          <w:rFonts w:ascii="Times New Roman" w:cs="Times New Roman" w:eastAsia="Times New Roman" w:hAnsi="Times New Roman"/>
          <w:sz w:val="20"/>
          <w:szCs w:val="20"/>
          <w:b w:val="1"/>
          <w:bCs w:val="1"/>
          <w:color w:val="auto"/>
        </w:rPr>
      </w:pPr>
    </w:p>
    <w:p>
      <w:pPr>
        <w:ind w:right="20" w:firstLine="1278"/>
        <w:spacing w:after="0" w:line="315" w:lineRule="auto"/>
        <w:tabs>
          <w:tab w:leader="none" w:pos="190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will only be held as long as necessary to implement, administer, manage and account Participant’s participation in the Sub-Plan and any subsequent claims or rights;</w:t>
      </w:r>
    </w:p>
    <w:p>
      <w:pPr>
        <w:spacing w:after="0" w:line="112"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877" w:val="left"/>
        </w:tabs>
        <w:numPr>
          <w:ilvl w:val="1"/>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33"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as Section 2.5 (f) of the Agreement</w:t>
      </w:r>
    </w:p>
    <w:p>
      <w:pPr>
        <w:spacing w:after="0" w:line="26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RSUs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- 5</w:t>
      </w:r>
    </w:p>
    <w:p>
      <w:pPr>
        <w:sectPr>
          <w:pgSz w:w="11900" w:h="16838" w:orient="portrait"/>
          <w:cols w:equalWidth="0" w:num="1">
            <w:col w:w="11420"/>
          </w:cols>
          <w:pgMar w:left="240" w:top="383"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10.3</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INCENTIVE AWARD SUB-PLAN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APPRECIATION RIGHT GRANT NOTICE AND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APPRECIATION RIGHT AGREEMENT</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color w:val="auto"/>
        </w:rPr>
        <w:t>LivaNova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Incentive Award Plan (including where relevant the Sub-Plan for UK Participants), as amended from time to time (the “</w:t>
      </w:r>
      <w:r>
        <w:rPr>
          <w:rFonts w:ascii="Times New Roman" w:cs="Times New Roman" w:eastAsia="Times New Roman" w:hAnsi="Times New Roman"/>
          <w:sz w:val="20"/>
          <w:szCs w:val="20"/>
          <w:u w:val="single" w:color="auto"/>
          <w:color w:val="auto"/>
        </w:rPr>
        <w:t>Sub-Plan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award of stock appreciation rights over the number of ordinary shares of the Company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SARs</w:t>
      </w:r>
      <w:r>
        <w:rPr>
          <w:rFonts w:ascii="Times New Roman" w:cs="Times New Roman" w:eastAsia="Times New Roman" w:hAnsi="Times New Roman"/>
          <w:sz w:val="20"/>
          <w:szCs w:val="20"/>
          <w:color w:val="auto"/>
        </w:rPr>
        <w:t>”). Upon exercise, each SAR represents the right to receive an amount equal to the Fair Market Value of one Share on the date of exercise less the Exercise Price per Share set forth below. Payment of such amount shall be in cash, Shares (based on their Fair Market Value as of the date the SAR is exercised) or a combination of both, as determined by the Administrator. The SARs are subject to the terms and conditions set forth in this SAR Grant Notice (this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the SAR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Sub-Plan and the special provisions for Participant’s country of residence, if any,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Foreign Appendix</w:t>
      </w:r>
      <w:r>
        <w:rPr>
          <w:rFonts w:ascii="Times New Roman" w:cs="Times New Roman" w:eastAsia="Times New Roman" w:hAnsi="Times New Roman"/>
          <w:sz w:val="20"/>
          <w:szCs w:val="20"/>
          <w:color w:val="auto"/>
        </w:rPr>
        <w:t>”), each of which is incorporated herein by reference. Unless otherwise defined herein, the terms defined in (or by reference in) the Sub-Plan shall have the same defined meanings in this Grant Notice and the Agreement.</w:t>
      </w:r>
    </w:p>
    <w:p>
      <w:pPr>
        <w:sectPr>
          <w:pgSz w:w="11900" w:h="16838" w:orient="portrait"/>
          <w:cols w:equalWidth="0" w:num="1">
            <w:col w:w="11420"/>
          </w:cols>
          <w:pgMar w:left="240" w:top="855" w:right="239" w:bottom="1440" w:gutter="0" w:footer="0" w:header="0"/>
        </w:sectPr>
      </w:pPr>
    </w:p>
    <w:p>
      <w:pPr>
        <w:spacing w:after="0" w:line="3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color w:val="auto"/>
        </w:rPr>
        <w:t>Total Number of Shares Subject to</w:t>
      </w: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SARs: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30, 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Tenth anniversary of the Grant Date.</w:t>
      </w:r>
    </w:p>
    <w:p>
      <w:pPr>
        <w:spacing w:after="0" w:line="189" w:lineRule="exact"/>
        <w:rPr>
          <w:sz w:val="20"/>
          <w:szCs w:val="20"/>
          <w:color w:val="auto"/>
        </w:rPr>
      </w:pPr>
    </w:p>
    <w:p>
      <w:pPr>
        <w:ind w:left="60" w:right="440"/>
        <w:spacing w:after="0" w:line="254" w:lineRule="auto"/>
        <w:rPr>
          <w:sz w:val="20"/>
          <w:szCs w:val="20"/>
          <w:color w:val="auto"/>
        </w:rPr>
      </w:pPr>
      <w:r>
        <w:rPr>
          <w:rFonts w:ascii="Times New Roman" w:cs="Times New Roman" w:eastAsia="Times New Roman" w:hAnsi="Times New Roman"/>
          <w:sz w:val="20"/>
          <w:szCs w:val="20"/>
          <w:color w:val="auto"/>
        </w:rPr>
        <w:t>Subject to the terms and conditions of the Agreement, the SARs shall vest in equal installments of 25% of the total number of Shares subject to the SARs on each of the first four anniversaries of the Grant Date.</w:t>
      </w:r>
    </w:p>
    <w:p>
      <w:pPr>
        <w:spacing w:after="0" w:line="200" w:lineRule="exact"/>
        <w:rPr>
          <w:sz w:val="20"/>
          <w:szCs w:val="20"/>
          <w:color w:val="auto"/>
        </w:rPr>
      </w:pPr>
    </w:p>
    <w:p>
      <w:pPr>
        <w:sectPr>
          <w:pgSz w:w="11900" w:h="16838" w:orient="portrait"/>
          <w:cols w:equalWidth="0" w:num="2">
            <w:col w:w="3140" w:space="700"/>
            <w:col w:w="7580"/>
          </w:cols>
          <w:pgMar w:left="240" w:top="855" w:right="239" w:bottom="1440" w:gutter="0" w:footer="0" w:header="0"/>
          <w:type w:val="continuous"/>
        </w:sectPr>
      </w:pPr>
    </w:p>
    <w:p>
      <w:pPr>
        <w:spacing w:after="0" w:line="2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this Agreement and fully understands all provisions of this Grant Notice, the Agreement, the Foreign Appendix, if applicable, and the Sub-Plan.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161"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By clicking "ACCEPT" you confirm that you understand and agree to be bound by the provisions below. This will apply where the Company elects that any tax liability arising in respect of your SARs shall be satisfied pursuant to Section 4.5(a)(v).</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855" w:right="239" w:bottom="1440" w:gutter="0" w:footer="0" w:header="0"/>
          <w:type w:val="continuous"/>
        </w:sectPr>
      </w:pPr>
    </w:p>
    <w:bookmarkStart w:id="22" w:name="page23"/>
    <w:bookmarkEnd w:id="22"/>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stock appreciation rights ("SARs") equity award(s) (“Tax”), including any previously vested SAR awards that are currently pending settlement (1) or outstanding unvested SAR awards (2). This instruction will only be valid for my limited purpose brokerage account at Merrill Lynch and will not be valid for any other broker dealer. Merrill Lynch will sell an amount of shares on the next trading day after the vest or payment date of my SAR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Times New Roman" w:cs="Times New Roman" w:eastAsia="Times New Roman" w:hAnsi="Times New Roman"/>
          <w:sz w:val="20"/>
          <w:szCs w:val="20"/>
          <w:b w:val="1"/>
          <w:bCs w:val="1"/>
          <w:color w:val="auto"/>
        </w:rPr>
        <w:t>Any residual cash after payment of the Tax, commissions and fees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deposited into my Merrill Lynch brokerage account.</w:t>
      </w:r>
    </w:p>
    <w:p>
      <w:pPr>
        <w:spacing w:after="0" w:line="20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permit Merrill Lynch to discuss with and disclose to LivaNova plc any information relating to my account for the purposes of this transaction.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You must also check your W-9 or W-8 tax certification</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color w:val="auto"/>
        </w:rPr>
        <w:t xml:space="preserve"> to confirm it will be in effect on the sale date(s).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166"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166" w:lineRule="exact"/>
        <w:rPr>
          <w:sz w:val="20"/>
          <w:szCs w:val="20"/>
          <w:color w:val="auto"/>
        </w:rPr>
      </w:pPr>
    </w:p>
    <w:p>
      <w:pPr>
        <w:ind w:right="660" w:firstLine="8"/>
        <w:spacing w:after="0" w:line="273" w:lineRule="auto"/>
        <w:tabs>
          <w:tab w:leader="none" w:pos="2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832"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STOCK APPRECIATION RIGHT GRANT NOTICE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APPRECIATION RIGHT AGREEMENT</w:t>
      </w:r>
    </w:p>
    <w:p>
      <w:pPr>
        <w:spacing w:after="0" w:line="26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Pursuant to the Stock Appreciation Right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to which this Stock Appreciation Right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attached, LivaNova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granted to Participant Stock Appreciation Rights (“</w:t>
      </w:r>
      <w:r>
        <w:rPr>
          <w:rFonts w:ascii="Times New Roman" w:cs="Times New Roman" w:eastAsia="Times New Roman" w:hAnsi="Times New Roman"/>
          <w:sz w:val="20"/>
          <w:szCs w:val="20"/>
          <w:u w:val="single" w:color="auto"/>
          <w:color w:val="auto"/>
        </w:rPr>
        <w:t>SARs</w:t>
      </w:r>
      <w:r>
        <w:rPr>
          <w:rFonts w:ascii="Times New Roman" w:cs="Times New Roman" w:eastAsia="Times New Roman" w:hAnsi="Times New Roman"/>
          <w:sz w:val="20"/>
          <w:szCs w:val="20"/>
          <w:color w:val="auto"/>
        </w:rPr>
        <w:t>”) under the Company’s 2015 Incentive Award Plan (including where relevant the Sub-Plan for UK Participants), as amended from time to time (the "</w:t>
      </w:r>
      <w:r>
        <w:rPr>
          <w:rFonts w:ascii="Times New Roman" w:cs="Times New Roman" w:eastAsia="Times New Roman" w:hAnsi="Times New Roman"/>
          <w:sz w:val="20"/>
          <w:szCs w:val="20"/>
          <w:u w:val="single" w:color="auto"/>
          <w:color w:val="auto"/>
        </w:rPr>
        <w:t>Sub-Plan</w:t>
      </w:r>
      <w:r>
        <w:rPr>
          <w:rFonts w:ascii="Times New Roman" w:cs="Times New Roman" w:eastAsia="Times New Roman" w:hAnsi="Times New Roman"/>
          <w:sz w:val="20"/>
          <w:szCs w:val="20"/>
          <w:color w:val="auto"/>
        </w:rPr>
        <w:t>") over the number of Shares set forth in the Grant Notice.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u w:val="single" w:color="auto"/>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not specifically defined herein shall have the meanings specified in the Sub-Plan or the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Notice. For purposes of this Agreement:</w:t>
      </w:r>
    </w:p>
    <w:p>
      <w:pPr>
        <w:spacing w:after="0" w:line="283" w:lineRule="exact"/>
        <w:rPr>
          <w:sz w:val="20"/>
          <w:szCs w:val="20"/>
          <w:color w:val="auto"/>
        </w:rPr>
      </w:pPr>
    </w:p>
    <w:p>
      <w:pPr>
        <w:jc w:val="both"/>
        <w:ind w:left="120" w:firstLine="1293"/>
        <w:spacing w:after="0" w:line="314" w:lineRule="auto"/>
        <w:tabs>
          <w:tab w:leader="none" w:pos="187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“Disability” shall be defined as in Participant’s employment letter or agreement with the Company or a Subsidiary, as 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that can be expected to result in death or that can be expected to last for a continuous period of not less than 12 months.</w:t>
      </w:r>
    </w:p>
    <w:p>
      <w:pPr>
        <w:spacing w:after="0" w:line="166" w:lineRule="exact"/>
        <w:rPr>
          <w:sz w:val="20"/>
          <w:szCs w:val="20"/>
          <w:color w:val="auto"/>
        </w:rPr>
      </w:pPr>
    </w:p>
    <w:p>
      <w:pPr>
        <w:jc w:val="both"/>
        <w:ind w:firstLine="648"/>
        <w:spacing w:after="0" w:line="332"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Incorporation of Terms of Sub-Plan and Foreign Appendix</w:t>
      </w:r>
      <w:r>
        <w:rPr>
          <w:rFonts w:ascii="Times New Roman" w:cs="Times New Roman" w:eastAsia="Times New Roman" w:hAnsi="Times New Roman"/>
          <w:sz w:val="19"/>
          <w:szCs w:val="19"/>
          <w:color w:val="auto"/>
        </w:rPr>
        <w:t>. The SARs and the Shares issued to the Participant hereunder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are subject to the terms and conditions set forth in the Sub-Plan and the Foreign Appendix, if applicable, each of which is incorporated herein by reference, as well as this Agreement. In the event of any inconsistency between the Sub-Plan and this Agreement, the terms of the Sub-Plan shall control. In the event of any inconsistency between the Sub-Plan and/or this Agreement with the Foreign Appendix, the terms of the Foreign Appendix shall control.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SARS</w:t>
      </w:r>
    </w:p>
    <w:p>
      <w:pPr>
        <w:spacing w:after="0" w:line="256"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Grant of SARs</w:t>
      </w:r>
      <w:r>
        <w:rPr>
          <w:rFonts w:ascii="Times New Roman" w:cs="Times New Roman" w:eastAsia="Times New Roman" w:hAnsi="Times New Roman"/>
          <w:sz w:val="19"/>
          <w:szCs w:val="19"/>
          <w:color w:val="auto"/>
        </w:rPr>
        <w:t>. In consideration of Participant’s past and/or continued employment with the Company or a Subsidiary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for other good and valuable consideration, effective as of the grant date set forth in the Grant Notice (the “</w:t>
      </w: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the Company has granted to Participant the SARs over the aggregate number of Shares set forth in the Grant Notice, upon the terms and conditions set forth in the Grant Notice, the Sub-Plan, the Foreign Appendix, if applicable, and this Agreement, subject to adjustment as provided in Section 13.2 of the Sub-Plan.</w:t>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exercise price per share of the Shares covered by the SARs (the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shall be as set forth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the Grant Notice.</w:t>
      </w:r>
    </w:p>
    <w:p>
      <w:pPr>
        <w:spacing w:after="0" w:line="103" w:lineRule="exact"/>
        <w:rPr>
          <w:sz w:val="20"/>
          <w:szCs w:val="20"/>
          <w:color w:val="auto"/>
        </w:rPr>
      </w:pPr>
    </w:p>
    <w:p>
      <w:pPr>
        <w:jc w:val="both"/>
        <w:ind w:right="20"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Consideration to the Company</w:t>
      </w:r>
      <w:r>
        <w:rPr>
          <w:rFonts w:ascii="Times New Roman" w:cs="Times New Roman" w:eastAsia="Times New Roman" w:hAnsi="Times New Roman"/>
          <w:sz w:val="19"/>
          <w:szCs w:val="19"/>
          <w:color w:val="auto"/>
        </w:rPr>
        <w:t>. In consideration of the grant of the SARs by the Company, Participant agrees to render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faithful and efficient services to the Company or any Subsidiary.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855" w:right="239" w:bottom="1440" w:gutter="0" w:footer="0" w:header="0"/>
        </w:sectPr>
      </w:pPr>
    </w:p>
    <w:bookmarkStart w:id="24" w:name="page25"/>
    <w:bookmarkEnd w:id="24"/>
    <w:p>
      <w:pPr>
        <w:jc w:val="both"/>
        <w:spacing w:after="0" w:line="289" w:lineRule="auto"/>
        <w:rPr>
          <w:sz w:val="20"/>
          <w:szCs w:val="20"/>
          <w:color w:val="auto"/>
        </w:rPr>
      </w:pPr>
      <w:r>
        <w:rPr>
          <w:rFonts w:ascii="Times New Roman" w:cs="Times New Roman" w:eastAsia="Times New Roman" w:hAnsi="Times New Roman"/>
          <w:sz w:val="20"/>
          <w:szCs w:val="20"/>
          <w:color w:val="auto"/>
        </w:rPr>
        <w:t>Nothing in the Sub-Plan, the Grant Notice, the Foreign Appendix, if applicable or this Agreement shall confer upon Participant any right to continue in the employ of the Company or any Subsidiary or shall interfere with or restrict in any way the rights of the Company and the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5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u w:val="single" w:color="auto"/>
          <w:color w:val="auto"/>
        </w:rPr>
        <w:t>Section 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spacing w:after="0" w:line="292" w:lineRule="exact"/>
        <w:rPr>
          <w:sz w:val="20"/>
          <w:szCs w:val="20"/>
          <w:color w:val="auto"/>
        </w:rPr>
      </w:pPr>
    </w:p>
    <w:p>
      <w:pPr>
        <w:jc w:val="both"/>
        <w:ind w:left="120" w:firstLine="1293"/>
        <w:spacing w:after="0" w:line="316" w:lineRule="auto"/>
        <w:tabs>
          <w:tab w:leader="none" w:pos="18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Participant’s continued employment with the Company or a Subsidiary on each applicable vesting date and subject to Sections 3.1(b), (c), (d), 3.2 and 3.3 hereof, the SARs shall become vested and exercisable in such amounts and at such times as are set forth in the Grant Notice.</w:t>
      </w:r>
    </w:p>
    <w:p>
      <w:pPr>
        <w:spacing w:after="0" w:line="182" w:lineRule="exact"/>
        <w:rPr>
          <w:rFonts w:ascii="Times New Roman" w:cs="Times New Roman" w:eastAsia="Times New Roman" w:hAnsi="Times New Roman"/>
          <w:sz w:val="22"/>
          <w:szCs w:val="22"/>
          <w:color w:val="auto"/>
        </w:rPr>
      </w:pPr>
    </w:p>
    <w:p>
      <w:pPr>
        <w:jc w:val="both"/>
        <w:ind w:left="120" w:firstLine="1293"/>
        <w:spacing w:after="0" w:line="316" w:lineRule="auto"/>
        <w:tabs>
          <w:tab w:leader="none" w:pos="18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0D0D0D"/>
        </w:rPr>
        <w:t>In the event a Participant incurs a Termination of Service due to an Approved Retirement, the Participant’s outstanding SARs will not be forfeited upon such Approved Retirement, but instead outstanding SARs shall continue to vest on the date(s) set out in the Grant Notice (provided all other terms which apply to the SARs are met, including the terms regarding restricted activities set forth below).</w:t>
      </w:r>
    </w:p>
    <w:p>
      <w:pPr>
        <w:spacing w:after="0" w:line="14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“Approved Retirement” means a Termination of Service designated by the Committee, in its absolute discretion, as an Approved Retirement.</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exercising its discretion in designating a Termination of Service as an Approved Retirement, the Committee will strongly consider management recommendations based on each specific situation including the Participant's written and expressed commitment at the time of Termination of Service to cease any form of paid work or economic activity (including, but not limited to, self-employment; agency work; employment; non-executive directorship),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SARs unvested at such time shall be immediately forfeited for no consideration. For the purposes of this Section 3.1(b),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SARs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 operate, in each case with which the Participant has been materially involved or for which the Participant was responsible in the 12 months immediately before his or her Termination of Service..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859" w:right="239" w:bottom="1440" w:gutter="0" w:footer="0" w:header="0"/>
        </w:sectPr>
      </w:pPr>
    </w:p>
    <w:bookmarkStart w:id="25" w:name="page26"/>
    <w:bookmarkEnd w:id="25"/>
    <w:p>
      <w:pPr>
        <w:jc w:val="both"/>
        <w:ind w:left="120" w:firstLine="1293"/>
        <w:spacing w:after="0" w:line="316" w:lineRule="auto"/>
        <w:tabs>
          <w:tab w:leader="none" w:pos="193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of a Change in Control that occurs following the Grant Date, the SARs shall become fully vested and exercisable immediately prior to, but subject to the consummation of, such Change in Control, subject to Participant’s continuous employment with the Company or a Subsidiary through such Change in Control.</w:t>
      </w:r>
    </w:p>
    <w:p>
      <w:pPr>
        <w:spacing w:after="0" w:line="182" w:lineRule="exact"/>
        <w:rPr>
          <w:rFonts w:ascii="Times New Roman" w:cs="Times New Roman" w:eastAsia="Times New Roman" w:hAnsi="Times New Roman"/>
          <w:sz w:val="22"/>
          <w:szCs w:val="22"/>
          <w:color w:val="auto"/>
        </w:rPr>
      </w:pPr>
    </w:p>
    <w:p>
      <w:pPr>
        <w:ind w:left="120" w:right="20" w:firstLine="1293"/>
        <w:spacing w:after="0" w:line="329" w:lineRule="auto"/>
        <w:tabs>
          <w:tab w:leader="none" w:pos="184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of Participant’s Termination of Service due to Participant’s death or Disability, the SARs shall become fully vested and exercisable upon such Termination of Service.</w:t>
      </w:r>
    </w:p>
    <w:p>
      <w:pPr>
        <w:spacing w:after="0" w:line="161" w:lineRule="exact"/>
        <w:rPr>
          <w:rFonts w:ascii="Times New Roman" w:cs="Times New Roman" w:eastAsia="Times New Roman" w:hAnsi="Times New Roman"/>
          <w:sz w:val="22"/>
          <w:szCs w:val="22"/>
          <w:color w:val="auto"/>
        </w:rPr>
      </w:pPr>
    </w:p>
    <w:p>
      <w:pPr>
        <w:jc w:val="both"/>
        <w:ind w:left="120" w:firstLine="1293"/>
        <w:spacing w:after="0" w:line="314" w:lineRule="auto"/>
        <w:tabs>
          <w:tab w:leader="none" w:pos="190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determined by the Administrator or as set forth in a written agreement between Participant and the Company, except as provided in Section 3.1(b), any portion of the SARs that has not become vested and exercisable on or prior to the date of Participant’s Termination of Service shall be forfeited on the date of Participant’s Termination of Service and shall not thereafter become vested or exercisable.</w:t>
      </w:r>
    </w:p>
    <w:p>
      <w:pPr>
        <w:spacing w:after="0" w:line="166" w:lineRule="exact"/>
        <w:rPr>
          <w:sz w:val="20"/>
          <w:szCs w:val="20"/>
          <w:color w:val="auto"/>
        </w:rPr>
      </w:pPr>
    </w:p>
    <w:p>
      <w:pPr>
        <w:jc w:val="both"/>
        <w:ind w:firstLine="648"/>
        <w:spacing w:after="0" w:line="339" w:lineRule="auto"/>
        <w:rPr>
          <w:sz w:val="20"/>
          <w:szCs w:val="20"/>
          <w:color w:val="auto"/>
        </w:rPr>
      </w:pP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Duration of Exercisability</w:t>
      </w:r>
      <w:r>
        <w:rPr>
          <w:rFonts w:ascii="Times New Roman" w:cs="Times New Roman" w:eastAsia="Times New Roman" w:hAnsi="Times New Roman"/>
          <w:sz w:val="19"/>
          <w:szCs w:val="19"/>
          <w:color w:val="auto"/>
        </w:rPr>
        <w:t>. The installments provided for in the vesting schedule set forth in the Grant Notice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cumulative. Each such installment that becomes vested and exercisable pursuant to the vesting schedule set forth in the Grant Notice shall remain vested and exercisable until it becomes unexercisable under Section 3.3 hereof. Once the SARs become unexercisable, they shall be forfeited immediately.</w:t>
      </w: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2"/>
          <w:szCs w:val="22"/>
          <w:u w:val="single" w:color="auto"/>
          <w:color w:val="auto"/>
        </w:rPr>
        <w:t>Section 3.3</w:t>
      </w:r>
      <w:r>
        <w:rPr>
          <w:sz w:val="20"/>
          <w:szCs w:val="20"/>
          <w:color w:val="auto"/>
        </w:rPr>
        <w:tab/>
      </w:r>
      <w:r>
        <w:rPr>
          <w:rFonts w:ascii="Times New Roman" w:cs="Times New Roman" w:eastAsia="Times New Roman" w:hAnsi="Times New Roman"/>
          <w:sz w:val="20"/>
          <w:szCs w:val="20"/>
          <w:u w:val="single" w:color="auto"/>
          <w:color w:val="auto"/>
        </w:rPr>
        <w:t>Expiration of SARs</w:t>
      </w:r>
      <w:r>
        <w:rPr>
          <w:rFonts w:ascii="Times New Roman" w:cs="Times New Roman" w:eastAsia="Times New Roman" w:hAnsi="Times New Roman"/>
          <w:sz w:val="20"/>
          <w:szCs w:val="20"/>
          <w:color w:val="auto"/>
        </w:rPr>
        <w:t>. The SARs may not be exercised to any extent by anyone after the first to occur of the following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events:</w:t>
      </w:r>
    </w:p>
    <w:p>
      <w:pPr>
        <w:spacing w:after="0" w:line="283" w:lineRule="exact"/>
        <w:rPr>
          <w:sz w:val="20"/>
          <w:szCs w:val="20"/>
          <w:color w:val="auto"/>
        </w:rPr>
      </w:pPr>
    </w:p>
    <w:p>
      <w:pPr>
        <w:ind w:left="1840" w:hanging="427"/>
        <w:spacing w:after="0"/>
        <w:tabs>
          <w:tab w:leader="none" w:pos="18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expiration date set forth in the Grant Notice;</w:t>
      </w:r>
    </w:p>
    <w:p>
      <w:pPr>
        <w:spacing w:after="0" w:line="273" w:lineRule="exact"/>
        <w:rPr>
          <w:rFonts w:ascii="Times New Roman" w:cs="Times New Roman" w:eastAsia="Times New Roman" w:hAnsi="Times New Roman"/>
          <w:sz w:val="22"/>
          <w:szCs w:val="22"/>
          <w:color w:val="auto"/>
        </w:rPr>
      </w:pPr>
    </w:p>
    <w:p>
      <w:pPr>
        <w:ind w:left="120" w:firstLine="1293"/>
        <w:spacing w:after="0" w:line="329" w:lineRule="auto"/>
        <w:tabs>
          <w:tab w:leader="none" w:pos="188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in the case of an Approved Retirement or as the Administrator may otherwise approve, the expiration of three months from the date of Participant’s Termination of Service for any reason.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w:t>
      </w:r>
    </w:p>
    <w:p>
      <w:pPr>
        <w:spacing w:after="0" w:line="256"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Person Eligible to Exercise</w:t>
      </w:r>
      <w:r>
        <w:rPr>
          <w:rFonts w:ascii="Times New Roman" w:cs="Times New Roman" w:eastAsia="Times New Roman" w:hAnsi="Times New Roman"/>
          <w:sz w:val="19"/>
          <w:szCs w:val="19"/>
          <w:color w:val="auto"/>
        </w:rPr>
        <w:t>. During the lifetime of Participant, only Participant may exercise the SARs. After the death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Participant, any exercisable portion of the SARs may, prior to the time when the SARs become unexercisable under Section 3.3 hereof, be exercised by Participant’s personal representative or by any person empowered to do so under the deceased Participant’s will or under the then applicable laws of descent and distribution.</w:t>
      </w:r>
    </w:p>
    <w:p>
      <w:pPr>
        <w:spacing w:after="0" w:line="154"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Partial Exercise</w:t>
      </w:r>
      <w:r>
        <w:rPr>
          <w:rFonts w:ascii="Times New Roman" w:cs="Times New Roman" w:eastAsia="Times New Roman" w:hAnsi="Times New Roman"/>
          <w:sz w:val="19"/>
          <w:szCs w:val="19"/>
          <w:color w:val="auto"/>
        </w:rPr>
        <w:t>. Any exercisable portion of the SARs or all of the SARs, if then wholly exercisable, may be exercised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whole or in part at any time prior to the time when the SARs or portion thereof becomes unexercisable under Section 3.3 hereof. However, the SARs shall not be exercisable with respect to fractional shares.</w:t>
      </w:r>
    </w:p>
    <w:p>
      <w:pPr>
        <w:spacing w:after="0" w:line="149"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Manner of Exercise</w:t>
      </w:r>
      <w:r>
        <w:rPr>
          <w:rFonts w:ascii="Times New Roman" w:cs="Times New Roman" w:eastAsia="Times New Roman" w:hAnsi="Times New Roman"/>
          <w:sz w:val="19"/>
          <w:szCs w:val="19"/>
          <w:color w:val="auto"/>
        </w:rPr>
        <w:t>. The SARs, or any exercisable portion thereof, may be exercised solely by delivery to the Secretary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the Company (or any third party administrator or other person or entity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20"/>
          </w:cols>
          <w:pgMar w:left="240" w:top="1359" w:right="239" w:bottom="1440" w:gutter="0" w:footer="0" w:header="0"/>
        </w:sectPr>
      </w:pPr>
    </w:p>
    <w:bookmarkStart w:id="26" w:name="page27"/>
    <w:bookmarkEnd w:id="26"/>
    <w:p>
      <w:pPr>
        <w:spacing w:after="0" w:line="311" w:lineRule="auto"/>
        <w:rPr>
          <w:sz w:val="20"/>
          <w:szCs w:val="20"/>
          <w:color w:val="auto"/>
        </w:rPr>
      </w:pPr>
      <w:r>
        <w:rPr>
          <w:rFonts w:ascii="Times New Roman" w:cs="Times New Roman" w:eastAsia="Times New Roman" w:hAnsi="Times New Roman"/>
          <w:sz w:val="20"/>
          <w:szCs w:val="20"/>
          <w:color w:val="auto"/>
        </w:rPr>
        <w:t>designated by the Company), during regular business hours, of all of the following prior to the time when the SARs or such portion thereof become unexercisable under Section 3.3 hereof:</w:t>
      </w:r>
    </w:p>
    <w:p>
      <w:pPr>
        <w:spacing w:after="0" w:line="174" w:lineRule="exact"/>
        <w:rPr>
          <w:sz w:val="20"/>
          <w:szCs w:val="20"/>
          <w:color w:val="auto"/>
        </w:rPr>
      </w:pPr>
    </w:p>
    <w:p>
      <w:pPr>
        <w:ind w:left="120" w:firstLine="1293"/>
        <w:spacing w:after="0" w:line="329" w:lineRule="auto"/>
        <w:tabs>
          <w:tab w:leader="none" w:pos="19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 exercise notice in a form specified by the Administrator, stating that the SARs or portion thereof is thereby exercised, such notice complying with all applicable rules established by the Administrator;</w:t>
      </w:r>
    </w:p>
    <w:p>
      <w:pPr>
        <w:spacing w:after="0" w:line="161" w:lineRule="exact"/>
        <w:rPr>
          <w:rFonts w:ascii="Times New Roman" w:cs="Times New Roman" w:eastAsia="Times New Roman" w:hAnsi="Times New Roman"/>
          <w:sz w:val="22"/>
          <w:szCs w:val="22"/>
          <w:color w:val="auto"/>
        </w:rPr>
      </w:pPr>
    </w:p>
    <w:p>
      <w:pPr>
        <w:ind w:left="1840" w:hanging="427"/>
        <w:spacing w:after="0"/>
        <w:tabs>
          <w:tab w:leader="none" w:pos="18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payment of any applicable Tax Liability in accordance with Section 4.5;</w:t>
      </w:r>
    </w:p>
    <w:p>
      <w:pPr>
        <w:spacing w:after="0" w:line="273" w:lineRule="exact"/>
        <w:rPr>
          <w:rFonts w:ascii="Times New Roman" w:cs="Times New Roman" w:eastAsia="Times New Roman" w:hAnsi="Times New Roman"/>
          <w:sz w:val="22"/>
          <w:szCs w:val="22"/>
          <w:color w:val="auto"/>
        </w:rPr>
      </w:pPr>
    </w:p>
    <w:p>
      <w:pPr>
        <w:ind w:left="120" w:firstLine="1293"/>
        <w:spacing w:after="0" w:line="329"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61" w:lineRule="exact"/>
        <w:rPr>
          <w:rFonts w:ascii="Times New Roman" w:cs="Times New Roman" w:eastAsia="Times New Roman" w:hAnsi="Times New Roman"/>
          <w:sz w:val="22"/>
          <w:szCs w:val="22"/>
          <w:color w:val="auto"/>
        </w:rPr>
      </w:pPr>
    </w:p>
    <w:p>
      <w:pPr>
        <w:ind w:left="120" w:firstLine="1293"/>
        <w:spacing w:after="0" w:line="329" w:lineRule="auto"/>
        <w:tabs>
          <w:tab w:leader="none" w:pos="184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the SARs or portion thereof shall be exercised pursuant to Section 4.1 hereof by any person or persons other than Participant, appropriate proof of the right of such person or persons to exercise the SARs.</w:t>
      </w:r>
    </w:p>
    <w:p>
      <w:pPr>
        <w:spacing w:after="0" w:line="148" w:lineRule="exact"/>
        <w:rPr>
          <w:sz w:val="20"/>
          <w:szCs w:val="20"/>
          <w:color w:val="auto"/>
        </w:rPr>
      </w:pPr>
    </w:p>
    <w:p>
      <w:pPr>
        <w:ind w:right="20" w:firstLine="648"/>
        <w:spacing w:after="0" w:line="311"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56" w:lineRule="exact"/>
        <w:rPr>
          <w:sz w:val="20"/>
          <w:szCs w:val="20"/>
          <w:color w:val="auto"/>
        </w:rPr>
      </w:pPr>
    </w:p>
    <w:p>
      <w:pPr>
        <w:ind w:right="20" w:firstLine="648"/>
        <w:spacing w:after="0" w:line="317" w:lineRule="auto"/>
        <w:rPr>
          <w:sz w:val="20"/>
          <w:szCs w:val="20"/>
          <w:color w:val="auto"/>
        </w:rPr>
      </w:pP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Time of Settlement</w:t>
      </w:r>
      <w:r>
        <w:rPr>
          <w:rFonts w:ascii="Times New Roman" w:cs="Times New Roman" w:eastAsia="Times New Roman" w:hAnsi="Times New Roman"/>
          <w:sz w:val="19"/>
          <w:szCs w:val="19"/>
          <w:color w:val="auto"/>
        </w:rPr>
        <w:t>. The Shares or cash payable upon exercise of the SARs or any portion thereof shall be provided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Participant within 60 days following the date of exercise of the SARs or such portion. Any such cash shall be payable in a lump sum.</w:t>
      </w:r>
    </w:p>
    <w:p>
      <w:pPr>
        <w:spacing w:after="0" w:line="15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u w:val="single" w:color="auto"/>
          <w:color w:val="auto"/>
        </w:rPr>
        <w:t>Section 4.5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92" w:lineRule="exact"/>
        <w:rPr>
          <w:sz w:val="20"/>
          <w:szCs w:val="20"/>
          <w:color w:val="auto"/>
        </w:rPr>
      </w:pPr>
    </w:p>
    <w:p>
      <w:pPr>
        <w:jc w:val="both"/>
        <w:ind w:left="120" w:firstLine="1293"/>
        <w:spacing w:after="0" w:line="312" w:lineRule="auto"/>
        <w:tabs>
          <w:tab w:leader="none" w:pos="195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vesting or exercise of the SARs, the settlement of the SARs on exercise in either Shares or cash and the sale of any of the Shares (any a “</w:t>
      </w: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The Company and its Subsidiaries may withhold or Participant may make such payment in one or more of the forms specified below:</w:t>
      </w:r>
    </w:p>
    <w:p>
      <w:pPr>
        <w:spacing w:after="0" w:line="186"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6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arises;</w:t>
      </w:r>
    </w:p>
    <w:p>
      <w:pPr>
        <w:spacing w:after="0" w:line="283" w:lineRule="exact"/>
        <w:rPr>
          <w:rFonts w:ascii="Times New Roman" w:cs="Times New Roman" w:eastAsia="Times New Roman" w:hAnsi="Times New Roman"/>
          <w:sz w:val="21"/>
          <w:szCs w:val="21"/>
          <w:color w:val="auto"/>
        </w:rPr>
      </w:pPr>
    </w:p>
    <w:p>
      <w:pPr>
        <w:ind w:left="2400" w:hanging="447"/>
        <w:spacing w:after="0"/>
        <w:tabs>
          <w:tab w:leader="none" w:pos="24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73" w:lineRule="exact"/>
        <w:rPr>
          <w:rFonts w:ascii="Times New Roman" w:cs="Times New Roman" w:eastAsia="Times New Roman" w:hAnsi="Times New Roman"/>
          <w:sz w:val="22"/>
          <w:szCs w:val="22"/>
          <w:color w:val="auto"/>
        </w:rPr>
      </w:pPr>
    </w:p>
    <w:p>
      <w:pPr>
        <w:jc w:val="both"/>
        <w:ind w:firstLine="1953"/>
        <w:spacing w:after="0" w:line="314" w:lineRule="auto"/>
        <w:tabs>
          <w:tab w:leader="none" w:pos="253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the Company withholding a net number of Shares issuable upon the exercise of the SARs having a then current Fair Market Value or, if the SARs are settled in cash, an amount of the cash payment made with respect to the SARs, in each case not exceeding the amount necessary to satisfy the Tax Liability based on the minimum applicable statutory rates for such Tax Liability or such other rate as does not result in adverse accounting consequences for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20"/>
          </w:cols>
          <w:pgMar w:left="240" w:top="859" w:right="239" w:bottom="1440" w:gutter="0" w:footer="0" w:header="0"/>
        </w:sectPr>
      </w:pPr>
    </w:p>
    <w:bookmarkStart w:id="27" w:name="page28"/>
    <w:bookmarkEnd w:id="27"/>
    <w:p>
      <w:pPr>
        <w:jc w:val="both"/>
        <w:ind w:firstLine="1953"/>
        <w:spacing w:after="0" w:line="316" w:lineRule="auto"/>
        <w:tabs>
          <w:tab w:leader="none" w:pos="249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the consent of the Administrator, by tendering to the Company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2" w:lineRule="exact"/>
        <w:rPr>
          <w:rFonts w:ascii="Times New Roman" w:cs="Times New Roman" w:eastAsia="Times New Roman" w:hAnsi="Times New Roman"/>
          <w:sz w:val="22"/>
          <w:szCs w:val="22"/>
          <w:color w:val="auto"/>
        </w:rPr>
      </w:pPr>
    </w:p>
    <w:p>
      <w:pPr>
        <w:jc w:val="both"/>
        <w:ind w:firstLine="1953"/>
        <w:spacing w:after="0" w:line="312" w:lineRule="auto"/>
        <w:tabs>
          <w:tab w:leader="none" w:pos="239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if the Administrator determines to settle the SARs in Shares, through the delivery of a notice that Participant has placed a market sell order with a broker acceptable to the Company with respect to any Shares then issuable to Participant upon exercise of the SARs, and that the broker has been directed to pay a sufficient portion of the net proceeds of the sale to the Company or the Subsidiary with respect to which the Tax Liability arises in satisfaction of such Tax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8"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any combination of the foregoing.</w:t>
      </w:r>
    </w:p>
    <w:p>
      <w:pPr>
        <w:spacing w:after="0" w:line="273" w:lineRule="exact"/>
        <w:rPr>
          <w:rFonts w:ascii="Times New Roman" w:cs="Times New Roman" w:eastAsia="Times New Roman" w:hAnsi="Times New Roman"/>
          <w:sz w:val="22"/>
          <w:szCs w:val="22"/>
          <w:color w:val="auto"/>
        </w:rPr>
      </w:pPr>
    </w:p>
    <w:p>
      <w:pPr>
        <w:jc w:val="both"/>
        <w:ind w:left="120" w:firstLine="1293"/>
        <w:spacing w:after="0" w:line="312" w:lineRule="auto"/>
        <w:tabs>
          <w:tab w:leader="none" w:pos="188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Company shall not be obligated to deliver any cash or any certificate representing Shares issuable with respect to the exercise of the SARs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SARs or any other taxable event related to the SARs;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payment shall be delayed under this Section 4.5(b) if such delay would result in a violation of Section 409A.</w:t>
      </w:r>
    </w:p>
    <w:p>
      <w:pPr>
        <w:spacing w:after="0" w:line="188" w:lineRule="exact"/>
        <w:rPr>
          <w:rFonts w:ascii="Times New Roman" w:cs="Times New Roman" w:eastAsia="Times New Roman" w:hAnsi="Times New Roman"/>
          <w:sz w:val="22"/>
          <w:szCs w:val="22"/>
          <w:color w:val="auto"/>
        </w:rPr>
      </w:pPr>
    </w:p>
    <w:p>
      <w:pPr>
        <w:jc w:val="both"/>
        <w:ind w:left="120" w:firstLine="1293"/>
        <w:spacing w:after="0" w:line="314" w:lineRule="auto"/>
        <w:tabs>
          <w:tab w:leader="none" w:pos="18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any Tax Liability arising in connection with the SARs, in the event Participant fails to provide timely payment of all sums required pursuant to Section 4.5(a), the Company shall have the right and option, but not the obligation, to treat such failure as an election by Participant to satisfy all or any portion of Participant’s required payment obligation pursuant to Section 4.5(a)(ii) or Section 4.5(a)(iii) above, or any combination of the foregoing as the Company may determine to be appropriate.</w:t>
      </w:r>
    </w:p>
    <w:p>
      <w:pPr>
        <w:spacing w:after="0" w:line="184" w:lineRule="exact"/>
        <w:rPr>
          <w:rFonts w:ascii="Times New Roman" w:cs="Times New Roman" w:eastAsia="Times New Roman" w:hAnsi="Times New Roman"/>
          <w:sz w:val="22"/>
          <w:szCs w:val="22"/>
          <w:color w:val="auto"/>
        </w:rPr>
      </w:pPr>
    </w:p>
    <w:p>
      <w:pPr>
        <w:jc w:val="both"/>
        <w:ind w:left="120" w:firstLine="1293"/>
        <w:spacing w:after="0" w:line="311" w:lineRule="auto"/>
        <w:tabs>
          <w:tab w:leader="none" w:pos="190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any Tax Liability arising in connection with the SARs will be satisfied under Section 4.5(a)(iii), then the Company may elect to instruct any brokerage firm determined acceptable to the Company for such purpose to sell on Participant’s behalf a whole number of shares from those Shares then issuable upon the exercise of the SARs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4.5(d). In the event of any such broker-assisted sale of Shares: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Liability,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Liability; and (f) in the event the proceeds of such sale are insufficient to satisfy the applicable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873" w:right="239" w:bottom="1440" w:gutter="0" w:footer="0" w:header="0"/>
        </w:sectPr>
      </w:pPr>
    </w:p>
    <w:bookmarkStart w:id="28" w:name="page29"/>
    <w:bookmarkEnd w:id="28"/>
    <w:p>
      <w:pPr>
        <w:ind w:left="120"/>
        <w:spacing w:after="0" w:line="311" w:lineRule="auto"/>
        <w:rPr>
          <w:sz w:val="20"/>
          <w:szCs w:val="20"/>
          <w:color w:val="auto"/>
        </w:rPr>
      </w:pPr>
      <w:r>
        <w:rPr>
          <w:rFonts w:ascii="Times New Roman" w:cs="Times New Roman" w:eastAsia="Times New Roman" w:hAnsi="Times New Roman"/>
          <w:sz w:val="20"/>
          <w:szCs w:val="20"/>
          <w:color w:val="auto"/>
        </w:rPr>
        <w:t>Tax Liability, Participant agrees to pay immediately upon demand to the Company or the Subsidiary an amount in cash sufficient to satisfy any remaining portion of the Tax Liability.</w:t>
      </w:r>
    </w:p>
    <w:p>
      <w:pPr>
        <w:spacing w:after="0" w:line="174" w:lineRule="exact"/>
        <w:rPr>
          <w:sz w:val="20"/>
          <w:szCs w:val="20"/>
          <w:color w:val="auto"/>
        </w:rPr>
      </w:pPr>
    </w:p>
    <w:p>
      <w:pPr>
        <w:jc w:val="both"/>
        <w:ind w:left="120" w:firstLine="1293"/>
        <w:spacing w:after="0" w:line="312" w:lineRule="auto"/>
        <w:tabs>
          <w:tab w:leader="none" w:pos="190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Participant is ultimately liable and responsible for and indemnifies the Company and each Subsidiary against all Tax Liability arising in connection with the SARs, regardless of any action the Company or any Subsidiary takes with respect to any tax withholding obligations that arise in connection with the SARs. Neither the Company nor any Subsidiary makes any representation or undertaking regarding the treatment of any Tax Liability in connection with the awarding, vesting or exercise of the SARs or the subsequent sale of Shares. The Company and the Subsidiaries do not commit and are under no obligation to structure the SARs to reduce or eliminate any Tax Liability.</w:t>
      </w:r>
    </w:p>
    <w:p>
      <w:pPr>
        <w:spacing w:after="0" w:line="170" w:lineRule="exact"/>
        <w:rPr>
          <w:sz w:val="20"/>
          <w:szCs w:val="20"/>
          <w:color w:val="auto"/>
        </w:rPr>
      </w:pPr>
    </w:p>
    <w:p>
      <w:pPr>
        <w:jc w:val="both"/>
        <w:ind w:firstLine="648"/>
        <w:spacing w:after="0" w:line="330" w:lineRule="auto"/>
        <w:rPr>
          <w:sz w:val="20"/>
          <w:szCs w:val="20"/>
          <w:color w:val="auto"/>
        </w:rPr>
      </w:pP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Conditions to Issuance of Shares</w:t>
      </w:r>
      <w:r>
        <w:rPr>
          <w:rFonts w:ascii="Times New Roman" w:cs="Times New Roman" w:eastAsia="Times New Roman" w:hAnsi="Times New Roman"/>
          <w:sz w:val="19"/>
          <w:szCs w:val="19"/>
          <w:color w:val="auto"/>
        </w:rPr>
        <w:t>. If the Administrator determines to settle any SARs in Shares, the Company shall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 required to issue or deliver any Shares upon the exercise of such SARs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Section 4.5 by the Company or its Subsidiary with respect to which the applicable withholding obligation arises.</w:t>
      </w:r>
    </w:p>
    <w:p>
      <w:pPr>
        <w:spacing w:after="0" w:line="156" w:lineRule="exact"/>
        <w:rPr>
          <w:sz w:val="20"/>
          <w:szCs w:val="20"/>
          <w:color w:val="auto"/>
        </w:rPr>
      </w:pPr>
    </w:p>
    <w:p>
      <w:pPr>
        <w:jc w:val="both"/>
        <w:ind w:firstLine="648"/>
        <w:spacing w:after="0" w:line="330" w:lineRule="auto"/>
        <w:rPr>
          <w:sz w:val="20"/>
          <w:szCs w:val="20"/>
          <w:color w:val="auto"/>
        </w:rPr>
      </w:pP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Rights as Shareholder</w:t>
      </w:r>
      <w:r>
        <w:rPr>
          <w:rFonts w:ascii="Times New Roman" w:cs="Times New Roman" w:eastAsia="Times New Roman" w:hAnsi="Times New Roman"/>
          <w:sz w:val="19"/>
          <w:szCs w:val="19"/>
          <w:color w:val="auto"/>
        </w:rPr>
        <w:t>. Neither Participant nor any person claiming under or through Participant will have any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rights or privileges of a shareholder of the Company, including, without limitation, voting rights and rights to dividends, in respect of any of the Shares subject to the SARs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shall be made for a dividend or other right for which the record date is prior to the date of such issuance, recordation and delivery, except as provided in Section 13 of the Sub-Plan. Except as otherwise provided herein, if the Administrator determines to settle the SARs in Shares, after such issuance, recordation and delivery, Participant will have all the rights of a shareholder of the Company with respect to such Shares, including, without limitation, the right to receipt of dividends and distributions on such shares.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56" w:lineRule="exact"/>
        <w:rPr>
          <w:sz w:val="20"/>
          <w:szCs w:val="20"/>
          <w:color w:val="auto"/>
        </w:rPr>
      </w:pPr>
    </w:p>
    <w:p>
      <w:pPr>
        <w:jc w:val="both"/>
        <w:ind w:firstLine="648"/>
        <w:spacing w:after="0" w:line="331" w:lineRule="auto"/>
        <w:rPr>
          <w:sz w:val="20"/>
          <w:szCs w:val="20"/>
          <w:color w:val="auto"/>
        </w:rPr>
      </w:pP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Administrator shall have the power to interpret the Sub-Plan, the Grant Notice, the 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Appendix, if applicable, and this Agreement and to adopt such rules for the administration, interpretation and application of the Sub-Plan, the Grant Notice, the Foreign Appendix, if applicable,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the Foreign Appendix, if applicable, or this 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420"/>
          </w:cols>
          <w:pgMar w:left="240" w:top="859" w:right="239" w:bottom="1440" w:gutter="0" w:footer="0" w:header="0"/>
        </w:sectPr>
      </w:pPr>
    </w:p>
    <w:bookmarkStart w:id="29" w:name="page30"/>
    <w:bookmarkEnd w:id="29"/>
    <w:p>
      <w:pPr>
        <w:jc w:val="both"/>
        <w:ind w:firstLine="648"/>
        <w:spacing w:after="0" w:line="317" w:lineRule="auto"/>
        <w:rPr>
          <w:sz w:val="20"/>
          <w:szCs w:val="20"/>
          <w:color w:val="auto"/>
        </w:rPr>
      </w:pP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SARs Not Transferable</w:t>
      </w:r>
      <w:r>
        <w:rPr>
          <w:rFonts w:ascii="Times New Roman" w:cs="Times New Roman" w:eastAsia="Times New Roman" w:hAnsi="Times New Roman"/>
          <w:sz w:val="19"/>
          <w:szCs w:val="19"/>
          <w:color w:val="auto"/>
        </w:rPr>
        <w:t>. Without limiting the generality of any other provision hereof, the SARs shall be subject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restrictions on transferability set forth in Section 11 of the Sub-Plan.</w:t>
      </w:r>
    </w:p>
    <w:p>
      <w:pPr>
        <w:spacing w:after="0" w:line="156"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The Administrator may accelerate the vesting of all or a portion of the SARs in such circumstances as it,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its sole discretion, may determine. Participant acknowledges that the SARs are subject to adjustment, modification and termination in certain events as provided in this Agreement and the Sub-Plan, including Section 13 of the Sub-Plan.</w:t>
      </w:r>
    </w:p>
    <w:p>
      <w:pPr>
        <w:spacing w:after="0" w:line="149" w:lineRule="exact"/>
        <w:rPr>
          <w:sz w:val="20"/>
          <w:szCs w:val="20"/>
          <w:color w:val="auto"/>
        </w:rPr>
      </w:pPr>
    </w:p>
    <w:p>
      <w:pPr>
        <w:jc w:val="both"/>
        <w:ind w:firstLine="648"/>
        <w:spacing w:after="0" w:line="331" w:lineRule="auto"/>
        <w:rPr>
          <w:sz w:val="20"/>
          <w:szCs w:val="20"/>
          <w:color w:val="auto"/>
        </w:rPr>
      </w:pP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be given under the terms of this Agreement to the Company shall be addressed to the Company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care of the Secretary of the Company at the Company’s principal office, and any notice to be given to Participant shall be addressed to Participant at Participant’s last address reflected on the Company’s records. By a notice given pursuant to this Section 5.4, either party may hereafter designate a different address for notices to be given to that party. Any notice shall be deemed duly given when sent via email or when sent by reputable overnight courier or by certified mail (return receipt requested) and deposited (with postage prepaid) in a post office or branch post office regularly maintained by the United States Postal Service.</w:t>
      </w:r>
    </w:p>
    <w:p>
      <w:pPr>
        <w:spacing w:after="0" w:line="157"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Titles</w:t>
      </w:r>
      <w:r>
        <w:rPr>
          <w:rFonts w:ascii="Times New Roman" w:cs="Times New Roman" w:eastAsia="Times New Roman" w:hAnsi="Times New Roman"/>
          <w:sz w:val="19"/>
          <w:szCs w:val="19"/>
          <w:color w:val="auto"/>
        </w:rPr>
        <w:t>. Titles are provided herein for convenience only and are not to serve as a basis for interpretation or construction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w:t>
      </w:r>
    </w:p>
    <w:p>
      <w:pPr>
        <w:spacing w:after="0" w:line="103" w:lineRule="exact"/>
        <w:rPr>
          <w:sz w:val="20"/>
          <w:szCs w:val="20"/>
          <w:color w:val="auto"/>
        </w:rPr>
      </w:pPr>
    </w:p>
    <w:p>
      <w:pPr>
        <w:jc w:val="both"/>
        <w:ind w:right="20"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laws of the State of Delaware shall govern the interpretation, validity, administration, enforcement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performance of the terms of this Agreement regardless of the law that might be applied under principles of conflicts of laws.</w:t>
      </w:r>
    </w:p>
    <w:p>
      <w:pPr>
        <w:spacing w:after="0" w:line="103" w:lineRule="exact"/>
        <w:rPr>
          <w:sz w:val="20"/>
          <w:szCs w:val="20"/>
          <w:color w:val="auto"/>
        </w:rPr>
      </w:pPr>
    </w:p>
    <w:p>
      <w:pPr>
        <w:jc w:val="both"/>
        <w:ind w:firstLine="648"/>
        <w:spacing w:after="0" w:line="321" w:lineRule="auto"/>
        <w:rPr>
          <w:sz w:val="20"/>
          <w:szCs w:val="20"/>
          <w:color w:val="auto"/>
        </w:rPr>
      </w:pP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Sub-Plan, the Grant Notice, the Foreign Appendix,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applicable,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SARs are granted and may be exercised, only in such a manner as to conform to Applicable Law. To the extent permitted by Applicable Law, the Sub-Plan and this Agreement shall be deemed amended to the extent necessary to conform to Applicable Law.</w:t>
      </w:r>
    </w:p>
    <w:p>
      <w:pPr>
        <w:spacing w:after="0" w:line="167"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Amendment, Suspension and Termination</w:t>
      </w:r>
      <w:r>
        <w:rPr>
          <w:rFonts w:ascii="Times New Roman" w:cs="Times New Roman" w:eastAsia="Times New Roman" w:hAnsi="Times New Roman"/>
          <w:sz w:val="19"/>
          <w:szCs w:val="19"/>
          <w:color w:val="auto"/>
        </w:rPr>
        <w:t>. To the extent permitted by the Sub-Plan, this Agreement may be wholly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partially amended or otherwise modified, suspended or terminated at any time or from time to time by the Administrator or the Board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except as may otherwise be provided by the Sub-Plan, no amendment, modification, suspension or termination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shall adversely affect the SARs in any material way without the prior written consent of Participant.</w:t>
      </w:r>
    </w:p>
    <w:p>
      <w:pPr>
        <w:spacing w:after="0" w:line="154"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single or multiple assignees,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this Agreement shall inure to the benefit of the successors and assigns of the Company. Subject to the restrictions on transfer set forth in Section 11 of the Sub-Plan, this Agreement shall be binding upon and inure to the benefit of the heirs, legatees, legal representatives, successors and assigns of the parties hereto.</w:t>
      </w:r>
    </w:p>
    <w:p>
      <w:pPr>
        <w:spacing w:after="0" w:line="154"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Sub-Plan or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if Participant is subject to Section 16 of the Exchange Act, the Sub-Plan, the SARs, the Grant Notice, the Foreign Appendix, if applicable, and this Agreement shall be subject to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420"/>
          </w:cols>
          <w:pgMar w:left="240" w:top="855" w:right="239" w:bottom="1440" w:gutter="0" w:footer="0" w:header="0"/>
        </w:sectPr>
      </w:pPr>
    </w:p>
    <w:bookmarkStart w:id="30" w:name="page31"/>
    <w:bookmarkEnd w:id="30"/>
    <w:p>
      <w:pPr>
        <w:jc w:val="both"/>
        <w:spacing w:after="0" w:line="296"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this Agreement or in the Sub-Plan shall confer upon Participant any right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by reason of being unable to exercise the SAR as a result of the termination of the Sub-Plan, lapse of the SARs or the termination of the Participant’s employment with the Company.</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330" w:lineRule="auto"/>
        <w:rPr>
          <w:sz w:val="20"/>
          <w:szCs w:val="20"/>
          <w:color w:val="auto"/>
        </w:rPr>
      </w:pP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SARs Not Part of Employment Compensation</w:t>
      </w:r>
      <w:r>
        <w:rPr>
          <w:rFonts w:ascii="Times New Roman" w:cs="Times New Roman" w:eastAsia="Times New Roman" w:hAnsi="Times New Roman"/>
          <w:sz w:val="19"/>
          <w:szCs w:val="19"/>
          <w:color w:val="auto"/>
        </w:rPr>
        <w:t>. The SARs and the Shares subject to the SAR are extraordinary items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56" w:lineRule="exact"/>
        <w:rPr>
          <w:sz w:val="20"/>
          <w:szCs w:val="20"/>
          <w:color w:val="auto"/>
        </w:rPr>
      </w:pPr>
    </w:p>
    <w:p>
      <w:pPr>
        <w:jc w:val="both"/>
        <w:ind w:right="20"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Data Protection</w:t>
      </w:r>
      <w:r>
        <w:rPr>
          <w:rFonts w:ascii="Times New Roman" w:cs="Times New Roman" w:eastAsia="Times New Roman" w:hAnsi="Times New Roman"/>
          <w:sz w:val="19"/>
          <w:szCs w:val="19"/>
          <w:color w:val="auto"/>
        </w:rPr>
        <w:t>. By electronically signing the Grant Notice and this Agreement, the Participant acknowledges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agrees that:</w:t>
      </w:r>
    </w:p>
    <w:p>
      <w:pPr>
        <w:spacing w:after="0" w:line="121" w:lineRule="exact"/>
        <w:rPr>
          <w:sz w:val="20"/>
          <w:szCs w:val="20"/>
          <w:color w:val="auto"/>
        </w:rPr>
      </w:pPr>
    </w:p>
    <w:p>
      <w:pPr>
        <w:jc w:val="both"/>
        <w:ind w:left="120" w:firstLine="1293"/>
        <w:spacing w:after="0" w:line="316" w:lineRule="auto"/>
        <w:tabs>
          <w:tab w:leader="none" w:pos="198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a Subsidiary or the Participant’s employer are permitted to hold and process personal information (including sensitive personal information)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about the Participant as part of their personnel and other business records and may use such information for the purpose of managing and administering the Sub-Plan;</w:t>
      </w:r>
    </w:p>
    <w:p>
      <w:pPr>
        <w:spacing w:after="0" w:line="182" w:lineRule="exact"/>
        <w:rPr>
          <w:rFonts w:ascii="Times New Roman" w:cs="Times New Roman" w:eastAsia="Times New Roman" w:hAnsi="Times New Roman"/>
          <w:sz w:val="22"/>
          <w:szCs w:val="22"/>
          <w:color w:val="auto"/>
        </w:rPr>
      </w:pPr>
    </w:p>
    <w:p>
      <w:pPr>
        <w:jc w:val="both"/>
        <w:ind w:left="120" w:firstLine="1293"/>
        <w:spacing w:after="0" w:line="313" w:lineRule="auto"/>
        <w:tabs>
          <w:tab w:leader="none" w:pos="194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a Subsidiary or the Participant’s employer may disclose the Data (as described in (a) above) to third parties 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85" w:lineRule="exact"/>
        <w:rPr>
          <w:rFonts w:ascii="Times New Roman" w:cs="Times New Roman" w:eastAsia="Times New Roman" w:hAnsi="Times New Roman"/>
          <w:sz w:val="22"/>
          <w:szCs w:val="22"/>
          <w:color w:val="auto"/>
        </w:rPr>
      </w:pPr>
    </w:p>
    <w:p>
      <w:pPr>
        <w:jc w:val="both"/>
        <w:ind w:left="120" w:firstLine="1293"/>
        <w:spacing w:after="0" w:line="316" w:lineRule="auto"/>
        <w:tabs>
          <w:tab w:leader="none" w:pos="19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they may, at any time, review Data, require any necessary amendments to it or withdraw their consent herein by contacting the Company in writing, however, the Participant withdrawing their consent may affect their ability to participate in the Sub-Plan and receive the benefits intended pursuant to the Grant Notice and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420"/>
          </w:cols>
          <w:pgMar w:left="240" w:top="859" w:right="239" w:bottom="1440" w:gutter="0" w:footer="0" w:header="0"/>
        </w:sectPr>
      </w:pPr>
    </w:p>
    <w:bookmarkStart w:id="31" w:name="page32"/>
    <w:bookmarkEnd w:id="31"/>
    <w:p>
      <w:pPr>
        <w:ind w:left="120" w:firstLine="1293"/>
        <w:spacing w:after="0" w:line="329" w:lineRule="auto"/>
        <w:tabs>
          <w:tab w:leader="none" w:pos="188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Data will only be held as long as necessary to implement, administer and manage the Participant’s participation in the Sub-Plan and any subsequent claims or rights; and</w:t>
      </w:r>
    </w:p>
    <w:p>
      <w:pPr>
        <w:spacing w:after="0" w:line="161" w:lineRule="exact"/>
        <w:rPr>
          <w:rFonts w:ascii="Times New Roman" w:cs="Times New Roman" w:eastAsia="Times New Roman" w:hAnsi="Times New Roman"/>
          <w:sz w:val="22"/>
          <w:szCs w:val="22"/>
          <w:color w:val="auto"/>
        </w:rPr>
      </w:pPr>
    </w:p>
    <w:p>
      <w:pPr>
        <w:ind w:left="1840" w:hanging="427"/>
        <w:spacing w:after="0"/>
        <w:tabs>
          <w:tab w:leader="none" w:pos="18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section applies to any information held, used or disclosed in any medium.</w:t>
      </w:r>
    </w:p>
    <w:p>
      <w:pPr>
        <w:spacing w:after="0" w:line="256"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Sub-Plan, the Grant Notice and this Agreement (including any exhibit hereto) constitute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entire agreement of the parties and supersede in their entirety all prior undertakings and agreements of the Company, the Subsidiaries and Participant with respect to the subject matter hereof.</w:t>
      </w:r>
    </w:p>
    <w:p>
      <w:pPr>
        <w:spacing w:after="0" w:line="149" w:lineRule="exact"/>
        <w:rPr>
          <w:sz w:val="20"/>
          <w:szCs w:val="20"/>
          <w:color w:val="auto"/>
        </w:rPr>
      </w:pPr>
    </w:p>
    <w:p>
      <w:pPr>
        <w:jc w:val="both"/>
        <w:ind w:firstLine="648"/>
        <w:spacing w:after="0" w:line="328" w:lineRule="auto"/>
        <w:rPr>
          <w:sz w:val="20"/>
          <w:szCs w:val="20"/>
          <w:color w:val="auto"/>
        </w:rPr>
      </w:pP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Award is not intended to constitute “nonqualified deferred compensation” within the meaning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However, notwithstanding any other provision of the Sub-Plan, the Grant Notice, the Foreign Appendix, if applicable,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pacing w:after="0" w:line="160"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Agreement Severable</w:t>
      </w:r>
      <w:r>
        <w:rPr>
          <w:rFonts w:ascii="Times New Roman" w:cs="Times New Roman" w:eastAsia="Times New Roman" w:hAnsi="Times New Roman"/>
          <w:sz w:val="19"/>
          <w:szCs w:val="19"/>
          <w:color w:val="auto"/>
        </w:rPr>
        <w:t>. In the event that any provision of the Grant Notice or this Agreement is held invalid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unenforceable, such provision will be severable from, and such invalidity or unenforceability will not be construed to have any effect on, the remaining provisions of the Grant Notice or this Agreement.</w:t>
      </w:r>
    </w:p>
    <w:p>
      <w:pPr>
        <w:spacing w:after="0" w:line="149"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Limitation on Participant’s Rights</w:t>
      </w:r>
      <w:r>
        <w:rPr>
          <w:rFonts w:ascii="Times New Roman" w:cs="Times New Roman" w:eastAsia="Times New Roman" w:hAnsi="Times New Roman"/>
          <w:sz w:val="19"/>
          <w:szCs w:val="19"/>
          <w:color w:val="auto"/>
        </w:rPr>
        <w:t>. Participation in the Sub-Plan confers no rights or interests other than as herein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SARs, and rights no greater than the right to receive Shares or cash as a general unsecured creditor with respect to the SARs, as and when exercised pursuant to the terms hereof.</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signature, subject to Applicable Law, each of which shall be deemed an original and all of which together shall constitute one instrument.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420"/>
          </w:cols>
          <w:pgMar w:left="240" w:top="873" w:right="239" w:bottom="1440" w:gutter="0" w:footer="0" w:header="0"/>
        </w:sectPr>
      </w:pPr>
    </w:p>
    <w:bookmarkStart w:id="32" w:name="page33"/>
    <w:bookmarkEnd w:id="32"/>
    <w:p>
      <w:pPr>
        <w:jc w:val="both"/>
        <w:ind w:firstLine="648"/>
        <w:spacing w:after="0" w:line="321" w:lineRule="auto"/>
        <w:rPr>
          <w:sz w:val="20"/>
          <w:szCs w:val="20"/>
          <w:color w:val="auto"/>
        </w:rPr>
      </w:pP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Special Provisions for SARs Granted to Participants Outside the U.S</w:t>
      </w:r>
      <w:r>
        <w:rPr>
          <w:rFonts w:ascii="Times New Roman" w:cs="Times New Roman" w:eastAsia="Times New Roman" w:hAnsi="Times New Roman"/>
          <w:sz w:val="19"/>
          <w:szCs w:val="19"/>
          <w:color w:val="auto"/>
        </w:rPr>
        <w:t>. If Participant performs services for the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outside of the United States, the SARs shall be subject to the special provisions, if any, for Participant’s country of residence, as set forth in the Foreign Appendix.</w:t>
      </w:r>
    </w:p>
    <w:p>
      <w:pPr>
        <w:spacing w:after="0" w:line="170" w:lineRule="exact"/>
        <w:rPr>
          <w:sz w:val="20"/>
          <w:szCs w:val="20"/>
          <w:color w:val="auto"/>
        </w:rPr>
      </w:pPr>
    </w:p>
    <w:p>
      <w:pPr>
        <w:jc w:val="both"/>
        <w:ind w:left="120" w:firstLine="1293"/>
        <w:spacing w:after="0" w:line="316" w:lineRule="auto"/>
        <w:tabs>
          <w:tab w:leader="none" w:pos="193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Participant relocates to one of the countries included in the Foreign Appendix during the life of this Option,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182" w:lineRule="exact"/>
        <w:rPr>
          <w:rFonts w:ascii="Times New Roman" w:cs="Times New Roman" w:eastAsia="Times New Roman" w:hAnsi="Times New Roman"/>
          <w:sz w:val="22"/>
          <w:szCs w:val="22"/>
          <w:color w:val="auto"/>
        </w:rPr>
      </w:pPr>
    </w:p>
    <w:p>
      <w:pPr>
        <w:jc w:val="both"/>
        <w:ind w:left="120" w:firstLine="1293"/>
        <w:spacing w:after="0" w:line="314" w:lineRule="auto"/>
        <w:tabs>
          <w:tab w:leader="none" w:pos="18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reserves the right to impose other requirements on this Award and any Shares received upon exercise of the SARs,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6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Broker-Assisted Sales</w:t>
      </w:r>
      <w:r>
        <w:rPr>
          <w:rFonts w:ascii="Times New Roman" w:cs="Times New Roman" w:eastAsia="Times New Roman" w:hAnsi="Times New Roman"/>
          <w:sz w:val="19"/>
          <w:szCs w:val="19"/>
          <w:color w:val="auto"/>
        </w:rPr>
        <w:t>. In the event of any broker-assisted sale of Shares in connection with the payment of withholding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taxes as provided in Section 4.5(a)(iii) or Section 4.5(d):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420"/>
          </w:cols>
          <w:pgMar w:left="240" w:top="855"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STOCK APPRECIATION RIGHT GRANT NOTICE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SARS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PARTICIPANTS OUTSIDE THE U.S.</w:t>
      </w:r>
    </w:p>
    <w:p>
      <w:pPr>
        <w:spacing w:after="0" w:line="26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includes special terms and conditions applicable to Participants in the countries below. These terms and conditions are in addition to those set forth in the SAR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and the Sub-Plan and to the extent there are any inconsistencies between these terms and conditions and those set forth in the Agreement or the Sub-Plan, these terms and conditions shall prevail. Any capitalized term used in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without definition shall have the meaning ascribed to such term in the Sub-Plan or the Agreement, as applicable.</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of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SARs are exercised or any Shares acquired under the Sub-Plan are sold.</w:t>
      </w:r>
    </w:p>
    <w:p>
      <w:pPr>
        <w:spacing w:after="0" w:line="18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copy of the Sub-Plan is </w:t>
      </w:r>
      <w:r>
        <w:rPr>
          <w:rFonts w:ascii="Times New Roman" w:cs="Times New Roman" w:eastAsia="Times New Roman" w:hAnsi="Times New Roman"/>
          <w:sz w:val="20"/>
          <w:szCs w:val="20"/>
          <w:b w:val="1"/>
          <w:bCs w:val="1"/>
          <w:color w:val="auto"/>
        </w:rPr>
        <w:t>enclosed</w:t>
      </w:r>
      <w:r>
        <w:rPr>
          <w:rFonts w:ascii="Times New Roman" w:cs="Times New Roman" w:eastAsia="Times New Roman" w:hAnsi="Times New Roman"/>
          <w:sz w:val="20"/>
          <w:szCs w:val="20"/>
          <w:color w:val="auto"/>
        </w:rPr>
        <w:t xml:space="preserve"> with this Grant Notice and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Sub-Plan, the Agreement and this Grant Notice do not constitute financial advice</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advice given by the Company in relation to the Grant Notice, the Agreement, the Sub-Plan, the SARs or the Shares does not constitute financial advice and does not take into account your objectives, financial situation and needs. In considering the SARs and the amount of cash and/or Shares that you will receive on exercise of the SARs, subject to satisfaction of vesting conditions, you should consider the risk factors that could affect the performance of the Company and the value of SARs and Shares, which value can increase or decrease from time to time, and the amount of any Tax Liability.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SARs or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to calculate values in Australian dollars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ectPr>
          <w:pgSz w:w="11900" w:h="16838" w:orient="portrait"/>
          <w:cols w:equalWidth="0" w:num="1">
            <w:col w:w="11420"/>
          </w:cols>
          <w:pgMar w:left="240" w:top="855" w:right="2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20"/>
          <w:szCs w:val="20"/>
          <w:color w:val="auto"/>
        </w:rPr>
        <w:t>Your SARs will vest in accordance with the Grant Notice and the Agreement (which require certain conditions to be met) and are subject to a four year graded vesting schedule. The SARs may result in Shares or cash being given to you, in accordance with the Grant Notice.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will not be required to pay any amount for the SARs or any Shares that will be issued to you upon vesting. However the amount of cash or number of Shares you receive will depend on the market price of Shares at the time, the Exercise Price per Share set out in the Grant Notice, and the amount of any Tax Liability in connection with the grant and exercise of the SARs and the issue of any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can ascertain the market price of a Share in the Company in United States Dollars (“USD”) from time to time by visiting either:</w:t>
      </w:r>
    </w:p>
    <w:p>
      <w:pPr>
        <w:spacing w:after="0" w:line="2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website (http://www.livanova.com/investor-relations/stock-information); or</w:t>
      </w:r>
    </w:p>
    <w:p>
      <w:pPr>
        <w:spacing w:after="0" w:line="3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NASDAQ website (http://www.nasdaq.com/symbol/livn).</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determine the Exercise Price for a SAR or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0" w:lineRule="exact"/>
        <w:rPr>
          <w:sz w:val="20"/>
          <w:szCs w:val="20"/>
          <w:color w:val="auto"/>
        </w:rPr>
      </w:pPr>
    </w:p>
    <w:p>
      <w:pPr>
        <w:ind w:right="74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SARs shall only be distributed in Shares (either in book-entry form or otherwise), and no portion of the Participant’s SARs shall be payable to the Participant in cash.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0"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SARs shall only be settled in cash, and no portion of the participant’s SARs shall be distributed in Shares.</w:t>
      </w: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6.13 shall be deleted in its entirety and replaced by the following:</w:t>
      </w:r>
    </w:p>
    <w:p>
      <w:pPr>
        <w:spacing w:after="0" w:line="19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w:t>
      </w:r>
    </w:p>
    <w:p>
      <w:pPr>
        <w:sectPr>
          <w:pgSz w:w="11900" w:h="16838" w:orient="portrait"/>
          <w:cols w:equalWidth="0" w:num="1">
            <w:col w:w="11420"/>
          </w:cols>
          <w:pgMar w:left="240" w:top="832" w:right="239" w:bottom="1440" w:gutter="0" w:footer="0" w:header="0"/>
        </w:sectPr>
      </w:pPr>
    </w:p>
    <w:bookmarkStart w:id="35" w:name="page36"/>
    <w:bookmarkEnd w:id="35"/>
    <w:p>
      <w:pPr>
        <w:spacing w:after="0" w:line="243" w:lineRule="auto"/>
        <w:rPr>
          <w:sz w:val="20"/>
          <w:szCs w:val="20"/>
          <w:color w:val="auto"/>
        </w:rPr>
      </w:pPr>
      <w:r>
        <w:rPr>
          <w:rFonts w:ascii="Times New Roman" w:cs="Times New Roman" w:eastAsia="Times New Roman" w:hAnsi="Times New Roman"/>
          <w:sz w:val="20"/>
          <w:szCs w:val="20"/>
          <w:color w:val="auto"/>
        </w:rPr>
        <w:t>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“Tax Liability” in Section 4.5:</w:t>
      </w:r>
    </w:p>
    <w:p>
      <w:pPr>
        <w:spacing w:after="0" w:line="220"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For the avoidance of doubt, the definition of “Tax Liability” shall only include the employee portions of the social security contributions.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sentence is inserted at Section 5.1 of the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the Administrator’s decisions and interpretations shall be subject to reasonable discretion.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heading of Section 5.12 shall be supplemented and reads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Section 5.12 SARs Not Part of Employment Compensation, No Legal Claim to Grant(s)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Section 5.13 Consent to Personal Data Processing and Transfer</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287" w:lineRule="auto"/>
        <w:tabs>
          <w:tab w:leader="none" w:pos="1913"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1"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7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29" w:lineRule="exact"/>
        <w:rPr>
          <w:rFonts w:ascii="Times New Roman" w:cs="Times New Roman" w:eastAsia="Times New Roman" w:hAnsi="Times New Roman"/>
          <w:sz w:val="20"/>
          <w:szCs w:val="20"/>
          <w:b w:val="1"/>
          <w:bCs w:val="1"/>
          <w:color w:val="auto"/>
        </w:rPr>
      </w:pPr>
    </w:p>
    <w:p>
      <w:pPr>
        <w:ind w:left="1720" w:hanging="415"/>
        <w:spacing w:after="0"/>
        <w:tabs>
          <w:tab w:leader="none" w:pos="172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this section applies to any Data held, used or disclosed in any medium;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w:t>
      </w:r>
    </w:p>
    <w:p>
      <w:pPr>
        <w:sectPr>
          <w:pgSz w:w="11900" w:h="16838" w:orient="portrait"/>
          <w:cols w:equalWidth="0" w:num="1">
            <w:col w:w="11420"/>
          </w:cols>
          <w:pgMar w:left="240" w:top="832" w:right="239" w:bottom="1440" w:gutter="0" w:footer="0" w:header="0"/>
        </w:sectPr>
      </w:pPr>
    </w:p>
    <w:bookmarkStart w:id="36" w:name="page37"/>
    <w:bookmarkEnd w:id="36"/>
    <w:p>
      <w:pPr>
        <w:ind w:firstLine="8"/>
        <w:spacing w:after="0" w:line="315" w:lineRule="auto"/>
        <w:tabs>
          <w:tab w:leader="none" w:pos="501"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12" w:lineRule="exact"/>
        <w:rPr>
          <w:rFonts w:ascii="Times New Roman" w:cs="Times New Roman" w:eastAsia="Times New Roman" w:hAnsi="Times New Roman"/>
          <w:sz w:val="20"/>
          <w:szCs w:val="20"/>
          <w:b w:val="1"/>
          <w:bCs w:val="1"/>
          <w:color w:val="auto"/>
        </w:rPr>
      </w:pPr>
    </w:p>
    <w:p>
      <w:pPr>
        <w:ind w:firstLine="8"/>
        <w:spacing w:after="0" w:line="315" w:lineRule="auto"/>
        <w:tabs>
          <w:tab w:leader="none" w:pos="446"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will only be held as long as necessary to implement, administer, manage and account Participant’s participation in the Sub-Plan and any subsequent claims or rights;</w:t>
      </w:r>
    </w:p>
    <w:p>
      <w:pPr>
        <w:spacing w:after="0" w:line="112" w:lineRule="exact"/>
        <w:rPr>
          <w:rFonts w:ascii="Times New Roman" w:cs="Times New Roman" w:eastAsia="Times New Roman" w:hAnsi="Times New Roman"/>
          <w:sz w:val="20"/>
          <w:szCs w:val="20"/>
          <w:b w:val="1"/>
          <w:bCs w:val="1"/>
          <w:color w:val="auto"/>
        </w:rPr>
      </w:pPr>
    </w:p>
    <w:p>
      <w:pPr>
        <w:jc w:val="both"/>
        <w:ind w:firstLine="8"/>
        <w:spacing w:after="0" w:line="298" w:lineRule="auto"/>
        <w:tabs>
          <w:tab w:leader="none" w:pos="515"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consent to the personal data processing as described in this Section 5.13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200" w:lineRule="exact"/>
        <w:rPr>
          <w:sz w:val="20"/>
          <w:szCs w:val="20"/>
          <w:color w:val="auto"/>
        </w:rPr>
      </w:pPr>
    </w:p>
    <w:p>
      <w:pPr>
        <w:spacing w:after="0" w:line="37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Signature: ___________________________</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definition of “Disability” in Section 1.1 (a) of the Agreement shall be deleted in its entirety and replaced with the following:</w:t>
      </w:r>
    </w:p>
    <w:p>
      <w:pPr>
        <w:spacing w:after="0" w:line="220" w:lineRule="exact"/>
        <w:rPr>
          <w:sz w:val="20"/>
          <w:szCs w:val="20"/>
          <w:color w:val="auto"/>
        </w:rPr>
      </w:pPr>
    </w:p>
    <w:p>
      <w:pPr>
        <w:ind w:left="1860" w:hanging="447"/>
        <w:spacing w:after="0"/>
        <w:tabs>
          <w:tab w:leader="none" w:pos="18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be defined as in Participant’s employment letter or agreement with the Company or a Subsidiary, as</w:t>
      </w:r>
    </w:p>
    <w:p>
      <w:pPr>
        <w:spacing w:after="0" w:line="53" w:lineRule="exact"/>
        <w:rPr>
          <w:rFonts w:ascii="Times New Roman" w:cs="Times New Roman" w:eastAsia="Times New Roman" w:hAnsi="Times New Roman"/>
          <w:sz w:val="20"/>
          <w:szCs w:val="20"/>
          <w:color w:val="auto"/>
        </w:rPr>
      </w:pPr>
    </w:p>
    <w:p>
      <w:pPr>
        <w:jc w:val="both"/>
        <w:ind w:left="12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duly determined pursuant to applicable 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definition of “Disability” in Section 1.1 (a) of the Agreement shall be deleted in its entirety and replaced with the following:</w:t>
      </w:r>
    </w:p>
    <w:p>
      <w:pPr>
        <w:spacing w:after="0" w:line="220" w:lineRule="exact"/>
        <w:rPr>
          <w:sz w:val="20"/>
          <w:szCs w:val="20"/>
          <w:color w:val="auto"/>
        </w:rPr>
      </w:pPr>
    </w:p>
    <w:p>
      <w:pPr>
        <w:ind w:left="1880" w:hanging="467"/>
        <w:spacing w:after="0"/>
        <w:tabs>
          <w:tab w:leader="none" w:pos="18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be defined as in Participant’s employment letter or agreement with the Company or a Subsidiary, as</w:t>
      </w:r>
    </w:p>
    <w:p>
      <w:pPr>
        <w:spacing w:after="0" w:line="53" w:lineRule="exact"/>
        <w:rPr>
          <w:rFonts w:ascii="Times New Roman" w:cs="Times New Roman" w:eastAsia="Times New Roman" w:hAnsi="Times New Roman"/>
          <w:sz w:val="20"/>
          <w:szCs w:val="20"/>
          <w:color w:val="auto"/>
        </w:rPr>
      </w:pPr>
    </w:p>
    <w:p>
      <w:pPr>
        <w:jc w:val="both"/>
        <w:ind w:left="12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from time to time, or if Participant is not a party to such a letter or agreement or such letter or agreement does not contain such a definition, shall mean a condition, that, in the opinion of the Administrator, has a long-term adverse effect on the day-to-day activities of a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as Section 4.5 (f) of the Agreement:</w:t>
      </w:r>
    </w:p>
    <w:p>
      <w:pPr>
        <w:spacing w:after="0" w:line="26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w:t>
      </w:r>
    </w:p>
    <w:p>
      <w:pPr>
        <w:sectPr>
          <w:pgSz w:w="11900" w:h="16838" w:orient="portrait"/>
          <w:cols w:equalWidth="0" w:num="1">
            <w:col w:w="11420"/>
          </w:cols>
          <w:pgMar w:left="240" w:top="855" w:right="239" w:bottom="1440" w:gutter="0" w:footer="0" w:header="0"/>
        </w:sectPr>
      </w:pPr>
    </w:p>
    <w:bookmarkStart w:id="37" w:name="page38"/>
    <w:bookmarkEnd w:id="37"/>
    <w:p>
      <w:pPr>
        <w:jc w:val="both"/>
        <w:spacing w:after="0" w:line="296" w:lineRule="auto"/>
        <w:rPr>
          <w:sz w:val="20"/>
          <w:szCs w:val="20"/>
          <w:color w:val="auto"/>
        </w:rPr>
      </w:pPr>
      <w:r>
        <w:rPr>
          <w:rFonts w:ascii="Times New Roman" w:cs="Times New Roman" w:eastAsia="Times New Roman" w:hAnsi="Times New Roman"/>
          <w:sz w:val="20"/>
          <w:szCs w:val="20"/>
          <w:color w:val="auto"/>
        </w:rPr>
        <w:t>funds due to the Participant by the Company or the employer; (b) withholding the Shares issued upon vesting and exercise of the SARs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- 5</w:t>
      </w:r>
    </w:p>
    <w:p>
      <w:pPr>
        <w:sectPr>
          <w:pgSz w:w="11900" w:h="16838" w:orient="portrait"/>
          <w:cols w:equalWidth="0" w:num="1">
            <w:col w:w="11420"/>
          </w:cols>
          <w:pgMar w:left="240" w:top="859"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INCENTIVE AWARD SUB-PLAN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AWARD GRANT NOTICE</w:t>
      </w:r>
    </w:p>
    <w:p>
      <w:pPr>
        <w:spacing w:after="0" w:line="3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LivaNova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Incentive Award Plan (including where relevant the Sub-Plan for UK Participants and/or the Sub-Plan for France), as amended from time to time (the “</w:t>
      </w:r>
      <w:r>
        <w:rPr>
          <w:rFonts w:ascii="Times New Roman" w:cs="Times New Roman" w:eastAsia="Times New Roman" w:hAnsi="Times New Roman"/>
          <w:sz w:val="20"/>
          <w:szCs w:val="20"/>
          <w:u w:val="single" w:color="auto"/>
          <w:color w:val="auto"/>
        </w:rPr>
        <w:t>Sub-Plan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Sub-Plan (including or as replaced by any local sub-plan referred to in the Foreign Appendix) and the special provisions for Participant’s country of residence, if any, attached here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Foreign Appendix</w:t>
      </w:r>
      <w:r>
        <w:rPr>
          <w:rFonts w:ascii="Times New Roman" w:cs="Times New Roman" w:eastAsia="Times New Roman" w:hAnsi="Times New Roman"/>
          <w:sz w:val="20"/>
          <w:szCs w:val="20"/>
          <w:color w:val="auto"/>
        </w:rPr>
        <w:t>”) each of which is incorporated herein by reference. Unless otherwise defined herein, the terms defined in (or by reference in) the Sub-Plan shall have the same defined meanings in the Grant Notice and the Agreement.</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540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[__________________]</w:t>
            </w:r>
          </w:p>
        </w:tc>
        <w:tc>
          <w:tcPr>
            <w:tcW w:w="27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540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March 30, 2019</w:t>
            </w:r>
          </w:p>
        </w:tc>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PSUs:</w:t>
            </w:r>
          </w:p>
        </w:tc>
        <w:tc>
          <w:tcPr>
            <w:tcW w:w="540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[___________]</w:t>
            </w:r>
          </w:p>
        </w:tc>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Subject to Section 2.2 of the Agreement, the PSUs will vest as follows:</w:t>
            </w:r>
          </w:p>
        </w:tc>
      </w:tr>
      <w:tr>
        <w:trPr>
          <w:trHeight w:val="471"/>
        </w:trPr>
        <w:tc>
          <w:tcPr>
            <w:tcW w:w="2460" w:type="dxa"/>
            <w:vAlign w:val="bottom"/>
          </w:tcPr>
          <w:p>
            <w:pPr>
              <w:spacing w:after="0"/>
              <w:rPr>
                <w:sz w:val="24"/>
                <w:szCs w:val="24"/>
                <w:color w:val="auto"/>
              </w:rPr>
            </w:pP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100% of PSUs shall vest or lapse on the filing of the Company’s Annual Report on Form 10-K for</w:t>
            </w:r>
          </w:p>
        </w:tc>
      </w:tr>
      <w:tr>
        <w:trPr>
          <w:trHeight w:val="230"/>
        </w:trPr>
        <w:tc>
          <w:tcPr>
            <w:tcW w:w="2460" w:type="dxa"/>
            <w:vAlign w:val="bottom"/>
          </w:tcPr>
          <w:p>
            <w:pPr>
              <w:spacing w:after="0"/>
              <w:rPr>
                <w:sz w:val="19"/>
                <w:szCs w:val="19"/>
                <w:color w:val="auto"/>
              </w:rPr>
            </w:pP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the fiscal year ending December 31, 2021 based on the rank of the Company’s total shareholder</w:t>
            </w:r>
          </w:p>
        </w:tc>
      </w:tr>
      <w:tr>
        <w:trPr>
          <w:trHeight w:val="230"/>
        </w:trPr>
        <w:tc>
          <w:tcPr>
            <w:tcW w:w="2460" w:type="dxa"/>
            <w:vAlign w:val="bottom"/>
          </w:tcPr>
          <w:p>
            <w:pPr>
              <w:spacing w:after="0"/>
              <w:rPr>
                <w:sz w:val="19"/>
                <w:szCs w:val="19"/>
                <w:color w:val="auto"/>
              </w:rPr>
            </w:pP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w w:val="98"/>
              </w:rPr>
              <w:t>return for the three-year period ending December 31, 2021 relative to the total shareholder return of</w:t>
            </w:r>
          </w:p>
        </w:tc>
      </w:tr>
      <w:tr>
        <w:trPr>
          <w:trHeight w:val="230"/>
        </w:trPr>
        <w:tc>
          <w:tcPr>
            <w:tcW w:w="2460" w:type="dxa"/>
            <w:vAlign w:val="bottom"/>
          </w:tcPr>
          <w:p>
            <w:pPr>
              <w:spacing w:after="0"/>
              <w:rPr>
                <w:sz w:val="19"/>
                <w:szCs w:val="19"/>
                <w:color w:val="auto"/>
              </w:rPr>
            </w:pP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a peer group of companies, as determined by the Plan Administrator, with the number of the</w:t>
            </w:r>
          </w:p>
        </w:tc>
      </w:tr>
      <w:tr>
        <w:trPr>
          <w:trHeight w:val="230"/>
        </w:trPr>
        <w:tc>
          <w:tcPr>
            <w:tcW w:w="2460" w:type="dxa"/>
            <w:vAlign w:val="bottom"/>
          </w:tcPr>
          <w:p>
            <w:pPr>
              <w:spacing w:after="0"/>
              <w:rPr>
                <w:sz w:val="19"/>
                <w:szCs w:val="19"/>
                <w:color w:val="auto"/>
              </w:rPr>
            </w:pPr>
          </w:p>
        </w:tc>
        <w:tc>
          <w:tcPr>
            <w:tcW w:w="886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Company’s ordinary shares delivered being determined by reference to the table below, applying</w:t>
            </w:r>
          </w:p>
        </w:tc>
      </w:tr>
      <w:tr>
        <w:trPr>
          <w:trHeight w:val="258"/>
        </w:trPr>
        <w:tc>
          <w:tcPr>
            <w:tcW w:w="2460" w:type="dxa"/>
            <w:vAlign w:val="bottom"/>
          </w:tcPr>
          <w:p>
            <w:pPr>
              <w:spacing w:after="0"/>
              <w:rPr>
                <w:sz w:val="22"/>
                <w:szCs w:val="22"/>
                <w:color w:val="auto"/>
              </w:rPr>
            </w:pPr>
          </w:p>
        </w:tc>
        <w:tc>
          <w:tcPr>
            <w:tcW w:w="540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linear interpolation between the specified levels.</w:t>
            </w:r>
          </w:p>
        </w:tc>
        <w:tc>
          <w:tcPr>
            <w:tcW w:w="27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99"/>
        </w:trPr>
        <w:tc>
          <w:tcPr>
            <w:tcW w:w="2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60" w:type="dxa"/>
            <w:vAlign w:val="bottom"/>
          </w:tcPr>
          <w:p>
            <w:pPr>
              <w:jc w:val="center"/>
              <w:ind w:right="147"/>
              <w:spacing w:after="0"/>
              <w:rPr>
                <w:sz w:val="20"/>
                <w:szCs w:val="20"/>
                <w:color w:val="auto"/>
              </w:rPr>
            </w:pPr>
            <w:r>
              <w:rPr>
                <w:rFonts w:ascii="Times New Roman" w:cs="Times New Roman" w:eastAsia="Times New Roman" w:hAnsi="Times New Roman"/>
                <w:sz w:val="20"/>
                <w:szCs w:val="20"/>
                <w:b w:val="1"/>
                <w:bCs w:val="1"/>
                <w:color w:val="auto"/>
                <w:w w:val="98"/>
              </w:rPr>
              <w:t>LivaNova rTSR</w:t>
            </w:r>
          </w:p>
        </w:tc>
        <w:tc>
          <w:tcPr>
            <w:tcW w:w="3460" w:type="dxa"/>
            <w:vAlign w:val="bottom"/>
            <w:gridSpan w:val="2"/>
          </w:tcPr>
          <w:p>
            <w:pPr>
              <w:jc w:val="center"/>
              <w:ind w:right="960"/>
              <w:spacing w:after="0"/>
              <w:rPr>
                <w:sz w:val="20"/>
                <w:szCs w:val="20"/>
                <w:color w:val="auto"/>
              </w:rPr>
            </w:pPr>
            <w:r>
              <w:rPr>
                <w:rFonts w:ascii="Times New Roman" w:cs="Times New Roman" w:eastAsia="Times New Roman" w:hAnsi="Times New Roman"/>
                <w:sz w:val="20"/>
                <w:szCs w:val="20"/>
                <w:color w:val="auto"/>
                <w:w w:val="98"/>
              </w:rPr>
              <w:t>Percent Funding</w:t>
            </w: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60" w:type="dxa"/>
            <w:vAlign w:val="bottom"/>
          </w:tcPr>
          <w:p>
            <w:pPr>
              <w:jc w:val="center"/>
              <w:ind w:right="147"/>
              <w:spacing w:after="0"/>
              <w:rPr>
                <w:sz w:val="20"/>
                <w:szCs w:val="20"/>
                <w:color w:val="auto"/>
              </w:rPr>
            </w:pPr>
            <w:r>
              <w:rPr>
                <w:rFonts w:ascii="Times New Roman" w:cs="Times New Roman" w:eastAsia="Times New Roman" w:hAnsi="Times New Roman"/>
                <w:sz w:val="20"/>
                <w:szCs w:val="20"/>
                <w:b w:val="1"/>
                <w:bCs w:val="1"/>
                <w:color w:val="auto"/>
                <w:w w:val="97"/>
              </w:rPr>
              <w:t>Percentile Rank</w:t>
            </w:r>
          </w:p>
        </w:tc>
        <w:tc>
          <w:tcPr>
            <w:tcW w:w="3460" w:type="dxa"/>
            <w:vAlign w:val="bottom"/>
            <w:gridSpan w:val="2"/>
          </w:tcPr>
          <w:p>
            <w:pPr>
              <w:jc w:val="center"/>
              <w:ind w:right="960"/>
              <w:spacing w:after="0"/>
              <w:rPr>
                <w:sz w:val="20"/>
                <w:szCs w:val="20"/>
                <w:color w:val="auto"/>
              </w:rPr>
            </w:pPr>
            <w:r>
              <w:rPr>
                <w:rFonts w:ascii="Times New Roman" w:cs="Times New Roman" w:eastAsia="Times New Roman" w:hAnsi="Times New Roman"/>
                <w:sz w:val="20"/>
                <w:szCs w:val="20"/>
                <w:color w:val="auto"/>
                <w:w w:val="96"/>
              </w:rPr>
              <w:t>Of Award</w:t>
            </w:r>
          </w:p>
        </w:tc>
      </w:tr>
      <w:tr>
        <w:trPr>
          <w:trHeight w:val="21"/>
        </w:trPr>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0"/>
        </w:trPr>
        <w:tc>
          <w:tcPr>
            <w:tcW w:w="2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660" w:type="dxa"/>
            <w:vAlign w:val="bottom"/>
            <w:shd w:val="clear" w:color="auto" w:fill="C0C0C0"/>
          </w:tcPr>
          <w:p>
            <w:pPr>
              <w:jc w:val="center"/>
              <w:ind w:right="147"/>
              <w:spacing w:after="0" w:line="270" w:lineRule="exact"/>
              <w:rPr>
                <w:sz w:val="20"/>
                <w:szCs w:val="20"/>
                <w:color w:val="auto"/>
              </w:rPr>
            </w:pPr>
            <w:r>
              <w:rPr>
                <w:rFonts w:ascii="Times New Roman" w:cs="Times New Roman" w:eastAsia="Times New Roman" w:hAnsi="Times New Roman"/>
                <w:sz w:val="18"/>
                <w:szCs w:val="18"/>
                <w:color w:val="auto"/>
                <w:w w:val="92"/>
              </w:rPr>
              <w:t>≥90</w:t>
            </w:r>
            <w:r>
              <w:rPr>
                <w:rFonts w:ascii="Times New Roman" w:cs="Times New Roman" w:eastAsia="Times New Roman" w:hAnsi="Times New Roman"/>
                <w:sz w:val="25"/>
                <w:szCs w:val="25"/>
                <w:color w:val="auto"/>
                <w:w w:val="92"/>
                <w:vertAlign w:val="superscript"/>
              </w:rPr>
              <w:t>th</w:t>
            </w:r>
          </w:p>
        </w:tc>
        <w:tc>
          <w:tcPr>
            <w:tcW w:w="2720" w:type="dxa"/>
            <w:vAlign w:val="bottom"/>
            <w:shd w:val="clear" w:color="auto" w:fill="C0C0C0"/>
          </w:tcPr>
          <w:p>
            <w:pPr>
              <w:jc w:val="center"/>
              <w:ind w:right="127"/>
              <w:spacing w:after="0"/>
              <w:rPr>
                <w:sz w:val="20"/>
                <w:szCs w:val="20"/>
                <w:color w:val="auto"/>
              </w:rPr>
            </w:pPr>
            <w:r>
              <w:rPr>
                <w:rFonts w:ascii="Times New Roman" w:cs="Times New Roman" w:eastAsia="Times New Roman" w:hAnsi="Times New Roman"/>
                <w:sz w:val="18"/>
                <w:szCs w:val="18"/>
                <w:color w:val="auto"/>
                <w:w w:val="99"/>
              </w:rPr>
              <w:t>200%</w:t>
            </w:r>
          </w:p>
        </w:tc>
        <w:tc>
          <w:tcPr>
            <w:tcW w:w="740" w:type="dxa"/>
            <w:vAlign w:val="bottom"/>
          </w:tcPr>
          <w:p>
            <w:pPr>
              <w:spacing w:after="0"/>
              <w:rPr>
                <w:sz w:val="23"/>
                <w:szCs w:val="23"/>
                <w:color w:val="auto"/>
              </w:rPr>
            </w:pPr>
          </w:p>
        </w:tc>
      </w:tr>
      <w:tr>
        <w:trPr>
          <w:trHeight w:val="270"/>
        </w:trPr>
        <w:tc>
          <w:tcPr>
            <w:tcW w:w="2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660" w:type="dxa"/>
            <w:vAlign w:val="bottom"/>
          </w:tcPr>
          <w:p>
            <w:pPr>
              <w:jc w:val="center"/>
              <w:ind w:right="147"/>
              <w:spacing w:after="0" w:line="270" w:lineRule="exact"/>
              <w:rPr>
                <w:sz w:val="20"/>
                <w:szCs w:val="20"/>
                <w:color w:val="auto"/>
              </w:rPr>
            </w:pPr>
            <w:r>
              <w:rPr>
                <w:rFonts w:ascii="Times New Roman" w:cs="Times New Roman" w:eastAsia="Times New Roman" w:hAnsi="Times New Roman"/>
                <w:sz w:val="18"/>
                <w:szCs w:val="18"/>
                <w:color w:val="auto"/>
                <w:w w:val="83"/>
              </w:rPr>
              <w:t>80</w:t>
            </w:r>
            <w:r>
              <w:rPr>
                <w:rFonts w:ascii="Times New Roman" w:cs="Times New Roman" w:eastAsia="Times New Roman" w:hAnsi="Times New Roman"/>
                <w:sz w:val="25"/>
                <w:szCs w:val="25"/>
                <w:color w:val="auto"/>
                <w:w w:val="83"/>
                <w:vertAlign w:val="superscript"/>
              </w:rPr>
              <w:t>th</w:t>
            </w:r>
          </w:p>
        </w:tc>
        <w:tc>
          <w:tcPr>
            <w:tcW w:w="2720" w:type="dxa"/>
            <w:vAlign w:val="bottom"/>
          </w:tcPr>
          <w:p>
            <w:pPr>
              <w:jc w:val="center"/>
              <w:ind w:right="127"/>
              <w:spacing w:after="0"/>
              <w:rPr>
                <w:sz w:val="20"/>
                <w:szCs w:val="20"/>
                <w:color w:val="auto"/>
              </w:rPr>
            </w:pPr>
            <w:r>
              <w:rPr>
                <w:rFonts w:ascii="Times New Roman" w:cs="Times New Roman" w:eastAsia="Times New Roman" w:hAnsi="Times New Roman"/>
                <w:sz w:val="18"/>
                <w:szCs w:val="18"/>
                <w:color w:val="auto"/>
                <w:w w:val="99"/>
              </w:rPr>
              <w:t>150%</w:t>
            </w:r>
          </w:p>
        </w:tc>
        <w:tc>
          <w:tcPr>
            <w:tcW w:w="740" w:type="dxa"/>
            <w:vAlign w:val="bottom"/>
          </w:tcPr>
          <w:p>
            <w:pPr>
              <w:spacing w:after="0"/>
              <w:rPr>
                <w:sz w:val="23"/>
                <w:szCs w:val="23"/>
                <w:color w:val="auto"/>
              </w:rPr>
            </w:pPr>
          </w:p>
        </w:tc>
      </w:tr>
      <w:tr>
        <w:trPr>
          <w:trHeight w:val="250"/>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60" w:type="dxa"/>
            <w:vAlign w:val="bottom"/>
            <w:tcBorders>
              <w:bottom w:val="single" w:sz="8" w:color="C0C0C0"/>
            </w:tcBorders>
            <w:shd w:val="clear" w:color="auto" w:fill="C0C0C0"/>
          </w:tcPr>
          <w:p>
            <w:pPr>
              <w:jc w:val="center"/>
              <w:ind w:right="127"/>
              <w:spacing w:after="0"/>
              <w:rPr>
                <w:sz w:val="20"/>
                <w:szCs w:val="20"/>
                <w:color w:val="auto"/>
              </w:rPr>
            </w:pPr>
            <w:r>
              <w:rPr>
                <w:rFonts w:ascii="Times New Roman" w:cs="Times New Roman" w:eastAsia="Times New Roman" w:hAnsi="Times New Roman"/>
                <w:sz w:val="18"/>
                <w:szCs w:val="18"/>
                <w:color w:val="auto"/>
                <w:w w:val="99"/>
              </w:rPr>
              <w:t>50th</w:t>
            </w:r>
          </w:p>
        </w:tc>
        <w:tc>
          <w:tcPr>
            <w:tcW w:w="2720" w:type="dxa"/>
            <w:vAlign w:val="bottom"/>
            <w:tcBorders>
              <w:bottom w:val="single" w:sz="8" w:color="C0C0C0"/>
            </w:tcBorders>
            <w:shd w:val="clear" w:color="auto" w:fill="C0C0C0"/>
          </w:tcPr>
          <w:p>
            <w:pPr>
              <w:jc w:val="center"/>
              <w:ind w:right="127"/>
              <w:spacing w:after="0"/>
              <w:rPr>
                <w:sz w:val="20"/>
                <w:szCs w:val="20"/>
                <w:color w:val="auto"/>
              </w:rPr>
            </w:pPr>
            <w:r>
              <w:rPr>
                <w:rFonts w:ascii="Times New Roman" w:cs="Times New Roman" w:eastAsia="Times New Roman" w:hAnsi="Times New Roman"/>
                <w:sz w:val="18"/>
                <w:szCs w:val="18"/>
                <w:color w:val="auto"/>
                <w:w w:val="99"/>
              </w:rPr>
              <w:t>100%</w:t>
            </w:r>
          </w:p>
        </w:tc>
        <w:tc>
          <w:tcPr>
            <w:tcW w:w="740" w:type="dxa"/>
            <w:vAlign w:val="bottom"/>
          </w:tcPr>
          <w:p>
            <w:pPr>
              <w:spacing w:after="0"/>
              <w:rPr>
                <w:sz w:val="21"/>
                <w:szCs w:val="21"/>
                <w:color w:val="auto"/>
              </w:rPr>
            </w:pPr>
          </w:p>
        </w:tc>
      </w:tr>
      <w:tr>
        <w:trPr>
          <w:trHeight w:val="270"/>
        </w:trPr>
        <w:tc>
          <w:tcPr>
            <w:tcW w:w="2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660" w:type="dxa"/>
            <w:vAlign w:val="bottom"/>
          </w:tcPr>
          <w:p>
            <w:pPr>
              <w:jc w:val="center"/>
              <w:ind w:right="147"/>
              <w:spacing w:after="0" w:line="270" w:lineRule="exact"/>
              <w:rPr>
                <w:sz w:val="20"/>
                <w:szCs w:val="20"/>
                <w:color w:val="auto"/>
              </w:rPr>
            </w:pPr>
            <w:r>
              <w:rPr>
                <w:rFonts w:ascii="Times New Roman" w:cs="Times New Roman" w:eastAsia="Times New Roman" w:hAnsi="Times New Roman"/>
                <w:sz w:val="18"/>
                <w:szCs w:val="18"/>
                <w:color w:val="auto"/>
                <w:w w:val="83"/>
              </w:rPr>
              <w:t>30</w:t>
            </w:r>
            <w:r>
              <w:rPr>
                <w:rFonts w:ascii="Times New Roman" w:cs="Times New Roman" w:eastAsia="Times New Roman" w:hAnsi="Times New Roman"/>
                <w:sz w:val="25"/>
                <w:szCs w:val="25"/>
                <w:color w:val="auto"/>
                <w:w w:val="83"/>
                <w:vertAlign w:val="superscript"/>
              </w:rPr>
              <w:t>th</w:t>
            </w:r>
          </w:p>
        </w:tc>
        <w:tc>
          <w:tcPr>
            <w:tcW w:w="2720" w:type="dxa"/>
            <w:vAlign w:val="bottom"/>
          </w:tcPr>
          <w:p>
            <w:pPr>
              <w:jc w:val="center"/>
              <w:ind w:right="147"/>
              <w:spacing w:after="0"/>
              <w:rPr>
                <w:sz w:val="20"/>
                <w:szCs w:val="20"/>
                <w:color w:val="auto"/>
              </w:rPr>
            </w:pPr>
            <w:r>
              <w:rPr>
                <w:rFonts w:ascii="Times New Roman" w:cs="Times New Roman" w:eastAsia="Times New Roman" w:hAnsi="Times New Roman"/>
                <w:sz w:val="18"/>
                <w:szCs w:val="18"/>
                <w:color w:val="auto"/>
                <w:w w:val="96"/>
              </w:rPr>
              <w:t>40%</w:t>
            </w:r>
          </w:p>
        </w:tc>
        <w:tc>
          <w:tcPr>
            <w:tcW w:w="740" w:type="dxa"/>
            <w:vAlign w:val="bottom"/>
          </w:tcPr>
          <w:p>
            <w:pPr>
              <w:spacing w:after="0"/>
              <w:rPr>
                <w:sz w:val="23"/>
                <w:szCs w:val="23"/>
                <w:color w:val="auto"/>
              </w:rPr>
            </w:pPr>
          </w:p>
        </w:tc>
      </w:tr>
      <w:tr>
        <w:trPr>
          <w:trHeight w:val="270"/>
        </w:trPr>
        <w:tc>
          <w:tcPr>
            <w:tcW w:w="2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660" w:type="dxa"/>
            <w:vAlign w:val="bottom"/>
            <w:shd w:val="clear" w:color="auto" w:fill="C0C0C0"/>
          </w:tcPr>
          <w:p>
            <w:pPr>
              <w:jc w:val="center"/>
              <w:ind w:right="147"/>
              <w:spacing w:after="0" w:line="270" w:lineRule="exact"/>
              <w:rPr>
                <w:sz w:val="20"/>
                <w:szCs w:val="20"/>
                <w:color w:val="auto"/>
              </w:rPr>
            </w:pPr>
            <w:r>
              <w:rPr>
                <w:rFonts w:ascii="Times New Roman" w:cs="Times New Roman" w:eastAsia="Times New Roman" w:hAnsi="Times New Roman"/>
                <w:sz w:val="18"/>
                <w:szCs w:val="18"/>
                <w:color w:val="auto"/>
                <w:w w:val="92"/>
              </w:rPr>
              <w:t>&lt;30</w:t>
            </w:r>
            <w:r>
              <w:rPr>
                <w:rFonts w:ascii="Times New Roman" w:cs="Times New Roman" w:eastAsia="Times New Roman" w:hAnsi="Times New Roman"/>
                <w:sz w:val="25"/>
                <w:szCs w:val="25"/>
                <w:color w:val="auto"/>
                <w:w w:val="92"/>
                <w:vertAlign w:val="superscript"/>
              </w:rPr>
              <w:t>th</w:t>
            </w:r>
          </w:p>
        </w:tc>
        <w:tc>
          <w:tcPr>
            <w:tcW w:w="2720" w:type="dxa"/>
            <w:vAlign w:val="bottom"/>
            <w:shd w:val="clear" w:color="auto" w:fill="C0C0C0"/>
          </w:tcPr>
          <w:p>
            <w:pPr>
              <w:jc w:val="center"/>
              <w:ind w:right="147"/>
              <w:spacing w:after="0"/>
              <w:rPr>
                <w:sz w:val="20"/>
                <w:szCs w:val="20"/>
                <w:color w:val="auto"/>
              </w:rPr>
            </w:pPr>
            <w:r>
              <w:rPr>
                <w:rFonts w:ascii="Times New Roman" w:cs="Times New Roman" w:eastAsia="Times New Roman" w:hAnsi="Times New Roman"/>
                <w:sz w:val="18"/>
                <w:szCs w:val="18"/>
                <w:color w:val="auto"/>
                <w:w w:val="99"/>
              </w:rPr>
              <w:t>0%</w:t>
            </w: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PSUs that become vested will be distributed in accordance with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56" w:right="239" w:bottom="1440" w:gutter="0" w:footer="0" w:header="0"/>
        </w:sectPr>
      </w:pPr>
    </w:p>
    <w:bookmarkStart w:id="39" w:name="page40"/>
    <w:bookmarkEnd w:id="39"/>
    <w:p>
      <w:pPr>
        <w:jc w:val="both"/>
        <w:spacing w:after="0" w:line="296" w:lineRule="auto"/>
        <w:rPr>
          <w:sz w:val="20"/>
          <w:szCs w:val="20"/>
          <w:color w:val="auto"/>
        </w:rPr>
      </w:pPr>
      <w:r>
        <w:rPr>
          <w:rFonts w:ascii="Times New Roman" w:cs="Times New Roman" w:eastAsia="Times New Roman" w:hAnsi="Times New Roman"/>
          <w:sz w:val="20"/>
          <w:szCs w:val="20"/>
          <w:color w:val="auto"/>
        </w:rPr>
        <w:t>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392" w:lineRule="exact"/>
        <w:rPr>
          <w:sz w:val="20"/>
          <w:szCs w:val="20"/>
          <w:color w:val="auto"/>
        </w:rPr>
      </w:pPr>
    </w:p>
    <w:p>
      <w:pPr>
        <w:jc w:val="both"/>
        <w:ind w:right="20" w:firstLine="648"/>
        <w:spacing w:after="0" w:line="311" w:lineRule="auto"/>
        <w:rPr>
          <w:sz w:val="20"/>
          <w:szCs w:val="20"/>
          <w:color w:val="auto"/>
        </w:rPr>
      </w:pPr>
      <w:r>
        <w:rPr>
          <w:rFonts w:ascii="Times New Roman" w:cs="Times New Roman" w:eastAsia="Times New Roman" w:hAnsi="Times New Roman"/>
          <w:sz w:val="20"/>
          <w:szCs w:val="20"/>
          <w:color w:val="auto"/>
        </w:rPr>
        <w:t>By clicking "ACCEPT" you confirm that you understand and agree to be bound by the provisions below. This will apply where the Company elects that any tax liability arising in respect of your PSUs shall be satisfied pursuant to Section 2.5(a)(v).</w:t>
      </w:r>
    </w:p>
    <w:p>
      <w:pPr>
        <w:spacing w:after="0" w:line="3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0"/>
          <w:szCs w:val="20"/>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performance stock unit (“PSU”) equity award(s) (“Tax”), including any previously vested PSU awards that are currently pending settlement (1) or outstanding unvested PSU awards (2). This instruction will only be valid for my limited purpose brokerage account at Merrill Lynch and will not be valid for any other broker dealer. Merrill Lynch will sell an amount of shares on the next trading day after the vest or payment date of my PSU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Times New Roman" w:cs="Times New Roman" w:eastAsia="Times New Roman" w:hAnsi="Times New Roman"/>
          <w:sz w:val="20"/>
          <w:szCs w:val="20"/>
          <w:b w:val="1"/>
          <w:bCs w:val="1"/>
          <w:color w:val="auto"/>
        </w:rPr>
        <w:t>Any residual cash after payment of the Tax, commissions and fees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deposited into my Merrill Lynch brokerage account.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I permit Merrill Lynch to discuss with and disclose to LivaNova plc any information relating to my account for the purposes of this transaction.</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You must also check your W-9 or W-8 tax certification</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36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369" w:lineRule="exact"/>
        <w:rPr>
          <w:sz w:val="20"/>
          <w:szCs w:val="20"/>
          <w:color w:val="auto"/>
        </w:rPr>
      </w:pPr>
    </w:p>
    <w:p>
      <w:pPr>
        <w:ind w:firstLine="656"/>
        <w:spacing w:after="0" w:line="315" w:lineRule="auto"/>
        <w:tabs>
          <w:tab w:leader="none" w:pos="9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You can view the current status of your W-9 or W-8 by accessing the Participant/Tax Profile page located within the Individual/Plan Information Dropdown on Benefits Online®.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387" w:right="239" w:bottom="1440" w:gutter="0" w:footer="0" w:header="0"/>
        </w:sectPr>
      </w:pPr>
    </w:p>
    <w:bookmarkStart w:id="40" w:name="page41"/>
    <w:bookmarkEnd w:id="40"/>
    <w:p>
      <w:pPr>
        <w:ind w:left="55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PERFORMANCE STOCK UNIT AWARD GRANT NOTICE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AWARD AGREEMENT</w:t>
      </w:r>
    </w:p>
    <w:p>
      <w:pPr>
        <w:spacing w:after="0" w:line="26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PSUs set forth in the Grant Notice.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6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5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Sub-Plan and Foreign Appendix</w:t>
      </w:r>
      <w:r>
        <w:rPr>
          <w:rFonts w:ascii="Times New Roman" w:cs="Times New Roman" w:eastAsia="Times New Roman" w:hAnsi="Times New Roman"/>
          <w:sz w:val="20"/>
          <w:szCs w:val="20"/>
          <w:color w:val="auto"/>
        </w:rPr>
        <w:t>. The PSUs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AWARD OF PERFORMANCE STOCK UNITS AND DIVIDEND EQUIVALENTS</w:t>
      </w:r>
    </w:p>
    <w:p>
      <w:pPr>
        <w:spacing w:after="0" w:line="2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PSUs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20" w:hanging="415"/>
        <w:spacing w:after="0"/>
        <w:tabs>
          <w:tab w:leader="none" w:pos="17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Participant’s past and/or continued employment with the Company or a Subsidiary and for other good</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PSUs set forth in the Grant Notice, upon the terms and conditions set forth in the Grant Notice, the Sub-Plan, this Agreement and the Foreign Appendix, if applicable, subject to adjustment as provided in Section 13 of the Sub-Plan.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8" w:lineRule="exact"/>
        <w:rPr>
          <w:rFonts w:ascii="Times New Roman" w:cs="Times New Roman" w:eastAsia="Times New Roman" w:hAnsi="Times New Roman"/>
          <w:sz w:val="19"/>
          <w:szCs w:val="19"/>
          <w:color w:val="auto"/>
        </w:rPr>
      </w:pPr>
    </w:p>
    <w:p>
      <w:pPr>
        <w:ind w:left="1740" w:hanging="435"/>
        <w:spacing w:after="0"/>
        <w:tabs>
          <w:tab w:leader="none" w:pos="17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grants to Participant an Award of Dividend Equivalents with respect to each PSU granted pursuant</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Grant Notice for all ordinary cash dividends which are paid to all or substantially all holders of the outstanding Shares between the Grant Date and the date when the applicable PSU is distributed or paid to Participant or is forfeited or expires. The Dividend Equivalents for each PSU shall be equal to the amount of cash which is paid as a dividend on one Share. All such Dividend Equivalents shall be credited to Participant and be deemed to be reinvested in additional PSUs as of the date of payment of any such dividend based on the Fair Market Value of a Share on such date. Each additional PSU which results from such deemed reinvestment of Dividend Equivalents granted hereunder shall be subject to the same vesting, distribution or payment, adjustment and other provisions which apply to the underlying PSU to which such additional PSU relates.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ectPr>
          <w:pgSz w:w="11900" w:h="16838" w:orient="portrait"/>
          <w:cols w:equalWidth="0" w:num="1">
            <w:col w:w="11420"/>
          </w:cols>
          <w:pgMar w:left="240" w:top="599" w:right="239" w:bottom="1440" w:gutter="0" w:footer="0" w:header="0"/>
        </w:sectPr>
      </w:pPr>
    </w:p>
    <w:bookmarkStart w:id="41" w:name="page42"/>
    <w:bookmarkEnd w:id="41"/>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PSUs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80" w:hanging="475"/>
        <w:spacing w:after="0"/>
        <w:tabs>
          <w:tab w:leader="none" w:pos="17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the Company or a Subsidiary on each applicable vesting date and</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Agreement, the PSUs shall vest in such amounts and at such times as are set forth in the Grant Notice. Each additional PSU which results from deemed reinvestments of Dividend Equivalents pursuant to Section 2.1(b) hereof shall vest whenever the underlying PSU to which such additional PSU relates vests.</w:t>
      </w:r>
    </w:p>
    <w:p>
      <w:pPr>
        <w:spacing w:after="0" w:line="175" w:lineRule="exact"/>
        <w:rPr>
          <w:rFonts w:ascii="Times New Roman" w:cs="Times New Roman" w:eastAsia="Times New Roman" w:hAnsi="Times New Roman"/>
          <w:sz w:val="20"/>
          <w:szCs w:val="20"/>
          <w:color w:val="auto"/>
        </w:rPr>
      </w:pPr>
    </w:p>
    <w:p>
      <w:pPr>
        <w:ind w:left="1800" w:hanging="495"/>
        <w:spacing w:after="0"/>
        <w:tabs>
          <w:tab w:leader="none" w:pos="1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except as may be otherwise provided by Section 2.2(c), the</w:t>
      </w:r>
    </w:p>
    <w:p>
      <w:pPr>
        <w:spacing w:after="0" w:line="53" w:lineRule="exact"/>
        <w:rPr>
          <w:rFonts w:ascii="Times New Roman" w:cs="Times New Roman" w:eastAsia="Times New Roman" w:hAnsi="Times New Roman"/>
          <w:sz w:val="20"/>
          <w:szCs w:val="20"/>
          <w:color w:val="auto"/>
        </w:rPr>
      </w:pPr>
    </w:p>
    <w:p>
      <w:pPr>
        <w:jc w:val="both"/>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81"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In the event a Participant incurs a Termination of Service due to an Approved Retirement, the Participant’s outstanding</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PSUs will not be forfeited upon such Approved Retirement, but instead outstanding PSUs shall continue to vest on the date(s) set out in the Grant Notice (provided all other terms which apply to the PSUs are met, including the terms regarding restricted activities set forth below).</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“Approved Retirement” means a Termination of Service designated by the Committee, in its absolute discretion, as an Approved Retirement.</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exercising its discretion in designating a Termination of Service as an Approved Retirement, the Committee will strongly consider management recommendations based on each specific situation including the Participant's written and expressed commitment at the time of Termination of Service to cease any form of paid work or economic activity (including, but not limited to, self-employment; agency work; employment; non-executive directorship),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PSUs unvested at such time shall be immediately forfeited for no consideration. For the purposes of this Section 2.2.c),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PSUs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 operate, in each case with which the Participant has been materially involved or for which the Participant was responsible in the 12 months immediately before his or her Termination of Service.</w:t>
      </w:r>
    </w:p>
    <w:p>
      <w:pPr>
        <w:spacing w:after="0" w:line="226" w:lineRule="exact"/>
        <w:rPr>
          <w:sz w:val="20"/>
          <w:szCs w:val="20"/>
          <w:color w:val="auto"/>
        </w:rPr>
      </w:pPr>
    </w:p>
    <w:p>
      <w:pPr>
        <w:ind w:firstLine="1305"/>
        <w:spacing w:after="0" w:line="325" w:lineRule="auto"/>
        <w:tabs>
          <w:tab w:leader="none" w:pos="17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that occurs following the Measure Date, the PSUs, to the extent not forfeited or otherwise vested immediately prior to such Change in Control, shall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ectPr>
          <w:pgSz w:w="11900" w:h="16838" w:orient="portrait"/>
          <w:cols w:equalWidth="0" w:num="1">
            <w:col w:w="11420"/>
          </w:cols>
          <w:pgMar w:left="240" w:top="387" w:right="239" w:bottom="1440" w:gutter="0" w:footer="0" w:header="0"/>
        </w:sectPr>
      </w:pPr>
    </w:p>
    <w:bookmarkStart w:id="42" w:name="page43"/>
    <w:bookmarkEnd w:id="42"/>
    <w:p>
      <w:pPr>
        <w:spacing w:after="0" w:line="311" w:lineRule="auto"/>
        <w:rPr>
          <w:sz w:val="20"/>
          <w:szCs w:val="20"/>
          <w:color w:val="auto"/>
        </w:rPr>
      </w:pPr>
      <w:r>
        <w:rPr>
          <w:rFonts w:ascii="Times New Roman" w:cs="Times New Roman" w:eastAsia="Times New Roman" w:hAnsi="Times New Roman"/>
          <w:sz w:val="20"/>
          <w:szCs w:val="20"/>
          <w:color w:val="auto"/>
        </w:rPr>
        <w:t>become fully vested immediately prior to, but subject to the consummation of, such Change in Control, subject to the Participant’s continuous employment with the Company or a Subsidiary through such Change in Control.</w:t>
      </w:r>
    </w:p>
    <w:p>
      <w:pPr>
        <w:spacing w:after="0" w:line="1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PSUs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00" w:hanging="395"/>
        <w:spacing w:after="0"/>
        <w:tabs>
          <w:tab w:leader="none" w:pos="1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Participant’s PSUs shall be distributed in Shares (either in book-entry form or otherwise) or, at the option of the Company,</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paid in an amount of cash as set forth in Section 2.3(b), in either case, as soon as administratively practicable following the vesting of the applicable PSU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84" w:lineRule="exact"/>
        <w:rPr>
          <w:rFonts w:ascii="Times New Roman" w:cs="Times New Roman" w:eastAsia="Times New Roman" w:hAnsi="Times New Roman"/>
          <w:sz w:val="19"/>
          <w:szCs w:val="19"/>
          <w:color w:val="auto"/>
        </w:rPr>
      </w:pPr>
    </w:p>
    <w:p>
      <w:pPr>
        <w:ind w:left="1800" w:hanging="495"/>
        <w:spacing w:after="0"/>
        <w:tabs>
          <w:tab w:leader="none" w:pos="1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determines in its discretion that due to regulatory or administrative needs it will make</w:t>
      </w:r>
    </w:p>
    <w:p>
      <w:pPr>
        <w:spacing w:after="0" w:line="53" w:lineRule="exact"/>
        <w:rPr>
          <w:rFonts w:ascii="Times New Roman" w:cs="Times New Roman" w:eastAsia="Times New Roman" w:hAnsi="Times New Roman"/>
          <w:sz w:val="20"/>
          <w:szCs w:val="20"/>
          <w:color w:val="auto"/>
        </w:rPr>
      </w:pPr>
    </w:p>
    <w:p>
      <w:pPr>
        <w:jc w:val="both"/>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8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Subsidiaries have the authority to deduct or withhold, or require Participant to remit to the Company</w:t>
      </w:r>
    </w:p>
    <w:p>
      <w:pPr>
        <w:spacing w:after="0" w:line="65" w:lineRule="exact"/>
        <w:rPr>
          <w:rFonts w:ascii="Times New Roman" w:cs="Times New Roman" w:eastAsia="Times New Roman" w:hAnsi="Times New Roman"/>
          <w:sz w:val="19"/>
          <w:szCs w:val="19"/>
          <w:color w:val="auto"/>
        </w:rPr>
      </w:pPr>
    </w:p>
    <w:p>
      <w:pPr>
        <w:jc w:val="both"/>
        <w:spacing w:after="0" w:line="28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PSUs, the settlement of the PSUs on vesting in either Shares or cash and the sale of any of the Shares (any a “</w:t>
      </w: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The Company and its Subsidiaries may withhold or Participant may make such payment in one or more of the forms specified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ectPr>
          <w:pgSz w:w="11900" w:h="16838" w:orient="portrait"/>
          <w:cols w:equalWidth="0" w:num="1">
            <w:col w:w="11420"/>
          </w:cols>
          <w:pgMar w:left="240" w:top="387" w:right="239" w:bottom="1440" w:gutter="0" w:footer="0" w:header="0"/>
        </w:sectPr>
      </w:pPr>
    </w:p>
    <w:bookmarkStart w:id="43" w:name="page44"/>
    <w:bookmarkEnd w:id="43"/>
    <w:p>
      <w:pPr>
        <w:ind w:left="1960"/>
        <w:spacing w:after="0"/>
        <w:tabs>
          <w:tab w:leader="none" w:pos="23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arises;</w:t>
      </w:r>
    </w:p>
    <w:p>
      <w:pPr>
        <w:spacing w:after="0" w:line="256" w:lineRule="exact"/>
        <w:rPr>
          <w:sz w:val="20"/>
          <w:szCs w:val="20"/>
          <w:color w:val="auto"/>
        </w:rPr>
      </w:pPr>
    </w:p>
    <w:p>
      <w:pPr>
        <w:ind w:left="2380" w:hanging="427"/>
        <w:spacing w:after="0"/>
        <w:tabs>
          <w:tab w:leader="none" w:pos="23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69"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PSUs, by the Company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a net number of vested Shares otherwise issuable pursuant to the PSUs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PSUs, with the consent of</w:t>
      </w:r>
    </w:p>
    <w:p>
      <w:pPr>
        <w:spacing w:after="0" w:line="65"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19"/>
          <w:szCs w:val="19"/>
          <w:color w:val="auto"/>
        </w:rPr>
      </w:pPr>
    </w:p>
    <w:p>
      <w:pPr>
        <w:ind w:left="2360" w:hanging="407"/>
        <w:spacing w:after="0"/>
        <w:tabs>
          <w:tab w:leader="none" w:pos="236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PSUs, through the delivery</w:t>
      </w:r>
    </w:p>
    <w:p>
      <w:pPr>
        <w:spacing w:after="0" w:line="65" w:lineRule="exact"/>
        <w:rPr>
          <w:rFonts w:ascii="Times New Roman" w:cs="Times New Roman" w:eastAsia="Times New Roman" w:hAnsi="Times New Roman"/>
          <w:sz w:val="19"/>
          <w:szCs w:val="19"/>
          <w:color w:val="auto"/>
        </w:rPr>
      </w:pPr>
    </w:p>
    <w:p>
      <w:pPr>
        <w:jc w:val="both"/>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Tax Liability arises in satisfaction of such Tax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1" w:lineRule="exact"/>
        <w:rPr>
          <w:rFonts w:ascii="Times New Roman" w:cs="Times New Roman" w:eastAsia="Times New Roman" w:hAnsi="Times New Roman"/>
          <w:sz w:val="19"/>
          <w:szCs w:val="19"/>
          <w:color w:val="auto"/>
        </w:rPr>
      </w:pPr>
    </w:p>
    <w:p>
      <w:pPr>
        <w:ind w:left="2420" w:hanging="467"/>
        <w:spacing w:after="0"/>
        <w:tabs>
          <w:tab w:leader="none" w:pos="24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6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PSUs to, or</w:t>
      </w:r>
    </w:p>
    <w:p>
      <w:pPr>
        <w:spacing w:after="0" w:line="65" w:lineRule="exact"/>
        <w:rPr>
          <w:rFonts w:ascii="Times New Roman" w:cs="Times New Roman" w:eastAsia="Times New Roman" w:hAnsi="Times New Roman"/>
          <w:sz w:val="19"/>
          <w:szCs w:val="19"/>
          <w:color w:val="auto"/>
        </w:rPr>
      </w:pPr>
    </w:p>
    <w:p>
      <w:pPr>
        <w:jc w:val="both"/>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provided that no payment shall be delayed under this Section 2.5(d) if such delay will result in a violation of Section 409A of the Code.</w:t>
      </w:r>
    </w:p>
    <w:p>
      <w:pPr>
        <w:spacing w:after="0" w:line="181" w:lineRule="exact"/>
        <w:rPr>
          <w:rFonts w:ascii="Times New Roman" w:cs="Times New Roman" w:eastAsia="Times New Roman" w:hAnsi="Times New Roman"/>
          <w:sz w:val="19"/>
          <w:szCs w:val="19"/>
          <w:color w:val="auto"/>
        </w:rPr>
      </w:pPr>
    </w:p>
    <w:p>
      <w:pPr>
        <w:ind w:left="1780" w:hanging="475"/>
        <w:spacing w:after="0"/>
        <w:tabs>
          <w:tab w:leader="none" w:pos="17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 Liability arising in connection with the PSUs, in the event Participant fails to provide timely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175" w:lineRule="exact"/>
        <w:rPr>
          <w:rFonts w:ascii="Times New Roman" w:cs="Times New Roman" w:eastAsia="Times New Roman" w:hAnsi="Times New Roman"/>
          <w:sz w:val="20"/>
          <w:szCs w:val="20"/>
          <w:color w:val="auto"/>
        </w:rPr>
      </w:pPr>
    </w:p>
    <w:p>
      <w:pPr>
        <w:ind w:left="1800" w:hanging="495"/>
        <w:spacing w:after="0"/>
        <w:tabs>
          <w:tab w:leader="none" w:pos="18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Liability arising in connection with the PSUs will be satisfied under Section 2.5(a)(iii), then the</w:t>
      </w:r>
    </w:p>
    <w:p>
      <w:pPr>
        <w:spacing w:after="0" w:line="53" w:lineRule="exact"/>
        <w:rPr>
          <w:rFonts w:ascii="Times New Roman" w:cs="Times New Roman" w:eastAsia="Times New Roman" w:hAnsi="Times New Roman"/>
          <w:sz w:val="20"/>
          <w:szCs w:val="20"/>
          <w:color w:val="auto"/>
        </w:rPr>
      </w:pPr>
    </w:p>
    <w:p>
      <w:pPr>
        <w:jc w:val="both"/>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Liability and to remit the proceeds of such sale to the Company or the Subsidiary. Participant’s acceptance of this Award constitutes Participant’s instruction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ectPr>
          <w:pgSz w:w="11900" w:h="16838" w:orient="portrait"/>
          <w:cols w:equalWidth="0" w:num="1">
            <w:col w:w="11420"/>
          </w:cols>
          <w:pgMar w:left="240" w:top="387" w:right="239" w:bottom="1440" w:gutter="0" w:footer="0" w:header="0"/>
        </w:sectPr>
      </w:pPr>
    </w:p>
    <w:bookmarkStart w:id="44" w:name="page45"/>
    <w:bookmarkEnd w:id="44"/>
    <w:p>
      <w:pPr>
        <w:jc w:val="both"/>
        <w:spacing w:after="0" w:line="291" w:lineRule="auto"/>
        <w:rPr>
          <w:sz w:val="20"/>
          <w:szCs w:val="20"/>
          <w:color w:val="auto"/>
        </w:rPr>
      </w:pPr>
      <w:r>
        <w:rPr>
          <w:rFonts w:ascii="Times New Roman" w:cs="Times New Roman" w:eastAsia="Times New Roman" w:hAnsi="Times New Roman"/>
          <w:sz w:val="20"/>
          <w:szCs w:val="20"/>
          <w:color w:val="auto"/>
        </w:rPr>
        <w:t xml:space="preserve">authorization to the Company and such brokerage firm to complete the transactions described in this Section 2.5(d), including the transactions described in the previous sentence, as applicable. The Company may refuse to issue any Shares in settlement of the PSUs to Participant until the foregoing Tax Liability is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2.5(d) if such delay will result in a violation of Section 409A of the Code.</w:t>
      </w:r>
    </w:p>
    <w:p>
      <w:pPr>
        <w:spacing w:after="0" w:line="181" w:lineRule="exact"/>
        <w:rPr>
          <w:sz w:val="20"/>
          <w:szCs w:val="20"/>
          <w:color w:val="auto"/>
        </w:rPr>
      </w:pPr>
    </w:p>
    <w:p>
      <w:pPr>
        <w:ind w:left="1800" w:hanging="495"/>
        <w:spacing w:after="0"/>
        <w:tabs>
          <w:tab w:leader="none" w:pos="1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and indemnifies the Company and each Subsidiary against all Tax</w:t>
      </w:r>
    </w:p>
    <w:p>
      <w:pPr>
        <w:spacing w:after="0" w:line="53" w:lineRule="exact"/>
        <w:rPr>
          <w:rFonts w:ascii="Times New Roman" w:cs="Times New Roman" w:eastAsia="Times New Roman" w:hAnsi="Times New Roman"/>
          <w:sz w:val="20"/>
          <w:szCs w:val="20"/>
          <w:color w:val="auto"/>
        </w:rPr>
      </w:pPr>
    </w:p>
    <w:p>
      <w:pPr>
        <w:jc w:val="both"/>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arising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any Tax Liability.</w:t>
      </w:r>
    </w:p>
    <w:p>
      <w:pPr>
        <w:spacing w:after="0" w:line="18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182"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PSUs Not Transferable</w:t>
      </w:r>
      <w:r>
        <w:rPr>
          <w:rFonts w:ascii="Times New Roman" w:cs="Times New Roman" w:eastAsia="Times New Roman" w:hAnsi="Times New Roman"/>
          <w:sz w:val="19"/>
          <w:szCs w:val="19"/>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certain persons or entities related to the Participant, including but not limited to members of Participant’s family, charitable institutions or trusts or other entities whose beneficiaries or beneficial owners are members of Participant’s family or to such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ectPr>
          <w:pgSz w:w="11900" w:h="16838" w:orient="portrait"/>
          <w:cols w:equalWidth="0" w:num="1">
            <w:col w:w="11420"/>
          </w:cols>
          <w:pgMar w:left="240" w:top="387" w:right="239" w:bottom="1440" w:gutter="0" w:footer="0" w:header="0"/>
        </w:sectPr>
      </w:pPr>
    </w:p>
    <w:bookmarkStart w:id="45" w:name="page46"/>
    <w:bookmarkEnd w:id="45"/>
    <w:p>
      <w:pPr>
        <w:jc w:val="both"/>
        <w:spacing w:after="0" w:line="311" w:lineRule="auto"/>
        <w:rPr>
          <w:sz w:val="20"/>
          <w:szCs w:val="20"/>
          <w:color w:val="auto"/>
        </w:rPr>
      </w:pPr>
      <w:r>
        <w:rPr>
          <w:rFonts w:ascii="Times New Roman" w:cs="Times New Roman" w:eastAsia="Times New Roman" w:hAnsi="Times New Roman"/>
          <w:sz w:val="20"/>
          <w:szCs w:val="20"/>
          <w:color w:val="auto"/>
        </w:rPr>
        <w:t>other persons or entities as may be expressly approved by the Administrator, pursuant to any such conditions and procedures the Administrator may require.</w:t>
      </w:r>
    </w:p>
    <w:p>
      <w:pPr>
        <w:spacing w:after="0" w:line="160"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Sub-Plan, including Section 13 of the Sub-Plan.</w:t>
      </w:r>
    </w:p>
    <w:p>
      <w:pPr>
        <w:spacing w:after="0" w:line="16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7"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PSUs are granted, only in such a manner as to conform to Applicable Law. To the extent permitted by Applicable Law, the Sub-Plan and this Agreement shall be deemed amended to the extent necessary to conform to Applicable Law.</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Sub-Plan,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 however</w:t>
      </w:r>
      <w:r>
        <w:rPr>
          <w:rFonts w:ascii="Times New Roman" w:cs="Times New Roman" w:eastAsia="Times New Roman" w:hAnsi="Times New Roman"/>
          <w:sz w:val="20"/>
          <w:szCs w:val="20"/>
          <w:color w:val="auto"/>
        </w:rPr>
        <w:t xml:space="preserve"> that, except as may otherwise be provided by the Sub-Plan, no amendment, modification, suspension or termination of this Agreement shall adversely affect the PSUs in any material way without the prior written consent of Participant.</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7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Sub-Plan or this Agreement, if Participant is subject to Section 16 of the Exchange Act, the Sub-Plan, the PSUs (including PSUs which result from the deemed reinvestment of Dividend Equivalents), the Dividend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ectPr>
          <w:pgSz w:w="11900" w:h="16838" w:orient="portrait"/>
          <w:cols w:equalWidth="0" w:num="1">
            <w:col w:w="11420"/>
          </w:cols>
          <w:pgMar w:left="240" w:top="387" w:right="239" w:bottom="1440" w:gutter="0" w:footer="0" w:header="0"/>
        </w:sectPr>
      </w:pPr>
    </w:p>
    <w:bookmarkStart w:id="46" w:name="page47"/>
    <w:bookmarkEnd w:id="46"/>
    <w:p>
      <w:pPr>
        <w:jc w:val="both"/>
        <w:spacing w:after="0" w:line="291" w:lineRule="auto"/>
        <w:rPr>
          <w:sz w:val="20"/>
          <w:szCs w:val="20"/>
          <w:color w:val="auto"/>
        </w:rPr>
      </w:pPr>
      <w:r>
        <w:rPr>
          <w:rFonts w:ascii="Times New Roman" w:cs="Times New Roman" w:eastAsia="Times New Roman" w:hAnsi="Times New Roman"/>
          <w:sz w:val="20"/>
          <w:szCs w:val="20"/>
          <w:color w:val="auto"/>
        </w:rPr>
        <w:t>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PSUs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PSU or the termination of the Participant’s employment.</w:t>
      </w:r>
    </w:p>
    <w:p>
      <w:pPr>
        <w:spacing w:after="0" w:line="19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PSUs Not Part of Employment Compensation</w:t>
      </w:r>
      <w:r>
        <w:rPr>
          <w:rFonts w:ascii="Times New Roman" w:cs="Times New Roman" w:eastAsia="Times New Roman" w:hAnsi="Times New Roman"/>
          <w:sz w:val="20"/>
          <w:szCs w:val="20"/>
          <w:color w:val="auto"/>
        </w:rPr>
        <w:t>. The PSUs and the Shares subject to the PSUs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8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Data Protection</w:t>
      </w:r>
      <w:r>
        <w:rPr>
          <w:rFonts w:ascii="Times New Roman" w:cs="Times New Roman" w:eastAsia="Times New Roman" w:hAnsi="Times New Roman"/>
          <w:sz w:val="19"/>
          <w:szCs w:val="19"/>
          <w:color w:val="auto"/>
        </w:rPr>
        <w:t>. By electronically signing the Grant Notice and this Agreement, the Participant acknowledges and agrees that:</w:t>
      </w:r>
    </w:p>
    <w:p>
      <w:pPr>
        <w:spacing w:after="0" w:line="270" w:lineRule="exact"/>
        <w:rPr>
          <w:sz w:val="20"/>
          <w:szCs w:val="20"/>
          <w:color w:val="auto"/>
        </w:rPr>
      </w:pPr>
    </w:p>
    <w:p>
      <w:pPr>
        <w:ind w:left="1880" w:hanging="575"/>
        <w:spacing w:after="0"/>
        <w:tabs>
          <w:tab w:leader="none" w:pos="1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 Subsidiary or the Participant’s employer are permitted to hold and process personal information</w:t>
      </w:r>
    </w:p>
    <w:p>
      <w:pPr>
        <w:spacing w:after="0" w:line="49" w:lineRule="exact"/>
        <w:rPr>
          <w:rFonts w:ascii="Times New Roman" w:cs="Times New Roman" w:eastAsia="Times New Roman" w:hAnsi="Times New Roman"/>
          <w:sz w:val="20"/>
          <w:szCs w:val="20"/>
          <w:color w:val="auto"/>
        </w:rPr>
      </w:pPr>
    </w:p>
    <w:p>
      <w:pPr>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sensitive personal information)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about the Participant as part of their personnel and other business records and may use such information for the purpose of managing and administering the Sub-Plan;</w:t>
      </w:r>
    </w:p>
    <w:p>
      <w:pPr>
        <w:spacing w:after="0" w:line="156"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 Subsidiary or the Participant’s employer may disclose the Data (as described in (a) above) to third parties</w:t>
      </w:r>
    </w:p>
    <w:p>
      <w:pPr>
        <w:spacing w:after="0" w:line="65" w:lineRule="exact"/>
        <w:rPr>
          <w:rFonts w:ascii="Times New Roman" w:cs="Times New Roman" w:eastAsia="Times New Roman" w:hAnsi="Times New Roman"/>
          <w:sz w:val="19"/>
          <w:szCs w:val="19"/>
          <w:color w:val="auto"/>
        </w:rPr>
      </w:pPr>
    </w:p>
    <w:p>
      <w:pPr>
        <w:jc w:val="both"/>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81" w:lineRule="exact"/>
        <w:rPr>
          <w:rFonts w:ascii="Times New Roman" w:cs="Times New Roman" w:eastAsia="Times New Roman" w:hAnsi="Times New Roman"/>
          <w:sz w:val="19"/>
          <w:szCs w:val="19"/>
          <w:color w:val="auto"/>
        </w:rPr>
      </w:pPr>
    </w:p>
    <w:p>
      <w:pPr>
        <w:ind w:left="1860" w:hanging="555"/>
        <w:spacing w:after="0"/>
        <w:tabs>
          <w:tab w:leader="none" w:pos="18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at any time, review Data, require any necessary amendments to it or withdraw their consent herein by</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ectPr>
          <w:pgSz w:w="11900" w:h="16838" w:orient="portrait"/>
          <w:cols w:equalWidth="0" w:num="1">
            <w:col w:w="11420"/>
          </w:cols>
          <w:pgMar w:left="240" w:top="387" w:right="239" w:bottom="1440" w:gutter="0" w:footer="0" w:header="0"/>
        </w:sectPr>
      </w:pPr>
    </w:p>
    <w:bookmarkStart w:id="47" w:name="page48"/>
    <w:bookmarkEnd w:id="47"/>
    <w:p>
      <w:pPr>
        <w:ind w:firstLine="1305"/>
        <w:spacing w:after="0" w:line="325" w:lineRule="auto"/>
        <w:tabs>
          <w:tab w:leader="none" w:pos="177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will only be held as long as necessary to implement, administer and manage the Participant’s participation in the Sub-Plan and any subsequent claims or rights; and</w:t>
      </w:r>
    </w:p>
    <w:p>
      <w:pPr>
        <w:spacing w:after="0" w:line="146"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69"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pacing w:after="0" w:line="185"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6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PSUs and Dividend Equivalents, and rights no greater than the right to receive Shares or cash as a general unsecured creditor with respect to the PSUs, as and when settled pursuant to the terms hereof.</w:t>
      </w:r>
    </w:p>
    <w:p>
      <w:pPr>
        <w:spacing w:after="0" w:line="183"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ectPr>
          <w:pgSz w:w="11900" w:h="16838" w:orient="portrait"/>
          <w:cols w:equalWidth="0" w:num="1">
            <w:col w:w="11420"/>
          </w:cols>
          <w:pgMar w:left="240" w:top="387" w:right="239" w:bottom="1440" w:gutter="0" w:footer="0" w:header="0"/>
        </w:sectPr>
      </w:pPr>
    </w:p>
    <w:bookmarkStart w:id="48" w:name="page49"/>
    <w:bookmarkEnd w:id="48"/>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Special Provisions for PSUs Granted to Participants Outside the U.S</w:t>
      </w:r>
      <w:r>
        <w:rPr>
          <w:rFonts w:ascii="Times New Roman" w:cs="Times New Roman" w:eastAsia="Times New Roman" w:hAnsi="Times New Roman"/>
          <w:sz w:val="20"/>
          <w:szCs w:val="20"/>
          <w:color w:val="auto"/>
        </w:rPr>
        <w:t>. If Participant performs services for the Company or any Subsidiary outside of the United States, the PSUs shall be subject to the special provisions, if any, for Participant’s country of residence, as set forth in the Foreign Appendix.</w:t>
      </w:r>
    </w:p>
    <w:p>
      <w:pPr>
        <w:spacing w:after="0" w:line="169" w:lineRule="exact"/>
        <w:rPr>
          <w:sz w:val="20"/>
          <w:szCs w:val="20"/>
          <w:color w:val="auto"/>
        </w:rPr>
      </w:pPr>
    </w:p>
    <w:p>
      <w:pPr>
        <w:ind w:left="1720" w:hanging="415"/>
        <w:spacing w:after="0"/>
        <w:tabs>
          <w:tab w:leader="none" w:pos="1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relocates to one of the countries included in the Foreign Appendix during the life of this Award, the special</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60"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impose other requirements on this Award and any Shares received upon settlement of</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ectPr>
          <w:pgSz w:w="11900" w:h="16838" w:orient="portrait"/>
          <w:cols w:equalWidth="0" w:num="1">
            <w:col w:w="11420"/>
          </w:cols>
          <w:pgMar w:left="240" w:top="387"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PERFORMANCE STOCK UNIT AWARD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PERFORMANCE STOCK UNITS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PARTICIPANTS OUTSIDE THE U.S.</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This Exhibit B includes special terms and conditions applicable to Participants in the countries below. These terms and conditions are in addition to those set forth in the PSU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PSUs are settled or any Shares acquired under the Sub-Plan are sold.</w:t>
      </w:r>
    </w:p>
    <w:p>
      <w:pPr>
        <w:spacing w:after="0" w:line="18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Sub-Plan is enclosed with this Grant Notice and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The Sub-Plan, the Agreement and this Grant Notice do not constitute financial advice</w:t>
      </w:r>
    </w:p>
    <w:p>
      <w:pPr>
        <w:spacing w:after="0" w:line="2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Any advice given by the Company in relation to the Grant Notice, the Agreement, the Sub-Plan, the PSUs or the Shares does not constitute financial advice and does not take into account your objectives, financial situation and needs. In considering the PSUs and the amount of cash and/or Shares that you will receive on vesting of the PSUs, you should consider the risk factors that could affect the performance of the Company and the value of PSUs and Shares, which value can increase or decrease from time to time, and the amount of any Tax Liability.</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PSUs or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ectPr>
          <w:pgSz w:w="11900" w:h="16838" w:orient="portrait"/>
          <w:cols w:equalWidth="0" w:num="1">
            <w:col w:w="11420"/>
          </w:cols>
          <w:pgMar w:left="240" w:top="356" w:right="2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0"/>
          <w:szCs w:val="20"/>
          <w:b w:val="1"/>
          <w:bCs w:val="1"/>
          <w:color w:val="auto"/>
        </w:rPr>
        <w:t>How to calculate values in Australian dollars</w:t>
      </w:r>
    </w:p>
    <w:p>
      <w:pPr>
        <w:spacing w:after="0" w:line="260" w:lineRule="exact"/>
        <w:rPr>
          <w:sz w:val="20"/>
          <w:szCs w:val="20"/>
          <w:color w:val="auto"/>
        </w:rPr>
      </w:pPr>
    </w:p>
    <w:p>
      <w:pPr>
        <w:jc w:val="both"/>
        <w:ind w:firstLine="648"/>
        <w:spacing w:after="0" w:line="340" w:lineRule="auto"/>
        <w:rPr>
          <w:sz w:val="20"/>
          <w:szCs w:val="20"/>
          <w:color w:val="auto"/>
        </w:rPr>
      </w:pPr>
      <w:r>
        <w:rPr>
          <w:rFonts w:ascii="Times New Roman" w:cs="Times New Roman" w:eastAsia="Times New Roman" w:hAnsi="Times New Roman"/>
          <w:sz w:val="19"/>
          <w:szCs w:val="19"/>
          <w:color w:val="auto"/>
        </w:rPr>
        <w:t>Your PSUs will vest in accordance with the Grant Notice and the Agreement (which require certain conditions to be met) and are subject to a four year graded vesting schedule. The PSUs may result in Shares or cash being given to you, in accordance with the Grant Notice.</w:t>
      </w:r>
    </w:p>
    <w:p>
      <w:pPr>
        <w:spacing w:after="0" w:line="1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will not be required to pay any amount for the PSUs or any Shares that will be issued to you upon vesting. However the amount of cash or number of Shares you receive will depend on the market price of Shares at the time and the amount of any Tax Liability in connection with the grant and vesting of the PSUs and the issue of any Shares.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can ascertain the market price of a Share in the Company in United States Dollars (“USD”) from time to time by visiting either:</w:t>
      </w:r>
    </w:p>
    <w:p>
      <w:pPr>
        <w:spacing w:after="0" w:line="256" w:lineRule="exact"/>
        <w:rPr>
          <w:sz w:val="20"/>
          <w:szCs w:val="20"/>
          <w:color w:val="auto"/>
        </w:rPr>
      </w:pPr>
    </w:p>
    <w:p>
      <w:pPr>
        <w:ind w:left="880" w:hanging="224"/>
        <w:spacing w:after="0"/>
        <w:tabs>
          <w:tab w:leader="none" w:pos="8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website (http://www.livanova.com/investor-relations/stock-information); or</w:t>
      </w:r>
    </w:p>
    <w:p>
      <w:pPr>
        <w:spacing w:after="0" w:line="256" w:lineRule="exact"/>
        <w:rPr>
          <w:rFonts w:ascii="Times New Roman" w:cs="Times New Roman" w:eastAsia="Times New Roman" w:hAnsi="Times New Roman"/>
          <w:sz w:val="20"/>
          <w:szCs w:val="20"/>
          <w:color w:val="auto"/>
        </w:rPr>
      </w:pPr>
    </w:p>
    <w:p>
      <w:pPr>
        <w:ind w:left="880" w:hanging="224"/>
        <w:spacing w:after="0"/>
        <w:tabs>
          <w:tab w:leader="none" w:pos="8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NASDAQ website (http://www.nasdaq.com/symbol/livn).</w:t>
      </w:r>
    </w:p>
    <w:p>
      <w:pPr>
        <w:spacing w:after="0" w:line="25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0" w:lineRule="exact"/>
        <w:rPr>
          <w:sz w:val="20"/>
          <w:szCs w:val="20"/>
          <w:color w:val="auto"/>
        </w:rPr>
      </w:pPr>
    </w:p>
    <w:p>
      <w:pPr>
        <w:ind w:right="78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PSUs shall only be distributed in Shares (either in book-entry form or otherwise), and no portion of the Participant’s PSUs shall be payable to the Participant in cash.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0"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PSUs shall only be settled in cash, and no portion of the Participant’s PSUs shall be distributed in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Participant is employed by a French subsidiary of the Group, the terms and conditions provided in the French Sub-Plan will apply, in addition to the terms set out below. References in the Agreement to “Sub-Plan” shall be references to the “French Sub-Plan” and references in the Agreement to Performance Stock Units (PSU) shall be references to Restricted Stock Units (RSU) per the French Sub-Plan</w:t>
      </w:r>
    </w:p>
    <w:p>
      <w:pPr>
        <w:spacing w:after="0" w:line="13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Participant’s PSUs shall only be distributed in Shares (either in book-entry form or otherwise), and no portion of the Participant’s PSUs shall be payable to the Participant in cash. Participant cannot benefit from any Dividend Equivalent provided for under Sections 2.1 and 2.2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at Section 2.7 of the Agreement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Holding Period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1180"/>
        <w:spacing w:after="0" w:line="296" w:lineRule="auto"/>
        <w:tabs>
          <w:tab w:leader="none" w:pos="12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Times New Roman" w:cs="Times New Roman" w:eastAsia="Times New Roman" w:hAnsi="Times New Roman"/>
          <w:sz w:val="20"/>
          <w:szCs w:val="20"/>
          <w:u w:val="single" w:color="auto"/>
          <w:color w:val="auto"/>
        </w:rPr>
        <w:t>Holding Period</w:t>
      </w:r>
      <w:r>
        <w:rPr>
          <w:rFonts w:ascii="Times New Roman" w:cs="Times New Roman" w:eastAsia="Times New Roman" w:hAnsi="Times New Roman"/>
          <w:sz w:val="20"/>
          <w:szCs w:val="20"/>
          <w:color w:val="auto"/>
        </w:rPr>
        <w:t>”) (as such terms are defined in the French Sub-Plan).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w:t>
      </w:r>
    </w:p>
    <w:p>
      <w:pPr>
        <w:sectPr>
          <w:pgSz w:w="11900" w:h="16838" w:orient="portrait"/>
          <w:cols w:equalWidth="0" w:num="1">
            <w:col w:w="11420"/>
          </w:cols>
          <w:pgMar w:left="240" w:top="383" w:right="239" w:bottom="1440" w:gutter="0" w:footer="0" w:header="0"/>
        </w:sectPr>
      </w:pPr>
    </w:p>
    <w:bookmarkStart w:id="51" w:name="page52"/>
    <w:bookmarkEnd w:id="51"/>
    <w:p>
      <w:pPr>
        <w:ind w:left="2160" w:hanging="1180"/>
        <w:spacing w:after="0" w:line="291"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35" w:lineRule="exact"/>
        <w:rPr>
          <w:rFonts w:ascii="Times New Roman" w:cs="Times New Roman" w:eastAsia="Times New Roman" w:hAnsi="Times New Roman"/>
          <w:sz w:val="20"/>
          <w:szCs w:val="20"/>
          <w:color w:val="auto"/>
        </w:rPr>
      </w:pPr>
    </w:p>
    <w:p>
      <w:pPr>
        <w:ind w:left="2160" w:hanging="1180"/>
        <w:spacing w:after="0" w:line="296"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29" w:lineRule="exact"/>
        <w:rPr>
          <w:rFonts w:ascii="Times New Roman" w:cs="Times New Roman" w:eastAsia="Times New Roman" w:hAnsi="Times New Roman"/>
          <w:sz w:val="20"/>
          <w:szCs w:val="20"/>
          <w:color w:val="auto"/>
        </w:rPr>
      </w:pPr>
    </w:p>
    <w:p>
      <w:pPr>
        <w:ind w:left="2160" w:hanging="1180"/>
        <w:spacing w:after="0" w:line="289"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35" w:lineRule="exact"/>
        <w:rPr>
          <w:rFonts w:ascii="Times New Roman" w:cs="Times New Roman" w:eastAsia="Times New Roman" w:hAnsi="Times New Roman"/>
          <w:sz w:val="20"/>
          <w:szCs w:val="20"/>
          <w:color w:val="auto"/>
        </w:rPr>
      </w:pPr>
    </w:p>
    <w:p>
      <w:pPr>
        <w:ind w:left="2160" w:hanging="1180"/>
        <w:spacing w:after="0" w:line="286"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Times New Roman" w:cs="Times New Roman" w:eastAsia="Times New Roman" w:hAnsi="Times New Roman"/>
          <w:sz w:val="20"/>
          <w:szCs w:val="20"/>
          <w:color w:val="auto"/>
        </w:rPr>
      </w:pPr>
    </w:p>
    <w:p>
      <w:pPr>
        <w:ind w:left="2160" w:right="20" w:hanging="1180"/>
        <w:spacing w:after="0" w:line="311"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agrees that Merrill Lynch may discuss with and disclose to LivaNova plc any information relating to their account for the purposes of any sale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19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20"/>
          <w:szCs w:val="20"/>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w:t>
      </w:r>
    </w:p>
    <w:p>
      <w:pPr>
        <w:sectPr>
          <w:pgSz w:w="11900" w:h="16838" w:orient="portrait"/>
          <w:cols w:equalWidth="0" w:num="1">
            <w:col w:w="11420"/>
          </w:cols>
          <w:pgMar w:left="240" w:top="657" w:right="239" w:bottom="1440" w:gutter="0" w:footer="0" w:header="0"/>
        </w:sectPr>
      </w:pPr>
    </w:p>
    <w:bookmarkStart w:id="52" w:name="page53"/>
    <w:bookmarkEnd w:id="52"/>
    <w:p>
      <w:pPr>
        <w:ind w:right="120"/>
        <w:spacing w:after="0" w:line="242" w:lineRule="auto"/>
        <w:rPr>
          <w:sz w:val="20"/>
          <w:szCs w:val="20"/>
          <w:color w:val="auto"/>
        </w:rPr>
      </w:pPr>
      <w:r>
        <w:rPr>
          <w:rFonts w:ascii="Times New Roman" w:cs="Times New Roman" w:eastAsia="Times New Roman" w:hAnsi="Times New Roman"/>
          <w:sz w:val="20"/>
          <w:szCs w:val="20"/>
          <w:color w:val="auto"/>
        </w:rPr>
        <w:t>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“Tax Liability” in Section 2.5:</w:t>
      </w:r>
    </w:p>
    <w:p>
      <w:pPr>
        <w:spacing w:after="0" w:line="220"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For the avoidance of doubt, the definition of “Tax Liability” shall only include the employee portions of the social security contributions.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sentence is inserted at Section 3.1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the Administrator’s decisions and interpretations shall be subject to reasonable discretion.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heading of Section 3.12 shall be supplemented and read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Section 3.12 PSUs Not Part of Employment Compensation, No Legal Claim to Grant(s)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287" w:lineRule="auto"/>
        <w:tabs>
          <w:tab w:leader="none" w:pos="1913"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1"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78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29" w:lineRule="exact"/>
        <w:rPr>
          <w:rFonts w:ascii="Times New Roman" w:cs="Times New Roman" w:eastAsia="Times New Roman" w:hAnsi="Times New Roman"/>
          <w:sz w:val="20"/>
          <w:szCs w:val="20"/>
          <w:b w:val="1"/>
          <w:bCs w:val="1"/>
          <w:color w:val="auto"/>
        </w:rPr>
      </w:pPr>
    </w:p>
    <w:p>
      <w:pPr>
        <w:ind w:left="1720" w:hanging="415"/>
        <w:spacing w:after="0"/>
        <w:tabs>
          <w:tab w:leader="none" w:pos="17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this section applies to any Data held, used or disclosed in any medium;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w:t>
      </w:r>
    </w:p>
    <w:p>
      <w:pPr>
        <w:sectPr>
          <w:pgSz w:w="11900" w:h="16838" w:orient="portrait"/>
          <w:cols w:equalWidth="0" w:num="1">
            <w:col w:w="11420"/>
          </w:cols>
          <w:pgMar w:left="240" w:top="360" w:right="239" w:bottom="1440" w:gutter="0" w:footer="0" w:header="0"/>
        </w:sectPr>
      </w:pPr>
    </w:p>
    <w:bookmarkStart w:id="53" w:name="page54"/>
    <w:bookmarkEnd w:id="53"/>
    <w:p>
      <w:pPr>
        <w:ind w:firstLine="1278"/>
        <w:spacing w:after="0" w:line="315" w:lineRule="auto"/>
        <w:tabs>
          <w:tab w:leader="none" w:pos="1871"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12" w:lineRule="exact"/>
        <w:rPr>
          <w:rFonts w:ascii="Times New Roman" w:cs="Times New Roman" w:eastAsia="Times New Roman" w:hAnsi="Times New Roman"/>
          <w:sz w:val="20"/>
          <w:szCs w:val="20"/>
          <w:b w:val="1"/>
          <w:bCs w:val="1"/>
          <w:color w:val="auto"/>
        </w:rPr>
      </w:pPr>
    </w:p>
    <w:p>
      <w:pPr>
        <w:ind w:right="20" w:firstLine="1278"/>
        <w:spacing w:after="0" w:line="315" w:lineRule="auto"/>
        <w:tabs>
          <w:tab w:leader="none" w:pos="19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will only be held as long as necessary to implement, administer, manage and account Participant’s participation in the Sub-Plan and any subsequent claims or rights;</w:t>
      </w:r>
    </w:p>
    <w:p>
      <w:pPr>
        <w:spacing w:after="0" w:line="112"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87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33"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as Section 2.5 (f) of the Agreement</w:t>
      </w:r>
    </w:p>
    <w:p>
      <w:pPr>
        <w:spacing w:after="0" w:line="26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PSUs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- 5</w:t>
      </w:r>
    </w:p>
    <w:p>
      <w:pPr>
        <w:sectPr>
          <w:pgSz w:w="11900" w:h="16838" w:orient="portrait"/>
          <w:cols w:equalWidth="0" w:num="1">
            <w:col w:w="11420"/>
          </w:cols>
          <w:pgMar w:left="240" w:top="383"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INCENTIVE AWARD SUB-PLAN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AWARD GRANT NOTICE</w:t>
      </w:r>
    </w:p>
    <w:p>
      <w:pPr>
        <w:spacing w:after="0" w:line="2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LivaNova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Incentive Award Plan (including where relevant the Sub-Plan for UK Participants and/or the Sub-Plan for France), as amended from time to time (the “</w:t>
      </w:r>
      <w:r>
        <w:rPr>
          <w:rFonts w:ascii="Times New Roman" w:cs="Times New Roman" w:eastAsia="Times New Roman" w:hAnsi="Times New Roman"/>
          <w:sz w:val="20"/>
          <w:szCs w:val="20"/>
          <w:u w:val="single" w:color="auto"/>
          <w:color w:val="auto"/>
        </w:rPr>
        <w:t>Sub-Plan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Sub-Plan (including or as replaced by any local sub-plan referred to in the Foreign Appendix) and the special provisions for Participant’s country of residence, if any, attached here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Foreign Appendix</w:t>
      </w:r>
      <w:r>
        <w:rPr>
          <w:rFonts w:ascii="Times New Roman" w:cs="Times New Roman" w:eastAsia="Times New Roman" w:hAnsi="Times New Roman"/>
          <w:sz w:val="20"/>
          <w:szCs w:val="20"/>
          <w:color w:val="auto"/>
        </w:rPr>
        <w:t>”) each of which is incorporated herein by reference. Unless otherwise defined herein, the terms defined in (or by reference in) the Sub-Plan shall have the same defined meanings in the Grant Notice and the Agreement.</w:t>
      </w:r>
    </w:p>
    <w:p>
      <w:pPr>
        <w:spacing w:after="0" w:line="316"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86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[__________________]</w:t>
            </w:r>
          </w:p>
        </w:tc>
        <w:tc>
          <w:tcPr>
            <w:tcW w:w="32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365"/>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86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March 30, 2019</w:t>
            </w:r>
          </w:p>
        </w:tc>
        <w:tc>
          <w:tcPr>
            <w:tcW w:w="3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5"/>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PSUs:</w:t>
            </w:r>
          </w:p>
        </w:tc>
        <w:tc>
          <w:tcPr>
            <w:tcW w:w="486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[___________]</w:t>
            </w:r>
          </w:p>
        </w:tc>
        <w:tc>
          <w:tcPr>
            <w:tcW w:w="3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9"/>
        </w:trPr>
        <w:tc>
          <w:tcPr>
            <w:tcW w:w="2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Subject to Section 2.2 of the Agreement, the PSUs will vest as follows:</w:t>
            </w:r>
          </w:p>
        </w:tc>
      </w:tr>
      <w:tr>
        <w:trPr>
          <w:trHeight w:val="444"/>
        </w:trPr>
        <w:tc>
          <w:tcPr>
            <w:tcW w:w="2460" w:type="dxa"/>
            <w:vAlign w:val="bottom"/>
          </w:tcPr>
          <w:p>
            <w:pPr>
              <w:spacing w:after="0"/>
              <w:rPr>
                <w:sz w:val="24"/>
                <w:szCs w:val="24"/>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100% of PSUs shall vest o</w:t>
            </w:r>
            <w:r>
              <w:rPr>
                <w:rFonts w:ascii="Times New Roman" w:cs="Times New Roman" w:eastAsia="Times New Roman" w:hAnsi="Times New Roman"/>
                <w:sz w:val="18"/>
                <w:szCs w:val="18"/>
                <w:color w:val="auto"/>
              </w:rPr>
              <w:t>r</w:t>
            </w:r>
            <w:r>
              <w:rPr>
                <w:rFonts w:ascii="Times New Roman" w:cs="Times New Roman" w:eastAsia="Times New Roman" w:hAnsi="Times New Roman"/>
                <w:sz w:val="20"/>
                <w:szCs w:val="20"/>
                <w:color w:val="auto"/>
              </w:rPr>
              <w:t xml:space="preserve"> lapse on the filing of the Company’s Annual Report on Form 10-K</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w w:val="99"/>
              </w:rPr>
              <w:t>for the fiscal year ending December 31, 2021 based on how the Company’s cumulative adjusted</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w w:val="99"/>
              </w:rPr>
              <w:t>free cash flow for fiscal years 2019, 2020 and 2021 compares to a target determined by the Plan</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w w:val="98"/>
              </w:rPr>
              <w:t>Administrator, with the number of the Company’s ordinary shares delivered being determined by</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w w:val="99"/>
              </w:rPr>
              <w:t>reference to the table below, applying linear interpolation between the specified levels, and with</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w w:val="99"/>
              </w:rPr>
              <w:t>“adjusted free cash flow” defined as the Company’s reported cash flow from operating activities</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(including ImThera and TandemLife), minus the Company’s reported capital expenditures, and</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excluding cash flows associated with restructuring, integration, 3-T heater cooler product</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remediation and significant and unusual litigation and cash paid or received for acquisitions</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(Caisson, ImThera, TandemLife and future acquisitions), divestitures (CRM and future</w:t>
            </w:r>
          </w:p>
        </w:tc>
      </w:tr>
      <w:tr>
        <w:trPr>
          <w:trHeight w:val="230"/>
        </w:trPr>
        <w:tc>
          <w:tcPr>
            <w:tcW w:w="2460" w:type="dxa"/>
            <w:vAlign w:val="bottom"/>
          </w:tcPr>
          <w:p>
            <w:pPr>
              <w:spacing w:after="0"/>
              <w:rPr>
                <w:sz w:val="19"/>
                <w:szCs w:val="19"/>
                <w:color w:val="auto"/>
              </w:rPr>
            </w:pPr>
          </w:p>
        </w:tc>
        <w:tc>
          <w:tcPr>
            <w:tcW w:w="860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divestitures) and settlements and judgments in significant and unusual litigation (including 3T</w:t>
            </w:r>
          </w:p>
        </w:tc>
      </w:tr>
      <w:tr>
        <w:trPr>
          <w:trHeight w:val="258"/>
        </w:trPr>
        <w:tc>
          <w:tcPr>
            <w:tcW w:w="2460" w:type="dxa"/>
            <w:vAlign w:val="bottom"/>
          </w:tcPr>
          <w:p>
            <w:pPr>
              <w:spacing w:after="0"/>
              <w:rPr>
                <w:sz w:val="22"/>
                <w:szCs w:val="22"/>
                <w:color w:val="auto"/>
              </w:rPr>
            </w:pPr>
          </w:p>
        </w:tc>
        <w:tc>
          <w:tcPr>
            <w:tcW w:w="486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heater-cooler litigation).</w:t>
            </w:r>
          </w:p>
        </w:tc>
        <w:tc>
          <w:tcPr>
            <w:tcW w:w="32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04"/>
        </w:trPr>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Cumulative FCF</w:t>
            </w:r>
          </w:p>
        </w:tc>
        <w:tc>
          <w:tcPr>
            <w:tcW w:w="37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Percent Funding of Award</w:t>
            </w:r>
          </w:p>
        </w:tc>
      </w:tr>
      <w:tr>
        <w:trPr>
          <w:trHeight w:val="238"/>
        </w:trPr>
        <w:tc>
          <w:tcPr>
            <w:tcW w:w="2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Relative to Target</w:t>
            </w:r>
          </w:p>
        </w:tc>
        <w:tc>
          <w:tcPr>
            <w:tcW w:w="3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80" w:type="dxa"/>
            <w:vAlign w:val="bottom"/>
            <w:tcBorders>
              <w:bottom w:val="single" w:sz="8" w:color="C0C0C0"/>
            </w:tcBorders>
            <w:shd w:val="clear" w:color="auto" w:fill="C0C0C0"/>
          </w:tcPr>
          <w:p>
            <w:pPr>
              <w:jc w:val="center"/>
              <w:ind w:left="170"/>
              <w:spacing w:after="0"/>
              <w:rPr>
                <w:sz w:val="20"/>
                <w:szCs w:val="20"/>
                <w:color w:val="auto"/>
              </w:rPr>
            </w:pPr>
            <w:r>
              <w:rPr>
                <w:rFonts w:ascii="Times New Roman" w:cs="Times New Roman" w:eastAsia="Times New Roman" w:hAnsi="Times New Roman"/>
                <w:sz w:val="18"/>
                <w:szCs w:val="18"/>
                <w:color w:val="auto"/>
              </w:rPr>
              <w:t>≥150%</w:t>
            </w:r>
          </w:p>
        </w:tc>
        <w:tc>
          <w:tcPr>
            <w:tcW w:w="3280" w:type="dxa"/>
            <w:vAlign w:val="bottom"/>
            <w:tcBorders>
              <w:bottom w:val="single" w:sz="8" w:color="C0C0C0"/>
            </w:tcBorders>
            <w:shd w:val="clear" w:color="auto" w:fill="C0C0C0"/>
          </w:tcPr>
          <w:p>
            <w:pPr>
              <w:jc w:val="center"/>
              <w:ind w:left="190"/>
              <w:spacing w:after="0"/>
              <w:rPr>
                <w:sz w:val="20"/>
                <w:szCs w:val="20"/>
                <w:color w:val="auto"/>
              </w:rPr>
            </w:pPr>
            <w:r>
              <w:rPr>
                <w:rFonts w:ascii="Times New Roman" w:cs="Times New Roman" w:eastAsia="Times New Roman" w:hAnsi="Times New Roman"/>
                <w:sz w:val="18"/>
                <w:szCs w:val="18"/>
                <w:color w:val="auto"/>
                <w:w w:val="95"/>
              </w:rPr>
              <w:t>200%</w:t>
            </w:r>
          </w:p>
        </w:tc>
        <w:tc>
          <w:tcPr>
            <w:tcW w:w="460" w:type="dxa"/>
            <w:vAlign w:val="bottom"/>
          </w:tcPr>
          <w:p>
            <w:pPr>
              <w:spacing w:after="0"/>
              <w:rPr>
                <w:sz w:val="21"/>
                <w:szCs w:val="21"/>
                <w:color w:val="auto"/>
              </w:rPr>
            </w:pPr>
          </w:p>
        </w:tc>
      </w:tr>
      <w:tr>
        <w:trPr>
          <w:trHeight w:val="243"/>
        </w:trPr>
        <w:tc>
          <w:tcPr>
            <w:tcW w:w="2460" w:type="dxa"/>
            <w:vAlign w:val="bottom"/>
          </w:tcPr>
          <w:p>
            <w:pPr>
              <w:spacing w:after="0"/>
              <w:rPr>
                <w:sz w:val="21"/>
                <w:szCs w:val="21"/>
                <w:color w:val="auto"/>
              </w:rPr>
            </w:pPr>
          </w:p>
        </w:tc>
        <w:tc>
          <w:tcPr>
            <w:tcW w:w="4860" w:type="dxa"/>
            <w:vAlign w:val="bottom"/>
            <w:gridSpan w:val="2"/>
          </w:tcPr>
          <w:p>
            <w:pPr>
              <w:jc w:val="center"/>
              <w:ind w:left="1862"/>
              <w:spacing w:after="0"/>
              <w:rPr>
                <w:sz w:val="20"/>
                <w:szCs w:val="20"/>
                <w:color w:val="auto"/>
              </w:rPr>
            </w:pPr>
            <w:r>
              <w:rPr>
                <w:rFonts w:ascii="Times New Roman" w:cs="Times New Roman" w:eastAsia="Times New Roman" w:hAnsi="Times New Roman"/>
                <w:sz w:val="18"/>
                <w:szCs w:val="18"/>
                <w:color w:val="auto"/>
                <w:w w:val="99"/>
              </w:rPr>
              <w:t>125%</w:t>
            </w:r>
          </w:p>
        </w:tc>
        <w:tc>
          <w:tcPr>
            <w:tcW w:w="3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150%</w:t>
            </w:r>
          </w:p>
        </w:tc>
        <w:tc>
          <w:tcPr>
            <w:tcW w:w="46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3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80" w:type="dxa"/>
            <w:vAlign w:val="bottom"/>
            <w:tcBorders>
              <w:bottom w:val="single" w:sz="8" w:color="C0C0C0"/>
            </w:tcBorders>
            <w:shd w:val="clear" w:color="auto" w:fill="C0C0C0"/>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c>
          <w:tcPr>
            <w:tcW w:w="3280" w:type="dxa"/>
            <w:vAlign w:val="bottom"/>
            <w:tcBorders>
              <w:bottom w:val="single" w:sz="8" w:color="C0C0C0"/>
            </w:tcBorders>
            <w:shd w:val="clear" w:color="auto" w:fill="C0C0C0"/>
          </w:tcPr>
          <w:p>
            <w:pPr>
              <w:jc w:val="center"/>
              <w:ind w:left="190"/>
              <w:spacing w:after="0"/>
              <w:rPr>
                <w:sz w:val="20"/>
                <w:szCs w:val="20"/>
                <w:color w:val="auto"/>
              </w:rPr>
            </w:pPr>
            <w:r>
              <w:rPr>
                <w:rFonts w:ascii="Times New Roman" w:cs="Times New Roman" w:eastAsia="Times New Roman" w:hAnsi="Times New Roman"/>
                <w:sz w:val="18"/>
                <w:szCs w:val="18"/>
                <w:color w:val="auto"/>
                <w:w w:val="95"/>
              </w:rPr>
              <w:t>100%</w:t>
            </w:r>
          </w:p>
        </w:tc>
        <w:tc>
          <w:tcPr>
            <w:tcW w:w="460" w:type="dxa"/>
            <w:vAlign w:val="bottom"/>
          </w:tcPr>
          <w:p>
            <w:pPr>
              <w:spacing w:after="0"/>
              <w:rPr>
                <w:sz w:val="21"/>
                <w:szCs w:val="21"/>
                <w:color w:val="auto"/>
              </w:rPr>
            </w:pPr>
          </w:p>
        </w:tc>
      </w:tr>
      <w:tr>
        <w:trPr>
          <w:trHeight w:val="243"/>
        </w:trPr>
        <w:tc>
          <w:tcPr>
            <w:tcW w:w="2460" w:type="dxa"/>
            <w:vAlign w:val="bottom"/>
          </w:tcPr>
          <w:p>
            <w:pPr>
              <w:spacing w:after="0"/>
              <w:rPr>
                <w:sz w:val="21"/>
                <w:szCs w:val="21"/>
                <w:color w:val="auto"/>
              </w:rPr>
            </w:pPr>
          </w:p>
        </w:tc>
        <w:tc>
          <w:tcPr>
            <w:tcW w:w="4860" w:type="dxa"/>
            <w:vAlign w:val="bottom"/>
            <w:gridSpan w:val="2"/>
          </w:tcPr>
          <w:p>
            <w:pPr>
              <w:jc w:val="center"/>
              <w:ind w:left="1862"/>
              <w:spacing w:after="0"/>
              <w:rPr>
                <w:sz w:val="20"/>
                <w:szCs w:val="20"/>
                <w:color w:val="auto"/>
              </w:rPr>
            </w:pPr>
            <w:r>
              <w:rPr>
                <w:rFonts w:ascii="Times New Roman" w:cs="Times New Roman" w:eastAsia="Times New Roman" w:hAnsi="Times New Roman"/>
                <w:sz w:val="18"/>
                <w:szCs w:val="18"/>
                <w:color w:val="auto"/>
              </w:rPr>
              <w:t>60%</w:t>
            </w:r>
          </w:p>
        </w:tc>
        <w:tc>
          <w:tcPr>
            <w:tcW w:w="3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20%</w:t>
            </w:r>
          </w:p>
        </w:tc>
        <w:tc>
          <w:tcPr>
            <w:tcW w:w="46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3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80" w:type="dxa"/>
            <w:vAlign w:val="bottom"/>
            <w:shd w:val="clear" w:color="auto" w:fill="C0C0C0"/>
          </w:tcPr>
          <w:p>
            <w:pPr>
              <w:jc w:val="center"/>
              <w:ind w:left="170"/>
              <w:spacing w:after="0"/>
              <w:rPr>
                <w:sz w:val="20"/>
                <w:szCs w:val="20"/>
                <w:color w:val="auto"/>
              </w:rPr>
            </w:pPr>
            <w:r>
              <w:rPr>
                <w:rFonts w:ascii="Times New Roman" w:cs="Times New Roman" w:eastAsia="Times New Roman" w:hAnsi="Times New Roman"/>
                <w:sz w:val="18"/>
                <w:szCs w:val="18"/>
                <w:color w:val="auto"/>
              </w:rPr>
              <w:t>&lt;60%</w:t>
            </w:r>
          </w:p>
        </w:tc>
        <w:tc>
          <w:tcPr>
            <w:tcW w:w="3280" w:type="dxa"/>
            <w:vAlign w:val="bottom"/>
            <w:shd w:val="clear" w:color="auto" w:fill="C0C0C0"/>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460" w:type="dxa"/>
            <w:vAlign w:val="bottom"/>
          </w:tcPr>
          <w:p>
            <w:pPr>
              <w:spacing w:after="0"/>
              <w:rPr>
                <w:sz w:val="21"/>
                <w:szCs w:val="21"/>
                <w:color w:val="auto"/>
              </w:rPr>
            </w:pPr>
          </w:p>
        </w:tc>
      </w:tr>
      <w:tr>
        <w:trPr>
          <w:trHeight w:val="27"/>
        </w:trPr>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180" w:type="dxa"/>
            <w:vAlign w:val="bottom"/>
            <w:shd w:val="clear" w:color="auto" w:fill="C0C0C0"/>
          </w:tcPr>
          <w:p>
            <w:pPr>
              <w:spacing w:after="0"/>
              <w:rPr>
                <w:sz w:val="2"/>
                <w:szCs w:val="2"/>
                <w:color w:val="auto"/>
              </w:rPr>
            </w:pPr>
          </w:p>
        </w:tc>
        <w:tc>
          <w:tcPr>
            <w:tcW w:w="3280" w:type="dxa"/>
            <w:vAlign w:val="bottom"/>
            <w:shd w:val="clear" w:color="auto" w:fill="C0C0C0"/>
          </w:tcPr>
          <w:p>
            <w:pPr>
              <w:spacing w:after="0"/>
              <w:rPr>
                <w:sz w:val="2"/>
                <w:szCs w:val="2"/>
                <w:color w:val="auto"/>
              </w:rPr>
            </w:pPr>
          </w:p>
        </w:tc>
        <w:tc>
          <w:tcPr>
            <w:tcW w:w="460" w:type="dxa"/>
            <w:vAlign w:val="bottom"/>
          </w:tcPr>
          <w:p>
            <w:pPr>
              <w:spacing w:after="0"/>
              <w:rPr>
                <w:sz w:val="2"/>
                <w:szCs w:val="2"/>
                <w:color w:val="auto"/>
              </w:rPr>
            </w:pPr>
          </w:p>
        </w:tc>
      </w:tr>
    </w:tbl>
    <w:p>
      <w:pPr>
        <w:spacing w:after="0" w:line="22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56" w:right="239" w:bottom="1440" w:gutter="0" w:footer="0" w:header="0"/>
        </w:sectPr>
      </w:pPr>
    </w:p>
    <w:bookmarkStart w:id="55" w:name="page56"/>
    <w:bookmarkEnd w:id="55"/>
    <w:p>
      <w:pPr>
        <w:jc w:val="both"/>
        <w:spacing w:after="0" w:line="287" w:lineRule="auto"/>
        <w:rPr>
          <w:sz w:val="20"/>
          <w:szCs w:val="20"/>
          <w:color w:val="auto"/>
        </w:rPr>
      </w:pPr>
      <w:r>
        <w:rPr>
          <w:rFonts w:ascii="Times New Roman" w:cs="Times New Roman" w:eastAsia="Times New Roman" w:hAnsi="Times New Roman"/>
          <w:sz w:val="20"/>
          <w:szCs w:val="20"/>
          <w:color w:val="auto"/>
        </w:rPr>
        <w:t>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PSUs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311" w:lineRule="auto"/>
        <w:rPr>
          <w:sz w:val="20"/>
          <w:szCs w:val="20"/>
          <w:color w:val="auto"/>
        </w:rPr>
      </w:pPr>
      <w:r>
        <w:rPr>
          <w:rFonts w:ascii="Times New Roman" w:cs="Times New Roman" w:eastAsia="Times New Roman" w:hAnsi="Times New Roman"/>
          <w:sz w:val="20"/>
          <w:szCs w:val="20"/>
          <w:color w:val="auto"/>
        </w:rPr>
        <w:t>By clicking "ACCEPT" you confirm that you understand and agree to be bound by the provisions below. This will apply where the Company elects that any tax liability arising in respect of your PSUs shall be satisfied pursuant to Section 2.5(a)(v).</w:t>
      </w:r>
    </w:p>
    <w:p>
      <w:pPr>
        <w:spacing w:after="0" w:line="3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0"/>
          <w:szCs w:val="20"/>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performance stock unit (“PSU”) equity award(s) (“Tax”), including any previously vested PSU awards that are currently pending settlement (1) or outstanding unvested PSU awards (2). This instruction will only be valid for my limited purpose brokerage account at Merrill Lynch and will not be valid for any other broker dealer. Merrill Lynch will sell an amount of shares on the next trading day after the vest or payment date of my PSU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Times New Roman" w:cs="Times New Roman" w:eastAsia="Times New Roman" w:hAnsi="Times New Roman"/>
          <w:sz w:val="20"/>
          <w:szCs w:val="20"/>
          <w:b w:val="1"/>
          <w:bCs w:val="1"/>
          <w:color w:val="auto"/>
        </w:rPr>
        <w:t>Any residual cash after payment of the Tax, commissions and fees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deposited into my Merrill Lynch brokerage account.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I permit Merrill Lynch to discuss with and disclose to LivaNova plc any information relating to my account for the purposes of this transaction.</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You must also check your W-9 or W-8 tax certification</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36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369" w:lineRule="exact"/>
        <w:rPr>
          <w:sz w:val="20"/>
          <w:szCs w:val="20"/>
          <w:color w:val="auto"/>
        </w:rPr>
      </w:pPr>
    </w:p>
    <w:p>
      <w:pPr>
        <w:ind w:firstLine="656"/>
        <w:spacing w:after="0" w:line="315" w:lineRule="auto"/>
        <w:tabs>
          <w:tab w:leader="none" w:pos="92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You can view the current status of your W-9 or W-8 by accessing the Participant/Tax Profile page located within the Individual/Plan Information Dropdown on Benefits Online®.</w:t>
      </w:r>
    </w:p>
    <w:p>
      <w:pPr>
        <w:sectPr>
          <w:pgSz w:w="11900" w:h="16838" w:orient="portrait"/>
          <w:cols w:equalWidth="0" w:num="1">
            <w:col w:w="11420"/>
          </w:cols>
          <w:pgMar w:left="240" w:top="387"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387" w:right="2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PERFORMANCE STOCK UNIT AWARD GRANT NOTICE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AWARD AGREEMENT</w:t>
      </w:r>
    </w:p>
    <w:p>
      <w:pPr>
        <w:spacing w:after="0" w:line="26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PSUs set forth in the Grant Notice.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6"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5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Sub-Plan and Foreign Appendix</w:t>
      </w:r>
      <w:r>
        <w:rPr>
          <w:rFonts w:ascii="Times New Roman" w:cs="Times New Roman" w:eastAsia="Times New Roman" w:hAnsi="Times New Roman"/>
          <w:sz w:val="20"/>
          <w:szCs w:val="20"/>
          <w:color w:val="auto"/>
        </w:rPr>
        <w:t>. The PSUs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AWARD OF PERFORMANCE STOCK UNITS AND DIVIDEND EQUIVALENTS</w:t>
      </w:r>
    </w:p>
    <w:p>
      <w:pPr>
        <w:spacing w:after="0" w:line="2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PSUs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20" w:hanging="415"/>
        <w:spacing w:after="0"/>
        <w:tabs>
          <w:tab w:leader="none" w:pos="17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Participant’s past and/or continued employment with the Company or a Subsidiary and for other good</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PSUs set forth in the Grant Notice, upon the terms and conditions set forth in the Grant Notice, the Sub-Plan, this Agreement and the Foreign Appendix, if applicable, subject to adjustment as provided in Section 13 of the Sub-Plan.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8" w:lineRule="exact"/>
        <w:rPr>
          <w:rFonts w:ascii="Times New Roman" w:cs="Times New Roman" w:eastAsia="Times New Roman" w:hAnsi="Times New Roman"/>
          <w:sz w:val="19"/>
          <w:szCs w:val="19"/>
          <w:color w:val="auto"/>
        </w:rPr>
      </w:pPr>
    </w:p>
    <w:p>
      <w:pPr>
        <w:ind w:left="1740" w:hanging="435"/>
        <w:spacing w:after="0"/>
        <w:tabs>
          <w:tab w:leader="none" w:pos="17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grants to Participant an Award of Dividend Equivalents with respect to each PSU granted pursuant</w:t>
      </w:r>
    </w:p>
    <w:p>
      <w:pPr>
        <w:spacing w:after="0" w:line="65" w:lineRule="exact"/>
        <w:rPr>
          <w:rFonts w:ascii="Times New Roman" w:cs="Times New Roman" w:eastAsia="Times New Roman" w:hAnsi="Times New Roman"/>
          <w:sz w:val="19"/>
          <w:szCs w:val="19"/>
          <w:color w:val="auto"/>
        </w:rPr>
      </w:pPr>
    </w:p>
    <w:p>
      <w:pPr>
        <w:jc w:val="both"/>
        <w:spacing w:after="0" w:line="30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Grant Notice for all ordinary cash dividends which are paid to all or substantially all holders of the outstanding Shares between the Grant Date and the date when the applicable PSU is distributed or paid to Participant or is forfeited or expires. The Dividend Equivalents for each PSU shall be equal to the amount of cash which is paid as a dividend on one Share. All such Dividend Equivalents shall be credited to Participant and be deemed to be reinvested in additional PSUs as of the date of payment of any such dividend based on the Fair Market Value of a Share on such date. Each additional PSU which results from such deemed reinvestment of Dividend Equivalents granted hereunder shall be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ectPr>
          <w:pgSz w:w="11900" w:h="16838" w:orient="portrait"/>
          <w:cols w:equalWidth="0" w:num="1">
            <w:col w:w="11420"/>
          </w:cols>
          <w:pgMar w:left="240" w:top="356" w:right="239" w:bottom="1440" w:gutter="0" w:footer="0" w:header="0"/>
        </w:sectPr>
      </w:pPr>
    </w:p>
    <w:bookmarkStart w:id="57" w:name="page58"/>
    <w:bookmarkEnd w:id="57"/>
    <w:p>
      <w:pPr>
        <w:spacing w:after="0" w:line="311" w:lineRule="auto"/>
        <w:rPr>
          <w:sz w:val="20"/>
          <w:szCs w:val="20"/>
          <w:color w:val="auto"/>
        </w:rPr>
      </w:pPr>
      <w:r>
        <w:rPr>
          <w:rFonts w:ascii="Times New Roman" w:cs="Times New Roman" w:eastAsia="Times New Roman" w:hAnsi="Times New Roman"/>
          <w:sz w:val="20"/>
          <w:szCs w:val="20"/>
          <w:color w:val="auto"/>
        </w:rPr>
        <w:t>subject to the same vesting, distribution or payment, adjustment and other provisions which apply to the underlying PSU to which such additional PSU relates.</w:t>
      </w:r>
    </w:p>
    <w:p>
      <w:pPr>
        <w:spacing w:after="0" w:line="1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PSUs and Dividend Equivalents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80" w:hanging="475"/>
        <w:spacing w:after="0"/>
        <w:tabs>
          <w:tab w:leader="none" w:pos="17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the Company or a Subsidiary on each applicable vesting date and</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Agreement, the PSUs shall vest in such amounts and at such times as are set forth in the Grant Notice. Each additional PSU which results from deemed reinvestments of Dividend Equivalents pursuant to Section 2.1(b) hereof shall vest whenever the underlying PSU to which such additional PSU relates vests.</w:t>
      </w:r>
    </w:p>
    <w:p>
      <w:pPr>
        <w:spacing w:after="0" w:line="175" w:lineRule="exact"/>
        <w:rPr>
          <w:rFonts w:ascii="Times New Roman" w:cs="Times New Roman" w:eastAsia="Times New Roman" w:hAnsi="Times New Roman"/>
          <w:sz w:val="20"/>
          <w:szCs w:val="20"/>
          <w:color w:val="auto"/>
        </w:rPr>
      </w:pPr>
    </w:p>
    <w:p>
      <w:pPr>
        <w:ind w:left="1800" w:hanging="495"/>
        <w:spacing w:after="0"/>
        <w:tabs>
          <w:tab w:leader="none" w:pos="1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except as may be otherwise provided by Section 2.2(c), the</w:t>
      </w:r>
    </w:p>
    <w:p>
      <w:pPr>
        <w:spacing w:after="0" w:line="53" w:lineRule="exact"/>
        <w:rPr>
          <w:rFonts w:ascii="Times New Roman" w:cs="Times New Roman" w:eastAsia="Times New Roman" w:hAnsi="Times New Roman"/>
          <w:sz w:val="20"/>
          <w:szCs w:val="20"/>
          <w:color w:val="auto"/>
        </w:rPr>
      </w:pPr>
    </w:p>
    <w:p>
      <w:pPr>
        <w:jc w:val="both"/>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81" w:lineRule="exact"/>
        <w:rPr>
          <w:rFonts w:ascii="Times New Roman" w:cs="Times New Roman" w:eastAsia="Times New Roman" w:hAnsi="Times New Roman"/>
          <w:sz w:val="20"/>
          <w:szCs w:val="20"/>
          <w:color w:val="auto"/>
        </w:rPr>
      </w:pPr>
    </w:p>
    <w:p>
      <w:pPr>
        <w:ind w:left="1760" w:hanging="455"/>
        <w:spacing w:after="0"/>
        <w:tabs>
          <w:tab w:leader="none" w:pos="1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In the event a Participant incurs a Termination of Service due to an Approved Retirement, the Participant’s outstanding</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D0D0D"/>
        </w:rPr>
        <w:t>PSUs will not be forfeited upon such Approved Retirement, but instead outstanding PSUs shall continue to vest on the date(s) set out in the Grant Notice (provided all other terms which apply to the PSUs are met, including applicable performance vesting conditions and the terms regarding restricted activities set forth below).</w:t>
      </w:r>
    </w:p>
    <w:p>
      <w:pPr>
        <w:spacing w:after="0" w:line="14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“Approved Retirement” means a Termination of Service designated by the Committee, in its absolute discretion, as an Approved Retirement.</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exercising its discretion in designating a Termination of Service as an Approved Retirement, the Committee will strongly consider management recommendations based on each specific situation including the Participant's written and expressed commitment at the time of Termination of Service to cease any form of paid work or economic activity (including, but not limited to, self-employment; agency work; employment; non-executive directorship), Participant's tenure of service, performance records throughout the Participant's employment or engagement by the Company or its Subsidiaries.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event the Company determines that a Participant who incurs a Termination of Service designated as an Approved Retirement commits a material breach of any fiduciary, confidentiality, non-disclosure, non-competition, non-solicitation, non-interference, non-disparagement obligations to the Company or its Subsidiaries (including without limitation, the Participant’s engagement in any Prohibited Activities), any portion of the PSUs unvested at such time shall be immediately forfeited for no consideration. For the purposes of this Section 2.2(.c), “Prohibited Activities” shall mean the activities that are prohibited pursuant to any confidentiality agreement or covenant not to compete, not to solicit or hire employees, not to solicit or disrupt business relations, not to disparage the Company, its Subsidiaries or any of its or their officers and employees or any similar restrictions set out in any employment, severance or other written agreement then in effect between the Participant and the Company or one of its Subsidiaries.</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If no such agreement containing such restrictions is then in effect, the Participant will be deemed to be engaged in “Prohibited Activities” if the Participant, during the term of his or her employment or engagement or in the period during which any PSUs remain unvested following his or her Termination of Service, engages in any employment or business activities for him or herself or on behalf of any enterprise in any capacity or owns any interest in any entity which competes or is competitive with the business of the Company or any Subsidiary in any country in which the Company or its Subsidiaries operate, in each case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ectPr>
          <w:pgSz w:w="11900" w:h="16838" w:orient="portrait"/>
          <w:cols w:equalWidth="0" w:num="1">
            <w:col w:w="11420"/>
          </w:cols>
          <w:pgMar w:left="240" w:top="387" w:right="239" w:bottom="1440" w:gutter="0" w:footer="0" w:header="0"/>
        </w:sectPr>
      </w:pPr>
    </w:p>
    <w:bookmarkStart w:id="58" w:name="page59"/>
    <w:bookmarkEnd w:id="58"/>
    <w:p>
      <w:pPr>
        <w:spacing w:after="0" w:line="269" w:lineRule="auto"/>
        <w:rPr>
          <w:sz w:val="20"/>
          <w:szCs w:val="20"/>
          <w:color w:val="auto"/>
        </w:rPr>
      </w:pPr>
      <w:r>
        <w:rPr>
          <w:rFonts w:ascii="Times New Roman" w:cs="Times New Roman" w:eastAsia="Times New Roman" w:hAnsi="Times New Roman"/>
          <w:sz w:val="20"/>
          <w:szCs w:val="20"/>
          <w:color w:val="auto"/>
        </w:rPr>
        <w:t>with which the Participant has been materially involved or for which the Participant was responsible in the 12 months immediately before his or her Termination of Service.</w:t>
      </w:r>
    </w:p>
    <w:p>
      <w:pPr>
        <w:spacing w:after="0" w:line="200" w:lineRule="exact"/>
        <w:rPr>
          <w:sz w:val="20"/>
          <w:szCs w:val="20"/>
          <w:color w:val="auto"/>
        </w:rPr>
      </w:pPr>
    </w:p>
    <w:p>
      <w:pPr>
        <w:ind w:left="1800" w:hanging="495"/>
        <w:spacing w:after="0"/>
        <w:tabs>
          <w:tab w:leader="none" w:pos="1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that occurs following the Measure Date, the PSUs, to the extent not forfeited or</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PSUs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1700" w:hanging="395"/>
        <w:spacing w:after="0"/>
        <w:tabs>
          <w:tab w:leader="none" w:pos="17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Participant’s PSUs shall be distributed in Shares (either in book-entry form or otherwise) or, at the option of the Company,</w:t>
      </w:r>
    </w:p>
    <w:p>
      <w:pPr>
        <w:spacing w:after="0" w:line="65"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paid in an amount of cash as set forth in Section 2.3(b), in either case, as soon as administratively practicable following the vesting of the applicable PSU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84" w:lineRule="exact"/>
        <w:rPr>
          <w:rFonts w:ascii="Times New Roman" w:cs="Times New Roman" w:eastAsia="Times New Roman" w:hAnsi="Times New Roman"/>
          <w:sz w:val="19"/>
          <w:szCs w:val="19"/>
          <w:color w:val="auto"/>
        </w:rPr>
      </w:pPr>
    </w:p>
    <w:p>
      <w:pPr>
        <w:ind w:left="1800" w:hanging="495"/>
        <w:spacing w:after="0"/>
        <w:tabs>
          <w:tab w:leader="none" w:pos="18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determines in its discretion that due to regulatory or administrative needs it will make</w:t>
      </w:r>
    </w:p>
    <w:p>
      <w:pPr>
        <w:spacing w:after="0" w:line="53" w:lineRule="exact"/>
        <w:rPr>
          <w:rFonts w:ascii="Times New Roman" w:cs="Times New Roman" w:eastAsia="Times New Roman" w:hAnsi="Times New Roman"/>
          <w:sz w:val="20"/>
          <w:szCs w:val="20"/>
          <w:color w:val="auto"/>
        </w:rPr>
      </w:pPr>
    </w:p>
    <w:p>
      <w:pPr>
        <w:jc w:val="both"/>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8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Subsidiaries have the authority to deduct or withhold, or require Participant to remit to the Company</w:t>
      </w:r>
    </w:p>
    <w:p>
      <w:pPr>
        <w:spacing w:after="0" w:line="65"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ectPr>
          <w:pgSz w:w="11900" w:h="16838" w:orient="portrait"/>
          <w:cols w:equalWidth="0" w:num="1">
            <w:col w:w="11420"/>
          </w:cols>
          <w:pgMar w:left="240" w:top="360" w:right="239" w:bottom="1440" w:gutter="0" w:footer="0" w:header="0"/>
        </w:sectPr>
      </w:pPr>
    </w:p>
    <w:bookmarkStart w:id="59" w:name="page60"/>
    <w:bookmarkEnd w:id="59"/>
    <w:p>
      <w:pPr>
        <w:jc w:val="both"/>
        <w:spacing w:after="0" w:line="296" w:lineRule="auto"/>
        <w:rPr>
          <w:sz w:val="20"/>
          <w:szCs w:val="20"/>
          <w:color w:val="auto"/>
        </w:rPr>
      </w:pPr>
      <w:r>
        <w:rPr>
          <w:rFonts w:ascii="Times New Roman" w:cs="Times New Roman" w:eastAsia="Times New Roman" w:hAnsi="Times New Roman"/>
          <w:sz w:val="20"/>
          <w:szCs w:val="20"/>
          <w:color w:val="auto"/>
        </w:rPr>
        <w:t>paid or otherwise arising with respect to any taxable event arising pursuant to this Agreement, including the grant or vesting of any PSUs, the settlement of the PSUs on vesting in either Shares or cash and the sale of any of the Shares (any a “</w:t>
      </w: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The Company and its Subsidiaries may withhold or Participant may make such payment in one or more of the forms specified below:</w:t>
      </w:r>
    </w:p>
    <w:p>
      <w:pPr>
        <w:spacing w:after="0" w:line="175"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arises;</w:t>
      </w:r>
    </w:p>
    <w:p>
      <w:pPr>
        <w:spacing w:after="0" w:line="256" w:lineRule="exact"/>
        <w:rPr>
          <w:sz w:val="20"/>
          <w:szCs w:val="20"/>
          <w:color w:val="auto"/>
        </w:rPr>
      </w:pPr>
    </w:p>
    <w:p>
      <w:pPr>
        <w:ind w:left="2380" w:hanging="427"/>
        <w:spacing w:after="0"/>
        <w:tabs>
          <w:tab w:leader="none" w:pos="23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69" w:lineRule="exact"/>
        <w:rPr>
          <w:rFonts w:ascii="Times New Roman" w:cs="Times New Roman" w:eastAsia="Times New Roman" w:hAnsi="Times New Roman"/>
          <w:sz w:val="20"/>
          <w:szCs w:val="20"/>
          <w:color w:val="auto"/>
        </w:rPr>
      </w:pPr>
    </w:p>
    <w:p>
      <w:pPr>
        <w:ind w:left="2480" w:hanging="527"/>
        <w:spacing w:after="0"/>
        <w:tabs>
          <w:tab w:leader="none" w:pos="24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PSUs, by the Company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a net number of vested Shares otherwise issuable pursuant to the PSUs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20"/>
          <w:szCs w:val="20"/>
          <w:color w:val="auto"/>
        </w:rPr>
      </w:pPr>
    </w:p>
    <w:p>
      <w:pPr>
        <w:ind w:left="2420" w:hanging="467"/>
        <w:spacing w:after="0"/>
        <w:tabs>
          <w:tab w:leader="none" w:pos="242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PSUs, with the consent of</w:t>
      </w:r>
    </w:p>
    <w:p>
      <w:pPr>
        <w:spacing w:after="0" w:line="65"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75" w:lineRule="exact"/>
        <w:rPr>
          <w:rFonts w:ascii="Times New Roman" w:cs="Times New Roman" w:eastAsia="Times New Roman" w:hAnsi="Times New Roman"/>
          <w:sz w:val="19"/>
          <w:szCs w:val="19"/>
          <w:color w:val="auto"/>
        </w:rPr>
      </w:pPr>
    </w:p>
    <w:p>
      <w:pPr>
        <w:ind w:left="2360" w:hanging="407"/>
        <w:spacing w:after="0"/>
        <w:tabs>
          <w:tab w:leader="none" w:pos="236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distribution of the PSUs, through the delivery</w:t>
      </w:r>
    </w:p>
    <w:p>
      <w:pPr>
        <w:spacing w:after="0" w:line="65" w:lineRule="exact"/>
        <w:rPr>
          <w:rFonts w:ascii="Times New Roman" w:cs="Times New Roman" w:eastAsia="Times New Roman" w:hAnsi="Times New Roman"/>
          <w:sz w:val="19"/>
          <w:szCs w:val="19"/>
          <w:color w:val="auto"/>
        </w:rPr>
      </w:pPr>
    </w:p>
    <w:p>
      <w:pPr>
        <w:jc w:val="both"/>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Tax Liability arises in satisfaction of such Tax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1" w:lineRule="exact"/>
        <w:rPr>
          <w:rFonts w:ascii="Times New Roman" w:cs="Times New Roman" w:eastAsia="Times New Roman" w:hAnsi="Times New Roman"/>
          <w:sz w:val="19"/>
          <w:szCs w:val="19"/>
          <w:color w:val="auto"/>
        </w:rPr>
      </w:pPr>
    </w:p>
    <w:p>
      <w:pPr>
        <w:ind w:left="2420" w:hanging="467"/>
        <w:spacing w:after="0"/>
        <w:tabs>
          <w:tab w:leader="none" w:pos="24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6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PSUs to, or</w:t>
      </w:r>
    </w:p>
    <w:p>
      <w:pPr>
        <w:spacing w:after="0" w:line="65" w:lineRule="exact"/>
        <w:rPr>
          <w:rFonts w:ascii="Times New Roman" w:cs="Times New Roman" w:eastAsia="Times New Roman" w:hAnsi="Times New Roman"/>
          <w:sz w:val="19"/>
          <w:szCs w:val="19"/>
          <w:color w:val="auto"/>
        </w:rPr>
      </w:pPr>
    </w:p>
    <w:p>
      <w:pPr>
        <w:jc w:val="both"/>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provided that no payment shall be delayed under this Section 2.5(d) if such delay will result in a violation of Section 409A of the Code.</w:t>
      </w:r>
    </w:p>
    <w:p>
      <w:pPr>
        <w:spacing w:after="0" w:line="181" w:lineRule="exact"/>
        <w:rPr>
          <w:rFonts w:ascii="Times New Roman" w:cs="Times New Roman" w:eastAsia="Times New Roman" w:hAnsi="Times New Roman"/>
          <w:sz w:val="19"/>
          <w:szCs w:val="19"/>
          <w:color w:val="auto"/>
        </w:rPr>
      </w:pPr>
    </w:p>
    <w:p>
      <w:pPr>
        <w:ind w:left="1780" w:hanging="475"/>
        <w:spacing w:after="0"/>
        <w:tabs>
          <w:tab w:leader="none" w:pos="17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 Liability arising in connection with the PSUs, in the event Participant fails to provide timely</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ectPr>
          <w:pgSz w:w="11900" w:h="16838" w:orient="portrait"/>
          <w:cols w:equalWidth="0" w:num="1">
            <w:col w:w="11420"/>
          </w:cols>
          <w:pgMar w:left="240" w:top="387" w:right="239" w:bottom="1440" w:gutter="0" w:footer="0" w:header="0"/>
        </w:sectPr>
      </w:pPr>
    </w:p>
    <w:bookmarkStart w:id="60" w:name="page61"/>
    <w:bookmarkEnd w:id="60"/>
    <w:p>
      <w:pPr>
        <w:ind w:left="1800" w:hanging="495"/>
        <w:spacing w:after="0"/>
        <w:tabs>
          <w:tab w:leader="none" w:pos="1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Liability arising in connection with the PSUs will be satisfied under Section 2.5(a)(iii), then the</w:t>
      </w:r>
    </w:p>
    <w:p>
      <w:pPr>
        <w:spacing w:after="0" w:line="53"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PSUs to Participant until the foregoing Tax Liability is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2.5(d) if such delay will result in a violation of Section 409A of the Code.</w:t>
      </w:r>
    </w:p>
    <w:p>
      <w:pPr>
        <w:spacing w:after="0" w:line="188" w:lineRule="exact"/>
        <w:rPr>
          <w:rFonts w:ascii="Times New Roman" w:cs="Times New Roman" w:eastAsia="Times New Roman" w:hAnsi="Times New Roman"/>
          <w:sz w:val="20"/>
          <w:szCs w:val="20"/>
          <w:color w:val="auto"/>
        </w:rPr>
      </w:pPr>
    </w:p>
    <w:p>
      <w:pPr>
        <w:ind w:left="1800" w:hanging="495"/>
        <w:spacing w:after="0"/>
        <w:tabs>
          <w:tab w:leader="none" w:pos="1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and indemnifies the Company and each Subsidiary against all Tax</w:t>
      </w:r>
    </w:p>
    <w:p>
      <w:pPr>
        <w:spacing w:after="0" w:line="53" w:lineRule="exact"/>
        <w:rPr>
          <w:rFonts w:ascii="Times New Roman" w:cs="Times New Roman" w:eastAsia="Times New Roman" w:hAnsi="Times New Roman"/>
          <w:sz w:val="20"/>
          <w:szCs w:val="20"/>
          <w:color w:val="auto"/>
        </w:rPr>
      </w:pPr>
    </w:p>
    <w:p>
      <w:pPr>
        <w:jc w:val="both"/>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arising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any Tax Liability.</w:t>
      </w:r>
    </w:p>
    <w:p>
      <w:pPr>
        <w:spacing w:after="0" w:line="18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182"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PSUs Not Transferable</w:t>
      </w:r>
      <w:r>
        <w:rPr>
          <w:rFonts w:ascii="Times New Roman" w:cs="Times New Roman" w:eastAsia="Times New Roman" w:hAnsi="Times New Roman"/>
          <w:sz w:val="20"/>
          <w:szCs w:val="20"/>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ectPr>
          <w:pgSz w:w="11900" w:h="16838" w:orient="portrait"/>
          <w:cols w:equalWidth="0" w:num="1">
            <w:col w:w="11420"/>
          </w:cols>
          <w:pgMar w:left="240" w:top="387" w:right="239" w:bottom="1440" w:gutter="0" w:footer="0" w:header="0"/>
        </w:sectPr>
      </w:pPr>
    </w:p>
    <w:bookmarkStart w:id="61" w:name="page62"/>
    <w:bookmarkEnd w:id="61"/>
    <w:p>
      <w:pPr>
        <w:jc w:val="both"/>
        <w:spacing w:after="0" w:line="287" w:lineRule="auto"/>
        <w:rPr>
          <w:sz w:val="20"/>
          <w:szCs w:val="20"/>
          <w:color w:val="auto"/>
        </w:rPr>
      </w:pPr>
      <w:r>
        <w:rPr>
          <w:rFonts w:ascii="Times New Roman" w:cs="Times New Roman" w:eastAsia="Times New Roman" w:hAnsi="Times New Roman"/>
          <w:sz w:val="20"/>
          <w:szCs w:val="20"/>
          <w:color w:val="auto"/>
        </w:rPr>
        <w:t>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Sub-Plan, including Section 13 of the Sub-Plan.</w:t>
      </w:r>
    </w:p>
    <w:p>
      <w:pPr>
        <w:spacing w:after="0" w:line="16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7" w:lineRule="exact"/>
        <w:rPr>
          <w:sz w:val="20"/>
          <w:szCs w:val="20"/>
          <w:color w:val="auto"/>
        </w:rPr>
      </w:pPr>
    </w:p>
    <w:p>
      <w:pPr>
        <w:jc w:val="both"/>
        <w:ind w:right="20" w:firstLine="648"/>
        <w:spacing w:after="0" w:line="32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PSUs are granted, only in such a manner as to conform to Applicable Law. To the extent permitted by Applicable Law, the Sub-Plan and this Agreement shall be deemed amended to the extent necessary to conform to Applicable Law.</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Sub-Plan,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 however</w:t>
      </w:r>
      <w:r>
        <w:rPr>
          <w:rFonts w:ascii="Times New Roman" w:cs="Times New Roman" w:eastAsia="Times New Roman" w:hAnsi="Times New Roman"/>
          <w:sz w:val="20"/>
          <w:szCs w:val="20"/>
          <w:color w:val="auto"/>
        </w:rPr>
        <w:t xml:space="preserve"> that, except as may otherwise be provided by the Sub-Plan, no amendment, modification, suspension or termination of this Agreement shall adversely affect the PSUs in any material way without the prior written consent of Participant.</w:t>
      </w:r>
    </w:p>
    <w:p>
      <w:pPr>
        <w:spacing w:after="0" w:line="17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ectPr>
          <w:pgSz w:w="11900" w:h="16838" w:orient="portrait"/>
          <w:cols w:equalWidth="0" w:num="1">
            <w:col w:w="11420"/>
          </w:cols>
          <w:pgMar w:left="240" w:top="38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shall be binding upon and inure to the benefit of the heirs, legatees, legal representatives, successors and assigns of the parties hereto.</w:t>
      </w:r>
    </w:p>
    <w:p>
      <w:pPr>
        <w:spacing w:after="0" w:line="256"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Sub-Plan or this Agreement, if Participant is subject to Section 16 of the Exchange Act, the Sub-Plan, the PSUs (including PSUs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PSUs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PSU or the termination of the Participant’s employment.</w:t>
      </w:r>
    </w:p>
    <w:p>
      <w:pPr>
        <w:spacing w:after="0" w:line="19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PSUs Not Part of Employment Compensation</w:t>
      </w:r>
      <w:r>
        <w:rPr>
          <w:rFonts w:ascii="Times New Roman" w:cs="Times New Roman" w:eastAsia="Times New Roman" w:hAnsi="Times New Roman"/>
          <w:sz w:val="20"/>
          <w:szCs w:val="20"/>
          <w:color w:val="auto"/>
        </w:rPr>
        <w:t>. The PSUs and the Shares subject to the PSUs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8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Data Protection</w:t>
      </w:r>
      <w:r>
        <w:rPr>
          <w:rFonts w:ascii="Times New Roman" w:cs="Times New Roman" w:eastAsia="Times New Roman" w:hAnsi="Times New Roman"/>
          <w:sz w:val="19"/>
          <w:szCs w:val="19"/>
          <w:color w:val="auto"/>
        </w:rPr>
        <w:t>. By electronically signing the Grant Notice and this Agreement, the Participant acknowledges and agrees that:</w:t>
      </w:r>
    </w:p>
    <w:p>
      <w:pPr>
        <w:spacing w:after="0" w:line="270" w:lineRule="exact"/>
        <w:rPr>
          <w:sz w:val="20"/>
          <w:szCs w:val="20"/>
          <w:color w:val="auto"/>
        </w:rPr>
      </w:pPr>
    </w:p>
    <w:p>
      <w:pPr>
        <w:ind w:left="1880" w:hanging="575"/>
        <w:spacing w:after="0"/>
        <w:tabs>
          <w:tab w:leader="none" w:pos="18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 Subsidiary or the Participant’s employer are permitted to hold and process personal information</w:t>
      </w:r>
    </w:p>
    <w:p>
      <w:pPr>
        <w:spacing w:after="0" w:line="49" w:lineRule="exact"/>
        <w:rPr>
          <w:rFonts w:ascii="Times New Roman" w:cs="Times New Roman" w:eastAsia="Times New Roman" w:hAnsi="Times New Roman"/>
          <w:sz w:val="20"/>
          <w:szCs w:val="20"/>
          <w:color w:val="auto"/>
        </w:rPr>
      </w:pPr>
    </w:p>
    <w:p>
      <w:pPr>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sensitive personal information)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about the Participant as part of their personnel and other business records and may use such information for the purpose of managing and administering the Sub-Plan;</w:t>
      </w:r>
    </w:p>
    <w:p>
      <w:pPr>
        <w:spacing w:after="0" w:line="156"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 Subsidiary or the Participant’s employer may disclose the Data (as described in (a) above) to third parties</w:t>
      </w:r>
    </w:p>
    <w:p>
      <w:pPr>
        <w:spacing w:after="0" w:line="65"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ectPr>
          <w:pgSz w:w="11900" w:h="16838" w:orient="portrait"/>
          <w:cols w:equalWidth="0" w:num="1">
            <w:col w:w="11420"/>
          </w:cols>
          <w:pgMar w:left="240" w:top="387" w:right="239" w:bottom="1440" w:gutter="0" w:footer="0" w:header="0"/>
        </w:sectPr>
      </w:pPr>
    </w:p>
    <w:bookmarkStart w:id="63" w:name="page64"/>
    <w:bookmarkEnd w:id="63"/>
    <w:p>
      <w:pPr>
        <w:spacing w:after="0" w:line="311" w:lineRule="auto"/>
        <w:rPr>
          <w:sz w:val="20"/>
          <w:szCs w:val="20"/>
          <w:color w:val="auto"/>
        </w:rPr>
      </w:pPr>
      <w:r>
        <w:rPr>
          <w:rFonts w:ascii="Times New Roman" w:cs="Times New Roman" w:eastAsia="Times New Roman" w:hAnsi="Times New Roman"/>
          <w:sz w:val="20"/>
          <w:szCs w:val="20"/>
          <w:color w:val="auto"/>
        </w:rPr>
        <w:t>European Economic Area, or elsewhere, which the Participant separately and expressly consents to, accepting that outside the European Economic Area, data protection laws are less protective than within;</w:t>
      </w:r>
    </w:p>
    <w:p>
      <w:pPr>
        <w:spacing w:after="0" w:line="160" w:lineRule="exact"/>
        <w:rPr>
          <w:sz w:val="20"/>
          <w:szCs w:val="20"/>
          <w:color w:val="auto"/>
        </w:rPr>
      </w:pPr>
    </w:p>
    <w:p>
      <w:pPr>
        <w:ind w:left="1860" w:hanging="555"/>
        <w:spacing w:after="0"/>
        <w:tabs>
          <w:tab w:leader="none" w:pos="18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at any time, review Data, require any necessary amendments to it or withdraw their consent herein by</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160" w:lineRule="exact"/>
        <w:rPr>
          <w:rFonts w:ascii="Times New Roman" w:cs="Times New Roman" w:eastAsia="Times New Roman" w:hAnsi="Times New Roman"/>
          <w:sz w:val="20"/>
          <w:szCs w:val="20"/>
          <w:color w:val="auto"/>
        </w:rPr>
      </w:pPr>
    </w:p>
    <w:p>
      <w:pPr>
        <w:ind w:firstLine="1305"/>
        <w:spacing w:after="0" w:line="325" w:lineRule="auto"/>
        <w:tabs>
          <w:tab w:leader="none" w:pos="177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will only be held as long as necessary to implement, administer and manage the Participant’s participation in the Sub-Plan and any subsequent claims or rights; and</w:t>
      </w:r>
    </w:p>
    <w:p>
      <w:pPr>
        <w:spacing w:after="0" w:line="146"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69"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spacing w:after="0" w:line="185"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6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ectPr>
          <w:pgSz w:w="11900" w:h="16838" w:orient="portrait"/>
          <w:cols w:equalWidth="0" w:num="1">
            <w:col w:w="11420"/>
          </w:cols>
          <w:pgMar w:left="240" w:top="387" w:right="239" w:bottom="1440" w:gutter="0" w:footer="0" w:header="0"/>
        </w:sectPr>
      </w:pPr>
    </w:p>
    <w:bookmarkStart w:id="64" w:name="page65"/>
    <w:bookmarkEnd w:id="64"/>
    <w:p>
      <w:pPr>
        <w:jc w:val="both"/>
        <w:spacing w:after="0" w:line="311" w:lineRule="auto"/>
        <w:rPr>
          <w:sz w:val="20"/>
          <w:szCs w:val="20"/>
          <w:color w:val="auto"/>
        </w:rPr>
      </w:pPr>
      <w:r>
        <w:rPr>
          <w:rFonts w:ascii="Times New Roman" w:cs="Times New Roman" w:eastAsia="Times New Roman" w:hAnsi="Times New Roman"/>
          <w:sz w:val="20"/>
          <w:szCs w:val="20"/>
          <w:color w:val="auto"/>
        </w:rPr>
        <w:t>to the PSUs and Dividend Equivalents, and rights no greater than the right to receive Shares or cash as a general unsecured creditor with respect to the PSUs, as and when settled pursuant to the terms hereof.</w:t>
      </w:r>
    </w:p>
    <w:p>
      <w:pPr>
        <w:spacing w:after="0" w:line="160"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7"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Special Provisions for PSUs Granted to Participants Outside the U.S</w:t>
      </w:r>
      <w:r>
        <w:rPr>
          <w:rFonts w:ascii="Times New Roman" w:cs="Times New Roman" w:eastAsia="Times New Roman" w:hAnsi="Times New Roman"/>
          <w:sz w:val="20"/>
          <w:szCs w:val="20"/>
          <w:color w:val="auto"/>
        </w:rPr>
        <w:t>. If Participant performs services for the Company or any Subsidiary outside of the United States, the PSUs shall be subject to the special provisions, if any, for Participant’s country of residence, as set forth in the Foreign Appendix.</w:t>
      </w:r>
    </w:p>
    <w:p>
      <w:pPr>
        <w:spacing w:after="0" w:line="169" w:lineRule="exact"/>
        <w:rPr>
          <w:sz w:val="20"/>
          <w:szCs w:val="20"/>
          <w:color w:val="auto"/>
        </w:rPr>
      </w:pPr>
    </w:p>
    <w:p>
      <w:pPr>
        <w:ind w:left="1720" w:hanging="415"/>
        <w:spacing w:after="0"/>
        <w:tabs>
          <w:tab w:leader="none" w:pos="1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relocates to one of the countries included in the Foreign Appendix during the life of this Award, the special</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60"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impose other requirements on this Award and any Shares received upon settlement of</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ectPr>
          <w:pgSz w:w="11900" w:h="16838" w:orient="portrait"/>
          <w:cols w:equalWidth="0" w:num="1">
            <w:col w:w="11420"/>
          </w:cols>
          <w:pgMar w:left="240" w:top="38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PERFORMANCE STOCK UNIT AWARD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PERFORMANCE STOCK UNITS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PARTICIPANTS OUTSIDE THE U.S.</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This Exhibit B includes special terms and conditions applicable to Participants in the countries below. These terms and conditions are in addition to those set forth in the PSU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6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PSUs are settled or any Shares acquired under the Sub-Plan are sold.</w:t>
      </w:r>
    </w:p>
    <w:p>
      <w:pPr>
        <w:spacing w:after="0" w:line="18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Sub-Plan is enclosed with this Grant Notice and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The Sub-Plan, the Agreement and this Grant Notice do not constitute financial advice</w:t>
      </w:r>
    </w:p>
    <w:p>
      <w:pPr>
        <w:spacing w:after="0" w:line="26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Any advice given by the Company in relation to the Grant Notice, the Agreement, the Sub-Plan, the PSUs or the Shares does not constitute financial advice and does not take into account your objectives, financial situation and needs. In considering the PSUs and the amount of cash and/or Shares that you will receive on vesting of the PSUs, you should consider the risk factors that could affect the performance of the Company and the value of PSUs and Shares, which value can increase or decrease from time to time, and the amount of any Tax Liability.</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PSUs or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ectPr>
          <w:pgSz w:w="11900" w:h="16838" w:orient="portrait"/>
          <w:cols w:equalWidth="0" w:num="1">
            <w:col w:w="11420"/>
          </w:cols>
          <w:pgMar w:left="240" w:top="356" w:right="2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0"/>
          <w:szCs w:val="20"/>
          <w:b w:val="1"/>
          <w:bCs w:val="1"/>
          <w:color w:val="auto"/>
        </w:rPr>
        <w:t>How to calculate values in Australian dollars</w:t>
      </w:r>
    </w:p>
    <w:p>
      <w:pPr>
        <w:spacing w:after="0" w:line="260" w:lineRule="exact"/>
        <w:rPr>
          <w:sz w:val="20"/>
          <w:szCs w:val="20"/>
          <w:color w:val="auto"/>
        </w:rPr>
      </w:pPr>
    </w:p>
    <w:p>
      <w:pPr>
        <w:jc w:val="both"/>
        <w:ind w:firstLine="648"/>
        <w:spacing w:after="0" w:line="340" w:lineRule="auto"/>
        <w:rPr>
          <w:sz w:val="20"/>
          <w:szCs w:val="20"/>
          <w:color w:val="auto"/>
        </w:rPr>
      </w:pPr>
      <w:r>
        <w:rPr>
          <w:rFonts w:ascii="Times New Roman" w:cs="Times New Roman" w:eastAsia="Times New Roman" w:hAnsi="Times New Roman"/>
          <w:sz w:val="19"/>
          <w:szCs w:val="19"/>
          <w:color w:val="auto"/>
        </w:rPr>
        <w:t>Your PSUs will vest in accordance with the Grant Notice and the Agreement (which require certain conditions to be met) and are subject to a four year graded vesting schedule. The PSUs may result in Shares or cash being given to you, in accordance with the Grant Notice.</w:t>
      </w:r>
    </w:p>
    <w:p>
      <w:pPr>
        <w:spacing w:after="0" w:line="1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You will not be required to pay any amount for the PSUs or any Shares that will be issued to you upon vesting. However the amount of cash or number of Shares you receive will depend on the market price of Shares at the time and the amount of any Tax Liability in connection with the grant and vesting of the PSUs and the issue of any Shares.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can ascertain the market price of a Share in the Company in United States Dollars (“USD”) from time to time by visiting either:</w:t>
      </w:r>
    </w:p>
    <w:p>
      <w:pPr>
        <w:spacing w:after="0" w:line="256" w:lineRule="exact"/>
        <w:rPr>
          <w:sz w:val="20"/>
          <w:szCs w:val="20"/>
          <w:color w:val="auto"/>
        </w:rPr>
      </w:pPr>
    </w:p>
    <w:p>
      <w:pPr>
        <w:ind w:left="880" w:hanging="224"/>
        <w:spacing w:after="0"/>
        <w:tabs>
          <w:tab w:leader="none" w:pos="8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website (http://www.livanova.com/investor-relations/stock-information); or</w:t>
      </w:r>
    </w:p>
    <w:p>
      <w:pPr>
        <w:spacing w:after="0" w:line="256" w:lineRule="exact"/>
        <w:rPr>
          <w:rFonts w:ascii="Times New Roman" w:cs="Times New Roman" w:eastAsia="Times New Roman" w:hAnsi="Times New Roman"/>
          <w:sz w:val="20"/>
          <w:szCs w:val="20"/>
          <w:color w:val="auto"/>
        </w:rPr>
      </w:pPr>
    </w:p>
    <w:p>
      <w:pPr>
        <w:ind w:left="880" w:hanging="224"/>
        <w:spacing w:after="0"/>
        <w:tabs>
          <w:tab w:leader="none" w:pos="8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NASDAQ website (http://www.nasdaq.com/symbol/livn).</w:t>
      </w:r>
    </w:p>
    <w:p>
      <w:pPr>
        <w:spacing w:after="0" w:line="25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0" w:lineRule="exact"/>
        <w:rPr>
          <w:sz w:val="20"/>
          <w:szCs w:val="20"/>
          <w:color w:val="auto"/>
        </w:rPr>
      </w:pPr>
    </w:p>
    <w:p>
      <w:pPr>
        <w:ind w:right="78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PSUs shall only be distributed in Shares (either in book-entry form or otherwise), and no portion of the Participant’s PSUs shall be payable to the Participant in cash.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0"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20"/>
          <w:szCs w:val="20"/>
          <w:color w:val="auto"/>
        </w:rPr>
        <w:t>Unless otherwise determined by the Administrator, Participant’s PSUs shall only be settled in cash, and no portion of the Participant’s PSUs shall be distributed in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Participant is employed by a French subsidiary of the Group, the terms and conditions provided in the French Sub-Plan will apply, in addition to the terms set out below. References in the Agreement to “Sub-Plan” shall be references to the “French Sub-Plan” and references in the Agreement to Performance Stock Units (PSU) shall be references to Restricted Stock Units (RSU) per the French Sub-Plan</w:t>
      </w:r>
    </w:p>
    <w:p>
      <w:pPr>
        <w:spacing w:after="0" w:line="13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Participant’s PSUs shall only be distributed in Shares (either in book-entry form or otherwise), and no portion of the Participant’s PSUs shall be payable to the Participant in cash. Participant cannot benefit from any Dividend Equivalent provided for under Sections 2.1 and 2.2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at Section 2.7 of the Agreement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Holding Period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1180"/>
        <w:spacing w:after="0" w:line="296" w:lineRule="auto"/>
        <w:tabs>
          <w:tab w:leader="none" w:pos="129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Times New Roman" w:cs="Times New Roman" w:eastAsia="Times New Roman" w:hAnsi="Times New Roman"/>
          <w:sz w:val="20"/>
          <w:szCs w:val="20"/>
          <w:u w:val="single" w:color="auto"/>
          <w:color w:val="auto"/>
        </w:rPr>
        <w:t>Holding Period</w:t>
      </w:r>
      <w:r>
        <w:rPr>
          <w:rFonts w:ascii="Times New Roman" w:cs="Times New Roman" w:eastAsia="Times New Roman" w:hAnsi="Times New Roman"/>
          <w:sz w:val="20"/>
          <w:szCs w:val="20"/>
          <w:color w:val="auto"/>
        </w:rPr>
        <w:t>”) (as such terms are defined in the French Sub-Plan).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w:t>
      </w:r>
    </w:p>
    <w:p>
      <w:pPr>
        <w:sectPr>
          <w:pgSz w:w="11900" w:h="16838" w:orient="portrait"/>
          <w:cols w:equalWidth="0" w:num="1">
            <w:col w:w="11420"/>
          </w:cols>
          <w:pgMar w:left="240" w:top="383" w:right="239" w:bottom="1440" w:gutter="0" w:footer="0" w:header="0"/>
        </w:sectPr>
      </w:pPr>
    </w:p>
    <w:bookmarkStart w:id="67" w:name="page68"/>
    <w:bookmarkEnd w:id="67"/>
    <w:p>
      <w:pPr>
        <w:ind w:left="2160" w:hanging="1180"/>
        <w:spacing w:after="0" w:line="291"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35" w:lineRule="exact"/>
        <w:rPr>
          <w:rFonts w:ascii="Times New Roman" w:cs="Times New Roman" w:eastAsia="Times New Roman" w:hAnsi="Times New Roman"/>
          <w:sz w:val="20"/>
          <w:szCs w:val="20"/>
          <w:color w:val="auto"/>
        </w:rPr>
      </w:pPr>
    </w:p>
    <w:p>
      <w:pPr>
        <w:ind w:left="2160" w:hanging="1180"/>
        <w:spacing w:after="0" w:line="296"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29" w:lineRule="exact"/>
        <w:rPr>
          <w:rFonts w:ascii="Times New Roman" w:cs="Times New Roman" w:eastAsia="Times New Roman" w:hAnsi="Times New Roman"/>
          <w:sz w:val="20"/>
          <w:szCs w:val="20"/>
          <w:color w:val="auto"/>
        </w:rPr>
      </w:pPr>
    </w:p>
    <w:p>
      <w:pPr>
        <w:ind w:left="2160" w:hanging="1180"/>
        <w:spacing w:after="0" w:line="289"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35" w:lineRule="exact"/>
        <w:rPr>
          <w:rFonts w:ascii="Times New Roman" w:cs="Times New Roman" w:eastAsia="Times New Roman" w:hAnsi="Times New Roman"/>
          <w:sz w:val="20"/>
          <w:szCs w:val="20"/>
          <w:color w:val="auto"/>
        </w:rPr>
      </w:pPr>
    </w:p>
    <w:p>
      <w:pPr>
        <w:ind w:left="2160" w:hanging="1180"/>
        <w:spacing w:after="0" w:line="286"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Times New Roman" w:cs="Times New Roman" w:eastAsia="Times New Roman" w:hAnsi="Times New Roman"/>
          <w:sz w:val="20"/>
          <w:szCs w:val="20"/>
          <w:color w:val="auto"/>
        </w:rPr>
      </w:pPr>
    </w:p>
    <w:p>
      <w:pPr>
        <w:ind w:left="2160" w:right="20" w:hanging="1180"/>
        <w:spacing w:after="0" w:line="311" w:lineRule="auto"/>
        <w:tabs>
          <w:tab w:leader="none" w:pos="1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agrees that Merrill Lynch may discuss with and disclose to LivaNova plc any information relating to their account for the purposes of any sale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19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20"/>
          <w:szCs w:val="20"/>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w:t>
      </w:r>
    </w:p>
    <w:p>
      <w:pPr>
        <w:sectPr>
          <w:pgSz w:w="11900" w:h="16838" w:orient="portrait"/>
          <w:cols w:equalWidth="0" w:num="1">
            <w:col w:w="11420"/>
          </w:cols>
          <w:pgMar w:left="240" w:top="657" w:right="239" w:bottom="1440" w:gutter="0" w:footer="0" w:header="0"/>
        </w:sectPr>
      </w:pPr>
    </w:p>
    <w:bookmarkStart w:id="68" w:name="page69"/>
    <w:bookmarkEnd w:id="68"/>
    <w:p>
      <w:pPr>
        <w:ind w:right="120"/>
        <w:spacing w:after="0" w:line="242" w:lineRule="auto"/>
        <w:rPr>
          <w:sz w:val="20"/>
          <w:szCs w:val="20"/>
          <w:color w:val="auto"/>
        </w:rPr>
      </w:pPr>
      <w:r>
        <w:rPr>
          <w:rFonts w:ascii="Times New Roman" w:cs="Times New Roman" w:eastAsia="Times New Roman" w:hAnsi="Times New Roman"/>
          <w:sz w:val="20"/>
          <w:szCs w:val="20"/>
          <w:color w:val="auto"/>
        </w:rPr>
        <w:t>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“Tax Liability” in Section 2.5:</w:t>
      </w:r>
    </w:p>
    <w:p>
      <w:pPr>
        <w:spacing w:after="0" w:line="220"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For the avoidance of doubt, the definition of “Tax Liability” shall only include the employee portions of the social security contributions.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sentence is inserted at Section 3.1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the Administrator’s decisions and interpretations shall be subject to reasonable discretion.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heading of Section 3.12 shall be supplemented and read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Section 3.12 PSUs Not Part of Employment Compensation, No Legal Claim to Grant(s)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287" w:lineRule="auto"/>
        <w:tabs>
          <w:tab w:leader="none" w:pos="1913"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1"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78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29" w:lineRule="exact"/>
        <w:rPr>
          <w:rFonts w:ascii="Times New Roman" w:cs="Times New Roman" w:eastAsia="Times New Roman" w:hAnsi="Times New Roman"/>
          <w:sz w:val="20"/>
          <w:szCs w:val="20"/>
          <w:b w:val="1"/>
          <w:bCs w:val="1"/>
          <w:color w:val="auto"/>
        </w:rPr>
      </w:pPr>
    </w:p>
    <w:p>
      <w:pPr>
        <w:ind w:left="1720" w:hanging="415"/>
        <w:spacing w:after="0"/>
        <w:tabs>
          <w:tab w:leader="none" w:pos="17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this section applies to any Data held, used or disclosed in any medium;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w:t>
      </w:r>
    </w:p>
    <w:p>
      <w:pPr>
        <w:sectPr>
          <w:pgSz w:w="11900" w:h="16838" w:orient="portrait"/>
          <w:cols w:equalWidth="0" w:num="1">
            <w:col w:w="11420"/>
          </w:cols>
          <w:pgMar w:left="240" w:top="360" w:right="239" w:bottom="1440" w:gutter="0" w:footer="0" w:header="0"/>
        </w:sectPr>
      </w:pPr>
    </w:p>
    <w:bookmarkStart w:id="69" w:name="page70"/>
    <w:bookmarkEnd w:id="69"/>
    <w:p>
      <w:pPr>
        <w:ind w:firstLine="1278"/>
        <w:spacing w:after="0" w:line="315" w:lineRule="auto"/>
        <w:tabs>
          <w:tab w:leader="none" w:pos="1871"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12" w:lineRule="exact"/>
        <w:rPr>
          <w:rFonts w:ascii="Times New Roman" w:cs="Times New Roman" w:eastAsia="Times New Roman" w:hAnsi="Times New Roman"/>
          <w:sz w:val="20"/>
          <w:szCs w:val="20"/>
          <w:b w:val="1"/>
          <w:bCs w:val="1"/>
          <w:color w:val="auto"/>
        </w:rPr>
      </w:pPr>
    </w:p>
    <w:p>
      <w:pPr>
        <w:ind w:right="20" w:firstLine="1278"/>
        <w:spacing w:after="0" w:line="315" w:lineRule="auto"/>
        <w:tabs>
          <w:tab w:leader="none" w:pos="190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will only be held as long as necessary to implement, administer, manage and account Participant’s participation in the Sub-Plan and any subsequent claims or rights;</w:t>
      </w:r>
    </w:p>
    <w:p>
      <w:pPr>
        <w:spacing w:after="0" w:line="112" w:lineRule="exact"/>
        <w:rPr>
          <w:rFonts w:ascii="Times New Roman" w:cs="Times New Roman" w:eastAsia="Times New Roman" w:hAnsi="Times New Roman"/>
          <w:sz w:val="20"/>
          <w:szCs w:val="20"/>
          <w:b w:val="1"/>
          <w:bCs w:val="1"/>
          <w:color w:val="auto"/>
        </w:rPr>
      </w:pPr>
    </w:p>
    <w:p>
      <w:pPr>
        <w:jc w:val="both"/>
        <w:ind w:firstLine="1305"/>
        <w:spacing w:after="0" w:line="298" w:lineRule="auto"/>
        <w:tabs>
          <w:tab w:leader="none" w:pos="1877"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33"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paragraph is inserted as Section 2.5 (f) of the Agreement</w:t>
      </w:r>
    </w:p>
    <w:p>
      <w:pPr>
        <w:spacing w:after="0" w:line="26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PSUs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- 5</w:t>
      </w:r>
    </w:p>
    <w:sectPr>
      <w:pgSz w:w="11900" w:h="16838" w:orient="portrait"/>
      <w:cols w:equalWidth="0" w:num="1">
        <w:col w:w="11420"/>
      </w:cols>
      <w:pgMar w:left="240" w:top="3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3"/>
    </w:lvl>
  </w:abstractNum>
  <w:abstractNum w:abstractNumId="2">
    <w:nsid w:val="3804823E"/>
    <w:multiLevelType w:val="hybridMultilevel"/>
    <w:lvl w:ilvl="0">
      <w:lvlJc w:val="left"/>
      <w:lvlText w:val="(%1)"/>
      <w:numFmt w:val="lowerLetter"/>
      <w:start w:val="1"/>
    </w:lvl>
  </w:abstractNum>
  <w:abstractNum w:abstractNumId="3">
    <w:nsid w:val="77465F01"/>
    <w:multiLevelType w:val="hybridMultilevel"/>
    <w:lvl w:ilvl="0">
      <w:lvlJc w:val="left"/>
      <w:lvlText w:val="(%1)"/>
      <w:numFmt w:val="lowerLetter"/>
      <w:start w:val="1"/>
    </w:lvl>
  </w:abstractNum>
  <w:abstractNum w:abstractNumId="4">
    <w:nsid w:val="7724C67E"/>
    <w:multiLevelType w:val="hybridMultilevel"/>
    <w:lvl w:ilvl="0">
      <w:lvlJc w:val="left"/>
      <w:lvlText w:val="(%1)"/>
      <w:numFmt w:val="lowerLetter"/>
      <w:start w:val="4"/>
    </w:lvl>
  </w:abstractNum>
  <w:abstractNum w:abstractNumId="5">
    <w:nsid w:val="5C482A97"/>
    <w:multiLevelType w:val="hybridMultilevel"/>
    <w:lvl w:ilvl="0">
      <w:lvlJc w:val="left"/>
      <w:lvlText w:val="(%1)"/>
      <w:numFmt w:val="lowerLetter"/>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1"/>
      <w:numFmt w:val="lowerLetter"/>
      <w:start w:val="1"/>
    </w:lvl>
    <w:lvl w:ilvl="1">
      <w:lvlJc w:val="left"/>
      <w:lvlText w:val="(%2)"/>
      <w:numFmt w:val="lowerRoman"/>
      <w:start w:val="2"/>
    </w:lvl>
  </w:abstractNum>
  <w:abstractNum w:abstractNumId="8">
    <w:nsid w:val="51EAD36B"/>
    <w:multiLevelType w:val="hybridMultilevel"/>
    <w:lvl w:ilvl="0">
      <w:lvlJc w:val="left"/>
      <w:lvlText w:val="(%1)"/>
      <w:numFmt w:val="lowerLetter"/>
      <w:start w:val="2"/>
    </w:lvl>
    <w:lvl w:ilvl="1">
      <w:lvlJc w:val="left"/>
      <w:lvlText w:val="%2"/>
      <w:numFmt w:val="lowerRoman"/>
      <w:start w:val="1"/>
    </w:lvl>
  </w:abstractNum>
  <w:abstractNum w:abstractNumId="9">
    <w:nsid w:val="2D517796"/>
    <w:multiLevelType w:val="hybridMultilevel"/>
    <w:lvl w:ilvl="0">
      <w:lvlJc w:val="left"/>
      <w:lvlText w:val="(%1)"/>
      <w:numFmt w:val="lowerLetter"/>
      <w:start w:val="5"/>
    </w:lvl>
  </w:abstractNum>
  <w:abstractNum w:abstractNumId="10">
    <w:nsid w:val="580BD78F"/>
    <w:multiLevelType w:val="hybridMultilevel"/>
    <w:lvl w:ilvl="0">
      <w:lvlJc w:val="left"/>
      <w:lvlText w:val="(%1)"/>
      <w:numFmt w:val="lowerLetter"/>
      <w:start w:val="1"/>
    </w:lvl>
  </w:abstractNum>
  <w:abstractNum w:abstractNumId="11">
    <w:nsid w:val="153EA438"/>
    <w:multiLevelType w:val="hybridMultilevel"/>
    <w:lvl w:ilvl="0">
      <w:lvlJc w:val="left"/>
      <w:lvlText w:val="(%1)"/>
      <w:numFmt w:val="lowerLetter"/>
      <w:start w:val="3"/>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1)"/>
      <w:numFmt w:val="lowerLetter"/>
      <w:start w:val="2"/>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4"/>
    </w:lvl>
    <w:lvl w:ilvl="1">
      <w:lvlJc w:val="left"/>
      <w:lvlText w:val="(%2)"/>
      <w:numFmt w:val="lowerLetter"/>
      <w:start w:val="6"/>
    </w:lvl>
  </w:abstractNum>
  <w:abstractNum w:abstractNumId="18">
    <w:nsid w:val="2CD89A32"/>
    <w:multiLevelType w:val="hybridMultilevel"/>
    <w:lvl w:ilvl="0">
      <w:lvlJc w:val="left"/>
      <w:lvlText w:val="(%1)"/>
      <w:numFmt w:val="decimal"/>
      <w:start w:val="3"/>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3"/>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lvl w:ilvl="1">
      <w:lvlJc w:val="left"/>
      <w:lvlText w:val="(%2)"/>
      <w:numFmt w:val="lowerRoman"/>
      <w:start w:val="1"/>
    </w:lvl>
  </w:abstractNum>
  <w:abstractNum w:abstractNumId="25">
    <w:nsid w:val="7644A45C"/>
    <w:multiLevelType w:val="hybridMultilevel"/>
    <w:lvl w:ilvl="0">
      <w:lvlJc w:val="left"/>
      <w:lvlText w:val="%1"/>
      <w:numFmt w:val="lowerLetter"/>
      <w:start w:val="1"/>
    </w:lvl>
    <w:lvl w:ilvl="1">
      <w:lvlJc w:val="left"/>
      <w:lvlText w:val="(%2)"/>
      <w:numFmt w:val="lowerRoman"/>
      <w:start w:val="4"/>
    </w:lvl>
  </w:abstractNum>
  <w:abstractNum w:abstractNumId="26">
    <w:nsid w:val="32FFF902"/>
    <w:multiLevelType w:val="hybridMultilevel"/>
    <w:lvl w:ilvl="0">
      <w:lvlJc w:val="left"/>
      <w:lvlText w:val="(%1)"/>
      <w:numFmt w:val="lowerLetter"/>
      <w:start w:val="2"/>
    </w:lvl>
    <w:lvl w:ilvl="1">
      <w:lvlJc w:val="left"/>
      <w:lvlText w:val="%2"/>
      <w:numFmt w:val="lowerRoman"/>
      <w:start w:val="1"/>
    </w:lvl>
  </w:abstractNum>
  <w:abstractNum w:abstractNumId="27">
    <w:nsid w:val="684A481A"/>
    <w:multiLevelType w:val="hybridMultilevel"/>
    <w:lvl w:ilvl="0">
      <w:lvlJc w:val="left"/>
      <w:lvlText w:val="(%1)"/>
      <w:numFmt w:val="lowerLetter"/>
      <w:start w:val="5"/>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Letter"/>
      <w:start w:val="4"/>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4"/>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2"/>
    </w:lvl>
  </w:abstractNum>
  <w:abstractNum w:abstractNumId="36">
    <w:nsid w:val="520EEDD1"/>
    <w:multiLevelType w:val="hybridMultilevel"/>
    <w:lvl w:ilvl="0">
      <w:lvlJc w:val="left"/>
      <w:lvlText w:val="(%1)"/>
      <w:numFmt w:val="decimal"/>
      <w:start w:val="3"/>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4"/>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1"/>
    </w:lvl>
    <w:lvl w:ilvl="1">
      <w:lvlJc w:val="left"/>
      <w:lvlText w:val="(%2)"/>
      <w:numFmt w:val="lowerRoman"/>
      <w:start w:val="2"/>
    </w:lvl>
  </w:abstractNum>
  <w:abstractNum w:abstractNumId="43">
    <w:nsid w:val="1CF10FD8"/>
    <w:multiLevelType w:val="hybridMultilevel"/>
    <w:lvl w:ilvl="0">
      <w:lvlJc w:val="left"/>
      <w:lvlText w:val="(%1)"/>
      <w:numFmt w:val="lowerLetter"/>
      <w:start w:val="2"/>
    </w:lvl>
    <w:lvl w:ilvl="1">
      <w:lvlJc w:val="left"/>
      <w:lvlText w:val="%2"/>
      <w:numFmt w:val="lowerRoman"/>
      <w:start w:val="1"/>
    </w:lvl>
  </w:abstractNum>
  <w:abstractNum w:abstractNumId="44">
    <w:nsid w:val="180115BE"/>
    <w:multiLevelType w:val="hybridMultilevel"/>
    <w:lvl w:ilvl="0">
      <w:lvlJc w:val="left"/>
      <w:lvlText w:val="(%1)"/>
      <w:numFmt w:val="lowerLetter"/>
      <w:start w:val="5"/>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4"/>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2"/>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4"/>
    </w:lvl>
    <w:lvl w:ilvl="1">
      <w:lvlJc w:val="left"/>
      <w:lvlText w:val="(%2)"/>
      <w:numFmt w:val="lowerLetter"/>
      <w:start w:val="6"/>
    </w:lvl>
  </w:abstractNum>
  <w:abstractNum w:abstractNumId="53">
    <w:nsid w:val="61574095"/>
    <w:multiLevelType w:val="hybridMultilevel"/>
    <w:lvl w:ilvl="0">
      <w:lvlJc w:val="left"/>
      <w:lvlText w:val="(%1)"/>
      <w:numFmt w:val="decimal"/>
      <w:start w:val="3"/>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4"/>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1"/>
    </w:lvl>
    <w:lvl w:ilvl="1">
      <w:lvlJc w:val="left"/>
      <w:lvlText w:val="(%2)"/>
      <w:numFmt w:val="lowerRoman"/>
      <w:start w:val="2"/>
    </w:lvl>
  </w:abstractNum>
  <w:abstractNum w:abstractNumId="60">
    <w:nsid w:val="25A70BF7"/>
    <w:multiLevelType w:val="hybridMultilevel"/>
    <w:lvl w:ilvl="0">
      <w:lvlJc w:val="left"/>
      <w:lvlText w:val="(%1)"/>
      <w:numFmt w:val="lowerLetter"/>
      <w:start w:val="2"/>
    </w:lvl>
    <w:lvl w:ilvl="1">
      <w:lvlJc w:val="left"/>
      <w:lvlText w:val="%2"/>
      <w:numFmt w:val="lowerRoman"/>
      <w:start w:val="1"/>
    </w:lvl>
  </w:abstractNum>
  <w:abstractNum w:abstractNumId="61">
    <w:nsid w:val="1DBABF00"/>
    <w:multiLevelType w:val="hybridMultilevel"/>
    <w:lvl w:ilvl="0">
      <w:lvlJc w:val="left"/>
      <w:lvlText w:val="(%1)"/>
      <w:numFmt w:val="lowerLetter"/>
      <w:start w:val="4"/>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3"/>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lowerLetter"/>
      <w:start w:val="4"/>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2019-12-28T14:05:37Z</dcterms:created>
  <dcterms:modified xsi:type="dcterms:W3CDTF">2019-12-28T14:05:37Z</dcterms:modified>
</cp:coreProperties>
</file>