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Moore Daniel Jeffrey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7"/>
                <w:szCs w:val="7"/>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5"/>
          </w:tcPr>
          <w:p>
            <w:pPr>
              <w:ind w:left="160"/>
              <w:spacing w:after="0"/>
              <w:rPr>
                <w:sz w:val="20"/>
                <w:szCs w:val="20"/>
                <w:color w:val="auto"/>
              </w:rPr>
            </w:pPr>
            <w:r>
              <w:rPr>
                <w:rFonts w:ascii="Arial" w:cs="Arial" w:eastAsia="Arial" w:hAnsi="Arial"/>
                <w:sz w:val="18"/>
                <w:szCs w:val="18"/>
                <w:color w:val="0000FF"/>
              </w:rPr>
              <w:t>05/23/2016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0"/>
            <w:vMerge w:val="continue"/>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8"/>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80" w:type="dxa"/>
            <w:vAlign w:val="bottom"/>
          </w:tcPr>
          <w:p>
            <w:pPr>
              <w:ind w:left="40"/>
              <w:spacing w:after="0"/>
              <w:rPr>
                <w:sz w:val="20"/>
                <w:szCs w:val="20"/>
                <w:color w:val="auto"/>
              </w:rPr>
            </w:pPr>
            <w:r>
              <w:rPr>
                <w:rFonts w:ascii="Arial" w:cs="Arial" w:eastAsia="Arial" w:hAnsi="Arial"/>
                <w:sz w:val="18"/>
                <w:szCs w:val="18"/>
                <w:color w:val="0000FF"/>
                <w:w w:val="99"/>
              </w:rPr>
              <w:t>X0</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260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0"/>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4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80" w:type="dxa"/>
            <w:vAlign w:val="bottom"/>
            <w:gridSpan w:val="5"/>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w w:val="86"/>
              </w:rPr>
              <w:t>05/23/2016</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50.0733</w:t>
            </w:r>
            <w:r>
              <w:rPr>
                <w:rFonts w:ascii="Arial" w:cs="Arial" w:eastAsia="Arial" w:hAnsi="Arial"/>
                <w:sz w:val="22"/>
                <w:szCs w:val="22"/>
                <w:color w:val="008000"/>
                <w:w w:val="92"/>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0000FF"/>
                <w:w w:val="87"/>
              </w:rPr>
              <w:t>64,137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w w:val="86"/>
              </w:rPr>
              <w:t>05/24/2016</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700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50.0636</w:t>
            </w:r>
            <w:r>
              <w:rPr>
                <w:rFonts w:ascii="Arial" w:cs="Arial" w:eastAsia="Arial" w:hAnsi="Arial"/>
                <w:sz w:val="22"/>
                <w:szCs w:val="22"/>
                <w:color w:val="008000"/>
                <w:w w:val="92"/>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0000FF"/>
                <w:w w:val="87"/>
              </w:rPr>
              <w:t>63,437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jc w:val="center"/>
              <w:ind w:right="39"/>
              <w:spacing w:after="0"/>
              <w:rPr>
                <w:sz w:val="20"/>
                <w:szCs w:val="20"/>
                <w:color w:val="auto"/>
              </w:rPr>
            </w:pPr>
            <w:r>
              <w:rPr>
                <w:rFonts w:ascii="Arial" w:cs="Arial" w:eastAsia="Arial" w:hAnsi="Arial"/>
                <w:sz w:val="18"/>
                <w:szCs w:val="18"/>
                <w:color w:val="0000FF"/>
                <w:w w:val="88"/>
              </w:rPr>
              <w:t>2,586</w:t>
            </w:r>
          </w:p>
        </w:tc>
        <w:tc>
          <w:tcPr>
            <w:tcW w:w="28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7"/>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9"/>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00" w:type="dxa"/>
            <w:vAlign w:val="bottom"/>
            <w:gridSpan w:val="15"/>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8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8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0" w:type="dxa"/>
            <w:vAlign w:val="bottom"/>
          </w:tcPr>
          <w:p>
            <w:pPr>
              <w:spacing w:after="0"/>
              <w:rPr>
                <w:sz w:val="11"/>
                <w:szCs w:val="11"/>
                <w:color w:val="auto"/>
              </w:rPr>
            </w:pPr>
          </w:p>
        </w:tc>
        <w:tc>
          <w:tcPr>
            <w:tcW w:w="16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Sold pursuant to 10b5-1 Plan adopted by reporting person on November 30, 2015.</w:t>
      </w:r>
    </w:p>
    <w:p>
      <w:pPr>
        <w:spacing w:after="0" w:line="41" w:lineRule="exact"/>
        <w:rPr>
          <w:rFonts w:ascii="Arial" w:cs="Arial" w:eastAsia="Arial" w:hAnsi="Arial"/>
          <w:sz w:val="14"/>
          <w:szCs w:val="14"/>
          <w:color w:val="008000"/>
        </w:rPr>
      </w:pPr>
    </w:p>
    <w:p>
      <w:pPr>
        <w:ind w:left="40" w:right="6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4 separate sales on the transaction date at prices ranging from $49.95 to $50.17. The reporting person hereby undertakes to provide upon request to the SEC, the issuer or any stockholder of the issuer, the full information regarding the number of shares and prices at which the transaction was effected.</w:t>
      </w:r>
    </w:p>
    <w:p>
      <w:pPr>
        <w:ind w:left="40" w:right="6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5 separate sales on the transaction date at prices ranging from $49.95 to $50.09. The reporting person hereby undertakes to provide upon request to the SEC, the issuer or any stockholder of the issuer, the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1360" w:type="dxa"/>
            <w:vAlign w:val="bottom"/>
          </w:tcPr>
          <w:p>
            <w:pPr>
              <w:spacing w:after="0" w:line="199" w:lineRule="exact"/>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05/25/2016</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2019-12-23T21:38:39Z</dcterms:created>
  <dcterms:modified xsi:type="dcterms:W3CDTF">2019-12-23T21:38:39Z</dcterms:modified>
</cp:coreProperties>
</file>