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(44) 203 325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On May 2, 2017, LivaNova PLC ("LivaNova") announced that it had acquired Caisson Interventional, LLC ("Caisson"), a privately held clinical-stage medical device company. Prior to the acquisition, LivaNova owned approximately 49% of the issued and outstanding equity of Caisson. Pursuant to the terms of a Unit Purchase Agreement, LivaNova acquired the outstanding units of Caisson not otherwise owned by LivaNova, in exchange for its agreement to pay up to $72 million, net of $6 million of debt forgiveness. The first payment of $18 million will be made at closing with the balance paid on a schedule driven primarily by regulatory approvals and sales earn outs. As a result of the acquisition, LivaNova expects to recognize a pre-tax non-cash gain during the second quarter on the $15 million book value of its existing investment in Caisson.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copy of LivaNova's press release dated May 2, 2017 announcing the acquisition is attached hereto as Exhibit 99.1</w:t>
      </w:r>
    </w:p>
    <w:p>
      <w:pPr>
        <w:spacing w:after="0" w:line="200" w:lineRule="exact"/>
        <w:rPr>
          <w:sz w:val="20"/>
          <w:szCs w:val="20"/>
          <w:color w:val="auto"/>
        </w:rPr>
      </w:pPr>
    </w:p>
    <w:p>
      <w:pPr>
        <w:spacing w:after="0" w:line="30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360" w:lineRule="exact"/>
        <w:rPr>
          <w:sz w:val="20"/>
          <w:szCs w:val="20"/>
          <w:color w:val="auto"/>
        </w:rPr>
      </w:pPr>
    </w:p>
    <w:p>
      <w:pPr>
        <w:ind w:left="40"/>
        <w:spacing w:after="0"/>
        <w:tabs>
          <w:tab w:leader="none" w:pos="15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May 2, 2017</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94"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May 2, 2017</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580"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80" w:type="dxa"/>
            <w:vAlign w:val="bottom"/>
          </w:tcPr>
          <w:p>
            <w:pPr>
              <w:ind w:left="248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880" w:type="dxa"/>
            <w:vAlign w:val="bottom"/>
          </w:tcPr>
          <w:p>
            <w:pPr>
              <w:spacing w:after="0"/>
              <w:rPr>
                <w:sz w:val="24"/>
                <w:szCs w:val="24"/>
                <w:color w:val="auto"/>
              </w:rPr>
            </w:pPr>
          </w:p>
        </w:tc>
      </w:tr>
      <w:tr>
        <w:trPr>
          <w:trHeight w:val="58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Press Release issued by LivaNova PLC dated May 2, 2017</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79"/>
          </w:cols>
          <w:pgMar w:left="28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35150" cy="531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FF5C39"/>
        </w:rPr>
        <w:t>NEWS RELEASE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Acquires Caisson Interventional, LLC</w:t>
      </w:r>
    </w:p>
    <w:p>
      <w:pPr>
        <w:spacing w:after="0" w:line="200" w:lineRule="exact"/>
        <w:rPr>
          <w:sz w:val="20"/>
          <w:szCs w:val="20"/>
          <w:color w:val="auto"/>
        </w:rPr>
      </w:pPr>
    </w:p>
    <w:p>
      <w:pPr>
        <w:spacing w:after="0" w:line="312" w:lineRule="exact"/>
        <w:rPr>
          <w:sz w:val="20"/>
          <w:szCs w:val="20"/>
          <w:color w:val="auto"/>
        </w:rPr>
      </w:pPr>
    </w:p>
    <w:p>
      <w:pPr>
        <w:jc w:val="both"/>
        <w:spacing w:after="0" w:line="374" w:lineRule="auto"/>
        <w:rPr>
          <w:sz w:val="20"/>
          <w:szCs w:val="20"/>
          <w:color w:val="auto"/>
        </w:rPr>
      </w:pPr>
      <w:r>
        <w:rPr>
          <w:rFonts w:ascii="Arial" w:cs="Arial" w:eastAsia="Arial" w:hAnsi="Arial"/>
          <w:sz w:val="20"/>
          <w:szCs w:val="20"/>
          <w:b w:val="1"/>
          <w:bCs w:val="1"/>
          <w:color w:val="auto"/>
        </w:rPr>
        <w:t xml:space="preserve">London, May 2, 2017 – </w:t>
      </w:r>
      <w:r>
        <w:rPr>
          <w:rFonts w:ascii="Arial" w:cs="Arial" w:eastAsia="Arial" w:hAnsi="Arial"/>
          <w:sz w:val="20"/>
          <w:szCs w:val="20"/>
          <w:color w:val="auto"/>
        </w:rPr>
        <w:t>LivaNova PLC (NASDAQ:LIVN) (“LivaNova” or the “Company”), a market-leading medical technology</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today announced it has acquired the remaining outstanding interests in Caisson Interventional, LLC (“Caisson”), in support of LivaNova’s strategic growth initiatives. Based in Maple Grove, Minn., Caisson is a privately held clinical-stage medical device company focused on the design, development and clinical evaluation of a novel transcatheter mitral valve replacement (TMVR) implant with a fully transvenous delivery system.</w:t>
      </w:r>
    </w:p>
    <w:p>
      <w:pPr>
        <w:spacing w:after="0" w:line="31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“We recognized the potential of the talented Caisson team and its technology several years ago. This team will now be the cornerstone for our planned entry into the TMVR space, which has the potential to be an important growth platform for us in the future,” said LivaNova’s CEO Damien McDonald. “We intend to invest in the clinical studies, regulatory approvals, product enhancements and other steps needed to launch this mitral valve replacement system commercially. We expect it will become a strategic complement to our heart valve portfolio for heart team physicians, allowing us to offer patients the most advanced, minimally invasive mitral valve replacement option.”</w:t>
      </w:r>
    </w:p>
    <w:p>
      <w:pPr>
        <w:spacing w:after="0" w:line="321"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auto"/>
        </w:rPr>
        <w:t>Caisson’s device is unique, being the only TMVR product designed solely for trans-septal approach and delivered through a single venous access. The system is also designed for the implant to be fully retrieved following functional evaluation, but prior to final release – a safety feature important to physicians.</w:t>
      </w:r>
    </w:p>
    <w:p>
      <w:pPr>
        <w:spacing w:after="0" w:line="314"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“We created this percutaneous mitral valve replacement implant, procedure and delivery system to offer a significant new therapy to patients with severe mitral regurgitation,” said Caisson COO and Co-founder Todd Mortier.</w:t>
      </w:r>
    </w:p>
    <w:p>
      <w:pPr>
        <w:spacing w:after="0" w:line="312"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Caisson initiated its clinical trials through the U.S. FDA Early Feasibility Study program, and will add clinical sites in Europe and Canada.</w:t>
      </w:r>
    </w:p>
    <w:p>
      <w:pPr>
        <w:spacing w:after="0" w:line="312"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“We look forward to joining LivaNova to combine our efforts in bringing a superior technology to market,” added Caisson CEO and Co-founder C.J. Schweich, Jr., M.D.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621" w:right="239" w:bottom="1440" w:gutter="0" w:footer="0" w:header="0"/>
        </w:sectPr>
      </w:pPr>
    </w:p>
    <w:bookmarkStart w:id="5" w:name="page6"/>
    <w:bookmarkEnd w:id="5"/>
    <w:p>
      <w:pPr>
        <w:jc w:val="both"/>
        <w:spacing w:after="0" w:line="367" w:lineRule="auto"/>
        <w:rPr>
          <w:sz w:val="20"/>
          <w:szCs w:val="20"/>
          <w:color w:val="auto"/>
        </w:rPr>
      </w:pPr>
      <w:r>
        <w:rPr>
          <w:rFonts w:ascii="Arial" w:cs="Arial" w:eastAsia="Arial" w:hAnsi="Arial"/>
          <w:sz w:val="20"/>
          <w:szCs w:val="20"/>
          <w:color w:val="auto"/>
        </w:rPr>
        <w:t>LivaNova has been an investor in Caisson since 2012 and has agreed to pay up to $72 million, net of $6 million of debt forgiveness, to acquire the remaining 51 percent of the company. The first payment of $18 million will be made at closing with the balance paid on a schedule driven primarily by regulatory approvals and sales earn outs. As a result of the acquisition, LivaNova expects to recognize a pre-tax non-cash gain during the second quarter on the $15 million book value of its existing investment in Caisson. The acquisition will be dilutive to earnings for several years, but LivaNova fully anticipates this transaction will meet all long-term financial metrics and internal standards. 2017 guidance will be updated to include the estimated impact of the acquisition during LivaNova’s first quarter earnings call tomorrow morning.</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The Caisson TMVR system is not approved for sale in any country.</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48" w:lineRule="exact"/>
        <w:rPr>
          <w:sz w:val="20"/>
          <w:szCs w:val="20"/>
          <w:color w:val="auto"/>
        </w:rPr>
      </w:pPr>
    </w:p>
    <w:p>
      <w:pPr>
        <w:jc w:val="both"/>
        <w:spacing w:after="0" w:line="438"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FF5C39"/>
        </w:rPr>
        <w:t>Safe Harbor Statement</w:t>
      </w:r>
    </w:p>
    <w:p>
      <w:pPr>
        <w:spacing w:after="0" w:line="148" w:lineRule="exact"/>
        <w:rPr>
          <w:sz w:val="20"/>
          <w:szCs w:val="20"/>
          <w:color w:val="auto"/>
        </w:rPr>
      </w:pPr>
    </w:p>
    <w:p>
      <w:pPr>
        <w:jc w:val="both"/>
        <w:spacing w:after="0" w:line="438" w:lineRule="auto"/>
        <w:rPr>
          <w:sz w:val="20"/>
          <w:szCs w:val="20"/>
          <w:color w:val="auto"/>
        </w:rPr>
      </w:pPr>
      <w:r>
        <w:rPr>
          <w:rFonts w:ascii="Arial" w:cs="Arial" w:eastAsia="Arial" w:hAnsi="Arial"/>
          <w:sz w:val="20"/>
          <w:szCs w:val="20"/>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55" w:right="239" w:bottom="1440" w:gutter="0" w:footer="0" w:header="0"/>
        </w:sectPr>
      </w:pPr>
    </w:p>
    <w:bookmarkStart w:id="6" w:name="page7"/>
    <w:bookmarkEnd w:id="6"/>
    <w:p>
      <w:pPr>
        <w:jc w:val="both"/>
        <w:spacing w:after="0" w:line="459" w:lineRule="auto"/>
        <w:rPr>
          <w:sz w:val="20"/>
          <w:szCs w:val="20"/>
          <w:color w:val="auto"/>
        </w:rPr>
      </w:pPr>
      <w:r>
        <w:rPr>
          <w:rFonts w:ascii="Arial" w:cs="Arial" w:eastAsia="Arial" w:hAnsi="Arial"/>
          <w:sz w:val="19"/>
          <w:szCs w:val="19"/>
          <w:color w:val="auto"/>
        </w:rPr>
        <w:t>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entry into the TMVR space, developing Caisson as an important growth platform, investing in the clinical studies, regulatory approvals, product enhancements and other steps needed to launch this mitral valve replacement system commercially, developing Caisson as a strategic addition to the Company’s heart valve portfolio, offering patients the most advanced, minimally invasive mitral valve replacement option, offering a significant new therapy to patients with severe mitral regurgitation, adding clinical study sites for Caisson’s TMVR device in Europe and Canada, bringing a superior technology to market, recognizing a pre-tax non-cash gain during the second quarter on the $15 million book value of its existing investment in Caisson, and anticipating that this transaction will meet all long-term financial metrics and internal standards. Important factors that may cause actual results to differ include, but are not limited to: (i) risks that the legacy businesses of Cyberonics, Inc. and Sorin S.p.A. (together, the “combined companies”) will not be integrated successfully or that the combined companies will not realize estimated cost savings, value of certain tax assets, synergies and growth, or that such benefits may take longer to realize than expected; (ii) the inability of LivaNova to meet expectations regarding the timing, completion and accounting of tax treatments; (iii) risks relating to unanticipated costs of integration, including operating costs, customer loss or business disruption being greater than expected; (iv) organizational and governance structure; (v) reductions in customer spending, a slowdown in customer payments and changes in customer demand for products and services; (vi) unanticipated changes relating to competitive factors in the industries in which LivaNova operates; (vii) the ability to hire and retain key personnel; (viii) the ability to attract new customers and retain existing customers in the manner anticipated; (ix) the reliance on and integration of information technology systems; (x) changes in legislation or governmental regulations affecting LivaNova;</w:t>
      </w:r>
    </w:p>
    <w:p>
      <w:pPr>
        <w:spacing w:after="0" w:line="17" w:lineRule="exact"/>
        <w:rPr>
          <w:sz w:val="20"/>
          <w:szCs w:val="20"/>
          <w:color w:val="auto"/>
        </w:rPr>
      </w:pPr>
    </w:p>
    <w:p>
      <w:pPr>
        <w:ind w:left="5660" w:right="2740" w:hanging="5652"/>
        <w:spacing w:after="0" w:line="824" w:lineRule="auto"/>
        <w:tabs>
          <w:tab w:leader="none" w:pos="339" w:val="left"/>
        </w:tabs>
        <w:numPr>
          <w:ilvl w:val="0"/>
          <w:numId w:val="1"/>
        </w:numPr>
        <w:rPr>
          <w:rFonts w:ascii="Arial" w:cs="Arial" w:eastAsia="Arial" w:hAnsi="Arial"/>
          <w:sz w:val="20"/>
          <w:szCs w:val="20"/>
          <w:color w:val="auto"/>
        </w:rPr>
      </w:pPr>
      <w:r>
        <w:rPr>
          <w:rFonts w:ascii="Arial" w:cs="Arial" w:eastAsia="Arial" w:hAnsi="Arial"/>
          <w:sz w:val="20"/>
          <w:szCs w:val="20"/>
          <w:color w:val="auto"/>
        </w:rPr>
        <w:t>international, national or local economic, social or political conditions that could adversely affect 3</w:t>
      </w:r>
    </w:p>
    <w:p>
      <w:pPr>
        <w:sectPr>
          <w:pgSz w:w="11900" w:h="16838" w:orient="portrait"/>
          <w:cols w:equalWidth="0" w:num="1">
            <w:col w:w="11420"/>
          </w:cols>
          <w:pgMar w:left="240" w:top="474" w:right="239" w:bottom="1440" w:gutter="0" w:footer="0" w:header="0"/>
        </w:sectPr>
      </w:pPr>
    </w:p>
    <w:bookmarkStart w:id="7" w:name="page8"/>
    <w:bookmarkEnd w:id="7"/>
    <w:p>
      <w:pPr>
        <w:jc w:val="both"/>
        <w:spacing w:after="0" w:line="437" w:lineRule="auto"/>
        <w:rPr>
          <w:sz w:val="20"/>
          <w:szCs w:val="20"/>
          <w:color w:val="auto"/>
        </w:rPr>
      </w:pPr>
      <w:r>
        <w:rPr>
          <w:rFonts w:ascii="Arial" w:cs="Arial" w:eastAsia="Arial" w:hAnsi="Arial"/>
          <w:sz w:val="20"/>
          <w:szCs w:val="20"/>
          <w:color w:val="auto"/>
        </w:rPr>
        <w:t>LivaNova, its partners or its customers; (xii) conditions in the credit markets; (xiii) business and other financial risks inherent to the industries in which LivaNova operates; (xiv) risks associated with assumptions made in connection with critical accounting estimates and legal proceedings; (xv) LivaNova’s international operations, which are subject to the risks of currency fluctuations and foreign exchange controls; (xvi) and the potential of international unrest, economic downturn or effects of currencies, tax assessments, tax adjustments, anticipated tax rates, raw material costs or availability, benefit or retirement plan costs, or other regulatory compliance costs. The foregoing list of factors is not exhaustive.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215" w:lineRule="exact"/>
        <w:rPr>
          <w:sz w:val="20"/>
          <w:szCs w:val="20"/>
          <w:color w:val="auto"/>
        </w:rPr>
      </w:pPr>
    </w:p>
    <w:p>
      <w:pPr>
        <w:jc w:val="both"/>
        <w:spacing w:after="0" w:line="438"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474"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 more information, please visit www.livanova.com.</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Karen King, </w:t>
      </w:r>
      <w:r>
        <w:rPr>
          <w:rFonts w:ascii="Arial" w:cs="Arial" w:eastAsia="Arial" w:hAnsi="Arial"/>
          <w:sz w:val="20"/>
          <w:szCs w:val="20"/>
          <w:color w:val="auto"/>
        </w:rPr>
        <w:t>+1 (281) 228-7262</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Corporate External Communications Manager</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Corporate.Communications@livanova.com</w:t>
      </w:r>
    </w:p>
    <w:p>
      <w:pPr>
        <w:spacing w:after="0" w:line="252"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5</w:t>
      </w:r>
    </w:p>
    <w:sectPr>
      <w:pgSz w:w="11900" w:h="16838" w:orient="portrait"/>
      <w:cols w:equalWidth="0" w:num="1">
        <w:col w:w="10219"/>
      </w:cols>
      <w:pgMar w:left="240" w:top="7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2019-12-08T02:35:38Z</dcterms:created>
  <dcterms:modified xsi:type="dcterms:W3CDTF">2019-12-08T02:35:38Z</dcterms:modified>
</cp:coreProperties>
</file>