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2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261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Hebbelinck Trui</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00"/>
        <w:spacing w:after="0"/>
        <w:rPr>
          <w:sz w:val="20"/>
          <w:szCs w:val="20"/>
          <w:color w:val="auto"/>
        </w:rPr>
      </w:pPr>
      <w:r>
        <w:rPr>
          <w:rFonts w:ascii="Arial" w:cs="Arial" w:eastAsia="Arial" w:hAnsi="Arial"/>
          <w:sz w:val="16"/>
          <w:szCs w:val="16"/>
          <w:color w:val="0000FF"/>
        </w:rPr>
        <w:t>Chief Human Resources Officer</w:t>
      </w:r>
    </w:p>
    <w:p>
      <w:pPr>
        <w:spacing w:after="0" w:line="31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8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7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4"/>
              </w:rPr>
              <w:t>3,350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6,584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7"/>
              </w:rPr>
              <w:t>1,575</w:t>
            </w:r>
            <w:r>
              <w:rPr>
                <w:rFonts w:ascii="Arial" w:cs="Arial" w:eastAsia="Arial" w:hAnsi="Arial"/>
                <w:sz w:val="21"/>
                <w:szCs w:val="21"/>
                <w:color w:val="008000"/>
                <w:w w:val="87"/>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47.99</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5,009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4"/>
              </w:rPr>
              <w:t>1,409</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4"/>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6,418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71"/>
              <w:spacing w:after="0"/>
              <w:rPr>
                <w:sz w:val="20"/>
                <w:szCs w:val="20"/>
                <w:color w:val="auto"/>
              </w:rPr>
            </w:pPr>
            <w:r>
              <w:rPr>
                <w:rFonts w:ascii="Arial" w:cs="Arial" w:eastAsia="Arial" w:hAnsi="Arial"/>
                <w:sz w:val="17"/>
                <w:szCs w:val="17"/>
                <w:color w:val="0000FF"/>
                <w:w w:val="91"/>
              </w:rPr>
              <w:t>02/27/2023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79"/>
              </w:rPr>
              <w:t>663</w:t>
            </w:r>
            <w:r>
              <w:rPr>
                <w:rFonts w:ascii="Arial" w:cs="Arial" w:eastAsia="Arial" w:hAnsi="Arial"/>
                <w:sz w:val="21"/>
                <w:szCs w:val="21"/>
                <w:color w:val="008000"/>
                <w:w w:val="79"/>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47.99</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5,755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3"/>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right"/>
              <w:ind w:right="176"/>
              <w:spacing w:after="0"/>
              <w:rPr>
                <w:sz w:val="20"/>
                <w:szCs w:val="20"/>
                <w:color w:val="auto"/>
              </w:rPr>
            </w:pPr>
            <w:r>
              <w:rPr>
                <w:rFonts w:ascii="Arial" w:cs="Arial" w:eastAsia="Arial" w:hAnsi="Arial"/>
                <w:sz w:val="13"/>
                <w:szCs w:val="13"/>
                <w:color w:val="0000FF"/>
              </w:rPr>
              <w:t>02/27/2023</w:t>
            </w:r>
          </w:p>
        </w:tc>
        <w:tc>
          <w:tcPr>
            <w:tcW w:w="110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3,350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33"/>
              <w:spacing w:after="0"/>
              <w:rPr>
                <w:sz w:val="20"/>
                <w:szCs w:val="20"/>
                <w:color w:val="auto"/>
              </w:rPr>
            </w:pPr>
            <w:r>
              <w:rPr>
                <w:rFonts w:ascii="Arial" w:cs="Arial" w:eastAsia="Arial" w:hAnsi="Arial"/>
                <w:sz w:val="11"/>
                <w:szCs w:val="11"/>
                <w:color w:val="008000"/>
              </w:rPr>
              <w:t>(4)</w:t>
            </w:r>
          </w:p>
        </w:tc>
        <w:tc>
          <w:tcPr>
            <w:tcW w:w="62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3,350</w:t>
            </w:r>
          </w:p>
        </w:tc>
        <w:tc>
          <w:tcPr>
            <w:tcW w:w="140" w:type="dxa"/>
            <w:vAlign w:val="bottom"/>
          </w:tcPr>
          <w:p>
            <w:pPr>
              <w:spacing w:after="0"/>
              <w:rPr>
                <w:sz w:val="16"/>
                <w:szCs w:val="1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right"/>
              <w:ind w:right="176"/>
              <w:spacing w:after="0"/>
              <w:rPr>
                <w:sz w:val="20"/>
                <w:szCs w:val="20"/>
                <w:color w:val="auto"/>
              </w:rPr>
            </w:pPr>
            <w:r>
              <w:rPr>
                <w:rFonts w:ascii="Arial" w:cs="Arial" w:eastAsia="Arial" w:hAnsi="Arial"/>
                <w:sz w:val="13"/>
                <w:szCs w:val="13"/>
                <w:color w:val="0000FF"/>
              </w:rPr>
              <w:t>02/27/2023</w:t>
            </w:r>
          </w:p>
        </w:tc>
        <w:tc>
          <w:tcPr>
            <w:tcW w:w="110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1,409</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33"/>
              <w:spacing w:after="0"/>
              <w:rPr>
                <w:sz w:val="20"/>
                <w:szCs w:val="20"/>
                <w:color w:val="auto"/>
              </w:rPr>
            </w:pPr>
            <w:r>
              <w:rPr>
                <w:rFonts w:ascii="Arial" w:cs="Arial" w:eastAsia="Arial" w:hAnsi="Arial"/>
                <w:sz w:val="11"/>
                <w:szCs w:val="11"/>
                <w:color w:val="008000"/>
              </w:rPr>
              <w:t>(6)</w:t>
            </w:r>
          </w:p>
        </w:tc>
        <w:tc>
          <w:tcPr>
            <w:tcW w:w="620" w:type="dxa"/>
            <w:vAlign w:val="bottom"/>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1,409</w:t>
            </w:r>
          </w:p>
        </w:tc>
        <w:tc>
          <w:tcPr>
            <w:tcW w:w="140" w:type="dxa"/>
            <w:vAlign w:val="bottom"/>
          </w:tcPr>
          <w:p>
            <w:pPr>
              <w:spacing w:after="0"/>
              <w:rPr>
                <w:sz w:val="16"/>
                <w:szCs w:val="1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-2263775</wp:posOffset>
            </wp:positionV>
            <wp:extent cx="29210" cy="2268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8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3" w:lineRule="exact"/>
        <w:rPr>
          <w:rFonts w:ascii="Arial" w:cs="Arial" w:eastAsia="Arial" w:hAnsi="Arial"/>
          <w:sz w:val="13"/>
          <w:szCs w:val="13"/>
          <w:color w:val="008000"/>
        </w:rPr>
      </w:pPr>
    </w:p>
    <w:p>
      <w:pPr>
        <w:ind w:left="40" w:right="3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the reporting person was granted 4,590 PSUs that would vest upon the filing of the Company's 2022 Form 10-K for the fiscal year ending December 31, 2022. The vesting of the PSUs depended on the Company's performance against a target of the relative total shareholder return (r-TSR) for fiscal years 2020, 2021, and 2022, compared to our peer companies. The Company's performance achieved a result of 73%, and the actual number of vested shares is presented as the quantity that was acquired.</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jc w:val="both"/>
        <w:ind w:left="40" w:right="3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the reporting person received a grant of 4,590 PSUs which were subject to vesting upon the filing of the Company's 2022 Form 10-K for the fiscal year ending December 31, 2022. The number of PSUs that vested was the result of the Company's performance against a target related to Adjusted Free Cash Flow for fiscal years 2020, 2021, and 2022. The performance achieved was 30.7%, and the actual number of vested shares is presented as the quantity that was acquired.</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60" w:type="dxa"/>
            <w:vAlign w:val="bottom"/>
          </w:tcPr>
          <w:p>
            <w:pPr>
              <w:spacing w:after="0"/>
              <w:rPr>
                <w:sz w:val="20"/>
                <w:szCs w:val="20"/>
                <w:color w:val="auto"/>
              </w:rPr>
            </w:pPr>
            <w:r>
              <w:rPr>
                <w:rFonts w:ascii="Arial" w:cs="Arial" w:eastAsia="Arial" w:hAnsi="Arial"/>
                <w:sz w:val="17"/>
                <w:szCs w:val="17"/>
                <w:color w:val="0000FF"/>
                <w:w w:val="86"/>
              </w:rPr>
              <w:t>03/01/2023</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3" w:lineRule="exact"/>
        <w:rPr>
          <w:sz w:val="20"/>
          <w:szCs w:val="20"/>
          <w:color w:val="auto"/>
        </w:rPr>
      </w:pPr>
    </w:p>
    <w:p>
      <w:pPr>
        <w:ind w:firstLine="619"/>
        <w:spacing w:after="0" w:line="316" w:lineRule="auto"/>
        <w:rPr>
          <w:sz w:val="20"/>
          <w:szCs w:val="20"/>
          <w:color w:val="auto"/>
        </w:rPr>
      </w:pPr>
      <w:r>
        <w:rPr>
          <w:rFonts w:ascii="Arial" w:cs="Arial" w:eastAsia="Arial" w:hAnsi="Arial"/>
          <w:sz w:val="18"/>
          <w:szCs w:val="18"/>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2" w:lineRule="exact"/>
        <w:rPr>
          <w:sz w:val="20"/>
          <w:szCs w:val="20"/>
          <w:color w:val="auto"/>
        </w:rPr>
      </w:pPr>
    </w:p>
    <w:p>
      <w:pPr>
        <w:ind w:left="1240" w:right="40" w:hanging="618"/>
        <w:spacing w:after="0" w:line="32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3" w:lineRule="exact"/>
        <w:rPr>
          <w:rFonts w:ascii="Arial" w:cs="Arial" w:eastAsia="Arial" w:hAnsi="Arial"/>
          <w:sz w:val="18"/>
          <w:szCs w:val="18"/>
          <w:color w:val="auto"/>
        </w:rPr>
      </w:pPr>
    </w:p>
    <w:p>
      <w:pPr>
        <w:ind w:left="1240" w:right="40" w:hanging="618"/>
        <w:spacing w:after="0" w:line="32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3" w:lineRule="exact"/>
        <w:rPr>
          <w:rFonts w:ascii="Arial" w:cs="Arial" w:eastAsia="Arial" w:hAnsi="Arial"/>
          <w:sz w:val="18"/>
          <w:szCs w:val="18"/>
          <w:color w:val="auto"/>
        </w:rPr>
      </w:pPr>
    </w:p>
    <w:p>
      <w:pPr>
        <w:ind w:left="1240" w:right="300" w:hanging="618"/>
        <w:spacing w:after="0" w:line="32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w:t>
      </w:r>
    </w:p>
    <w:p>
      <w:pPr>
        <w:ind w:left="1240" w:right="360"/>
        <w:spacing w:after="0" w:line="371" w:lineRule="auto"/>
        <w:rPr>
          <w:rFonts w:ascii="Arial" w:cs="Arial" w:eastAsia="Arial" w:hAnsi="Arial"/>
          <w:sz w:val="17"/>
          <w:szCs w:val="17"/>
          <w:color w:val="auto"/>
        </w:rPr>
      </w:pPr>
      <w:r>
        <w:rPr>
          <w:rFonts w:ascii="Arial" w:cs="Arial" w:eastAsia="Arial" w:hAnsi="Arial"/>
          <w:sz w:val="17"/>
          <w:szCs w:val="17"/>
          <w:color w:val="auto"/>
        </w:rPr>
        <w:t>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280" w:firstLine="619"/>
        <w:spacing w:after="0" w:line="31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7" w:lineRule="exact"/>
        <w:rPr>
          <w:sz w:val="20"/>
          <w:szCs w:val="20"/>
          <w:color w:val="auto"/>
        </w:rPr>
      </w:pPr>
    </w:p>
    <w:p>
      <w:pPr>
        <w:ind w:right="20" w:firstLine="619"/>
        <w:spacing w:after="0" w:line="28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4" w:lineRule="exact"/>
        <w:rPr>
          <w:sz w:val="20"/>
          <w:szCs w:val="20"/>
          <w:color w:val="auto"/>
        </w:rPr>
      </w:pPr>
    </w:p>
    <w:p>
      <w:pPr>
        <w:ind w:right="20" w:firstLine="619"/>
        <w:spacing w:after="0" w:line="35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9" w:lineRule="exact"/>
        <w:rPr>
          <w:sz w:val="20"/>
          <w:szCs w:val="20"/>
          <w:color w:val="auto"/>
        </w:rPr>
      </w:pPr>
    </w:p>
    <w:p>
      <w:pPr>
        <w:ind w:right="100" w:firstLine="619"/>
        <w:spacing w:after="0" w:line="29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March, 2019.</w:t>
      </w:r>
    </w:p>
    <w:p>
      <w:pPr>
        <w:spacing w:after="0" w:line="200" w:lineRule="exact"/>
        <w:rPr>
          <w:sz w:val="20"/>
          <w:szCs w:val="20"/>
          <w:color w:val="auto"/>
        </w:rPr>
      </w:pP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-12700</wp:posOffset>
            </wp:positionV>
            <wp:extent cx="128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Trui Hebbelinck</w:t>
      </w:r>
    </w:p>
    <w:sectPr>
      <w:pgSz w:w="11900" w:h="16838" w:orient="portrait"/>
      <w:cols w:equalWidth="0" w:num="1">
        <w:col w:w="10960"/>
      </w:cols>
      <w:pgMar w:left="460" w:top="37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2023-03-01T15:58:08Z</dcterms:created>
  <dcterms:modified xsi:type="dcterms:W3CDTF">2023-03-01T15:58:08Z</dcterms:modified>
</cp:coreProperties>
</file>