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6"/>
          <w:szCs w:val="16"/>
          <w:b w:val="1"/>
          <w:bCs w:val="1"/>
          <w:color w:val="auto"/>
        </w:rPr>
        <w:t>UNITED STATES</w:t>
      </w:r>
    </w:p>
    <w:p>
      <w:pPr>
        <w:spacing w:after="0" w:line="73"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SECURITIES AND EXCHANGE COMMISSION</w:t>
      </w:r>
    </w:p>
    <w:p>
      <w:pPr>
        <w:spacing w:after="0" w:line="73"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WASHINGTON, D.C. 20549</w:t>
      </w:r>
    </w:p>
    <w:p>
      <w:pPr>
        <w:spacing w:after="0" w:line="172"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SCHEDULE 14A</w:t>
      </w:r>
    </w:p>
    <w:p>
      <w:pPr>
        <w:spacing w:after="0" w:line="22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Exchange Act of 1934</w:t>
      </w:r>
    </w:p>
    <w:p>
      <w:pPr>
        <w:spacing w:after="0" w:line="166" w:lineRule="exact"/>
        <w:rPr>
          <w:sz w:val="24"/>
          <w:szCs w:val="24"/>
          <w:color w:val="auto"/>
        </w:rPr>
      </w:pPr>
    </w:p>
    <w:p>
      <w:pPr>
        <w:ind w:left="1400"/>
        <w:spacing w:after="0"/>
        <w:rPr>
          <w:sz w:val="20"/>
          <w:szCs w:val="20"/>
          <w:color w:val="auto"/>
        </w:rPr>
      </w:pPr>
      <w:r>
        <w:rPr>
          <w:sz w:val="1"/>
          <w:szCs w:val="1"/>
          <w:color w:val="auto"/>
        </w:rPr>
        <w:drawing>
          <wp:inline distT="0" distB="0" distL="0" distR="0">
            <wp:extent cx="180340" cy="1803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340" cy="180340"/>
                    </a:xfrm>
                    <a:prstGeom prst="rect">
                      <a:avLst/>
                    </a:prstGeom>
                    <a:noFill/>
                    <a:ln>
                      <a:noFill/>
                    </a:ln>
                  </pic:spPr>
                </pic:pic>
              </a:graphicData>
            </a:graphic>
          </wp:inline>
        </w:drawing>
      </w:r>
      <w:r>
        <w:rPr>
          <w:rFonts w:ascii="Arial" w:cs="Arial" w:eastAsia="Arial" w:hAnsi="Arial"/>
          <w:sz w:val="16"/>
          <w:szCs w:val="16"/>
          <w:color w:val="auto"/>
        </w:rPr>
        <w:t xml:space="preserve"> Filed by the Registrant                                 </w:t>
      </w:r>
      <w:r>
        <w:rPr>
          <w:sz w:val="1"/>
          <w:szCs w:val="1"/>
          <w:color w:val="auto"/>
        </w:rPr>
        <w:drawing>
          <wp:inline distT="0" distB="0" distL="0" distR="0">
            <wp:extent cx="180340" cy="1803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340" cy="180340"/>
                    </a:xfrm>
                    <a:prstGeom prst="rect">
                      <a:avLst/>
                    </a:prstGeom>
                    <a:noFill/>
                    <a:ln>
                      <a:noFill/>
                    </a:ln>
                  </pic:spPr>
                </pic:pic>
              </a:graphicData>
            </a:graphic>
          </wp:inline>
        </w:drawing>
      </w:r>
      <w:r>
        <w:rPr>
          <w:rFonts w:ascii="Arial" w:cs="Arial" w:eastAsia="Arial" w:hAnsi="Arial"/>
          <w:sz w:val="16"/>
          <w:szCs w:val="16"/>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123825</wp:posOffset>
            </wp:positionV>
            <wp:extent cx="7169150" cy="1389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9150" cy="1389380"/>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23" w:lineRule="exact"/>
        <w:rPr>
          <w:sz w:val="24"/>
          <w:szCs w:val="24"/>
          <w:color w:val="auto"/>
        </w:rPr>
      </w:pPr>
    </w:p>
    <w:p>
      <w:pPr>
        <w:ind w:left="680"/>
        <w:spacing w:after="0"/>
        <w:rPr>
          <w:sz w:val="20"/>
          <w:szCs w:val="20"/>
          <w:color w:val="auto"/>
        </w:rPr>
      </w:pPr>
      <w:r>
        <w:rPr>
          <w:rFonts w:ascii="Arial" w:cs="Arial" w:eastAsia="Arial" w:hAnsi="Arial"/>
          <w:sz w:val="16"/>
          <w:szCs w:val="16"/>
          <w:color w:val="auto"/>
        </w:rPr>
        <w:t>Preliminary Proxy Statement</w:t>
      </w:r>
    </w:p>
    <w:p>
      <w:pPr>
        <w:spacing w:after="0" w:line="174"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Confidential, for Use of the Commission Only (as permitted by Rule 14a-6(e)(2))</w:t>
      </w:r>
    </w:p>
    <w:p>
      <w:pPr>
        <w:spacing w:after="0" w:line="214" w:lineRule="exact"/>
        <w:rPr>
          <w:sz w:val="24"/>
          <w:szCs w:val="24"/>
          <w:color w:val="auto"/>
        </w:rPr>
      </w:pPr>
    </w:p>
    <w:p>
      <w:pPr>
        <w:ind w:left="680"/>
        <w:spacing w:after="0"/>
        <w:rPr>
          <w:sz w:val="20"/>
          <w:szCs w:val="20"/>
          <w:color w:val="auto"/>
        </w:rPr>
      </w:pPr>
      <w:r>
        <w:rPr>
          <w:rFonts w:ascii="Arial" w:cs="Arial" w:eastAsia="Arial" w:hAnsi="Arial"/>
          <w:sz w:val="16"/>
          <w:szCs w:val="16"/>
          <w:color w:val="auto"/>
        </w:rPr>
        <w:t>Definitive Proxy Statement</w:t>
      </w:r>
    </w:p>
    <w:p>
      <w:pPr>
        <w:spacing w:after="0" w:line="194" w:lineRule="exact"/>
        <w:rPr>
          <w:sz w:val="24"/>
          <w:szCs w:val="24"/>
          <w:color w:val="auto"/>
        </w:rPr>
      </w:pPr>
    </w:p>
    <w:p>
      <w:pPr>
        <w:ind w:left="680"/>
        <w:spacing w:after="0"/>
        <w:rPr>
          <w:sz w:val="20"/>
          <w:szCs w:val="20"/>
          <w:color w:val="auto"/>
        </w:rPr>
      </w:pPr>
      <w:r>
        <w:rPr>
          <w:rFonts w:ascii="Arial" w:cs="Arial" w:eastAsia="Arial" w:hAnsi="Arial"/>
          <w:sz w:val="16"/>
          <w:szCs w:val="16"/>
          <w:color w:val="auto"/>
        </w:rPr>
        <w:t>Definitive Additional Materials</w:t>
      </w:r>
    </w:p>
    <w:p>
      <w:pPr>
        <w:spacing w:after="0" w:line="194" w:lineRule="exact"/>
        <w:rPr>
          <w:sz w:val="24"/>
          <w:szCs w:val="24"/>
          <w:color w:val="auto"/>
        </w:rPr>
      </w:pPr>
    </w:p>
    <w:p>
      <w:pPr>
        <w:ind w:left="680"/>
        <w:spacing w:after="0"/>
        <w:rPr>
          <w:sz w:val="20"/>
          <w:szCs w:val="20"/>
          <w:color w:val="auto"/>
        </w:rPr>
      </w:pPr>
      <w:r>
        <w:rPr>
          <w:rFonts w:ascii="Arial" w:cs="Arial" w:eastAsia="Arial" w:hAnsi="Arial"/>
          <w:sz w:val="16"/>
          <w:szCs w:val="16"/>
          <w:color w:val="auto"/>
        </w:rPr>
        <w:t>Soliciting Material under §240.14a-12</w:t>
      </w:r>
    </w:p>
    <w:p>
      <w:pPr>
        <w:spacing w:after="0" w:line="17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6F2875"/>
        </w:rPr>
        <w:t>LivaNova Plc</w:t>
      </w:r>
    </w:p>
    <w:p>
      <w:pPr>
        <w:spacing w:after="0" w:line="127" w:lineRule="exact"/>
        <w:rPr>
          <w:sz w:val="24"/>
          <w:szCs w:val="24"/>
          <w:color w:val="auto"/>
        </w:rPr>
      </w:pPr>
    </w:p>
    <w:p>
      <w:pPr>
        <w:ind w:left="3880"/>
        <w:spacing w:after="0"/>
        <w:rPr>
          <w:sz w:val="20"/>
          <w:szCs w:val="20"/>
          <w:color w:val="auto"/>
        </w:rPr>
      </w:pPr>
      <w:r>
        <w:rPr>
          <w:rFonts w:ascii="Arial" w:cs="Arial" w:eastAsia="Arial" w:hAnsi="Arial"/>
          <w:sz w:val="16"/>
          <w:szCs w:val="16"/>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114935</wp:posOffset>
            </wp:positionV>
            <wp:extent cx="7169150" cy="2504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150" cy="2504440"/>
                    </a:xfrm>
                    <a:prstGeom prst="rect">
                      <a:avLst/>
                    </a:prstGeom>
                    <a:noFill/>
                  </pic:spPr>
                </pic:pic>
              </a:graphicData>
            </a:graphic>
          </wp:anchor>
        </w:drawing>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189"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No fee required.</w:t>
      </w:r>
    </w:p>
    <w:p>
      <w:pPr>
        <w:spacing w:after="0" w:line="167"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Fee computed on table below per Exchange Act Rules 14a-6(i)(1) and 0-11.</w:t>
      </w:r>
    </w:p>
    <w:p>
      <w:pPr>
        <w:spacing w:after="0" w:line="93" w:lineRule="exact"/>
        <w:rPr>
          <w:sz w:val="24"/>
          <w:szCs w:val="24"/>
          <w:color w:val="auto"/>
        </w:rPr>
      </w:pPr>
    </w:p>
    <w:p>
      <w:pPr>
        <w:ind w:left="920" w:hanging="240"/>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5" w:lineRule="exact"/>
        <w:rPr>
          <w:rFonts w:ascii="Arial" w:cs="Arial" w:eastAsia="Arial" w:hAnsi="Arial"/>
          <w:sz w:val="16"/>
          <w:szCs w:val="16"/>
          <w:color w:val="auto"/>
        </w:rPr>
      </w:pPr>
    </w:p>
    <w:p>
      <w:pPr>
        <w:ind w:left="920" w:hanging="240"/>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18" w:lineRule="exact"/>
        <w:rPr>
          <w:rFonts w:ascii="Arial" w:cs="Arial" w:eastAsia="Arial" w:hAnsi="Arial"/>
          <w:sz w:val="16"/>
          <w:szCs w:val="16"/>
          <w:color w:val="auto"/>
        </w:rPr>
      </w:pPr>
    </w:p>
    <w:p>
      <w:pPr>
        <w:ind w:left="920" w:right="2880" w:hanging="240"/>
        <w:spacing w:after="0" w:line="246" w:lineRule="auto"/>
        <w:tabs>
          <w:tab w:leader="none" w:pos="929" w:val="left"/>
        </w:tabs>
        <w:numPr>
          <w:ilvl w:val="0"/>
          <w:numId w:val="1"/>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ind w:left="920" w:hanging="240"/>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18" w:lineRule="exact"/>
        <w:rPr>
          <w:rFonts w:ascii="Arial" w:cs="Arial" w:eastAsia="Arial" w:hAnsi="Arial"/>
          <w:sz w:val="16"/>
          <w:szCs w:val="16"/>
          <w:color w:val="auto"/>
        </w:rPr>
      </w:pPr>
    </w:p>
    <w:p>
      <w:pPr>
        <w:ind w:left="920" w:hanging="240"/>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88"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Fee paid previously with preliminary materials.</w:t>
      </w:r>
    </w:p>
    <w:p>
      <w:pPr>
        <w:spacing w:after="0" w:line="73" w:lineRule="exact"/>
        <w:rPr>
          <w:sz w:val="24"/>
          <w:szCs w:val="24"/>
          <w:color w:val="auto"/>
        </w:rPr>
      </w:pPr>
    </w:p>
    <w:p>
      <w:pPr>
        <w:ind w:left="680"/>
        <w:spacing w:after="0" w:line="286" w:lineRule="auto"/>
        <w:rPr>
          <w:sz w:val="20"/>
          <w:szCs w:val="20"/>
          <w:color w:val="auto"/>
        </w:rPr>
      </w:pPr>
      <w:r>
        <w:rPr>
          <w:rFonts w:ascii="Arial" w:cs="Arial" w:eastAsia="Arial" w:hAnsi="Arial"/>
          <w:sz w:val="16"/>
          <w:szCs w:val="16"/>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7" w:lineRule="exact"/>
        <w:rPr>
          <w:sz w:val="24"/>
          <w:szCs w:val="24"/>
          <w:color w:val="auto"/>
        </w:rPr>
      </w:pPr>
    </w:p>
    <w:p>
      <w:pPr>
        <w:ind w:left="920" w:hanging="240"/>
        <w:spacing w:after="0"/>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5" w:lineRule="exact"/>
        <w:rPr>
          <w:rFonts w:ascii="Arial" w:cs="Arial" w:eastAsia="Arial" w:hAnsi="Arial"/>
          <w:sz w:val="16"/>
          <w:szCs w:val="16"/>
          <w:color w:val="auto"/>
        </w:rPr>
      </w:pPr>
    </w:p>
    <w:p>
      <w:pPr>
        <w:ind w:left="920" w:hanging="240"/>
        <w:spacing w:after="0"/>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18" w:lineRule="exact"/>
        <w:rPr>
          <w:rFonts w:ascii="Arial" w:cs="Arial" w:eastAsia="Arial" w:hAnsi="Arial"/>
          <w:sz w:val="16"/>
          <w:szCs w:val="16"/>
          <w:color w:val="auto"/>
        </w:rPr>
      </w:pPr>
    </w:p>
    <w:p>
      <w:pPr>
        <w:ind w:left="920" w:hanging="240"/>
        <w:spacing w:after="0"/>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18" w:lineRule="exact"/>
        <w:rPr>
          <w:rFonts w:ascii="Arial" w:cs="Arial" w:eastAsia="Arial" w:hAnsi="Arial"/>
          <w:sz w:val="16"/>
          <w:szCs w:val="16"/>
          <w:color w:val="auto"/>
        </w:rPr>
      </w:pPr>
    </w:p>
    <w:p>
      <w:pPr>
        <w:ind w:left="920" w:hanging="240"/>
        <w:spacing w:after="0"/>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173355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00"/>
          </w:cols>
          <w:pgMar w:left="360" w:top="229" w:right="539" w:bottom="1440" w:gutter="0" w:footer="0" w:header="0"/>
        </w:sectPr>
      </w:pPr>
    </w:p>
    <w:bookmarkStart w:id="1" w:name="page2"/>
    <w:bookmarkEnd w:id="1"/>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688975</wp:posOffset>
            </wp:positionH>
            <wp:positionV relativeFrom="page">
              <wp:posOffset>269240</wp:posOffset>
            </wp:positionV>
            <wp:extent cx="6191885" cy="8103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103870"/>
                    </a:xfrm>
                    <a:prstGeom prst="rect">
                      <a:avLst/>
                    </a:prstGeom>
                    <a:noFill/>
                  </pic:spPr>
                </pic:pic>
              </a:graphicData>
            </a:graphic>
          </wp:anchor>
        </w:drawing>
      </w:r>
    </w:p>
    <w:p>
      <w:pPr>
        <w:ind w:left="6000"/>
        <w:spacing w:after="0"/>
        <w:rPr>
          <w:sz w:val="20"/>
          <w:szCs w:val="20"/>
          <w:color w:val="auto"/>
        </w:rPr>
      </w:pPr>
      <w:r>
        <w:rPr>
          <w:rFonts w:ascii="Arial" w:cs="Arial" w:eastAsia="Arial" w:hAnsi="Arial"/>
          <w:sz w:val="28"/>
          <w:szCs w:val="28"/>
          <w:color w:val="FFFFFF"/>
        </w:rPr>
        <w:t>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7370445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rPr>
          <w:sz w:val="20"/>
          <w:szCs w:val="20"/>
          <w:color w:val="auto"/>
        </w:rPr>
      </w:pPr>
      <w:r>
        <w:rPr>
          <w:rFonts w:ascii="Arial" w:cs="Arial" w:eastAsia="Arial" w:hAnsi="Arial"/>
          <w:sz w:val="40"/>
          <w:szCs w:val="40"/>
          <w:b w:val="1"/>
          <w:bCs w:val="1"/>
          <w:color w:val="6F2875"/>
        </w:rPr>
        <w:t>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27305</wp:posOffset>
            </wp:positionV>
            <wp:extent cx="66033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29"/>
          <w:szCs w:val="29"/>
          <w:b w:val="1"/>
          <w:bCs w:val="1"/>
          <w:color w:val="818285"/>
        </w:rPr>
        <w:t>of Contents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1080" w:type="dxa"/>
            <w:vAlign w:val="bottom"/>
            <w:gridSpan w:val="4"/>
          </w:tcPr>
          <w:p>
            <w:pPr>
              <w:spacing w:after="0"/>
              <w:rPr>
                <w:rFonts w:ascii="Arial" w:cs="Arial" w:eastAsia="Arial" w:hAnsi="Arial"/>
                <w:sz w:val="18"/>
                <w:szCs w:val="18"/>
                <w:b w:val="1"/>
                <w:bCs w:val="1"/>
                <w:color w:val="6F2875"/>
              </w:rPr>
            </w:pPr>
            <w:hyperlink w:anchor="page8">
              <w:r>
                <w:rPr>
                  <w:rFonts w:ascii="Arial" w:cs="Arial" w:eastAsia="Arial" w:hAnsi="Arial"/>
                  <w:sz w:val="18"/>
                  <w:szCs w:val="18"/>
                  <w:b w:val="1"/>
                  <w:bCs w:val="1"/>
                  <w:color w:val="6F2875"/>
                </w:rPr>
                <w:t xml:space="preserve">Proposal 1  </w:t>
              </w:r>
              <w:r>
                <w:rPr>
                  <w:rFonts w:ascii="Arial" w:cs="Arial" w:eastAsia="Arial" w:hAnsi="Arial"/>
                  <w:sz w:val="18"/>
                  <w:szCs w:val="18"/>
                  <w:b w:val="1"/>
                  <w:bCs w:val="1"/>
                  <w:color w:val="818285"/>
                </w:rPr>
                <w:t>Election of Directors</w:t>
              </w:r>
            </w:hyperlink>
          </w:p>
        </w:tc>
        <w:tc>
          <w:tcPr>
            <w:tcW w:w="340" w:type="dxa"/>
            <w:vAlign w:val="bottom"/>
          </w:tcPr>
          <w:p>
            <w:pPr>
              <w:jc w:val="right"/>
              <w:spacing w:after="0"/>
              <w:rPr>
                <w:rFonts w:ascii="Arial" w:cs="Arial" w:eastAsia="Arial" w:hAnsi="Arial"/>
                <w:sz w:val="18"/>
                <w:szCs w:val="18"/>
                <w:b w:val="1"/>
                <w:bCs w:val="1"/>
                <w:color w:val="231F20"/>
              </w:rPr>
            </w:pPr>
            <w:hyperlink w:anchor="page8">
              <w:r>
                <w:rPr>
                  <w:rFonts w:ascii="Arial" w:cs="Arial" w:eastAsia="Arial" w:hAnsi="Arial"/>
                  <w:sz w:val="18"/>
                  <w:szCs w:val="18"/>
                  <w:b w:val="1"/>
                  <w:bCs w:val="1"/>
                  <w:color w:val="231F20"/>
                </w:rPr>
                <w:t>5</w:t>
              </w:r>
            </w:hyperlink>
          </w:p>
        </w:tc>
        <w:tc>
          <w:tcPr>
            <w:tcW w:w="0" w:type="dxa"/>
            <w:vAlign w:val="bottom"/>
          </w:tcPr>
          <w:p>
            <w:pPr>
              <w:spacing w:after="0"/>
              <w:rPr>
                <w:sz w:val="1"/>
                <w:szCs w:val="1"/>
                <w:color w:val="auto"/>
              </w:rPr>
            </w:pPr>
          </w:p>
        </w:tc>
      </w:tr>
      <w:tr>
        <w:trPr>
          <w:trHeight w:val="217"/>
        </w:trPr>
        <w:tc>
          <w:tcPr>
            <w:tcW w:w="11080" w:type="dxa"/>
            <w:vAlign w:val="bottom"/>
            <w:gridSpan w:val="4"/>
          </w:tcPr>
          <w:p>
            <w:pPr>
              <w:ind w:left="180"/>
              <w:spacing w:after="0"/>
              <w:rPr>
                <w:rFonts w:ascii="Arial" w:cs="Arial" w:eastAsia="Arial" w:hAnsi="Arial"/>
                <w:sz w:val="18"/>
                <w:szCs w:val="18"/>
                <w:color w:val="231F20"/>
              </w:rPr>
            </w:pPr>
            <w:hyperlink w:anchor="page9">
              <w:r>
                <w:rPr>
                  <w:rFonts w:ascii="Arial" w:cs="Arial" w:eastAsia="Arial" w:hAnsi="Arial"/>
                  <w:sz w:val="18"/>
                  <w:szCs w:val="18"/>
                  <w:color w:val="231F20"/>
                </w:rPr>
                <w:t>The Board of Directors</w:t>
              </w:r>
            </w:hyperlink>
          </w:p>
        </w:tc>
        <w:tc>
          <w:tcPr>
            <w:tcW w:w="340" w:type="dxa"/>
            <w:vAlign w:val="bottom"/>
          </w:tcPr>
          <w:p>
            <w:pPr>
              <w:jc w:val="right"/>
              <w:spacing w:after="0"/>
              <w:rPr>
                <w:rFonts w:ascii="Arial" w:cs="Arial" w:eastAsia="Arial" w:hAnsi="Arial"/>
                <w:sz w:val="18"/>
                <w:szCs w:val="18"/>
                <w:color w:val="231F20"/>
              </w:rPr>
            </w:pPr>
            <w:hyperlink w:anchor="page9">
              <w:r>
                <w:rPr>
                  <w:rFonts w:ascii="Arial" w:cs="Arial" w:eastAsia="Arial" w:hAnsi="Arial"/>
                  <w:sz w:val="18"/>
                  <w:szCs w:val="18"/>
                  <w:color w:val="231F20"/>
                </w:rPr>
                <w:t>6</w:t>
              </w:r>
            </w:hyperlink>
          </w:p>
        </w:tc>
        <w:tc>
          <w:tcPr>
            <w:tcW w:w="0" w:type="dxa"/>
            <w:vAlign w:val="bottom"/>
          </w:tcPr>
          <w:p>
            <w:pPr>
              <w:spacing w:after="0"/>
              <w:rPr>
                <w:sz w:val="1"/>
                <w:szCs w:val="1"/>
                <w:color w:val="auto"/>
              </w:rPr>
            </w:pPr>
          </w:p>
        </w:tc>
      </w:tr>
      <w:tr>
        <w:trPr>
          <w:trHeight w:val="391"/>
        </w:trPr>
        <w:tc>
          <w:tcPr>
            <w:tcW w:w="11080" w:type="dxa"/>
            <w:vAlign w:val="bottom"/>
            <w:gridSpan w:val="4"/>
          </w:tcPr>
          <w:p>
            <w:pPr>
              <w:spacing w:after="0"/>
              <w:rPr>
                <w:rFonts w:ascii="Arial" w:cs="Arial" w:eastAsia="Arial" w:hAnsi="Arial"/>
                <w:sz w:val="18"/>
                <w:szCs w:val="18"/>
                <w:b w:val="1"/>
                <w:bCs w:val="1"/>
                <w:color w:val="6F2875"/>
              </w:rPr>
            </w:pPr>
            <w:hyperlink w:anchor="page16">
              <w:r>
                <w:rPr>
                  <w:rFonts w:ascii="Arial" w:cs="Arial" w:eastAsia="Arial" w:hAnsi="Arial"/>
                  <w:sz w:val="18"/>
                  <w:szCs w:val="18"/>
                  <w:b w:val="1"/>
                  <w:bCs w:val="1"/>
                  <w:color w:val="6F2875"/>
                </w:rPr>
                <w:t>Corporate Governance</w:t>
              </w:r>
            </w:hyperlink>
          </w:p>
        </w:tc>
        <w:tc>
          <w:tcPr>
            <w:tcW w:w="340" w:type="dxa"/>
            <w:vAlign w:val="bottom"/>
          </w:tcPr>
          <w:p>
            <w:pPr>
              <w:jc w:val="right"/>
              <w:spacing w:after="0"/>
              <w:rPr>
                <w:rFonts w:ascii="Arial" w:cs="Arial" w:eastAsia="Arial" w:hAnsi="Arial"/>
                <w:sz w:val="18"/>
                <w:szCs w:val="18"/>
                <w:b w:val="1"/>
                <w:bCs w:val="1"/>
                <w:color w:val="231F20"/>
              </w:rPr>
            </w:pPr>
            <w:hyperlink w:anchor="page16">
              <w:r>
                <w:rPr>
                  <w:rFonts w:ascii="Arial" w:cs="Arial" w:eastAsia="Arial" w:hAnsi="Arial"/>
                  <w:sz w:val="18"/>
                  <w:szCs w:val="18"/>
                  <w:b w:val="1"/>
                  <w:bCs w:val="1"/>
                  <w:color w:val="231F20"/>
                </w:rPr>
                <w:t>13</w:t>
              </w:r>
            </w:hyperlink>
          </w:p>
        </w:tc>
        <w:tc>
          <w:tcPr>
            <w:tcW w:w="0" w:type="dxa"/>
            <w:vAlign w:val="bottom"/>
          </w:tcPr>
          <w:p>
            <w:pPr>
              <w:spacing w:after="0"/>
              <w:rPr>
                <w:sz w:val="1"/>
                <w:szCs w:val="1"/>
                <w:color w:val="auto"/>
              </w:rPr>
            </w:pPr>
          </w:p>
        </w:tc>
      </w:tr>
      <w:tr>
        <w:trPr>
          <w:trHeight w:val="203"/>
        </w:trPr>
        <w:tc>
          <w:tcPr>
            <w:tcW w:w="11080" w:type="dxa"/>
            <w:vAlign w:val="bottom"/>
            <w:gridSpan w:val="4"/>
          </w:tcPr>
          <w:p>
            <w:pPr>
              <w:ind w:left="180"/>
              <w:spacing w:after="0" w:line="202" w:lineRule="exact"/>
              <w:rPr>
                <w:rFonts w:ascii="Arial" w:cs="Arial" w:eastAsia="Arial" w:hAnsi="Arial"/>
                <w:sz w:val="18"/>
                <w:szCs w:val="18"/>
                <w:color w:val="231F20"/>
              </w:rPr>
            </w:pPr>
            <w:hyperlink w:anchor="page16">
              <w:r>
                <w:rPr>
                  <w:rFonts w:ascii="Arial" w:cs="Arial" w:eastAsia="Arial" w:hAnsi="Arial"/>
                  <w:sz w:val="18"/>
                  <w:szCs w:val="18"/>
                  <w:color w:val="231F20"/>
                </w:rPr>
                <w:t>Director Independence</w:t>
              </w:r>
            </w:hyperlink>
          </w:p>
        </w:tc>
        <w:tc>
          <w:tcPr>
            <w:tcW w:w="340" w:type="dxa"/>
            <w:vAlign w:val="bottom"/>
          </w:tcPr>
          <w:p>
            <w:pPr>
              <w:jc w:val="right"/>
              <w:spacing w:after="0" w:line="202" w:lineRule="exact"/>
              <w:rPr>
                <w:rFonts w:ascii="Arial" w:cs="Arial" w:eastAsia="Arial" w:hAnsi="Arial"/>
                <w:sz w:val="18"/>
                <w:szCs w:val="18"/>
                <w:color w:val="231F20"/>
              </w:rPr>
            </w:pPr>
            <w:hyperlink w:anchor="page16">
              <w:r>
                <w:rPr>
                  <w:rFonts w:ascii="Arial" w:cs="Arial" w:eastAsia="Arial" w:hAnsi="Arial"/>
                  <w:sz w:val="18"/>
                  <w:szCs w:val="18"/>
                  <w:color w:val="231F20"/>
                </w:rPr>
                <w:t>13</w:t>
              </w:r>
            </w:hyperlink>
          </w:p>
        </w:tc>
        <w:tc>
          <w:tcPr>
            <w:tcW w:w="0" w:type="dxa"/>
            <w:vAlign w:val="bottom"/>
          </w:tcPr>
          <w:p>
            <w:pPr>
              <w:spacing w:after="0"/>
              <w:rPr>
                <w:sz w:val="1"/>
                <w:szCs w:val="1"/>
                <w:color w:val="auto"/>
              </w:rPr>
            </w:pPr>
          </w:p>
        </w:tc>
      </w:tr>
      <w:tr>
        <w:trPr>
          <w:trHeight w:val="203"/>
        </w:trPr>
        <w:tc>
          <w:tcPr>
            <w:tcW w:w="11080" w:type="dxa"/>
            <w:vAlign w:val="bottom"/>
            <w:gridSpan w:val="4"/>
          </w:tcPr>
          <w:p>
            <w:pPr>
              <w:ind w:left="180"/>
              <w:spacing w:after="0" w:line="202" w:lineRule="exact"/>
              <w:rPr>
                <w:rFonts w:ascii="Arial" w:cs="Arial" w:eastAsia="Arial" w:hAnsi="Arial"/>
                <w:sz w:val="18"/>
                <w:szCs w:val="18"/>
                <w:color w:val="231F20"/>
              </w:rPr>
            </w:pPr>
            <w:hyperlink w:anchor="page17">
              <w:r>
                <w:rPr>
                  <w:rFonts w:ascii="Arial" w:cs="Arial" w:eastAsia="Arial" w:hAnsi="Arial"/>
                  <w:sz w:val="18"/>
                  <w:szCs w:val="18"/>
                  <w:color w:val="231F20"/>
                </w:rPr>
                <w:t>Board Leadership Structure</w:t>
              </w:r>
            </w:hyperlink>
          </w:p>
        </w:tc>
        <w:tc>
          <w:tcPr>
            <w:tcW w:w="340" w:type="dxa"/>
            <w:vAlign w:val="bottom"/>
          </w:tcPr>
          <w:p>
            <w:pPr>
              <w:jc w:val="right"/>
              <w:spacing w:after="0" w:line="202" w:lineRule="exact"/>
              <w:rPr>
                <w:rFonts w:ascii="Arial" w:cs="Arial" w:eastAsia="Arial" w:hAnsi="Arial"/>
                <w:sz w:val="18"/>
                <w:szCs w:val="18"/>
                <w:color w:val="231F20"/>
              </w:rPr>
            </w:pPr>
            <w:hyperlink w:anchor="page17">
              <w:r>
                <w:rPr>
                  <w:rFonts w:ascii="Arial" w:cs="Arial" w:eastAsia="Arial" w:hAnsi="Arial"/>
                  <w:sz w:val="18"/>
                  <w:szCs w:val="18"/>
                  <w:color w:val="231F20"/>
                </w:rPr>
                <w:t>14</w:t>
              </w:r>
            </w:hyperlink>
          </w:p>
        </w:tc>
        <w:tc>
          <w:tcPr>
            <w:tcW w:w="0" w:type="dxa"/>
            <w:vAlign w:val="bottom"/>
          </w:tcPr>
          <w:p>
            <w:pPr>
              <w:spacing w:after="0"/>
              <w:rPr>
                <w:sz w:val="1"/>
                <w:szCs w:val="1"/>
                <w:color w:val="auto"/>
              </w:rPr>
            </w:pPr>
          </w:p>
        </w:tc>
      </w:tr>
      <w:tr>
        <w:trPr>
          <w:trHeight w:val="203"/>
        </w:trPr>
        <w:tc>
          <w:tcPr>
            <w:tcW w:w="11080" w:type="dxa"/>
            <w:vAlign w:val="bottom"/>
            <w:gridSpan w:val="4"/>
          </w:tcPr>
          <w:p>
            <w:pPr>
              <w:ind w:left="180"/>
              <w:spacing w:after="0" w:line="202" w:lineRule="exact"/>
              <w:rPr>
                <w:rFonts w:ascii="Arial" w:cs="Arial" w:eastAsia="Arial" w:hAnsi="Arial"/>
                <w:sz w:val="18"/>
                <w:szCs w:val="18"/>
                <w:color w:val="231F20"/>
              </w:rPr>
            </w:pPr>
            <w:hyperlink w:anchor="page17">
              <w:r>
                <w:rPr>
                  <w:rFonts w:ascii="Arial" w:cs="Arial" w:eastAsia="Arial" w:hAnsi="Arial"/>
                  <w:sz w:val="18"/>
                  <w:szCs w:val="18"/>
                  <w:color w:val="231F20"/>
                </w:rPr>
                <w:t>Board Role in Risk Management</w:t>
              </w:r>
            </w:hyperlink>
          </w:p>
        </w:tc>
        <w:tc>
          <w:tcPr>
            <w:tcW w:w="340" w:type="dxa"/>
            <w:vAlign w:val="bottom"/>
          </w:tcPr>
          <w:p>
            <w:pPr>
              <w:jc w:val="right"/>
              <w:spacing w:after="0" w:line="202" w:lineRule="exact"/>
              <w:rPr>
                <w:rFonts w:ascii="Arial" w:cs="Arial" w:eastAsia="Arial" w:hAnsi="Arial"/>
                <w:sz w:val="18"/>
                <w:szCs w:val="18"/>
                <w:color w:val="231F20"/>
              </w:rPr>
            </w:pPr>
            <w:hyperlink w:anchor="page17">
              <w:r>
                <w:rPr>
                  <w:rFonts w:ascii="Arial" w:cs="Arial" w:eastAsia="Arial" w:hAnsi="Arial"/>
                  <w:sz w:val="18"/>
                  <w:szCs w:val="18"/>
                  <w:color w:val="231F20"/>
                </w:rPr>
                <w:t>14</w:t>
              </w:r>
            </w:hyperlink>
          </w:p>
        </w:tc>
        <w:tc>
          <w:tcPr>
            <w:tcW w:w="0" w:type="dxa"/>
            <w:vAlign w:val="bottom"/>
          </w:tcPr>
          <w:p>
            <w:pPr>
              <w:spacing w:after="0"/>
              <w:rPr>
                <w:sz w:val="1"/>
                <w:szCs w:val="1"/>
                <w:color w:val="auto"/>
              </w:rPr>
            </w:pPr>
          </w:p>
        </w:tc>
      </w:tr>
      <w:tr>
        <w:trPr>
          <w:trHeight w:val="203"/>
        </w:trPr>
        <w:tc>
          <w:tcPr>
            <w:tcW w:w="11080" w:type="dxa"/>
            <w:vAlign w:val="bottom"/>
            <w:gridSpan w:val="4"/>
          </w:tcPr>
          <w:p>
            <w:pPr>
              <w:ind w:left="180"/>
              <w:spacing w:after="0" w:line="202" w:lineRule="exact"/>
              <w:rPr>
                <w:rFonts w:ascii="Arial" w:cs="Arial" w:eastAsia="Arial" w:hAnsi="Arial"/>
                <w:sz w:val="18"/>
                <w:szCs w:val="18"/>
                <w:color w:val="231F20"/>
              </w:rPr>
            </w:pPr>
            <w:hyperlink w:anchor="page18">
              <w:r>
                <w:rPr>
                  <w:rFonts w:ascii="Arial" w:cs="Arial" w:eastAsia="Arial" w:hAnsi="Arial"/>
                  <w:sz w:val="18"/>
                  <w:szCs w:val="18"/>
                  <w:color w:val="231F20"/>
                </w:rPr>
                <w:t>Board, Committee and Shareholder Meetings</w:t>
              </w:r>
            </w:hyperlink>
          </w:p>
        </w:tc>
        <w:tc>
          <w:tcPr>
            <w:tcW w:w="340" w:type="dxa"/>
            <w:vAlign w:val="bottom"/>
          </w:tcPr>
          <w:p>
            <w:pPr>
              <w:jc w:val="right"/>
              <w:spacing w:after="0" w:line="202" w:lineRule="exact"/>
              <w:rPr>
                <w:rFonts w:ascii="Arial" w:cs="Arial" w:eastAsia="Arial" w:hAnsi="Arial"/>
                <w:sz w:val="18"/>
                <w:szCs w:val="18"/>
                <w:color w:val="231F20"/>
              </w:rPr>
            </w:pPr>
            <w:hyperlink w:anchor="page18">
              <w:r>
                <w:rPr>
                  <w:rFonts w:ascii="Arial" w:cs="Arial" w:eastAsia="Arial" w:hAnsi="Arial"/>
                  <w:sz w:val="18"/>
                  <w:szCs w:val="18"/>
                  <w:color w:val="231F20"/>
                </w:rPr>
                <w:t>15</w:t>
              </w:r>
            </w:hyperlink>
          </w:p>
        </w:tc>
        <w:tc>
          <w:tcPr>
            <w:tcW w:w="0" w:type="dxa"/>
            <w:vAlign w:val="bottom"/>
          </w:tcPr>
          <w:p>
            <w:pPr>
              <w:spacing w:after="0"/>
              <w:rPr>
                <w:sz w:val="1"/>
                <w:szCs w:val="1"/>
                <w:color w:val="auto"/>
              </w:rPr>
            </w:pPr>
          </w:p>
        </w:tc>
      </w:tr>
      <w:tr>
        <w:trPr>
          <w:trHeight w:val="203"/>
        </w:trPr>
        <w:tc>
          <w:tcPr>
            <w:tcW w:w="11080" w:type="dxa"/>
            <w:vAlign w:val="bottom"/>
            <w:gridSpan w:val="4"/>
          </w:tcPr>
          <w:p>
            <w:pPr>
              <w:ind w:left="180"/>
              <w:spacing w:after="0" w:line="202" w:lineRule="exact"/>
              <w:rPr>
                <w:rFonts w:ascii="Arial" w:cs="Arial" w:eastAsia="Arial" w:hAnsi="Arial"/>
                <w:sz w:val="18"/>
                <w:szCs w:val="18"/>
                <w:color w:val="231F20"/>
              </w:rPr>
            </w:pPr>
            <w:hyperlink w:anchor="page20">
              <w:r>
                <w:rPr>
                  <w:rFonts w:ascii="Arial" w:cs="Arial" w:eastAsia="Arial" w:hAnsi="Arial"/>
                  <w:sz w:val="18"/>
                  <w:szCs w:val="18"/>
                  <w:color w:val="231F20"/>
                </w:rPr>
                <w:t>Governance Policies and Practices</w:t>
              </w:r>
            </w:hyperlink>
          </w:p>
        </w:tc>
        <w:tc>
          <w:tcPr>
            <w:tcW w:w="340" w:type="dxa"/>
            <w:vAlign w:val="bottom"/>
          </w:tcPr>
          <w:p>
            <w:pPr>
              <w:jc w:val="right"/>
              <w:spacing w:after="0" w:line="202" w:lineRule="exact"/>
              <w:rPr>
                <w:rFonts w:ascii="Arial" w:cs="Arial" w:eastAsia="Arial" w:hAnsi="Arial"/>
                <w:sz w:val="18"/>
                <w:szCs w:val="18"/>
                <w:color w:val="231F20"/>
              </w:rPr>
            </w:pPr>
            <w:hyperlink w:anchor="page20">
              <w:r>
                <w:rPr>
                  <w:rFonts w:ascii="Arial" w:cs="Arial" w:eastAsia="Arial" w:hAnsi="Arial"/>
                  <w:sz w:val="18"/>
                  <w:szCs w:val="18"/>
                  <w:color w:val="231F20"/>
                </w:rPr>
                <w:t>17</w:t>
              </w:r>
            </w:hyperlink>
          </w:p>
        </w:tc>
        <w:tc>
          <w:tcPr>
            <w:tcW w:w="0" w:type="dxa"/>
            <w:vAlign w:val="bottom"/>
          </w:tcPr>
          <w:p>
            <w:pPr>
              <w:spacing w:after="0"/>
              <w:rPr>
                <w:sz w:val="1"/>
                <w:szCs w:val="1"/>
                <w:color w:val="auto"/>
              </w:rPr>
            </w:pPr>
          </w:p>
        </w:tc>
      </w:tr>
      <w:tr>
        <w:trPr>
          <w:trHeight w:val="203"/>
        </w:trPr>
        <w:tc>
          <w:tcPr>
            <w:tcW w:w="11080" w:type="dxa"/>
            <w:vAlign w:val="bottom"/>
            <w:gridSpan w:val="4"/>
          </w:tcPr>
          <w:p>
            <w:pPr>
              <w:ind w:left="180"/>
              <w:spacing w:after="0" w:line="202" w:lineRule="exact"/>
              <w:rPr>
                <w:rFonts w:ascii="Arial" w:cs="Arial" w:eastAsia="Arial" w:hAnsi="Arial"/>
                <w:sz w:val="18"/>
                <w:szCs w:val="18"/>
                <w:color w:val="231F20"/>
              </w:rPr>
            </w:pPr>
            <w:hyperlink w:anchor="page21">
              <w:r>
                <w:rPr>
                  <w:rFonts w:ascii="Arial" w:cs="Arial" w:eastAsia="Arial" w:hAnsi="Arial"/>
                  <w:sz w:val="18"/>
                  <w:szCs w:val="18"/>
                  <w:color w:val="231F20"/>
                </w:rPr>
                <w:t>Related Party Transactions</w:t>
              </w:r>
            </w:hyperlink>
          </w:p>
        </w:tc>
        <w:tc>
          <w:tcPr>
            <w:tcW w:w="340" w:type="dxa"/>
            <w:vAlign w:val="bottom"/>
          </w:tcPr>
          <w:p>
            <w:pPr>
              <w:jc w:val="right"/>
              <w:spacing w:after="0" w:line="202" w:lineRule="exact"/>
              <w:rPr>
                <w:rFonts w:ascii="Arial" w:cs="Arial" w:eastAsia="Arial" w:hAnsi="Arial"/>
                <w:sz w:val="18"/>
                <w:szCs w:val="18"/>
                <w:color w:val="231F20"/>
              </w:rPr>
            </w:pPr>
            <w:hyperlink w:anchor="page21">
              <w:r>
                <w:rPr>
                  <w:rFonts w:ascii="Arial" w:cs="Arial" w:eastAsia="Arial" w:hAnsi="Arial"/>
                  <w:sz w:val="18"/>
                  <w:szCs w:val="18"/>
                  <w:color w:val="231F20"/>
                </w:rPr>
                <w:t>18</w:t>
              </w:r>
            </w:hyperlink>
          </w:p>
        </w:tc>
        <w:tc>
          <w:tcPr>
            <w:tcW w:w="0" w:type="dxa"/>
            <w:vAlign w:val="bottom"/>
          </w:tcPr>
          <w:p>
            <w:pPr>
              <w:spacing w:after="0"/>
              <w:rPr>
                <w:sz w:val="1"/>
                <w:szCs w:val="1"/>
                <w:color w:val="auto"/>
              </w:rPr>
            </w:pPr>
          </w:p>
        </w:tc>
      </w:tr>
      <w:tr>
        <w:trPr>
          <w:trHeight w:val="203"/>
        </w:trPr>
        <w:tc>
          <w:tcPr>
            <w:tcW w:w="11080" w:type="dxa"/>
            <w:vAlign w:val="bottom"/>
            <w:gridSpan w:val="4"/>
          </w:tcPr>
          <w:p>
            <w:pPr>
              <w:ind w:left="180"/>
              <w:spacing w:after="0" w:line="202" w:lineRule="exact"/>
              <w:rPr>
                <w:rFonts w:ascii="Arial" w:cs="Arial" w:eastAsia="Arial" w:hAnsi="Arial"/>
                <w:sz w:val="18"/>
                <w:szCs w:val="18"/>
                <w:color w:val="231F20"/>
              </w:rPr>
            </w:pPr>
            <w:hyperlink w:anchor="page21">
              <w:r>
                <w:rPr>
                  <w:rFonts w:ascii="Arial" w:cs="Arial" w:eastAsia="Arial" w:hAnsi="Arial"/>
                  <w:sz w:val="18"/>
                  <w:szCs w:val="18"/>
                  <w:color w:val="231F20"/>
                </w:rPr>
                <w:t>Succession Planning</w:t>
              </w:r>
            </w:hyperlink>
          </w:p>
        </w:tc>
        <w:tc>
          <w:tcPr>
            <w:tcW w:w="340" w:type="dxa"/>
            <w:vAlign w:val="bottom"/>
          </w:tcPr>
          <w:p>
            <w:pPr>
              <w:jc w:val="right"/>
              <w:spacing w:after="0" w:line="202" w:lineRule="exact"/>
              <w:rPr>
                <w:rFonts w:ascii="Arial" w:cs="Arial" w:eastAsia="Arial" w:hAnsi="Arial"/>
                <w:sz w:val="18"/>
                <w:szCs w:val="18"/>
                <w:color w:val="231F20"/>
              </w:rPr>
            </w:pPr>
            <w:hyperlink w:anchor="page21">
              <w:r>
                <w:rPr>
                  <w:rFonts w:ascii="Arial" w:cs="Arial" w:eastAsia="Arial" w:hAnsi="Arial"/>
                  <w:sz w:val="18"/>
                  <w:szCs w:val="18"/>
                  <w:color w:val="231F20"/>
                </w:rPr>
                <w:t>18</w:t>
              </w:r>
            </w:hyperlink>
          </w:p>
        </w:tc>
        <w:tc>
          <w:tcPr>
            <w:tcW w:w="0" w:type="dxa"/>
            <w:vAlign w:val="bottom"/>
          </w:tcPr>
          <w:p>
            <w:pPr>
              <w:spacing w:after="0"/>
              <w:rPr>
                <w:sz w:val="1"/>
                <w:szCs w:val="1"/>
                <w:color w:val="auto"/>
              </w:rPr>
            </w:pPr>
          </w:p>
        </w:tc>
      </w:tr>
      <w:tr>
        <w:trPr>
          <w:trHeight w:val="203"/>
        </w:trPr>
        <w:tc>
          <w:tcPr>
            <w:tcW w:w="11080" w:type="dxa"/>
            <w:vAlign w:val="bottom"/>
            <w:gridSpan w:val="4"/>
          </w:tcPr>
          <w:p>
            <w:pPr>
              <w:ind w:left="180"/>
              <w:spacing w:after="0" w:line="202" w:lineRule="exact"/>
              <w:rPr>
                <w:rFonts w:ascii="Arial" w:cs="Arial" w:eastAsia="Arial" w:hAnsi="Arial"/>
                <w:sz w:val="18"/>
                <w:szCs w:val="18"/>
                <w:color w:val="231F20"/>
              </w:rPr>
            </w:pPr>
            <w:hyperlink w:anchor="page22">
              <w:r>
                <w:rPr>
                  <w:rFonts w:ascii="Arial" w:cs="Arial" w:eastAsia="Arial" w:hAnsi="Arial"/>
                  <w:sz w:val="18"/>
                  <w:szCs w:val="18"/>
                  <w:color w:val="231F20"/>
                </w:rPr>
                <w:t>Environmental, Sustainability and Corporate Social Responsibility</w:t>
              </w:r>
            </w:hyperlink>
          </w:p>
        </w:tc>
        <w:tc>
          <w:tcPr>
            <w:tcW w:w="340" w:type="dxa"/>
            <w:vAlign w:val="bottom"/>
          </w:tcPr>
          <w:p>
            <w:pPr>
              <w:jc w:val="right"/>
              <w:spacing w:after="0" w:line="202" w:lineRule="exact"/>
              <w:rPr>
                <w:rFonts w:ascii="Arial" w:cs="Arial" w:eastAsia="Arial" w:hAnsi="Arial"/>
                <w:sz w:val="18"/>
                <w:szCs w:val="18"/>
                <w:color w:val="231F20"/>
              </w:rPr>
            </w:pPr>
            <w:hyperlink w:anchor="page22">
              <w:r>
                <w:rPr>
                  <w:rFonts w:ascii="Arial" w:cs="Arial" w:eastAsia="Arial" w:hAnsi="Arial"/>
                  <w:sz w:val="18"/>
                  <w:szCs w:val="18"/>
                  <w:color w:val="231F20"/>
                </w:rPr>
                <w:t>19</w:t>
              </w:r>
            </w:hyperlink>
          </w:p>
        </w:tc>
        <w:tc>
          <w:tcPr>
            <w:tcW w:w="0" w:type="dxa"/>
            <w:vAlign w:val="bottom"/>
          </w:tcPr>
          <w:p>
            <w:pPr>
              <w:spacing w:after="0"/>
              <w:rPr>
                <w:sz w:val="1"/>
                <w:szCs w:val="1"/>
                <w:color w:val="auto"/>
              </w:rPr>
            </w:pPr>
          </w:p>
        </w:tc>
      </w:tr>
      <w:tr>
        <w:trPr>
          <w:trHeight w:val="217"/>
        </w:trPr>
        <w:tc>
          <w:tcPr>
            <w:tcW w:w="11080" w:type="dxa"/>
            <w:vAlign w:val="bottom"/>
            <w:gridSpan w:val="4"/>
          </w:tcPr>
          <w:p>
            <w:pPr>
              <w:ind w:left="180"/>
              <w:spacing w:after="0"/>
              <w:rPr>
                <w:rFonts w:ascii="Arial" w:cs="Arial" w:eastAsia="Arial" w:hAnsi="Arial"/>
                <w:sz w:val="18"/>
                <w:szCs w:val="18"/>
                <w:color w:val="231F20"/>
              </w:rPr>
            </w:pPr>
            <w:hyperlink w:anchor="page22">
              <w:r>
                <w:rPr>
                  <w:rFonts w:ascii="Arial" w:cs="Arial" w:eastAsia="Arial" w:hAnsi="Arial"/>
                  <w:sz w:val="18"/>
                  <w:szCs w:val="18"/>
                  <w:color w:val="231F20"/>
                </w:rPr>
                <w:t>Availability of Governance Documents</w:t>
              </w:r>
            </w:hyperlink>
          </w:p>
        </w:tc>
        <w:tc>
          <w:tcPr>
            <w:tcW w:w="340" w:type="dxa"/>
            <w:vAlign w:val="bottom"/>
          </w:tcPr>
          <w:p>
            <w:pPr>
              <w:jc w:val="right"/>
              <w:spacing w:after="0"/>
              <w:rPr>
                <w:rFonts w:ascii="Arial" w:cs="Arial" w:eastAsia="Arial" w:hAnsi="Arial"/>
                <w:sz w:val="18"/>
                <w:szCs w:val="18"/>
                <w:color w:val="231F20"/>
              </w:rPr>
            </w:pPr>
            <w:hyperlink w:anchor="page22">
              <w:r>
                <w:rPr>
                  <w:rFonts w:ascii="Arial" w:cs="Arial" w:eastAsia="Arial" w:hAnsi="Arial"/>
                  <w:sz w:val="18"/>
                  <w:szCs w:val="18"/>
                  <w:color w:val="231F20"/>
                </w:rPr>
                <w:t>19</w:t>
              </w:r>
            </w:hyperlink>
          </w:p>
        </w:tc>
        <w:tc>
          <w:tcPr>
            <w:tcW w:w="0" w:type="dxa"/>
            <w:vAlign w:val="bottom"/>
          </w:tcPr>
          <w:p>
            <w:pPr>
              <w:spacing w:after="0"/>
              <w:rPr>
                <w:sz w:val="1"/>
                <w:szCs w:val="1"/>
                <w:color w:val="auto"/>
              </w:rPr>
            </w:pPr>
          </w:p>
        </w:tc>
      </w:tr>
      <w:tr>
        <w:trPr>
          <w:trHeight w:val="369"/>
        </w:trPr>
        <w:tc>
          <w:tcPr>
            <w:tcW w:w="11080" w:type="dxa"/>
            <w:vAlign w:val="bottom"/>
            <w:gridSpan w:val="4"/>
          </w:tcPr>
          <w:p>
            <w:pPr>
              <w:spacing w:after="0"/>
              <w:rPr>
                <w:rFonts w:ascii="Arial" w:cs="Arial" w:eastAsia="Arial" w:hAnsi="Arial"/>
                <w:sz w:val="18"/>
                <w:szCs w:val="18"/>
                <w:b w:val="1"/>
                <w:bCs w:val="1"/>
                <w:color w:val="6F2875"/>
              </w:rPr>
            </w:pPr>
            <w:hyperlink w:anchor="page23">
              <w:r>
                <w:rPr>
                  <w:rFonts w:ascii="Arial" w:cs="Arial" w:eastAsia="Arial" w:hAnsi="Arial"/>
                  <w:sz w:val="18"/>
                  <w:szCs w:val="18"/>
                  <w:b w:val="1"/>
                  <w:bCs w:val="1"/>
                  <w:color w:val="6F2875"/>
                </w:rPr>
                <w:t xml:space="preserve">Proposal 2  </w:t>
              </w:r>
              <w:r>
                <w:rPr>
                  <w:rFonts w:ascii="Arial" w:cs="Arial" w:eastAsia="Arial" w:hAnsi="Arial"/>
                  <w:sz w:val="18"/>
                  <w:szCs w:val="18"/>
                  <w:b w:val="1"/>
                  <w:bCs w:val="1"/>
                  <w:color w:val="818285"/>
                </w:rPr>
                <w:t>Advisory (Non-Binding) Vote on How Frequently Shareholders Should Vote to Approve Compensation of the</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920" w:type="dxa"/>
            <w:vAlign w:val="bottom"/>
          </w:tcPr>
          <w:p>
            <w:pPr>
              <w:spacing w:after="0"/>
              <w:rPr>
                <w:sz w:val="20"/>
                <w:szCs w:val="20"/>
                <w:color w:val="auto"/>
              </w:rPr>
            </w:pPr>
          </w:p>
        </w:tc>
        <w:tc>
          <w:tcPr>
            <w:tcW w:w="10160" w:type="dxa"/>
            <w:vAlign w:val="bottom"/>
            <w:gridSpan w:val="3"/>
          </w:tcPr>
          <w:p>
            <w:pPr>
              <w:ind w:left="160"/>
              <w:spacing w:after="0"/>
              <w:rPr>
                <w:rFonts w:ascii="Arial" w:cs="Arial" w:eastAsia="Arial" w:hAnsi="Arial"/>
                <w:sz w:val="18"/>
                <w:szCs w:val="18"/>
                <w:b w:val="1"/>
                <w:bCs w:val="1"/>
                <w:color w:val="818285"/>
              </w:rPr>
            </w:pPr>
            <w:hyperlink w:anchor="page23">
              <w:r>
                <w:rPr>
                  <w:rFonts w:ascii="Arial" w:cs="Arial" w:eastAsia="Arial" w:hAnsi="Arial"/>
                  <w:sz w:val="18"/>
                  <w:szCs w:val="18"/>
                  <w:b w:val="1"/>
                  <w:bCs w:val="1"/>
                  <w:color w:val="818285"/>
                </w:rPr>
                <w:t>Named Executive Officers (Say on Frequency)</w:t>
              </w:r>
            </w:hyperlink>
          </w:p>
        </w:tc>
        <w:tc>
          <w:tcPr>
            <w:tcW w:w="340" w:type="dxa"/>
            <w:vAlign w:val="bottom"/>
          </w:tcPr>
          <w:p>
            <w:pPr>
              <w:jc w:val="right"/>
              <w:spacing w:after="0"/>
              <w:rPr>
                <w:rFonts w:ascii="Arial" w:cs="Arial" w:eastAsia="Arial" w:hAnsi="Arial"/>
                <w:sz w:val="18"/>
                <w:szCs w:val="18"/>
                <w:b w:val="1"/>
                <w:bCs w:val="1"/>
                <w:color w:val="231F20"/>
              </w:rPr>
            </w:pPr>
            <w:hyperlink w:anchor="page23">
              <w:r>
                <w:rPr>
                  <w:rFonts w:ascii="Arial" w:cs="Arial" w:eastAsia="Arial" w:hAnsi="Arial"/>
                  <w:sz w:val="18"/>
                  <w:szCs w:val="18"/>
                  <w:b w:val="1"/>
                  <w:bCs w:val="1"/>
                  <w:color w:val="231F20"/>
                </w:rPr>
                <w:t>20</w:t>
              </w:r>
            </w:hyperlink>
          </w:p>
        </w:tc>
        <w:tc>
          <w:tcPr>
            <w:tcW w:w="0" w:type="dxa"/>
            <w:vAlign w:val="bottom"/>
          </w:tcPr>
          <w:p>
            <w:pPr>
              <w:spacing w:after="0"/>
              <w:rPr>
                <w:sz w:val="1"/>
                <w:szCs w:val="1"/>
                <w:color w:val="auto"/>
              </w:rPr>
            </w:pPr>
          </w:p>
        </w:tc>
      </w:tr>
      <w:tr>
        <w:trPr>
          <w:trHeight w:val="405"/>
        </w:trPr>
        <w:tc>
          <w:tcPr>
            <w:tcW w:w="11080" w:type="dxa"/>
            <w:vAlign w:val="bottom"/>
            <w:gridSpan w:val="4"/>
          </w:tcPr>
          <w:p>
            <w:pPr>
              <w:spacing w:after="0"/>
              <w:rPr>
                <w:rFonts w:ascii="Arial" w:cs="Arial" w:eastAsia="Arial" w:hAnsi="Arial"/>
                <w:sz w:val="18"/>
                <w:szCs w:val="18"/>
                <w:b w:val="1"/>
                <w:bCs w:val="1"/>
                <w:color w:val="6F2875"/>
              </w:rPr>
            </w:pPr>
            <w:hyperlink w:anchor="page24">
              <w:r>
                <w:rPr>
                  <w:rFonts w:ascii="Arial" w:cs="Arial" w:eastAsia="Arial" w:hAnsi="Arial"/>
                  <w:sz w:val="18"/>
                  <w:szCs w:val="18"/>
                  <w:b w:val="1"/>
                  <w:bCs w:val="1"/>
                  <w:color w:val="6F2875"/>
                </w:rPr>
                <w:t xml:space="preserve">Proposal 3  </w:t>
              </w:r>
              <w:r>
                <w:rPr>
                  <w:rFonts w:ascii="Arial" w:cs="Arial" w:eastAsia="Arial" w:hAnsi="Arial"/>
                  <w:sz w:val="18"/>
                  <w:szCs w:val="18"/>
                  <w:b w:val="1"/>
                  <w:bCs w:val="1"/>
                  <w:color w:val="818285"/>
                </w:rPr>
                <w:t>Advisory (Non-Binding) Vote to Approve Executive Compensation (Say on Pay)</w:t>
              </w:r>
            </w:hyperlink>
          </w:p>
        </w:tc>
        <w:tc>
          <w:tcPr>
            <w:tcW w:w="340" w:type="dxa"/>
            <w:vAlign w:val="bottom"/>
          </w:tcPr>
          <w:p>
            <w:pPr>
              <w:jc w:val="right"/>
              <w:spacing w:after="0"/>
              <w:rPr>
                <w:rFonts w:ascii="Arial" w:cs="Arial" w:eastAsia="Arial" w:hAnsi="Arial"/>
                <w:sz w:val="18"/>
                <w:szCs w:val="18"/>
                <w:b w:val="1"/>
                <w:bCs w:val="1"/>
                <w:color w:val="231F20"/>
              </w:rPr>
            </w:pPr>
            <w:hyperlink w:anchor="page24">
              <w:r>
                <w:rPr>
                  <w:rFonts w:ascii="Arial" w:cs="Arial" w:eastAsia="Arial" w:hAnsi="Arial"/>
                  <w:sz w:val="18"/>
                  <w:szCs w:val="18"/>
                  <w:b w:val="1"/>
                  <w:bCs w:val="1"/>
                  <w:color w:val="231F20"/>
                </w:rPr>
                <w:t>21</w:t>
              </w:r>
            </w:hyperlink>
          </w:p>
        </w:tc>
        <w:tc>
          <w:tcPr>
            <w:tcW w:w="0" w:type="dxa"/>
            <w:vAlign w:val="bottom"/>
          </w:tcPr>
          <w:p>
            <w:pPr>
              <w:spacing w:after="0"/>
              <w:rPr>
                <w:sz w:val="1"/>
                <w:szCs w:val="1"/>
                <w:color w:val="auto"/>
              </w:rPr>
            </w:pPr>
          </w:p>
        </w:tc>
      </w:tr>
      <w:tr>
        <w:trPr>
          <w:trHeight w:val="391"/>
        </w:trPr>
        <w:tc>
          <w:tcPr>
            <w:tcW w:w="11080" w:type="dxa"/>
            <w:vAlign w:val="bottom"/>
            <w:gridSpan w:val="4"/>
          </w:tcPr>
          <w:p>
            <w:pPr>
              <w:spacing w:after="0"/>
              <w:rPr>
                <w:rFonts w:ascii="Arial" w:cs="Arial" w:eastAsia="Arial" w:hAnsi="Arial"/>
                <w:sz w:val="18"/>
                <w:szCs w:val="18"/>
                <w:b w:val="1"/>
                <w:bCs w:val="1"/>
                <w:color w:val="6F2875"/>
              </w:rPr>
            </w:pPr>
            <w:hyperlink w:anchor="page25">
              <w:r>
                <w:rPr>
                  <w:rFonts w:ascii="Arial" w:cs="Arial" w:eastAsia="Arial" w:hAnsi="Arial"/>
                  <w:sz w:val="18"/>
                  <w:szCs w:val="18"/>
                  <w:b w:val="1"/>
                  <w:bCs w:val="1"/>
                  <w:color w:val="6F2875"/>
                </w:rPr>
                <w:t>Executive Compensation</w:t>
              </w:r>
            </w:hyperlink>
          </w:p>
        </w:tc>
        <w:tc>
          <w:tcPr>
            <w:tcW w:w="340" w:type="dxa"/>
            <w:vAlign w:val="bottom"/>
          </w:tcPr>
          <w:p>
            <w:pPr>
              <w:jc w:val="right"/>
              <w:spacing w:after="0"/>
              <w:rPr>
                <w:rFonts w:ascii="Arial" w:cs="Arial" w:eastAsia="Arial" w:hAnsi="Arial"/>
                <w:sz w:val="18"/>
                <w:szCs w:val="18"/>
                <w:b w:val="1"/>
                <w:bCs w:val="1"/>
                <w:color w:val="231F20"/>
              </w:rPr>
            </w:pPr>
            <w:hyperlink w:anchor="page25">
              <w:r>
                <w:rPr>
                  <w:rFonts w:ascii="Arial" w:cs="Arial" w:eastAsia="Arial" w:hAnsi="Arial"/>
                  <w:sz w:val="18"/>
                  <w:szCs w:val="18"/>
                  <w:b w:val="1"/>
                  <w:bCs w:val="1"/>
                  <w:color w:val="231F20"/>
                </w:rPr>
                <w:t>22</w:t>
              </w:r>
            </w:hyperlink>
          </w:p>
        </w:tc>
        <w:tc>
          <w:tcPr>
            <w:tcW w:w="0" w:type="dxa"/>
            <w:vAlign w:val="bottom"/>
          </w:tcPr>
          <w:p>
            <w:pPr>
              <w:spacing w:after="0"/>
              <w:rPr>
                <w:sz w:val="1"/>
                <w:szCs w:val="1"/>
                <w:color w:val="auto"/>
              </w:rPr>
            </w:pPr>
          </w:p>
        </w:tc>
      </w:tr>
      <w:tr>
        <w:trPr>
          <w:trHeight w:val="203"/>
        </w:trPr>
        <w:tc>
          <w:tcPr>
            <w:tcW w:w="11080" w:type="dxa"/>
            <w:vAlign w:val="bottom"/>
            <w:gridSpan w:val="4"/>
          </w:tcPr>
          <w:p>
            <w:pPr>
              <w:ind w:left="180"/>
              <w:spacing w:after="0" w:line="202" w:lineRule="exact"/>
              <w:rPr>
                <w:rFonts w:ascii="Arial" w:cs="Arial" w:eastAsia="Arial" w:hAnsi="Arial"/>
                <w:sz w:val="18"/>
                <w:szCs w:val="18"/>
                <w:color w:val="231F20"/>
              </w:rPr>
            </w:pPr>
            <w:hyperlink w:anchor="page25">
              <w:r>
                <w:rPr>
                  <w:rFonts w:ascii="Arial" w:cs="Arial" w:eastAsia="Arial" w:hAnsi="Arial"/>
                  <w:sz w:val="18"/>
                  <w:szCs w:val="18"/>
                  <w:color w:val="231F20"/>
                </w:rPr>
                <w:t>Compensation Discussion &amp; Analysis</w:t>
              </w:r>
            </w:hyperlink>
          </w:p>
        </w:tc>
        <w:tc>
          <w:tcPr>
            <w:tcW w:w="340" w:type="dxa"/>
            <w:vAlign w:val="bottom"/>
          </w:tcPr>
          <w:p>
            <w:pPr>
              <w:jc w:val="right"/>
              <w:spacing w:after="0" w:line="202" w:lineRule="exact"/>
              <w:rPr>
                <w:rFonts w:ascii="Arial" w:cs="Arial" w:eastAsia="Arial" w:hAnsi="Arial"/>
                <w:sz w:val="18"/>
                <w:szCs w:val="18"/>
                <w:color w:val="231F20"/>
              </w:rPr>
            </w:pPr>
            <w:hyperlink w:anchor="page25">
              <w:r>
                <w:rPr>
                  <w:rFonts w:ascii="Arial" w:cs="Arial" w:eastAsia="Arial" w:hAnsi="Arial"/>
                  <w:sz w:val="18"/>
                  <w:szCs w:val="18"/>
                  <w:color w:val="231F20"/>
                </w:rPr>
                <w:t>22</w:t>
              </w:r>
            </w:hyperlink>
          </w:p>
        </w:tc>
        <w:tc>
          <w:tcPr>
            <w:tcW w:w="0" w:type="dxa"/>
            <w:vAlign w:val="bottom"/>
          </w:tcPr>
          <w:p>
            <w:pPr>
              <w:spacing w:after="0"/>
              <w:rPr>
                <w:sz w:val="1"/>
                <w:szCs w:val="1"/>
                <w:color w:val="auto"/>
              </w:rPr>
            </w:pPr>
          </w:p>
        </w:tc>
      </w:tr>
      <w:tr>
        <w:trPr>
          <w:trHeight w:val="203"/>
        </w:trPr>
        <w:tc>
          <w:tcPr>
            <w:tcW w:w="11080" w:type="dxa"/>
            <w:vAlign w:val="bottom"/>
            <w:gridSpan w:val="4"/>
          </w:tcPr>
          <w:p>
            <w:pPr>
              <w:ind w:left="180"/>
              <w:spacing w:after="0" w:line="202" w:lineRule="exact"/>
              <w:rPr>
                <w:rFonts w:ascii="Arial" w:cs="Arial" w:eastAsia="Arial" w:hAnsi="Arial"/>
                <w:sz w:val="18"/>
                <w:szCs w:val="18"/>
                <w:color w:val="231F20"/>
              </w:rPr>
            </w:pPr>
            <w:hyperlink w:anchor="page36">
              <w:r>
                <w:rPr>
                  <w:rFonts w:ascii="Arial" w:cs="Arial" w:eastAsia="Arial" w:hAnsi="Arial"/>
                  <w:sz w:val="18"/>
                  <w:szCs w:val="18"/>
                  <w:color w:val="231F20"/>
                </w:rPr>
                <w:t>Compensation of Executive Officers and Directors</w:t>
              </w:r>
            </w:hyperlink>
          </w:p>
        </w:tc>
        <w:tc>
          <w:tcPr>
            <w:tcW w:w="340" w:type="dxa"/>
            <w:vAlign w:val="bottom"/>
          </w:tcPr>
          <w:p>
            <w:pPr>
              <w:jc w:val="right"/>
              <w:spacing w:after="0" w:line="202" w:lineRule="exact"/>
              <w:rPr>
                <w:rFonts w:ascii="Arial" w:cs="Arial" w:eastAsia="Arial" w:hAnsi="Arial"/>
                <w:sz w:val="18"/>
                <w:szCs w:val="18"/>
                <w:color w:val="231F20"/>
              </w:rPr>
            </w:pPr>
            <w:hyperlink w:anchor="page36">
              <w:r>
                <w:rPr>
                  <w:rFonts w:ascii="Arial" w:cs="Arial" w:eastAsia="Arial" w:hAnsi="Arial"/>
                  <w:sz w:val="18"/>
                  <w:szCs w:val="18"/>
                  <w:color w:val="231F20"/>
                </w:rPr>
                <w:t>33</w:t>
              </w:r>
            </w:hyperlink>
          </w:p>
        </w:tc>
        <w:tc>
          <w:tcPr>
            <w:tcW w:w="0" w:type="dxa"/>
            <w:vAlign w:val="bottom"/>
          </w:tcPr>
          <w:p>
            <w:pPr>
              <w:spacing w:after="0"/>
              <w:rPr>
                <w:sz w:val="1"/>
                <w:szCs w:val="1"/>
                <w:color w:val="auto"/>
              </w:rPr>
            </w:pPr>
          </w:p>
        </w:tc>
      </w:tr>
      <w:tr>
        <w:trPr>
          <w:trHeight w:val="203"/>
        </w:trPr>
        <w:tc>
          <w:tcPr>
            <w:tcW w:w="11080" w:type="dxa"/>
            <w:vAlign w:val="bottom"/>
            <w:gridSpan w:val="4"/>
          </w:tcPr>
          <w:p>
            <w:pPr>
              <w:ind w:left="180"/>
              <w:spacing w:after="0" w:line="202" w:lineRule="exact"/>
              <w:rPr>
                <w:rFonts w:ascii="Arial" w:cs="Arial" w:eastAsia="Arial" w:hAnsi="Arial"/>
                <w:sz w:val="18"/>
                <w:szCs w:val="18"/>
                <w:color w:val="231F20"/>
              </w:rPr>
            </w:pPr>
            <w:hyperlink w:anchor="page37">
              <w:r>
                <w:rPr>
                  <w:rFonts w:ascii="Arial" w:cs="Arial" w:eastAsia="Arial" w:hAnsi="Arial"/>
                  <w:sz w:val="18"/>
                  <w:szCs w:val="18"/>
                  <w:color w:val="231F20"/>
                </w:rPr>
                <w:t>2017 Summary Compensation Table (2015, 2016, 2017)</w:t>
              </w:r>
            </w:hyperlink>
          </w:p>
        </w:tc>
        <w:tc>
          <w:tcPr>
            <w:tcW w:w="340" w:type="dxa"/>
            <w:vAlign w:val="bottom"/>
          </w:tcPr>
          <w:p>
            <w:pPr>
              <w:jc w:val="right"/>
              <w:spacing w:after="0" w:line="202" w:lineRule="exact"/>
              <w:rPr>
                <w:rFonts w:ascii="Arial" w:cs="Arial" w:eastAsia="Arial" w:hAnsi="Arial"/>
                <w:sz w:val="18"/>
                <w:szCs w:val="18"/>
                <w:color w:val="231F20"/>
              </w:rPr>
            </w:pPr>
            <w:hyperlink w:anchor="page37">
              <w:r>
                <w:rPr>
                  <w:rFonts w:ascii="Arial" w:cs="Arial" w:eastAsia="Arial" w:hAnsi="Arial"/>
                  <w:sz w:val="18"/>
                  <w:szCs w:val="18"/>
                  <w:color w:val="231F20"/>
                </w:rPr>
                <w:t>34</w:t>
              </w:r>
            </w:hyperlink>
          </w:p>
        </w:tc>
        <w:tc>
          <w:tcPr>
            <w:tcW w:w="0" w:type="dxa"/>
            <w:vAlign w:val="bottom"/>
          </w:tcPr>
          <w:p>
            <w:pPr>
              <w:spacing w:after="0"/>
              <w:rPr>
                <w:sz w:val="1"/>
                <w:szCs w:val="1"/>
                <w:color w:val="auto"/>
              </w:rPr>
            </w:pPr>
          </w:p>
        </w:tc>
      </w:tr>
      <w:tr>
        <w:trPr>
          <w:trHeight w:val="203"/>
        </w:trPr>
        <w:tc>
          <w:tcPr>
            <w:tcW w:w="11080" w:type="dxa"/>
            <w:vAlign w:val="bottom"/>
            <w:gridSpan w:val="4"/>
          </w:tcPr>
          <w:p>
            <w:pPr>
              <w:ind w:left="180"/>
              <w:spacing w:after="0" w:line="202" w:lineRule="exact"/>
              <w:rPr>
                <w:rFonts w:ascii="Arial" w:cs="Arial" w:eastAsia="Arial" w:hAnsi="Arial"/>
                <w:sz w:val="18"/>
                <w:szCs w:val="18"/>
                <w:color w:val="231F20"/>
              </w:rPr>
            </w:pPr>
            <w:hyperlink w:anchor="page40">
              <w:r>
                <w:rPr>
                  <w:rFonts w:ascii="Arial" w:cs="Arial" w:eastAsia="Arial" w:hAnsi="Arial"/>
                  <w:sz w:val="18"/>
                  <w:szCs w:val="18"/>
                  <w:color w:val="231F20"/>
                </w:rPr>
                <w:t>2017 Grants of Plan-Based Awards Table</w:t>
              </w:r>
            </w:hyperlink>
          </w:p>
        </w:tc>
        <w:tc>
          <w:tcPr>
            <w:tcW w:w="340" w:type="dxa"/>
            <w:vAlign w:val="bottom"/>
          </w:tcPr>
          <w:p>
            <w:pPr>
              <w:jc w:val="right"/>
              <w:spacing w:after="0" w:line="202" w:lineRule="exact"/>
              <w:rPr>
                <w:rFonts w:ascii="Arial" w:cs="Arial" w:eastAsia="Arial" w:hAnsi="Arial"/>
                <w:sz w:val="18"/>
                <w:szCs w:val="18"/>
                <w:color w:val="231F20"/>
              </w:rPr>
            </w:pPr>
            <w:hyperlink w:anchor="page40">
              <w:r>
                <w:rPr>
                  <w:rFonts w:ascii="Arial" w:cs="Arial" w:eastAsia="Arial" w:hAnsi="Arial"/>
                  <w:sz w:val="18"/>
                  <w:szCs w:val="18"/>
                  <w:color w:val="231F20"/>
                </w:rPr>
                <w:t>37</w:t>
              </w:r>
            </w:hyperlink>
          </w:p>
        </w:tc>
        <w:tc>
          <w:tcPr>
            <w:tcW w:w="0" w:type="dxa"/>
            <w:vAlign w:val="bottom"/>
          </w:tcPr>
          <w:p>
            <w:pPr>
              <w:spacing w:after="0"/>
              <w:rPr>
                <w:sz w:val="1"/>
                <w:szCs w:val="1"/>
                <w:color w:val="auto"/>
              </w:rPr>
            </w:pPr>
          </w:p>
        </w:tc>
      </w:tr>
      <w:tr>
        <w:trPr>
          <w:trHeight w:val="203"/>
        </w:trPr>
        <w:tc>
          <w:tcPr>
            <w:tcW w:w="11080" w:type="dxa"/>
            <w:vAlign w:val="bottom"/>
            <w:gridSpan w:val="4"/>
          </w:tcPr>
          <w:p>
            <w:pPr>
              <w:ind w:left="180"/>
              <w:spacing w:after="0" w:line="202" w:lineRule="exact"/>
              <w:rPr>
                <w:rFonts w:ascii="Arial" w:cs="Arial" w:eastAsia="Arial" w:hAnsi="Arial"/>
                <w:sz w:val="18"/>
                <w:szCs w:val="18"/>
                <w:color w:val="231F20"/>
              </w:rPr>
            </w:pPr>
            <w:hyperlink w:anchor="page41">
              <w:r>
                <w:rPr>
                  <w:rFonts w:ascii="Arial" w:cs="Arial" w:eastAsia="Arial" w:hAnsi="Arial"/>
                  <w:sz w:val="18"/>
                  <w:szCs w:val="18"/>
                  <w:color w:val="231F20"/>
                </w:rPr>
                <w:t>2017 Outstanding Equity Awards at Year End</w:t>
              </w:r>
            </w:hyperlink>
          </w:p>
        </w:tc>
        <w:tc>
          <w:tcPr>
            <w:tcW w:w="340" w:type="dxa"/>
            <w:vAlign w:val="bottom"/>
          </w:tcPr>
          <w:p>
            <w:pPr>
              <w:jc w:val="right"/>
              <w:spacing w:after="0" w:line="202" w:lineRule="exact"/>
              <w:rPr>
                <w:rFonts w:ascii="Arial" w:cs="Arial" w:eastAsia="Arial" w:hAnsi="Arial"/>
                <w:sz w:val="18"/>
                <w:szCs w:val="18"/>
                <w:color w:val="231F20"/>
              </w:rPr>
            </w:pPr>
            <w:hyperlink w:anchor="page41">
              <w:r>
                <w:rPr>
                  <w:rFonts w:ascii="Arial" w:cs="Arial" w:eastAsia="Arial" w:hAnsi="Arial"/>
                  <w:sz w:val="18"/>
                  <w:szCs w:val="18"/>
                  <w:color w:val="231F20"/>
                </w:rPr>
                <w:t>38</w:t>
              </w:r>
            </w:hyperlink>
          </w:p>
        </w:tc>
        <w:tc>
          <w:tcPr>
            <w:tcW w:w="0" w:type="dxa"/>
            <w:vAlign w:val="bottom"/>
          </w:tcPr>
          <w:p>
            <w:pPr>
              <w:spacing w:after="0"/>
              <w:rPr>
                <w:sz w:val="1"/>
                <w:szCs w:val="1"/>
                <w:color w:val="auto"/>
              </w:rPr>
            </w:pPr>
          </w:p>
        </w:tc>
      </w:tr>
      <w:tr>
        <w:trPr>
          <w:trHeight w:val="203"/>
        </w:trPr>
        <w:tc>
          <w:tcPr>
            <w:tcW w:w="11080" w:type="dxa"/>
            <w:vAlign w:val="bottom"/>
            <w:gridSpan w:val="4"/>
          </w:tcPr>
          <w:p>
            <w:pPr>
              <w:ind w:left="180"/>
              <w:spacing w:after="0" w:line="202" w:lineRule="exact"/>
              <w:rPr>
                <w:rFonts w:ascii="Arial" w:cs="Arial" w:eastAsia="Arial" w:hAnsi="Arial"/>
                <w:sz w:val="18"/>
                <w:szCs w:val="18"/>
                <w:color w:val="231F20"/>
              </w:rPr>
            </w:pPr>
            <w:hyperlink w:anchor="page42">
              <w:r>
                <w:rPr>
                  <w:rFonts w:ascii="Arial" w:cs="Arial" w:eastAsia="Arial" w:hAnsi="Arial"/>
                  <w:sz w:val="18"/>
                  <w:szCs w:val="18"/>
                  <w:color w:val="231F20"/>
                </w:rPr>
                <w:t>2017 Option Exercises and Stock Vested</w:t>
              </w:r>
            </w:hyperlink>
          </w:p>
        </w:tc>
        <w:tc>
          <w:tcPr>
            <w:tcW w:w="340" w:type="dxa"/>
            <w:vAlign w:val="bottom"/>
          </w:tcPr>
          <w:p>
            <w:pPr>
              <w:jc w:val="right"/>
              <w:spacing w:after="0" w:line="202" w:lineRule="exact"/>
              <w:rPr>
                <w:rFonts w:ascii="Arial" w:cs="Arial" w:eastAsia="Arial" w:hAnsi="Arial"/>
                <w:sz w:val="18"/>
                <w:szCs w:val="18"/>
                <w:color w:val="231F20"/>
              </w:rPr>
            </w:pPr>
            <w:hyperlink w:anchor="page42">
              <w:r>
                <w:rPr>
                  <w:rFonts w:ascii="Arial" w:cs="Arial" w:eastAsia="Arial" w:hAnsi="Arial"/>
                  <w:sz w:val="18"/>
                  <w:szCs w:val="18"/>
                  <w:color w:val="231F20"/>
                </w:rPr>
                <w:t>39</w:t>
              </w:r>
            </w:hyperlink>
          </w:p>
        </w:tc>
        <w:tc>
          <w:tcPr>
            <w:tcW w:w="0" w:type="dxa"/>
            <w:vAlign w:val="bottom"/>
          </w:tcPr>
          <w:p>
            <w:pPr>
              <w:spacing w:after="0"/>
              <w:rPr>
                <w:sz w:val="1"/>
                <w:szCs w:val="1"/>
                <w:color w:val="auto"/>
              </w:rPr>
            </w:pPr>
          </w:p>
        </w:tc>
      </w:tr>
      <w:tr>
        <w:trPr>
          <w:trHeight w:val="203"/>
        </w:trPr>
        <w:tc>
          <w:tcPr>
            <w:tcW w:w="11080" w:type="dxa"/>
            <w:vAlign w:val="bottom"/>
            <w:gridSpan w:val="4"/>
          </w:tcPr>
          <w:p>
            <w:pPr>
              <w:ind w:left="180"/>
              <w:spacing w:after="0" w:line="202" w:lineRule="exact"/>
              <w:rPr>
                <w:rFonts w:ascii="Arial" w:cs="Arial" w:eastAsia="Arial" w:hAnsi="Arial"/>
                <w:sz w:val="18"/>
                <w:szCs w:val="18"/>
                <w:color w:val="231F20"/>
              </w:rPr>
            </w:pPr>
            <w:hyperlink w:anchor="page42">
              <w:r>
                <w:rPr>
                  <w:rFonts w:ascii="Arial" w:cs="Arial" w:eastAsia="Arial" w:hAnsi="Arial"/>
                  <w:sz w:val="18"/>
                  <w:szCs w:val="18"/>
                  <w:color w:val="231F20"/>
                </w:rPr>
                <w:t>2017 Pension Benefits</w:t>
              </w:r>
            </w:hyperlink>
          </w:p>
        </w:tc>
        <w:tc>
          <w:tcPr>
            <w:tcW w:w="340" w:type="dxa"/>
            <w:vAlign w:val="bottom"/>
          </w:tcPr>
          <w:p>
            <w:pPr>
              <w:jc w:val="right"/>
              <w:spacing w:after="0" w:line="202" w:lineRule="exact"/>
              <w:rPr>
                <w:rFonts w:ascii="Arial" w:cs="Arial" w:eastAsia="Arial" w:hAnsi="Arial"/>
                <w:sz w:val="18"/>
                <w:szCs w:val="18"/>
                <w:color w:val="231F20"/>
              </w:rPr>
            </w:pPr>
            <w:hyperlink w:anchor="page42">
              <w:r>
                <w:rPr>
                  <w:rFonts w:ascii="Arial" w:cs="Arial" w:eastAsia="Arial" w:hAnsi="Arial"/>
                  <w:sz w:val="18"/>
                  <w:szCs w:val="18"/>
                  <w:color w:val="231F20"/>
                </w:rPr>
                <w:t>39</w:t>
              </w:r>
            </w:hyperlink>
          </w:p>
        </w:tc>
        <w:tc>
          <w:tcPr>
            <w:tcW w:w="0" w:type="dxa"/>
            <w:vAlign w:val="bottom"/>
          </w:tcPr>
          <w:p>
            <w:pPr>
              <w:spacing w:after="0"/>
              <w:rPr>
                <w:sz w:val="1"/>
                <w:szCs w:val="1"/>
                <w:color w:val="auto"/>
              </w:rPr>
            </w:pPr>
          </w:p>
        </w:tc>
      </w:tr>
      <w:tr>
        <w:trPr>
          <w:trHeight w:val="203"/>
        </w:trPr>
        <w:tc>
          <w:tcPr>
            <w:tcW w:w="11080" w:type="dxa"/>
            <w:vAlign w:val="bottom"/>
            <w:gridSpan w:val="4"/>
          </w:tcPr>
          <w:p>
            <w:pPr>
              <w:ind w:left="180"/>
              <w:spacing w:after="0" w:line="202" w:lineRule="exact"/>
              <w:rPr>
                <w:rFonts w:ascii="Arial" w:cs="Arial" w:eastAsia="Arial" w:hAnsi="Arial"/>
                <w:sz w:val="18"/>
                <w:szCs w:val="18"/>
                <w:color w:val="231F20"/>
              </w:rPr>
            </w:pPr>
            <w:hyperlink w:anchor="page42">
              <w:r>
                <w:rPr>
                  <w:rFonts w:ascii="Arial" w:cs="Arial" w:eastAsia="Arial" w:hAnsi="Arial"/>
                  <w:sz w:val="18"/>
                  <w:szCs w:val="18"/>
                  <w:color w:val="231F20"/>
                </w:rPr>
                <w:t>2017 Non-Qualified Deferred Compensation</w:t>
              </w:r>
            </w:hyperlink>
          </w:p>
        </w:tc>
        <w:tc>
          <w:tcPr>
            <w:tcW w:w="340" w:type="dxa"/>
            <w:vAlign w:val="bottom"/>
          </w:tcPr>
          <w:p>
            <w:pPr>
              <w:jc w:val="right"/>
              <w:spacing w:after="0" w:line="202" w:lineRule="exact"/>
              <w:rPr>
                <w:rFonts w:ascii="Arial" w:cs="Arial" w:eastAsia="Arial" w:hAnsi="Arial"/>
                <w:sz w:val="18"/>
                <w:szCs w:val="18"/>
                <w:color w:val="231F20"/>
              </w:rPr>
            </w:pPr>
            <w:hyperlink w:anchor="page42">
              <w:r>
                <w:rPr>
                  <w:rFonts w:ascii="Arial" w:cs="Arial" w:eastAsia="Arial" w:hAnsi="Arial"/>
                  <w:sz w:val="18"/>
                  <w:szCs w:val="18"/>
                  <w:color w:val="231F20"/>
                </w:rPr>
                <w:t>39</w:t>
              </w:r>
            </w:hyperlink>
          </w:p>
        </w:tc>
        <w:tc>
          <w:tcPr>
            <w:tcW w:w="0" w:type="dxa"/>
            <w:vAlign w:val="bottom"/>
          </w:tcPr>
          <w:p>
            <w:pPr>
              <w:spacing w:after="0"/>
              <w:rPr>
                <w:sz w:val="1"/>
                <w:szCs w:val="1"/>
                <w:color w:val="auto"/>
              </w:rPr>
            </w:pPr>
          </w:p>
        </w:tc>
      </w:tr>
      <w:tr>
        <w:trPr>
          <w:trHeight w:val="203"/>
        </w:trPr>
        <w:tc>
          <w:tcPr>
            <w:tcW w:w="11080" w:type="dxa"/>
            <w:vAlign w:val="bottom"/>
            <w:gridSpan w:val="4"/>
          </w:tcPr>
          <w:p>
            <w:pPr>
              <w:ind w:left="180"/>
              <w:spacing w:after="0" w:line="202" w:lineRule="exact"/>
              <w:rPr>
                <w:rFonts w:ascii="Arial" w:cs="Arial" w:eastAsia="Arial" w:hAnsi="Arial"/>
                <w:sz w:val="18"/>
                <w:szCs w:val="18"/>
                <w:color w:val="231F20"/>
              </w:rPr>
            </w:pPr>
            <w:hyperlink w:anchor="page43">
              <w:r>
                <w:rPr>
                  <w:rFonts w:ascii="Arial" w:cs="Arial" w:eastAsia="Arial" w:hAnsi="Arial"/>
                  <w:sz w:val="18"/>
                  <w:szCs w:val="18"/>
                  <w:color w:val="231F20"/>
                </w:rPr>
                <w:t>Potential Payments Upon Termination or Change in Control</w:t>
              </w:r>
            </w:hyperlink>
          </w:p>
        </w:tc>
        <w:tc>
          <w:tcPr>
            <w:tcW w:w="340" w:type="dxa"/>
            <w:vAlign w:val="bottom"/>
          </w:tcPr>
          <w:p>
            <w:pPr>
              <w:jc w:val="right"/>
              <w:spacing w:after="0" w:line="202" w:lineRule="exact"/>
              <w:rPr>
                <w:rFonts w:ascii="Arial" w:cs="Arial" w:eastAsia="Arial" w:hAnsi="Arial"/>
                <w:sz w:val="18"/>
                <w:szCs w:val="18"/>
                <w:color w:val="231F20"/>
              </w:rPr>
            </w:pPr>
            <w:hyperlink w:anchor="page43">
              <w:r>
                <w:rPr>
                  <w:rFonts w:ascii="Arial" w:cs="Arial" w:eastAsia="Arial" w:hAnsi="Arial"/>
                  <w:sz w:val="18"/>
                  <w:szCs w:val="18"/>
                  <w:color w:val="231F20"/>
                </w:rPr>
                <w:t>40</w:t>
              </w:r>
            </w:hyperlink>
          </w:p>
        </w:tc>
        <w:tc>
          <w:tcPr>
            <w:tcW w:w="0" w:type="dxa"/>
            <w:vAlign w:val="bottom"/>
          </w:tcPr>
          <w:p>
            <w:pPr>
              <w:spacing w:after="0"/>
              <w:rPr>
                <w:sz w:val="1"/>
                <w:szCs w:val="1"/>
                <w:color w:val="auto"/>
              </w:rPr>
            </w:pPr>
          </w:p>
        </w:tc>
      </w:tr>
      <w:tr>
        <w:trPr>
          <w:trHeight w:val="203"/>
        </w:trPr>
        <w:tc>
          <w:tcPr>
            <w:tcW w:w="11080" w:type="dxa"/>
            <w:vAlign w:val="bottom"/>
            <w:gridSpan w:val="4"/>
          </w:tcPr>
          <w:p>
            <w:pPr>
              <w:ind w:left="180"/>
              <w:spacing w:after="0" w:line="202" w:lineRule="exact"/>
              <w:rPr>
                <w:rFonts w:ascii="Arial" w:cs="Arial" w:eastAsia="Arial" w:hAnsi="Arial"/>
                <w:sz w:val="18"/>
                <w:szCs w:val="18"/>
                <w:color w:val="231F20"/>
              </w:rPr>
            </w:pPr>
            <w:hyperlink w:anchor="page47">
              <w:r>
                <w:rPr>
                  <w:rFonts w:ascii="Arial" w:cs="Arial" w:eastAsia="Arial" w:hAnsi="Arial"/>
                  <w:sz w:val="18"/>
                  <w:szCs w:val="18"/>
                  <w:color w:val="231F20"/>
                </w:rPr>
                <w:t>Equity Compensation Plan Information</w:t>
              </w:r>
            </w:hyperlink>
          </w:p>
        </w:tc>
        <w:tc>
          <w:tcPr>
            <w:tcW w:w="340" w:type="dxa"/>
            <w:vAlign w:val="bottom"/>
          </w:tcPr>
          <w:p>
            <w:pPr>
              <w:jc w:val="right"/>
              <w:spacing w:after="0" w:line="202" w:lineRule="exact"/>
              <w:rPr>
                <w:rFonts w:ascii="Arial" w:cs="Arial" w:eastAsia="Arial" w:hAnsi="Arial"/>
                <w:sz w:val="18"/>
                <w:szCs w:val="18"/>
                <w:color w:val="231F20"/>
              </w:rPr>
            </w:pPr>
            <w:hyperlink w:anchor="page47">
              <w:r>
                <w:rPr>
                  <w:rFonts w:ascii="Arial" w:cs="Arial" w:eastAsia="Arial" w:hAnsi="Arial"/>
                  <w:sz w:val="18"/>
                  <w:szCs w:val="18"/>
                  <w:color w:val="231F20"/>
                </w:rPr>
                <w:t>44</w:t>
              </w:r>
            </w:hyperlink>
          </w:p>
        </w:tc>
        <w:tc>
          <w:tcPr>
            <w:tcW w:w="0" w:type="dxa"/>
            <w:vAlign w:val="bottom"/>
          </w:tcPr>
          <w:p>
            <w:pPr>
              <w:spacing w:after="0"/>
              <w:rPr>
                <w:sz w:val="1"/>
                <w:szCs w:val="1"/>
                <w:color w:val="auto"/>
              </w:rPr>
            </w:pPr>
          </w:p>
        </w:tc>
      </w:tr>
      <w:tr>
        <w:trPr>
          <w:trHeight w:val="203"/>
        </w:trPr>
        <w:tc>
          <w:tcPr>
            <w:tcW w:w="11080" w:type="dxa"/>
            <w:vAlign w:val="bottom"/>
            <w:gridSpan w:val="4"/>
          </w:tcPr>
          <w:p>
            <w:pPr>
              <w:ind w:left="180"/>
              <w:spacing w:after="0" w:line="202" w:lineRule="exact"/>
              <w:rPr>
                <w:rFonts w:ascii="Arial" w:cs="Arial" w:eastAsia="Arial" w:hAnsi="Arial"/>
                <w:sz w:val="18"/>
                <w:szCs w:val="18"/>
                <w:color w:val="231F20"/>
              </w:rPr>
            </w:pPr>
            <w:hyperlink w:anchor="page47">
              <w:r>
                <w:rPr>
                  <w:rFonts w:ascii="Arial" w:cs="Arial" w:eastAsia="Arial" w:hAnsi="Arial"/>
                  <w:sz w:val="18"/>
                  <w:szCs w:val="18"/>
                  <w:color w:val="231F20"/>
                </w:rPr>
                <w:t>Shareholder Value Delivered</w:t>
              </w:r>
            </w:hyperlink>
          </w:p>
        </w:tc>
        <w:tc>
          <w:tcPr>
            <w:tcW w:w="340" w:type="dxa"/>
            <w:vAlign w:val="bottom"/>
          </w:tcPr>
          <w:p>
            <w:pPr>
              <w:jc w:val="right"/>
              <w:spacing w:after="0" w:line="202" w:lineRule="exact"/>
              <w:rPr>
                <w:rFonts w:ascii="Arial" w:cs="Arial" w:eastAsia="Arial" w:hAnsi="Arial"/>
                <w:sz w:val="18"/>
                <w:szCs w:val="18"/>
                <w:color w:val="231F20"/>
              </w:rPr>
            </w:pPr>
            <w:hyperlink w:anchor="page47">
              <w:r>
                <w:rPr>
                  <w:rFonts w:ascii="Arial" w:cs="Arial" w:eastAsia="Arial" w:hAnsi="Arial"/>
                  <w:sz w:val="18"/>
                  <w:szCs w:val="18"/>
                  <w:color w:val="231F20"/>
                </w:rPr>
                <w:t>44</w:t>
              </w:r>
            </w:hyperlink>
          </w:p>
        </w:tc>
        <w:tc>
          <w:tcPr>
            <w:tcW w:w="0" w:type="dxa"/>
            <w:vAlign w:val="bottom"/>
          </w:tcPr>
          <w:p>
            <w:pPr>
              <w:spacing w:after="0"/>
              <w:rPr>
                <w:sz w:val="1"/>
                <w:szCs w:val="1"/>
                <w:color w:val="auto"/>
              </w:rPr>
            </w:pPr>
          </w:p>
        </w:tc>
      </w:tr>
      <w:tr>
        <w:trPr>
          <w:trHeight w:val="203"/>
        </w:trPr>
        <w:tc>
          <w:tcPr>
            <w:tcW w:w="11080" w:type="dxa"/>
            <w:vAlign w:val="bottom"/>
            <w:gridSpan w:val="4"/>
          </w:tcPr>
          <w:p>
            <w:pPr>
              <w:ind w:left="180"/>
              <w:spacing w:after="0" w:line="202" w:lineRule="exact"/>
              <w:rPr>
                <w:rFonts w:ascii="Arial" w:cs="Arial" w:eastAsia="Arial" w:hAnsi="Arial"/>
                <w:sz w:val="18"/>
                <w:szCs w:val="18"/>
                <w:color w:val="231F20"/>
              </w:rPr>
            </w:pPr>
            <w:hyperlink w:anchor="page48">
              <w:r>
                <w:rPr>
                  <w:rFonts w:ascii="Arial" w:cs="Arial" w:eastAsia="Arial" w:hAnsi="Arial"/>
                  <w:sz w:val="18"/>
                  <w:szCs w:val="18"/>
                  <w:color w:val="231F20"/>
                </w:rPr>
                <w:t>CEO Pay Ratio</w:t>
              </w:r>
            </w:hyperlink>
          </w:p>
        </w:tc>
        <w:tc>
          <w:tcPr>
            <w:tcW w:w="340" w:type="dxa"/>
            <w:vAlign w:val="bottom"/>
          </w:tcPr>
          <w:p>
            <w:pPr>
              <w:jc w:val="right"/>
              <w:spacing w:after="0" w:line="202" w:lineRule="exact"/>
              <w:rPr>
                <w:rFonts w:ascii="Arial" w:cs="Arial" w:eastAsia="Arial" w:hAnsi="Arial"/>
                <w:sz w:val="18"/>
                <w:szCs w:val="18"/>
                <w:color w:val="231F20"/>
              </w:rPr>
            </w:pPr>
            <w:hyperlink w:anchor="page48">
              <w:r>
                <w:rPr>
                  <w:rFonts w:ascii="Arial" w:cs="Arial" w:eastAsia="Arial" w:hAnsi="Arial"/>
                  <w:sz w:val="18"/>
                  <w:szCs w:val="18"/>
                  <w:color w:val="231F20"/>
                </w:rPr>
                <w:t>45</w:t>
              </w:r>
            </w:hyperlink>
          </w:p>
        </w:tc>
        <w:tc>
          <w:tcPr>
            <w:tcW w:w="0" w:type="dxa"/>
            <w:vAlign w:val="bottom"/>
          </w:tcPr>
          <w:p>
            <w:pPr>
              <w:spacing w:after="0"/>
              <w:rPr>
                <w:sz w:val="1"/>
                <w:szCs w:val="1"/>
                <w:color w:val="auto"/>
              </w:rPr>
            </w:pPr>
          </w:p>
        </w:tc>
      </w:tr>
      <w:tr>
        <w:trPr>
          <w:trHeight w:val="203"/>
        </w:trPr>
        <w:tc>
          <w:tcPr>
            <w:tcW w:w="11080" w:type="dxa"/>
            <w:vAlign w:val="bottom"/>
            <w:gridSpan w:val="4"/>
          </w:tcPr>
          <w:p>
            <w:pPr>
              <w:ind w:left="180"/>
              <w:spacing w:after="0" w:line="202" w:lineRule="exact"/>
              <w:rPr>
                <w:rFonts w:ascii="Arial" w:cs="Arial" w:eastAsia="Arial" w:hAnsi="Arial"/>
                <w:sz w:val="18"/>
                <w:szCs w:val="18"/>
                <w:color w:val="231F20"/>
              </w:rPr>
            </w:pPr>
            <w:hyperlink w:anchor="page48">
              <w:r>
                <w:rPr>
                  <w:rFonts w:ascii="Arial" w:cs="Arial" w:eastAsia="Arial" w:hAnsi="Arial"/>
                  <w:sz w:val="18"/>
                  <w:szCs w:val="18"/>
                  <w:color w:val="231F20"/>
                </w:rPr>
                <w:t>2017 Director Compensation Table</w:t>
              </w:r>
            </w:hyperlink>
          </w:p>
        </w:tc>
        <w:tc>
          <w:tcPr>
            <w:tcW w:w="340" w:type="dxa"/>
            <w:vAlign w:val="bottom"/>
          </w:tcPr>
          <w:p>
            <w:pPr>
              <w:jc w:val="right"/>
              <w:spacing w:after="0" w:line="202" w:lineRule="exact"/>
              <w:rPr>
                <w:rFonts w:ascii="Arial" w:cs="Arial" w:eastAsia="Arial" w:hAnsi="Arial"/>
                <w:sz w:val="18"/>
                <w:szCs w:val="18"/>
                <w:color w:val="231F20"/>
              </w:rPr>
            </w:pPr>
            <w:hyperlink w:anchor="page48">
              <w:r>
                <w:rPr>
                  <w:rFonts w:ascii="Arial" w:cs="Arial" w:eastAsia="Arial" w:hAnsi="Arial"/>
                  <w:sz w:val="18"/>
                  <w:szCs w:val="18"/>
                  <w:color w:val="231F20"/>
                </w:rPr>
                <w:t>45</w:t>
              </w:r>
            </w:hyperlink>
          </w:p>
        </w:tc>
        <w:tc>
          <w:tcPr>
            <w:tcW w:w="0" w:type="dxa"/>
            <w:vAlign w:val="bottom"/>
          </w:tcPr>
          <w:p>
            <w:pPr>
              <w:spacing w:after="0"/>
              <w:rPr>
                <w:sz w:val="1"/>
                <w:szCs w:val="1"/>
                <w:color w:val="auto"/>
              </w:rPr>
            </w:pPr>
          </w:p>
        </w:tc>
      </w:tr>
      <w:tr>
        <w:trPr>
          <w:trHeight w:val="217"/>
        </w:trPr>
        <w:tc>
          <w:tcPr>
            <w:tcW w:w="11080" w:type="dxa"/>
            <w:vAlign w:val="bottom"/>
            <w:gridSpan w:val="4"/>
          </w:tcPr>
          <w:p>
            <w:pPr>
              <w:ind w:left="180"/>
              <w:spacing w:after="0"/>
              <w:rPr>
                <w:rFonts w:ascii="Arial" w:cs="Arial" w:eastAsia="Arial" w:hAnsi="Arial"/>
                <w:sz w:val="18"/>
                <w:szCs w:val="18"/>
                <w:color w:val="231F20"/>
              </w:rPr>
            </w:pPr>
            <w:hyperlink w:anchor="page49">
              <w:r>
                <w:rPr>
                  <w:rFonts w:ascii="Arial" w:cs="Arial" w:eastAsia="Arial" w:hAnsi="Arial"/>
                  <w:sz w:val="18"/>
                  <w:szCs w:val="18"/>
                  <w:color w:val="231F20"/>
                </w:rPr>
                <w:t>Narrative to the Director Compensation Table</w:t>
              </w:r>
            </w:hyperlink>
          </w:p>
        </w:tc>
        <w:tc>
          <w:tcPr>
            <w:tcW w:w="340" w:type="dxa"/>
            <w:vAlign w:val="bottom"/>
          </w:tcPr>
          <w:p>
            <w:pPr>
              <w:jc w:val="right"/>
              <w:spacing w:after="0"/>
              <w:rPr>
                <w:rFonts w:ascii="Arial" w:cs="Arial" w:eastAsia="Arial" w:hAnsi="Arial"/>
                <w:sz w:val="18"/>
                <w:szCs w:val="18"/>
                <w:color w:val="231F20"/>
              </w:rPr>
            </w:pPr>
            <w:hyperlink w:anchor="page49">
              <w:r>
                <w:rPr>
                  <w:rFonts w:ascii="Arial" w:cs="Arial" w:eastAsia="Arial" w:hAnsi="Arial"/>
                  <w:sz w:val="18"/>
                  <w:szCs w:val="18"/>
                  <w:color w:val="231F20"/>
                </w:rPr>
                <w:t>46</w:t>
              </w:r>
            </w:hyperlink>
          </w:p>
        </w:tc>
        <w:tc>
          <w:tcPr>
            <w:tcW w:w="0" w:type="dxa"/>
            <w:vAlign w:val="bottom"/>
          </w:tcPr>
          <w:p>
            <w:pPr>
              <w:spacing w:after="0"/>
              <w:rPr>
                <w:sz w:val="1"/>
                <w:szCs w:val="1"/>
                <w:color w:val="auto"/>
              </w:rPr>
            </w:pPr>
          </w:p>
        </w:tc>
      </w:tr>
      <w:tr>
        <w:trPr>
          <w:trHeight w:val="391"/>
        </w:trPr>
        <w:tc>
          <w:tcPr>
            <w:tcW w:w="11080" w:type="dxa"/>
            <w:vAlign w:val="bottom"/>
            <w:gridSpan w:val="4"/>
          </w:tcPr>
          <w:p>
            <w:pPr>
              <w:spacing w:after="0"/>
              <w:rPr>
                <w:rFonts w:ascii="Arial" w:cs="Arial" w:eastAsia="Arial" w:hAnsi="Arial"/>
                <w:sz w:val="18"/>
                <w:szCs w:val="18"/>
                <w:b w:val="1"/>
                <w:bCs w:val="1"/>
                <w:color w:val="6F2875"/>
              </w:rPr>
            </w:pPr>
            <w:hyperlink w:anchor="page51">
              <w:r>
                <w:rPr>
                  <w:rFonts w:ascii="Arial" w:cs="Arial" w:eastAsia="Arial" w:hAnsi="Arial"/>
                  <w:sz w:val="18"/>
                  <w:szCs w:val="18"/>
                  <w:b w:val="1"/>
                  <w:bCs w:val="1"/>
                  <w:color w:val="6F2875"/>
                </w:rPr>
                <w:t>Audit Matters</w:t>
              </w:r>
            </w:hyperlink>
          </w:p>
        </w:tc>
        <w:tc>
          <w:tcPr>
            <w:tcW w:w="340" w:type="dxa"/>
            <w:vAlign w:val="bottom"/>
          </w:tcPr>
          <w:p>
            <w:pPr>
              <w:jc w:val="right"/>
              <w:spacing w:after="0"/>
              <w:rPr>
                <w:rFonts w:ascii="Arial" w:cs="Arial" w:eastAsia="Arial" w:hAnsi="Arial"/>
                <w:sz w:val="18"/>
                <w:szCs w:val="18"/>
                <w:b w:val="1"/>
                <w:bCs w:val="1"/>
                <w:color w:val="231F20"/>
              </w:rPr>
            </w:pPr>
            <w:hyperlink w:anchor="page51">
              <w:r>
                <w:rPr>
                  <w:rFonts w:ascii="Arial" w:cs="Arial" w:eastAsia="Arial" w:hAnsi="Arial"/>
                  <w:sz w:val="18"/>
                  <w:szCs w:val="18"/>
                  <w:b w:val="1"/>
                  <w:bCs w:val="1"/>
                  <w:color w:val="231F20"/>
                </w:rPr>
                <w:t>48</w:t>
              </w:r>
            </w:hyperlink>
          </w:p>
        </w:tc>
        <w:tc>
          <w:tcPr>
            <w:tcW w:w="0" w:type="dxa"/>
            <w:vAlign w:val="bottom"/>
          </w:tcPr>
          <w:p>
            <w:pPr>
              <w:spacing w:after="0"/>
              <w:rPr>
                <w:sz w:val="1"/>
                <w:szCs w:val="1"/>
                <w:color w:val="auto"/>
              </w:rPr>
            </w:pPr>
          </w:p>
        </w:tc>
      </w:tr>
      <w:tr>
        <w:trPr>
          <w:trHeight w:val="203"/>
        </w:trPr>
        <w:tc>
          <w:tcPr>
            <w:tcW w:w="11080" w:type="dxa"/>
            <w:vAlign w:val="bottom"/>
            <w:gridSpan w:val="4"/>
          </w:tcPr>
          <w:p>
            <w:pPr>
              <w:ind w:left="180"/>
              <w:spacing w:after="0" w:line="202" w:lineRule="exact"/>
              <w:rPr>
                <w:rFonts w:ascii="Arial" w:cs="Arial" w:eastAsia="Arial" w:hAnsi="Arial"/>
                <w:sz w:val="18"/>
                <w:szCs w:val="18"/>
                <w:color w:val="231F20"/>
              </w:rPr>
            </w:pPr>
            <w:hyperlink w:anchor="page51">
              <w:r>
                <w:rPr>
                  <w:rFonts w:ascii="Arial" w:cs="Arial" w:eastAsia="Arial" w:hAnsi="Arial"/>
                  <w:sz w:val="18"/>
                  <w:szCs w:val="18"/>
                  <w:color w:val="231F20"/>
                </w:rPr>
                <w:t>Changes in Independent Auditor</w:t>
              </w:r>
            </w:hyperlink>
          </w:p>
        </w:tc>
        <w:tc>
          <w:tcPr>
            <w:tcW w:w="340" w:type="dxa"/>
            <w:vAlign w:val="bottom"/>
          </w:tcPr>
          <w:p>
            <w:pPr>
              <w:jc w:val="right"/>
              <w:spacing w:after="0" w:line="202" w:lineRule="exact"/>
              <w:rPr>
                <w:rFonts w:ascii="Arial" w:cs="Arial" w:eastAsia="Arial" w:hAnsi="Arial"/>
                <w:sz w:val="18"/>
                <w:szCs w:val="18"/>
                <w:color w:val="231F20"/>
              </w:rPr>
            </w:pPr>
            <w:hyperlink w:anchor="page51">
              <w:r>
                <w:rPr>
                  <w:rFonts w:ascii="Arial" w:cs="Arial" w:eastAsia="Arial" w:hAnsi="Arial"/>
                  <w:sz w:val="18"/>
                  <w:szCs w:val="18"/>
                  <w:color w:val="231F20"/>
                </w:rPr>
                <w:t>48</w:t>
              </w:r>
            </w:hyperlink>
          </w:p>
        </w:tc>
        <w:tc>
          <w:tcPr>
            <w:tcW w:w="0" w:type="dxa"/>
            <w:vAlign w:val="bottom"/>
          </w:tcPr>
          <w:p>
            <w:pPr>
              <w:spacing w:after="0"/>
              <w:rPr>
                <w:sz w:val="1"/>
                <w:szCs w:val="1"/>
                <w:color w:val="auto"/>
              </w:rPr>
            </w:pPr>
          </w:p>
        </w:tc>
      </w:tr>
      <w:tr>
        <w:trPr>
          <w:trHeight w:val="203"/>
        </w:trPr>
        <w:tc>
          <w:tcPr>
            <w:tcW w:w="11080" w:type="dxa"/>
            <w:vAlign w:val="bottom"/>
            <w:gridSpan w:val="4"/>
          </w:tcPr>
          <w:p>
            <w:pPr>
              <w:ind w:left="180"/>
              <w:spacing w:after="0" w:line="202" w:lineRule="exact"/>
              <w:rPr>
                <w:rFonts w:ascii="Arial" w:cs="Arial" w:eastAsia="Arial" w:hAnsi="Arial"/>
                <w:sz w:val="18"/>
                <w:szCs w:val="18"/>
                <w:color w:val="231F20"/>
              </w:rPr>
            </w:pPr>
            <w:hyperlink w:anchor="page51">
              <w:r>
                <w:rPr>
                  <w:rFonts w:ascii="Arial" w:cs="Arial" w:eastAsia="Arial" w:hAnsi="Arial"/>
                  <w:sz w:val="18"/>
                  <w:szCs w:val="18"/>
                  <w:color w:val="231F20"/>
                </w:rPr>
                <w:t>Fees Paid to PricewaterhouseCoopers</w:t>
              </w:r>
            </w:hyperlink>
          </w:p>
        </w:tc>
        <w:tc>
          <w:tcPr>
            <w:tcW w:w="340" w:type="dxa"/>
            <w:vAlign w:val="bottom"/>
          </w:tcPr>
          <w:p>
            <w:pPr>
              <w:jc w:val="right"/>
              <w:spacing w:after="0" w:line="202" w:lineRule="exact"/>
              <w:rPr>
                <w:rFonts w:ascii="Arial" w:cs="Arial" w:eastAsia="Arial" w:hAnsi="Arial"/>
                <w:sz w:val="18"/>
                <w:szCs w:val="18"/>
                <w:color w:val="231F20"/>
              </w:rPr>
            </w:pPr>
            <w:hyperlink w:anchor="page51">
              <w:r>
                <w:rPr>
                  <w:rFonts w:ascii="Arial" w:cs="Arial" w:eastAsia="Arial" w:hAnsi="Arial"/>
                  <w:sz w:val="18"/>
                  <w:szCs w:val="18"/>
                  <w:color w:val="231F20"/>
                </w:rPr>
                <w:t>48</w:t>
              </w:r>
            </w:hyperlink>
          </w:p>
        </w:tc>
        <w:tc>
          <w:tcPr>
            <w:tcW w:w="0" w:type="dxa"/>
            <w:vAlign w:val="bottom"/>
          </w:tcPr>
          <w:p>
            <w:pPr>
              <w:spacing w:after="0"/>
              <w:rPr>
                <w:sz w:val="1"/>
                <w:szCs w:val="1"/>
                <w:color w:val="auto"/>
              </w:rPr>
            </w:pPr>
          </w:p>
        </w:tc>
      </w:tr>
      <w:tr>
        <w:trPr>
          <w:trHeight w:val="203"/>
        </w:trPr>
        <w:tc>
          <w:tcPr>
            <w:tcW w:w="11080" w:type="dxa"/>
            <w:vAlign w:val="bottom"/>
            <w:gridSpan w:val="4"/>
          </w:tcPr>
          <w:p>
            <w:pPr>
              <w:ind w:left="180"/>
              <w:spacing w:after="0" w:line="202" w:lineRule="exact"/>
              <w:rPr>
                <w:rFonts w:ascii="Arial" w:cs="Arial" w:eastAsia="Arial" w:hAnsi="Arial"/>
                <w:sz w:val="18"/>
                <w:szCs w:val="18"/>
                <w:color w:val="231F20"/>
              </w:rPr>
            </w:pPr>
            <w:hyperlink w:anchor="page52">
              <w:r>
                <w:rPr>
                  <w:rFonts w:ascii="Arial" w:cs="Arial" w:eastAsia="Arial" w:hAnsi="Arial"/>
                  <w:sz w:val="18"/>
                  <w:szCs w:val="18"/>
                  <w:color w:val="231F20"/>
                </w:rPr>
                <w:t>Pre-Approval Policies and Procedures</w:t>
              </w:r>
            </w:hyperlink>
          </w:p>
        </w:tc>
        <w:tc>
          <w:tcPr>
            <w:tcW w:w="340" w:type="dxa"/>
            <w:vAlign w:val="bottom"/>
          </w:tcPr>
          <w:p>
            <w:pPr>
              <w:jc w:val="right"/>
              <w:spacing w:after="0" w:line="202" w:lineRule="exact"/>
              <w:rPr>
                <w:rFonts w:ascii="Arial" w:cs="Arial" w:eastAsia="Arial" w:hAnsi="Arial"/>
                <w:sz w:val="18"/>
                <w:szCs w:val="18"/>
                <w:color w:val="231F20"/>
              </w:rPr>
            </w:pPr>
            <w:hyperlink w:anchor="page52">
              <w:r>
                <w:rPr>
                  <w:rFonts w:ascii="Arial" w:cs="Arial" w:eastAsia="Arial" w:hAnsi="Arial"/>
                  <w:sz w:val="18"/>
                  <w:szCs w:val="18"/>
                  <w:color w:val="231F20"/>
                </w:rPr>
                <w:t>49</w:t>
              </w:r>
            </w:hyperlink>
          </w:p>
        </w:tc>
        <w:tc>
          <w:tcPr>
            <w:tcW w:w="0" w:type="dxa"/>
            <w:vAlign w:val="bottom"/>
          </w:tcPr>
          <w:p>
            <w:pPr>
              <w:spacing w:after="0"/>
              <w:rPr>
                <w:sz w:val="1"/>
                <w:szCs w:val="1"/>
                <w:color w:val="auto"/>
              </w:rPr>
            </w:pPr>
          </w:p>
        </w:tc>
      </w:tr>
      <w:tr>
        <w:trPr>
          <w:trHeight w:val="217"/>
        </w:trPr>
        <w:tc>
          <w:tcPr>
            <w:tcW w:w="11080" w:type="dxa"/>
            <w:vAlign w:val="bottom"/>
            <w:gridSpan w:val="4"/>
          </w:tcPr>
          <w:p>
            <w:pPr>
              <w:ind w:left="180"/>
              <w:spacing w:after="0"/>
              <w:rPr>
                <w:rFonts w:ascii="Arial" w:cs="Arial" w:eastAsia="Arial" w:hAnsi="Arial"/>
                <w:sz w:val="18"/>
                <w:szCs w:val="18"/>
                <w:color w:val="231F20"/>
              </w:rPr>
            </w:pPr>
            <w:hyperlink w:anchor="page52">
              <w:r>
                <w:rPr>
                  <w:rFonts w:ascii="Arial" w:cs="Arial" w:eastAsia="Arial" w:hAnsi="Arial"/>
                  <w:sz w:val="18"/>
                  <w:szCs w:val="18"/>
                  <w:color w:val="231F20"/>
                </w:rPr>
                <w:t>Audit and Compliance Committee Report</w:t>
              </w:r>
            </w:hyperlink>
          </w:p>
        </w:tc>
        <w:tc>
          <w:tcPr>
            <w:tcW w:w="340" w:type="dxa"/>
            <w:vAlign w:val="bottom"/>
          </w:tcPr>
          <w:p>
            <w:pPr>
              <w:jc w:val="right"/>
              <w:spacing w:after="0"/>
              <w:rPr>
                <w:rFonts w:ascii="Arial" w:cs="Arial" w:eastAsia="Arial" w:hAnsi="Arial"/>
                <w:sz w:val="18"/>
                <w:szCs w:val="18"/>
                <w:color w:val="231F20"/>
              </w:rPr>
            </w:pPr>
            <w:hyperlink w:anchor="page52">
              <w:r>
                <w:rPr>
                  <w:rFonts w:ascii="Arial" w:cs="Arial" w:eastAsia="Arial" w:hAnsi="Arial"/>
                  <w:sz w:val="18"/>
                  <w:szCs w:val="18"/>
                  <w:color w:val="231F20"/>
                </w:rPr>
                <w:t>49</w:t>
              </w:r>
            </w:hyperlink>
          </w:p>
        </w:tc>
        <w:tc>
          <w:tcPr>
            <w:tcW w:w="0" w:type="dxa"/>
            <w:vAlign w:val="bottom"/>
          </w:tcPr>
          <w:p>
            <w:pPr>
              <w:spacing w:after="0"/>
              <w:rPr>
                <w:sz w:val="1"/>
                <w:szCs w:val="1"/>
                <w:color w:val="auto"/>
              </w:rPr>
            </w:pPr>
          </w:p>
        </w:tc>
      </w:tr>
      <w:tr>
        <w:trPr>
          <w:trHeight w:val="405"/>
        </w:trPr>
        <w:tc>
          <w:tcPr>
            <w:tcW w:w="11080" w:type="dxa"/>
            <w:vAlign w:val="bottom"/>
            <w:gridSpan w:val="4"/>
          </w:tcPr>
          <w:p>
            <w:pPr>
              <w:spacing w:after="0"/>
              <w:rPr>
                <w:rFonts w:ascii="Arial" w:cs="Arial" w:eastAsia="Arial" w:hAnsi="Arial"/>
                <w:sz w:val="18"/>
                <w:szCs w:val="18"/>
                <w:b w:val="1"/>
                <w:bCs w:val="1"/>
                <w:color w:val="6F2875"/>
              </w:rPr>
            </w:pPr>
            <w:hyperlink w:anchor="page53">
              <w:r>
                <w:rPr>
                  <w:rFonts w:ascii="Arial" w:cs="Arial" w:eastAsia="Arial" w:hAnsi="Arial"/>
                  <w:sz w:val="18"/>
                  <w:szCs w:val="18"/>
                  <w:b w:val="1"/>
                  <w:bCs w:val="1"/>
                  <w:color w:val="6F2875"/>
                </w:rPr>
                <w:t xml:space="preserve">Proposal 4  </w:t>
              </w:r>
              <w:r>
                <w:rPr>
                  <w:rFonts w:ascii="Arial" w:cs="Arial" w:eastAsia="Arial" w:hAnsi="Arial"/>
                  <w:sz w:val="18"/>
                  <w:szCs w:val="18"/>
                  <w:b w:val="1"/>
                  <w:bCs w:val="1"/>
                  <w:color w:val="818285"/>
                </w:rPr>
                <w:t>Ratification of the Appointment of PwC USA as the Company’s independent registered public accounting firm</w:t>
              </w:r>
            </w:hyperlink>
          </w:p>
        </w:tc>
        <w:tc>
          <w:tcPr>
            <w:tcW w:w="340" w:type="dxa"/>
            <w:vAlign w:val="bottom"/>
          </w:tcPr>
          <w:p>
            <w:pPr>
              <w:jc w:val="right"/>
              <w:spacing w:after="0"/>
              <w:rPr>
                <w:rFonts w:ascii="Arial" w:cs="Arial" w:eastAsia="Arial" w:hAnsi="Arial"/>
                <w:sz w:val="18"/>
                <w:szCs w:val="18"/>
                <w:b w:val="1"/>
                <w:bCs w:val="1"/>
                <w:color w:val="231F20"/>
              </w:rPr>
            </w:pPr>
            <w:hyperlink w:anchor="page53">
              <w:r>
                <w:rPr>
                  <w:rFonts w:ascii="Arial" w:cs="Arial" w:eastAsia="Arial" w:hAnsi="Arial"/>
                  <w:sz w:val="18"/>
                  <w:szCs w:val="18"/>
                  <w:b w:val="1"/>
                  <w:bCs w:val="1"/>
                  <w:color w:val="231F20"/>
                </w:rPr>
                <w:t>50</w:t>
              </w:r>
            </w:hyperlink>
          </w:p>
        </w:tc>
        <w:tc>
          <w:tcPr>
            <w:tcW w:w="0" w:type="dxa"/>
            <w:vAlign w:val="bottom"/>
          </w:tcPr>
          <w:p>
            <w:pPr>
              <w:spacing w:after="0"/>
              <w:rPr>
                <w:sz w:val="1"/>
                <w:szCs w:val="1"/>
                <w:color w:val="auto"/>
              </w:rPr>
            </w:pPr>
          </w:p>
        </w:tc>
      </w:tr>
      <w:tr>
        <w:trPr>
          <w:trHeight w:val="391"/>
        </w:trPr>
        <w:tc>
          <w:tcPr>
            <w:tcW w:w="11080" w:type="dxa"/>
            <w:vAlign w:val="bottom"/>
            <w:gridSpan w:val="4"/>
          </w:tcPr>
          <w:p>
            <w:pPr>
              <w:spacing w:after="0"/>
              <w:rPr>
                <w:rFonts w:ascii="Arial" w:cs="Arial" w:eastAsia="Arial" w:hAnsi="Arial"/>
                <w:sz w:val="18"/>
                <w:szCs w:val="18"/>
                <w:b w:val="1"/>
                <w:bCs w:val="1"/>
                <w:color w:val="6F2875"/>
              </w:rPr>
            </w:pPr>
            <w:hyperlink w:anchor="page54">
              <w:r>
                <w:rPr>
                  <w:rFonts w:ascii="Arial" w:cs="Arial" w:eastAsia="Arial" w:hAnsi="Arial"/>
                  <w:sz w:val="18"/>
                  <w:szCs w:val="18"/>
                  <w:b w:val="1"/>
                  <w:bCs w:val="1"/>
                  <w:color w:val="6F2875"/>
                </w:rPr>
                <w:t>Share Ownership Information</w:t>
              </w:r>
            </w:hyperlink>
          </w:p>
        </w:tc>
        <w:tc>
          <w:tcPr>
            <w:tcW w:w="340" w:type="dxa"/>
            <w:vAlign w:val="bottom"/>
          </w:tcPr>
          <w:p>
            <w:pPr>
              <w:jc w:val="right"/>
              <w:spacing w:after="0"/>
              <w:rPr>
                <w:rFonts w:ascii="Arial" w:cs="Arial" w:eastAsia="Arial" w:hAnsi="Arial"/>
                <w:sz w:val="18"/>
                <w:szCs w:val="18"/>
                <w:b w:val="1"/>
                <w:bCs w:val="1"/>
                <w:color w:val="231F20"/>
              </w:rPr>
            </w:pPr>
            <w:hyperlink w:anchor="page54">
              <w:r>
                <w:rPr>
                  <w:rFonts w:ascii="Arial" w:cs="Arial" w:eastAsia="Arial" w:hAnsi="Arial"/>
                  <w:sz w:val="18"/>
                  <w:szCs w:val="18"/>
                  <w:b w:val="1"/>
                  <w:bCs w:val="1"/>
                  <w:color w:val="231F20"/>
                </w:rPr>
                <w:t>51</w:t>
              </w:r>
            </w:hyperlink>
          </w:p>
        </w:tc>
        <w:tc>
          <w:tcPr>
            <w:tcW w:w="0" w:type="dxa"/>
            <w:vAlign w:val="bottom"/>
          </w:tcPr>
          <w:p>
            <w:pPr>
              <w:spacing w:after="0"/>
              <w:rPr>
                <w:sz w:val="1"/>
                <w:szCs w:val="1"/>
                <w:color w:val="auto"/>
              </w:rPr>
            </w:pPr>
          </w:p>
        </w:tc>
      </w:tr>
      <w:tr>
        <w:trPr>
          <w:trHeight w:val="217"/>
        </w:trPr>
        <w:tc>
          <w:tcPr>
            <w:tcW w:w="11080" w:type="dxa"/>
            <w:vAlign w:val="bottom"/>
            <w:gridSpan w:val="4"/>
          </w:tcPr>
          <w:p>
            <w:pPr>
              <w:ind w:left="180"/>
              <w:spacing w:after="0"/>
              <w:rPr>
                <w:rFonts w:ascii="Arial" w:cs="Arial" w:eastAsia="Arial" w:hAnsi="Arial"/>
                <w:sz w:val="18"/>
                <w:szCs w:val="18"/>
                <w:color w:val="231F20"/>
              </w:rPr>
            </w:pPr>
            <w:hyperlink w:anchor="page55">
              <w:r>
                <w:rPr>
                  <w:rFonts w:ascii="Arial" w:cs="Arial" w:eastAsia="Arial" w:hAnsi="Arial"/>
                  <w:sz w:val="18"/>
                  <w:szCs w:val="18"/>
                  <w:color w:val="231F20"/>
                </w:rPr>
                <w:t>Section 16(a) Beneficial Ownership Reporting</w:t>
              </w:r>
            </w:hyperlink>
          </w:p>
        </w:tc>
        <w:tc>
          <w:tcPr>
            <w:tcW w:w="340" w:type="dxa"/>
            <w:vAlign w:val="bottom"/>
          </w:tcPr>
          <w:p>
            <w:pPr>
              <w:jc w:val="right"/>
              <w:spacing w:after="0"/>
              <w:rPr>
                <w:rFonts w:ascii="Arial" w:cs="Arial" w:eastAsia="Arial" w:hAnsi="Arial"/>
                <w:sz w:val="18"/>
                <w:szCs w:val="18"/>
                <w:color w:val="231F20"/>
              </w:rPr>
            </w:pPr>
            <w:hyperlink w:anchor="page55">
              <w:r>
                <w:rPr>
                  <w:rFonts w:ascii="Arial" w:cs="Arial" w:eastAsia="Arial" w:hAnsi="Arial"/>
                  <w:sz w:val="18"/>
                  <w:szCs w:val="18"/>
                  <w:color w:val="231F20"/>
                </w:rPr>
                <w:t>52</w:t>
              </w:r>
            </w:hyperlink>
          </w:p>
        </w:tc>
        <w:tc>
          <w:tcPr>
            <w:tcW w:w="0" w:type="dxa"/>
            <w:vAlign w:val="bottom"/>
          </w:tcPr>
          <w:p>
            <w:pPr>
              <w:spacing w:after="0"/>
              <w:rPr>
                <w:sz w:val="1"/>
                <w:szCs w:val="1"/>
                <w:color w:val="auto"/>
              </w:rPr>
            </w:pPr>
          </w:p>
        </w:tc>
      </w:tr>
      <w:tr>
        <w:trPr>
          <w:trHeight w:val="391"/>
        </w:trPr>
        <w:tc>
          <w:tcPr>
            <w:tcW w:w="11080" w:type="dxa"/>
            <w:vAlign w:val="bottom"/>
            <w:gridSpan w:val="4"/>
          </w:tcPr>
          <w:p>
            <w:pPr>
              <w:spacing w:after="0"/>
              <w:rPr>
                <w:rFonts w:ascii="Arial" w:cs="Arial" w:eastAsia="Arial" w:hAnsi="Arial"/>
                <w:sz w:val="18"/>
                <w:szCs w:val="18"/>
                <w:b w:val="1"/>
                <w:bCs w:val="1"/>
                <w:color w:val="6F2875"/>
              </w:rPr>
            </w:pPr>
            <w:hyperlink w:anchor="page56">
              <w:r>
                <w:rPr>
                  <w:rFonts w:ascii="Arial" w:cs="Arial" w:eastAsia="Arial" w:hAnsi="Arial"/>
                  <w:sz w:val="18"/>
                  <w:szCs w:val="18"/>
                  <w:b w:val="1"/>
                  <w:bCs w:val="1"/>
                  <w:color w:val="6F2875"/>
                </w:rPr>
                <w:t>General Matters</w:t>
              </w:r>
            </w:hyperlink>
          </w:p>
        </w:tc>
        <w:tc>
          <w:tcPr>
            <w:tcW w:w="340" w:type="dxa"/>
            <w:vAlign w:val="bottom"/>
          </w:tcPr>
          <w:p>
            <w:pPr>
              <w:jc w:val="right"/>
              <w:spacing w:after="0"/>
              <w:rPr>
                <w:rFonts w:ascii="Arial" w:cs="Arial" w:eastAsia="Arial" w:hAnsi="Arial"/>
                <w:sz w:val="18"/>
                <w:szCs w:val="18"/>
                <w:b w:val="1"/>
                <w:bCs w:val="1"/>
                <w:color w:val="231F20"/>
              </w:rPr>
            </w:pPr>
            <w:hyperlink w:anchor="page56">
              <w:r>
                <w:rPr>
                  <w:rFonts w:ascii="Arial" w:cs="Arial" w:eastAsia="Arial" w:hAnsi="Arial"/>
                  <w:sz w:val="18"/>
                  <w:szCs w:val="18"/>
                  <w:b w:val="1"/>
                  <w:bCs w:val="1"/>
                  <w:color w:val="231F20"/>
                </w:rPr>
                <w:t>53</w:t>
              </w:r>
            </w:hyperlink>
          </w:p>
        </w:tc>
        <w:tc>
          <w:tcPr>
            <w:tcW w:w="0" w:type="dxa"/>
            <w:vAlign w:val="bottom"/>
          </w:tcPr>
          <w:p>
            <w:pPr>
              <w:spacing w:after="0"/>
              <w:rPr>
                <w:sz w:val="1"/>
                <w:szCs w:val="1"/>
                <w:color w:val="auto"/>
              </w:rPr>
            </w:pPr>
          </w:p>
        </w:tc>
      </w:tr>
      <w:tr>
        <w:trPr>
          <w:trHeight w:val="203"/>
        </w:trPr>
        <w:tc>
          <w:tcPr>
            <w:tcW w:w="11080" w:type="dxa"/>
            <w:vAlign w:val="bottom"/>
            <w:gridSpan w:val="4"/>
          </w:tcPr>
          <w:p>
            <w:pPr>
              <w:ind w:left="180"/>
              <w:spacing w:after="0" w:line="202" w:lineRule="exact"/>
              <w:rPr>
                <w:rFonts w:ascii="Arial" w:cs="Arial" w:eastAsia="Arial" w:hAnsi="Arial"/>
                <w:sz w:val="18"/>
                <w:szCs w:val="18"/>
                <w:color w:val="231F20"/>
              </w:rPr>
            </w:pPr>
            <w:hyperlink w:anchor="page56">
              <w:r>
                <w:rPr>
                  <w:rFonts w:ascii="Arial" w:cs="Arial" w:eastAsia="Arial" w:hAnsi="Arial"/>
                  <w:sz w:val="18"/>
                  <w:szCs w:val="18"/>
                  <w:color w:val="231F20"/>
                </w:rPr>
                <w:t>Shareholder Proposals for the 2019 AGM</w:t>
              </w:r>
            </w:hyperlink>
          </w:p>
        </w:tc>
        <w:tc>
          <w:tcPr>
            <w:tcW w:w="340" w:type="dxa"/>
            <w:vAlign w:val="bottom"/>
          </w:tcPr>
          <w:p>
            <w:pPr>
              <w:jc w:val="right"/>
              <w:spacing w:after="0" w:line="202" w:lineRule="exact"/>
              <w:rPr>
                <w:rFonts w:ascii="Arial" w:cs="Arial" w:eastAsia="Arial" w:hAnsi="Arial"/>
                <w:sz w:val="18"/>
                <w:szCs w:val="18"/>
                <w:color w:val="231F20"/>
              </w:rPr>
            </w:pPr>
            <w:hyperlink w:anchor="page56">
              <w:r>
                <w:rPr>
                  <w:rFonts w:ascii="Arial" w:cs="Arial" w:eastAsia="Arial" w:hAnsi="Arial"/>
                  <w:sz w:val="18"/>
                  <w:szCs w:val="18"/>
                  <w:color w:val="231F20"/>
                </w:rPr>
                <w:t>53</w:t>
              </w:r>
            </w:hyperlink>
          </w:p>
        </w:tc>
        <w:tc>
          <w:tcPr>
            <w:tcW w:w="0" w:type="dxa"/>
            <w:vAlign w:val="bottom"/>
          </w:tcPr>
          <w:p>
            <w:pPr>
              <w:spacing w:after="0"/>
              <w:rPr>
                <w:sz w:val="1"/>
                <w:szCs w:val="1"/>
                <w:color w:val="auto"/>
              </w:rPr>
            </w:pPr>
          </w:p>
        </w:tc>
      </w:tr>
      <w:tr>
        <w:trPr>
          <w:trHeight w:val="203"/>
        </w:trPr>
        <w:tc>
          <w:tcPr>
            <w:tcW w:w="11080" w:type="dxa"/>
            <w:vAlign w:val="bottom"/>
            <w:gridSpan w:val="4"/>
          </w:tcPr>
          <w:p>
            <w:pPr>
              <w:ind w:left="180"/>
              <w:spacing w:after="0" w:line="202" w:lineRule="exact"/>
              <w:rPr>
                <w:rFonts w:ascii="Arial" w:cs="Arial" w:eastAsia="Arial" w:hAnsi="Arial"/>
                <w:sz w:val="18"/>
                <w:szCs w:val="18"/>
                <w:color w:val="231F20"/>
              </w:rPr>
            </w:pPr>
            <w:hyperlink w:anchor="page56">
              <w:r>
                <w:rPr>
                  <w:rFonts w:ascii="Arial" w:cs="Arial" w:eastAsia="Arial" w:hAnsi="Arial"/>
                  <w:sz w:val="18"/>
                  <w:szCs w:val="18"/>
                  <w:color w:val="231F20"/>
                </w:rPr>
                <w:t>Saving Resources: Householding and Electronic Communications</w:t>
              </w:r>
            </w:hyperlink>
          </w:p>
        </w:tc>
        <w:tc>
          <w:tcPr>
            <w:tcW w:w="340" w:type="dxa"/>
            <w:vAlign w:val="bottom"/>
          </w:tcPr>
          <w:p>
            <w:pPr>
              <w:jc w:val="right"/>
              <w:spacing w:after="0" w:line="202" w:lineRule="exact"/>
              <w:rPr>
                <w:rFonts w:ascii="Arial" w:cs="Arial" w:eastAsia="Arial" w:hAnsi="Arial"/>
                <w:sz w:val="18"/>
                <w:szCs w:val="18"/>
                <w:color w:val="231F20"/>
              </w:rPr>
            </w:pPr>
            <w:hyperlink w:anchor="page56">
              <w:r>
                <w:rPr>
                  <w:rFonts w:ascii="Arial" w:cs="Arial" w:eastAsia="Arial" w:hAnsi="Arial"/>
                  <w:sz w:val="18"/>
                  <w:szCs w:val="18"/>
                  <w:color w:val="231F20"/>
                </w:rPr>
                <w:t>53</w:t>
              </w:r>
            </w:hyperlink>
          </w:p>
        </w:tc>
        <w:tc>
          <w:tcPr>
            <w:tcW w:w="0" w:type="dxa"/>
            <w:vAlign w:val="bottom"/>
          </w:tcPr>
          <w:p>
            <w:pPr>
              <w:spacing w:after="0"/>
              <w:rPr>
                <w:sz w:val="1"/>
                <w:szCs w:val="1"/>
                <w:color w:val="auto"/>
              </w:rPr>
            </w:pPr>
          </w:p>
        </w:tc>
      </w:tr>
      <w:tr>
        <w:trPr>
          <w:trHeight w:val="203"/>
        </w:trPr>
        <w:tc>
          <w:tcPr>
            <w:tcW w:w="11080" w:type="dxa"/>
            <w:vAlign w:val="bottom"/>
            <w:gridSpan w:val="4"/>
          </w:tcPr>
          <w:p>
            <w:pPr>
              <w:ind w:left="180"/>
              <w:spacing w:after="0" w:line="202" w:lineRule="exact"/>
              <w:rPr>
                <w:rFonts w:ascii="Arial" w:cs="Arial" w:eastAsia="Arial" w:hAnsi="Arial"/>
                <w:sz w:val="18"/>
                <w:szCs w:val="18"/>
                <w:color w:val="231F20"/>
              </w:rPr>
            </w:pPr>
            <w:hyperlink w:anchor="page57">
              <w:r>
                <w:rPr>
                  <w:rFonts w:ascii="Arial" w:cs="Arial" w:eastAsia="Arial" w:hAnsi="Arial"/>
                  <w:sz w:val="18"/>
                  <w:szCs w:val="18"/>
                  <w:color w:val="231F20"/>
                </w:rPr>
                <w:t>Annual Reports and Proxy Materials</w:t>
              </w:r>
            </w:hyperlink>
          </w:p>
        </w:tc>
        <w:tc>
          <w:tcPr>
            <w:tcW w:w="340" w:type="dxa"/>
            <w:vAlign w:val="bottom"/>
          </w:tcPr>
          <w:p>
            <w:pPr>
              <w:jc w:val="right"/>
              <w:spacing w:after="0" w:line="202" w:lineRule="exact"/>
              <w:rPr>
                <w:rFonts w:ascii="Arial" w:cs="Arial" w:eastAsia="Arial" w:hAnsi="Arial"/>
                <w:sz w:val="18"/>
                <w:szCs w:val="18"/>
                <w:color w:val="231F20"/>
              </w:rPr>
            </w:pPr>
            <w:hyperlink w:anchor="page57">
              <w:r>
                <w:rPr>
                  <w:rFonts w:ascii="Arial" w:cs="Arial" w:eastAsia="Arial" w:hAnsi="Arial"/>
                  <w:sz w:val="18"/>
                  <w:szCs w:val="18"/>
                  <w:color w:val="231F20"/>
                </w:rPr>
                <w:t>54</w:t>
              </w:r>
            </w:hyperlink>
          </w:p>
        </w:tc>
        <w:tc>
          <w:tcPr>
            <w:tcW w:w="0" w:type="dxa"/>
            <w:vAlign w:val="bottom"/>
          </w:tcPr>
          <w:p>
            <w:pPr>
              <w:spacing w:after="0"/>
              <w:rPr>
                <w:sz w:val="1"/>
                <w:szCs w:val="1"/>
                <w:color w:val="auto"/>
              </w:rPr>
            </w:pPr>
          </w:p>
        </w:tc>
      </w:tr>
      <w:tr>
        <w:trPr>
          <w:trHeight w:val="203"/>
        </w:trPr>
        <w:tc>
          <w:tcPr>
            <w:tcW w:w="11080" w:type="dxa"/>
            <w:vAlign w:val="bottom"/>
            <w:gridSpan w:val="4"/>
          </w:tcPr>
          <w:p>
            <w:pPr>
              <w:ind w:left="180"/>
              <w:spacing w:after="0" w:line="202" w:lineRule="exact"/>
              <w:rPr>
                <w:rFonts w:ascii="Arial" w:cs="Arial" w:eastAsia="Arial" w:hAnsi="Arial"/>
                <w:sz w:val="18"/>
                <w:szCs w:val="18"/>
                <w:color w:val="231F20"/>
              </w:rPr>
            </w:pPr>
            <w:hyperlink w:anchor="page57">
              <w:r>
                <w:rPr>
                  <w:rFonts w:ascii="Arial" w:cs="Arial" w:eastAsia="Arial" w:hAnsi="Arial"/>
                  <w:sz w:val="18"/>
                  <w:szCs w:val="18"/>
                  <w:color w:val="231F20"/>
                </w:rPr>
                <w:t>Expenses of Solicitation</w:t>
              </w:r>
            </w:hyperlink>
          </w:p>
        </w:tc>
        <w:tc>
          <w:tcPr>
            <w:tcW w:w="340" w:type="dxa"/>
            <w:vAlign w:val="bottom"/>
          </w:tcPr>
          <w:p>
            <w:pPr>
              <w:jc w:val="right"/>
              <w:spacing w:after="0" w:line="202" w:lineRule="exact"/>
              <w:rPr>
                <w:rFonts w:ascii="Arial" w:cs="Arial" w:eastAsia="Arial" w:hAnsi="Arial"/>
                <w:sz w:val="18"/>
                <w:szCs w:val="18"/>
                <w:color w:val="231F20"/>
              </w:rPr>
            </w:pPr>
            <w:hyperlink w:anchor="page57">
              <w:r>
                <w:rPr>
                  <w:rFonts w:ascii="Arial" w:cs="Arial" w:eastAsia="Arial" w:hAnsi="Arial"/>
                  <w:sz w:val="18"/>
                  <w:szCs w:val="18"/>
                  <w:color w:val="231F20"/>
                </w:rPr>
                <w:t>54</w:t>
              </w:r>
            </w:hyperlink>
          </w:p>
        </w:tc>
        <w:tc>
          <w:tcPr>
            <w:tcW w:w="0" w:type="dxa"/>
            <w:vAlign w:val="bottom"/>
          </w:tcPr>
          <w:p>
            <w:pPr>
              <w:spacing w:after="0"/>
              <w:rPr>
                <w:sz w:val="1"/>
                <w:szCs w:val="1"/>
                <w:color w:val="auto"/>
              </w:rPr>
            </w:pPr>
          </w:p>
        </w:tc>
      </w:tr>
      <w:tr>
        <w:trPr>
          <w:trHeight w:val="203"/>
        </w:trPr>
        <w:tc>
          <w:tcPr>
            <w:tcW w:w="11080" w:type="dxa"/>
            <w:vAlign w:val="bottom"/>
            <w:gridSpan w:val="4"/>
          </w:tcPr>
          <w:p>
            <w:pPr>
              <w:ind w:left="180"/>
              <w:spacing w:after="0" w:line="202" w:lineRule="exact"/>
              <w:rPr>
                <w:rFonts w:ascii="Arial" w:cs="Arial" w:eastAsia="Arial" w:hAnsi="Arial"/>
                <w:sz w:val="18"/>
                <w:szCs w:val="18"/>
                <w:color w:val="231F20"/>
              </w:rPr>
            </w:pPr>
            <w:hyperlink w:anchor="page58">
              <w:r>
                <w:rPr>
                  <w:rFonts w:ascii="Arial" w:cs="Arial" w:eastAsia="Arial" w:hAnsi="Arial"/>
                  <w:sz w:val="18"/>
                  <w:szCs w:val="18"/>
                  <w:color w:val="231F20"/>
                </w:rPr>
                <w:t>Frequently Asked Questions About the AGM</w:t>
              </w:r>
            </w:hyperlink>
          </w:p>
        </w:tc>
        <w:tc>
          <w:tcPr>
            <w:tcW w:w="340" w:type="dxa"/>
            <w:vAlign w:val="bottom"/>
          </w:tcPr>
          <w:p>
            <w:pPr>
              <w:jc w:val="right"/>
              <w:spacing w:after="0" w:line="202" w:lineRule="exact"/>
              <w:rPr>
                <w:rFonts w:ascii="Arial" w:cs="Arial" w:eastAsia="Arial" w:hAnsi="Arial"/>
                <w:sz w:val="18"/>
                <w:szCs w:val="18"/>
                <w:color w:val="231F20"/>
              </w:rPr>
            </w:pPr>
            <w:hyperlink w:anchor="page58">
              <w:r>
                <w:rPr>
                  <w:rFonts w:ascii="Arial" w:cs="Arial" w:eastAsia="Arial" w:hAnsi="Arial"/>
                  <w:sz w:val="18"/>
                  <w:szCs w:val="18"/>
                  <w:color w:val="231F20"/>
                </w:rPr>
                <w:t>55</w:t>
              </w:r>
            </w:hyperlink>
          </w:p>
        </w:tc>
        <w:tc>
          <w:tcPr>
            <w:tcW w:w="0" w:type="dxa"/>
            <w:vAlign w:val="bottom"/>
          </w:tcPr>
          <w:p>
            <w:pPr>
              <w:spacing w:after="0"/>
              <w:rPr>
                <w:sz w:val="1"/>
                <w:szCs w:val="1"/>
                <w:color w:val="auto"/>
              </w:rPr>
            </w:pPr>
          </w:p>
        </w:tc>
      </w:tr>
      <w:tr>
        <w:trPr>
          <w:trHeight w:val="217"/>
        </w:trPr>
        <w:tc>
          <w:tcPr>
            <w:tcW w:w="11080" w:type="dxa"/>
            <w:vAlign w:val="bottom"/>
            <w:gridSpan w:val="4"/>
          </w:tcPr>
          <w:p>
            <w:pPr>
              <w:ind w:left="180"/>
              <w:spacing w:after="0"/>
              <w:rPr>
                <w:rFonts w:ascii="Arial" w:cs="Arial" w:eastAsia="Arial" w:hAnsi="Arial"/>
                <w:sz w:val="18"/>
                <w:szCs w:val="18"/>
                <w:color w:val="231F20"/>
              </w:rPr>
            </w:pPr>
            <w:hyperlink w:anchor="page62">
              <w:r>
                <w:rPr>
                  <w:rFonts w:ascii="Arial" w:cs="Arial" w:eastAsia="Arial" w:hAnsi="Arial"/>
                  <w:sz w:val="18"/>
                  <w:szCs w:val="18"/>
                  <w:color w:val="231F20"/>
                </w:rPr>
                <w:t>Other Business</w:t>
              </w:r>
            </w:hyperlink>
          </w:p>
        </w:tc>
        <w:tc>
          <w:tcPr>
            <w:tcW w:w="340" w:type="dxa"/>
            <w:vAlign w:val="bottom"/>
          </w:tcPr>
          <w:p>
            <w:pPr>
              <w:jc w:val="right"/>
              <w:spacing w:after="0"/>
              <w:rPr>
                <w:rFonts w:ascii="Arial" w:cs="Arial" w:eastAsia="Arial" w:hAnsi="Arial"/>
                <w:sz w:val="18"/>
                <w:szCs w:val="18"/>
                <w:color w:val="231F20"/>
              </w:rPr>
            </w:pPr>
            <w:hyperlink w:anchor="page62">
              <w:r>
                <w:rPr>
                  <w:rFonts w:ascii="Arial" w:cs="Arial" w:eastAsia="Arial" w:hAnsi="Arial"/>
                  <w:sz w:val="18"/>
                  <w:szCs w:val="18"/>
                  <w:color w:val="231F20"/>
                </w:rPr>
                <w:t>59</w:t>
              </w:r>
            </w:hyperlink>
          </w:p>
        </w:tc>
        <w:tc>
          <w:tcPr>
            <w:tcW w:w="0" w:type="dxa"/>
            <w:vAlign w:val="bottom"/>
          </w:tcPr>
          <w:p>
            <w:pPr>
              <w:spacing w:after="0"/>
              <w:rPr>
                <w:sz w:val="1"/>
                <w:szCs w:val="1"/>
                <w:color w:val="auto"/>
              </w:rPr>
            </w:pPr>
          </w:p>
        </w:tc>
      </w:tr>
      <w:tr>
        <w:trPr>
          <w:trHeight w:val="405"/>
        </w:trPr>
        <w:tc>
          <w:tcPr>
            <w:tcW w:w="11080" w:type="dxa"/>
            <w:vAlign w:val="bottom"/>
            <w:gridSpan w:val="4"/>
          </w:tcPr>
          <w:p>
            <w:pPr>
              <w:spacing w:after="0"/>
              <w:rPr>
                <w:rFonts w:ascii="Arial" w:cs="Arial" w:eastAsia="Arial" w:hAnsi="Arial"/>
                <w:sz w:val="18"/>
                <w:szCs w:val="18"/>
                <w:b w:val="1"/>
                <w:bCs w:val="1"/>
                <w:color w:val="6F2875"/>
              </w:rPr>
            </w:pPr>
            <w:hyperlink w:anchor="page63">
              <w:r>
                <w:rPr>
                  <w:rFonts w:ascii="Arial" w:cs="Arial" w:eastAsia="Arial" w:hAnsi="Arial"/>
                  <w:sz w:val="18"/>
                  <w:szCs w:val="18"/>
                  <w:b w:val="1"/>
                  <w:bCs w:val="1"/>
                  <w:color w:val="6F2875"/>
                </w:rPr>
                <w:t xml:space="preserve">Proposal 5  </w:t>
              </w:r>
              <w:r>
                <w:rPr>
                  <w:rFonts w:ascii="Arial" w:cs="Arial" w:eastAsia="Arial" w:hAnsi="Arial"/>
                  <w:sz w:val="18"/>
                  <w:szCs w:val="18"/>
                  <w:b w:val="1"/>
                  <w:bCs w:val="1"/>
                  <w:color w:val="818285"/>
                </w:rPr>
                <w:t>Advisory Vote to Approve the UK Directors’ Remuneration Report</w:t>
              </w:r>
            </w:hyperlink>
          </w:p>
        </w:tc>
        <w:tc>
          <w:tcPr>
            <w:tcW w:w="340" w:type="dxa"/>
            <w:vAlign w:val="bottom"/>
          </w:tcPr>
          <w:p>
            <w:pPr>
              <w:jc w:val="right"/>
              <w:spacing w:after="0"/>
              <w:rPr>
                <w:rFonts w:ascii="Arial" w:cs="Arial" w:eastAsia="Arial" w:hAnsi="Arial"/>
                <w:sz w:val="18"/>
                <w:szCs w:val="18"/>
                <w:b w:val="1"/>
                <w:bCs w:val="1"/>
                <w:color w:val="231F20"/>
              </w:rPr>
            </w:pPr>
            <w:hyperlink w:anchor="page63">
              <w:r>
                <w:rPr>
                  <w:rFonts w:ascii="Arial" w:cs="Arial" w:eastAsia="Arial" w:hAnsi="Arial"/>
                  <w:sz w:val="18"/>
                  <w:szCs w:val="18"/>
                  <w:b w:val="1"/>
                  <w:bCs w:val="1"/>
                  <w:color w:val="231F20"/>
                </w:rPr>
                <w:t>60</w:t>
              </w:r>
            </w:hyperlink>
          </w:p>
        </w:tc>
        <w:tc>
          <w:tcPr>
            <w:tcW w:w="0" w:type="dxa"/>
            <w:vAlign w:val="bottom"/>
          </w:tcPr>
          <w:p>
            <w:pPr>
              <w:spacing w:after="0"/>
              <w:rPr>
                <w:sz w:val="1"/>
                <w:szCs w:val="1"/>
                <w:color w:val="auto"/>
              </w:rPr>
            </w:pPr>
          </w:p>
        </w:tc>
      </w:tr>
      <w:tr>
        <w:trPr>
          <w:trHeight w:val="405"/>
        </w:trPr>
        <w:tc>
          <w:tcPr>
            <w:tcW w:w="11080" w:type="dxa"/>
            <w:vAlign w:val="bottom"/>
            <w:gridSpan w:val="4"/>
          </w:tcPr>
          <w:p>
            <w:pPr>
              <w:spacing w:after="0"/>
              <w:rPr>
                <w:rFonts w:ascii="Arial" w:cs="Arial" w:eastAsia="Arial" w:hAnsi="Arial"/>
                <w:sz w:val="18"/>
                <w:szCs w:val="18"/>
                <w:b w:val="1"/>
                <w:bCs w:val="1"/>
                <w:color w:val="6F2875"/>
              </w:rPr>
            </w:pPr>
            <w:hyperlink w:anchor="page64">
              <w:r>
                <w:rPr>
                  <w:rFonts w:ascii="Arial" w:cs="Arial" w:eastAsia="Arial" w:hAnsi="Arial"/>
                  <w:sz w:val="18"/>
                  <w:szCs w:val="18"/>
                  <w:b w:val="1"/>
                  <w:bCs w:val="1"/>
                  <w:color w:val="6F2875"/>
                </w:rPr>
                <w:t xml:space="preserve">Proposal 6  </w:t>
              </w:r>
              <w:r>
                <w:rPr>
                  <w:rFonts w:ascii="Arial" w:cs="Arial" w:eastAsia="Arial" w:hAnsi="Arial"/>
                  <w:sz w:val="18"/>
                  <w:szCs w:val="18"/>
                  <w:b w:val="1"/>
                  <w:bCs w:val="1"/>
                  <w:color w:val="818285"/>
                </w:rPr>
                <w:t>Global Employee Share Purchase Plan (“ESPP”)</w:t>
              </w:r>
            </w:hyperlink>
          </w:p>
        </w:tc>
        <w:tc>
          <w:tcPr>
            <w:tcW w:w="340" w:type="dxa"/>
            <w:vAlign w:val="bottom"/>
          </w:tcPr>
          <w:p>
            <w:pPr>
              <w:jc w:val="right"/>
              <w:spacing w:after="0"/>
              <w:rPr>
                <w:rFonts w:ascii="Arial" w:cs="Arial" w:eastAsia="Arial" w:hAnsi="Arial"/>
                <w:sz w:val="18"/>
                <w:szCs w:val="18"/>
                <w:b w:val="1"/>
                <w:bCs w:val="1"/>
                <w:color w:val="231F20"/>
              </w:rPr>
            </w:pPr>
            <w:hyperlink w:anchor="page64">
              <w:r>
                <w:rPr>
                  <w:rFonts w:ascii="Arial" w:cs="Arial" w:eastAsia="Arial" w:hAnsi="Arial"/>
                  <w:sz w:val="18"/>
                  <w:szCs w:val="18"/>
                  <w:b w:val="1"/>
                  <w:bCs w:val="1"/>
                  <w:color w:val="231F20"/>
                </w:rPr>
                <w:t>61</w:t>
              </w:r>
            </w:hyperlink>
          </w:p>
        </w:tc>
        <w:tc>
          <w:tcPr>
            <w:tcW w:w="0" w:type="dxa"/>
            <w:vAlign w:val="bottom"/>
          </w:tcPr>
          <w:p>
            <w:pPr>
              <w:spacing w:after="0"/>
              <w:rPr>
                <w:sz w:val="1"/>
                <w:szCs w:val="1"/>
                <w:color w:val="auto"/>
              </w:rPr>
            </w:pPr>
          </w:p>
        </w:tc>
      </w:tr>
      <w:tr>
        <w:trPr>
          <w:trHeight w:val="405"/>
        </w:trPr>
        <w:tc>
          <w:tcPr>
            <w:tcW w:w="11080" w:type="dxa"/>
            <w:vAlign w:val="bottom"/>
            <w:gridSpan w:val="4"/>
          </w:tcPr>
          <w:p>
            <w:pPr>
              <w:spacing w:after="0"/>
              <w:rPr>
                <w:rFonts w:ascii="Arial" w:cs="Arial" w:eastAsia="Arial" w:hAnsi="Arial"/>
                <w:sz w:val="18"/>
                <w:szCs w:val="18"/>
                <w:b w:val="1"/>
                <w:bCs w:val="1"/>
                <w:color w:val="6F2875"/>
              </w:rPr>
            </w:pPr>
            <w:hyperlink w:anchor="page65">
              <w:r>
                <w:rPr>
                  <w:rFonts w:ascii="Arial" w:cs="Arial" w:eastAsia="Arial" w:hAnsi="Arial"/>
                  <w:sz w:val="18"/>
                  <w:szCs w:val="18"/>
                  <w:b w:val="1"/>
                  <w:bCs w:val="1"/>
                  <w:color w:val="6F2875"/>
                </w:rPr>
                <w:t xml:space="preserve">Proposal 7  </w:t>
              </w:r>
              <w:r>
                <w:rPr>
                  <w:rFonts w:ascii="Arial" w:cs="Arial" w:eastAsia="Arial" w:hAnsi="Arial"/>
                  <w:sz w:val="18"/>
                  <w:szCs w:val="18"/>
                  <w:b w:val="1"/>
                  <w:bCs w:val="1"/>
                  <w:color w:val="818285"/>
                </w:rPr>
                <w:t>To Receive and Adopt the UK Annual Report and Accounts</w:t>
              </w:r>
            </w:hyperlink>
          </w:p>
        </w:tc>
        <w:tc>
          <w:tcPr>
            <w:tcW w:w="340" w:type="dxa"/>
            <w:vAlign w:val="bottom"/>
          </w:tcPr>
          <w:p>
            <w:pPr>
              <w:jc w:val="right"/>
              <w:spacing w:after="0"/>
              <w:rPr>
                <w:rFonts w:ascii="Arial" w:cs="Arial" w:eastAsia="Arial" w:hAnsi="Arial"/>
                <w:sz w:val="18"/>
                <w:szCs w:val="18"/>
                <w:b w:val="1"/>
                <w:bCs w:val="1"/>
                <w:color w:val="231F20"/>
              </w:rPr>
            </w:pPr>
            <w:hyperlink w:anchor="page65">
              <w:r>
                <w:rPr>
                  <w:rFonts w:ascii="Arial" w:cs="Arial" w:eastAsia="Arial" w:hAnsi="Arial"/>
                  <w:sz w:val="18"/>
                  <w:szCs w:val="18"/>
                  <w:b w:val="1"/>
                  <w:bCs w:val="1"/>
                  <w:color w:val="231F20"/>
                </w:rPr>
                <w:t>62</w:t>
              </w:r>
            </w:hyperlink>
          </w:p>
        </w:tc>
        <w:tc>
          <w:tcPr>
            <w:tcW w:w="0" w:type="dxa"/>
            <w:vAlign w:val="bottom"/>
          </w:tcPr>
          <w:p>
            <w:pPr>
              <w:spacing w:after="0"/>
              <w:rPr>
                <w:sz w:val="1"/>
                <w:szCs w:val="1"/>
                <w:color w:val="auto"/>
              </w:rPr>
            </w:pPr>
          </w:p>
        </w:tc>
      </w:tr>
      <w:tr>
        <w:trPr>
          <w:trHeight w:val="405"/>
        </w:trPr>
        <w:tc>
          <w:tcPr>
            <w:tcW w:w="11080" w:type="dxa"/>
            <w:vAlign w:val="bottom"/>
            <w:gridSpan w:val="4"/>
          </w:tcPr>
          <w:p>
            <w:pPr>
              <w:spacing w:after="0"/>
              <w:rPr>
                <w:rFonts w:ascii="Arial" w:cs="Arial" w:eastAsia="Arial" w:hAnsi="Arial"/>
                <w:sz w:val="18"/>
                <w:szCs w:val="18"/>
                <w:b w:val="1"/>
                <w:bCs w:val="1"/>
                <w:color w:val="6F2875"/>
              </w:rPr>
            </w:pPr>
            <w:hyperlink w:anchor="page66">
              <w:r>
                <w:rPr>
                  <w:rFonts w:ascii="Arial" w:cs="Arial" w:eastAsia="Arial" w:hAnsi="Arial"/>
                  <w:sz w:val="18"/>
                  <w:szCs w:val="18"/>
                  <w:b w:val="1"/>
                  <w:bCs w:val="1"/>
                  <w:color w:val="6F2875"/>
                </w:rPr>
                <w:t xml:space="preserve">Proposal 8  </w:t>
              </w:r>
              <w:r>
                <w:rPr>
                  <w:rFonts w:ascii="Arial" w:cs="Arial" w:eastAsia="Arial" w:hAnsi="Arial"/>
                  <w:sz w:val="18"/>
                  <w:szCs w:val="18"/>
                  <w:b w:val="1"/>
                  <w:bCs w:val="1"/>
                  <w:color w:val="818285"/>
                </w:rPr>
                <w:t>Re-appointment of PricewaterhouseCoopers LLP as the Company’s UK Statutory Auditor</w:t>
              </w:r>
            </w:hyperlink>
          </w:p>
        </w:tc>
        <w:tc>
          <w:tcPr>
            <w:tcW w:w="340" w:type="dxa"/>
            <w:vAlign w:val="bottom"/>
          </w:tcPr>
          <w:p>
            <w:pPr>
              <w:jc w:val="right"/>
              <w:spacing w:after="0"/>
              <w:rPr>
                <w:rFonts w:ascii="Arial" w:cs="Arial" w:eastAsia="Arial" w:hAnsi="Arial"/>
                <w:sz w:val="18"/>
                <w:szCs w:val="18"/>
                <w:b w:val="1"/>
                <w:bCs w:val="1"/>
                <w:color w:val="231F20"/>
              </w:rPr>
            </w:pPr>
            <w:hyperlink w:anchor="page66">
              <w:r>
                <w:rPr>
                  <w:rFonts w:ascii="Arial" w:cs="Arial" w:eastAsia="Arial" w:hAnsi="Arial"/>
                  <w:sz w:val="18"/>
                  <w:szCs w:val="18"/>
                  <w:b w:val="1"/>
                  <w:bCs w:val="1"/>
                  <w:color w:val="231F20"/>
                </w:rPr>
                <w:t>63</w:t>
              </w:r>
            </w:hyperlink>
          </w:p>
        </w:tc>
        <w:tc>
          <w:tcPr>
            <w:tcW w:w="0" w:type="dxa"/>
            <w:vAlign w:val="bottom"/>
          </w:tcPr>
          <w:p>
            <w:pPr>
              <w:spacing w:after="0"/>
              <w:rPr>
                <w:sz w:val="1"/>
                <w:szCs w:val="1"/>
                <w:color w:val="auto"/>
              </w:rPr>
            </w:pPr>
          </w:p>
        </w:tc>
      </w:tr>
      <w:tr>
        <w:trPr>
          <w:trHeight w:val="369"/>
        </w:trPr>
        <w:tc>
          <w:tcPr>
            <w:tcW w:w="11080" w:type="dxa"/>
            <w:vAlign w:val="bottom"/>
            <w:gridSpan w:val="4"/>
          </w:tcPr>
          <w:p>
            <w:pPr>
              <w:spacing w:after="0"/>
              <w:rPr>
                <w:rFonts w:ascii="Arial" w:cs="Arial" w:eastAsia="Arial" w:hAnsi="Arial"/>
                <w:sz w:val="18"/>
                <w:szCs w:val="18"/>
                <w:b w:val="1"/>
                <w:bCs w:val="1"/>
                <w:color w:val="6F2875"/>
              </w:rPr>
            </w:pPr>
            <w:hyperlink w:anchor="page67">
              <w:r>
                <w:rPr>
                  <w:rFonts w:ascii="Arial" w:cs="Arial" w:eastAsia="Arial" w:hAnsi="Arial"/>
                  <w:sz w:val="18"/>
                  <w:szCs w:val="18"/>
                  <w:b w:val="1"/>
                  <w:bCs w:val="1"/>
                  <w:color w:val="6F2875"/>
                </w:rPr>
                <w:t xml:space="preserve">Proposal 9  </w:t>
              </w:r>
              <w:r>
                <w:rPr>
                  <w:rFonts w:ascii="Arial" w:cs="Arial" w:eastAsia="Arial" w:hAnsi="Arial"/>
                  <w:sz w:val="18"/>
                  <w:szCs w:val="18"/>
                  <w:b w:val="1"/>
                  <w:bCs w:val="1"/>
                  <w:color w:val="818285"/>
                </w:rPr>
                <w:t>Authorization of the Directors and/or the Audit and Compliance Committee to Determine the Remuneration of</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920" w:type="dxa"/>
            <w:vAlign w:val="bottom"/>
          </w:tcPr>
          <w:p>
            <w:pPr>
              <w:spacing w:after="0"/>
              <w:rPr>
                <w:sz w:val="20"/>
                <w:szCs w:val="20"/>
                <w:color w:val="auto"/>
              </w:rPr>
            </w:pPr>
          </w:p>
        </w:tc>
        <w:tc>
          <w:tcPr>
            <w:tcW w:w="10160" w:type="dxa"/>
            <w:vAlign w:val="bottom"/>
            <w:gridSpan w:val="3"/>
          </w:tcPr>
          <w:p>
            <w:pPr>
              <w:ind w:left="160"/>
              <w:spacing w:after="0"/>
              <w:rPr>
                <w:rFonts w:ascii="Arial" w:cs="Arial" w:eastAsia="Arial" w:hAnsi="Arial"/>
                <w:sz w:val="18"/>
                <w:szCs w:val="18"/>
                <w:b w:val="1"/>
                <w:bCs w:val="1"/>
                <w:color w:val="818285"/>
              </w:rPr>
            </w:pPr>
            <w:hyperlink w:anchor="page67">
              <w:r>
                <w:rPr>
                  <w:rFonts w:ascii="Arial" w:cs="Arial" w:eastAsia="Arial" w:hAnsi="Arial"/>
                  <w:sz w:val="18"/>
                  <w:szCs w:val="18"/>
                  <w:b w:val="1"/>
                  <w:bCs w:val="1"/>
                  <w:color w:val="818285"/>
                </w:rPr>
                <w:t>PwC UK in its Capacity as UK Statutory Auditor</w:t>
              </w:r>
            </w:hyperlink>
          </w:p>
        </w:tc>
        <w:tc>
          <w:tcPr>
            <w:tcW w:w="340" w:type="dxa"/>
            <w:vAlign w:val="bottom"/>
          </w:tcPr>
          <w:p>
            <w:pPr>
              <w:jc w:val="right"/>
              <w:spacing w:after="0"/>
              <w:rPr>
                <w:rFonts w:ascii="Arial" w:cs="Arial" w:eastAsia="Arial" w:hAnsi="Arial"/>
                <w:sz w:val="18"/>
                <w:szCs w:val="18"/>
                <w:b w:val="1"/>
                <w:bCs w:val="1"/>
                <w:color w:val="231F20"/>
              </w:rPr>
            </w:pPr>
            <w:hyperlink w:anchor="page67">
              <w:r>
                <w:rPr>
                  <w:rFonts w:ascii="Arial" w:cs="Arial" w:eastAsia="Arial" w:hAnsi="Arial"/>
                  <w:sz w:val="18"/>
                  <w:szCs w:val="18"/>
                  <w:b w:val="1"/>
                  <w:bCs w:val="1"/>
                  <w:color w:val="231F20"/>
                </w:rPr>
                <w:t>64</w:t>
              </w:r>
            </w:hyperlink>
          </w:p>
        </w:tc>
        <w:tc>
          <w:tcPr>
            <w:tcW w:w="0" w:type="dxa"/>
            <w:vAlign w:val="bottom"/>
          </w:tcPr>
          <w:p>
            <w:pPr>
              <w:spacing w:after="0"/>
              <w:rPr>
                <w:sz w:val="1"/>
                <w:szCs w:val="1"/>
                <w:color w:val="auto"/>
              </w:rPr>
            </w:pPr>
          </w:p>
        </w:tc>
      </w:tr>
      <w:tr>
        <w:trPr>
          <w:trHeight w:val="405"/>
        </w:trPr>
        <w:tc>
          <w:tcPr>
            <w:tcW w:w="920" w:type="dxa"/>
            <w:vAlign w:val="bottom"/>
          </w:tcPr>
          <w:p>
            <w:pPr>
              <w:spacing w:after="0"/>
              <w:rPr>
                <w:rFonts w:ascii="Arial" w:cs="Arial" w:eastAsia="Arial" w:hAnsi="Arial"/>
                <w:sz w:val="18"/>
                <w:szCs w:val="18"/>
                <w:b w:val="1"/>
                <w:bCs w:val="1"/>
                <w:color w:val="6F2875"/>
              </w:rPr>
            </w:pPr>
            <w:hyperlink w:anchor="page68">
              <w:r>
                <w:rPr>
                  <w:rFonts w:ascii="Arial" w:cs="Arial" w:eastAsia="Arial" w:hAnsi="Arial"/>
                  <w:sz w:val="18"/>
                  <w:szCs w:val="18"/>
                  <w:b w:val="1"/>
                  <w:bCs w:val="1"/>
                  <w:color w:val="6F2875"/>
                </w:rPr>
                <w:t>Annex A</w:t>
              </w:r>
            </w:hyperlink>
          </w:p>
        </w:tc>
        <w:tc>
          <w:tcPr>
            <w:tcW w:w="10160" w:type="dxa"/>
            <w:vAlign w:val="bottom"/>
            <w:gridSpan w:val="3"/>
          </w:tcPr>
          <w:p>
            <w:pPr>
              <w:ind w:left="160"/>
              <w:spacing w:after="0"/>
              <w:rPr>
                <w:rFonts w:ascii="Arial" w:cs="Arial" w:eastAsia="Arial" w:hAnsi="Arial"/>
                <w:sz w:val="18"/>
                <w:szCs w:val="18"/>
                <w:b w:val="1"/>
                <w:bCs w:val="1"/>
                <w:color w:val="818285"/>
              </w:rPr>
            </w:pPr>
            <w:hyperlink w:anchor="page68">
              <w:r>
                <w:rPr>
                  <w:rFonts w:ascii="Arial" w:cs="Arial" w:eastAsia="Arial" w:hAnsi="Arial"/>
                  <w:sz w:val="18"/>
                  <w:szCs w:val="18"/>
                  <w:b w:val="1"/>
                  <w:bCs w:val="1"/>
                  <w:color w:val="818285"/>
                </w:rPr>
                <w:t>LivaNova Global Employee Share Purchase Plan</w:t>
              </w:r>
            </w:hyperlink>
          </w:p>
        </w:tc>
        <w:tc>
          <w:tcPr>
            <w:tcW w:w="340" w:type="dxa"/>
            <w:vAlign w:val="bottom"/>
          </w:tcPr>
          <w:p>
            <w:pPr>
              <w:jc w:val="right"/>
              <w:spacing w:after="0"/>
              <w:rPr>
                <w:rFonts w:ascii="Arial" w:cs="Arial" w:eastAsia="Arial" w:hAnsi="Arial"/>
                <w:sz w:val="18"/>
                <w:szCs w:val="18"/>
                <w:b w:val="1"/>
                <w:bCs w:val="1"/>
                <w:color w:val="231F20"/>
              </w:rPr>
            </w:pPr>
            <w:hyperlink w:anchor="page68">
              <w:r>
                <w:rPr>
                  <w:rFonts w:ascii="Arial" w:cs="Arial" w:eastAsia="Arial" w:hAnsi="Arial"/>
                  <w:sz w:val="18"/>
                  <w:szCs w:val="18"/>
                  <w:b w:val="1"/>
                  <w:bCs w:val="1"/>
                  <w:color w:val="231F20"/>
                </w:rPr>
                <w:t>65</w:t>
              </w:r>
            </w:hyperlink>
          </w:p>
        </w:tc>
        <w:tc>
          <w:tcPr>
            <w:tcW w:w="0" w:type="dxa"/>
            <w:vAlign w:val="bottom"/>
          </w:tcPr>
          <w:p>
            <w:pPr>
              <w:spacing w:after="0"/>
              <w:rPr>
                <w:sz w:val="1"/>
                <w:szCs w:val="1"/>
                <w:color w:val="auto"/>
              </w:rPr>
            </w:pPr>
          </w:p>
        </w:tc>
      </w:tr>
      <w:tr>
        <w:trPr>
          <w:trHeight w:val="405"/>
        </w:trPr>
        <w:tc>
          <w:tcPr>
            <w:tcW w:w="920" w:type="dxa"/>
            <w:vAlign w:val="bottom"/>
          </w:tcPr>
          <w:p>
            <w:pPr>
              <w:spacing w:after="0"/>
              <w:rPr>
                <w:rFonts w:ascii="Arial" w:cs="Arial" w:eastAsia="Arial" w:hAnsi="Arial"/>
                <w:sz w:val="18"/>
                <w:szCs w:val="18"/>
                <w:b w:val="1"/>
                <w:bCs w:val="1"/>
                <w:color w:val="6F2875"/>
              </w:rPr>
            </w:pPr>
            <w:hyperlink w:anchor="page71">
              <w:r>
                <w:rPr>
                  <w:rFonts w:ascii="Arial" w:cs="Arial" w:eastAsia="Arial" w:hAnsi="Arial"/>
                  <w:sz w:val="18"/>
                  <w:szCs w:val="18"/>
                  <w:b w:val="1"/>
                  <w:bCs w:val="1"/>
                  <w:color w:val="6F2875"/>
                </w:rPr>
                <w:t>Annex B</w:t>
              </w:r>
            </w:hyperlink>
          </w:p>
        </w:tc>
        <w:tc>
          <w:tcPr>
            <w:tcW w:w="10160" w:type="dxa"/>
            <w:vAlign w:val="bottom"/>
            <w:gridSpan w:val="3"/>
          </w:tcPr>
          <w:p>
            <w:pPr>
              <w:ind w:left="160"/>
              <w:spacing w:after="0"/>
              <w:rPr>
                <w:rFonts w:ascii="Arial" w:cs="Arial" w:eastAsia="Arial" w:hAnsi="Arial"/>
                <w:sz w:val="18"/>
                <w:szCs w:val="18"/>
                <w:b w:val="1"/>
                <w:bCs w:val="1"/>
                <w:color w:val="818285"/>
              </w:rPr>
            </w:pPr>
            <w:hyperlink w:anchor="page71">
              <w:r>
                <w:rPr>
                  <w:rFonts w:ascii="Arial" w:cs="Arial" w:eastAsia="Arial" w:hAnsi="Arial"/>
                  <w:sz w:val="18"/>
                  <w:szCs w:val="18"/>
                  <w:b w:val="1"/>
                  <w:bCs w:val="1"/>
                  <w:color w:val="818285"/>
                </w:rPr>
                <w:t>Non-GAAP Reconciliations</w:t>
              </w:r>
            </w:hyperlink>
          </w:p>
        </w:tc>
        <w:tc>
          <w:tcPr>
            <w:tcW w:w="340" w:type="dxa"/>
            <w:vAlign w:val="bottom"/>
          </w:tcPr>
          <w:p>
            <w:pPr>
              <w:jc w:val="right"/>
              <w:spacing w:after="0"/>
              <w:rPr>
                <w:rFonts w:ascii="Arial" w:cs="Arial" w:eastAsia="Arial" w:hAnsi="Arial"/>
                <w:sz w:val="18"/>
                <w:szCs w:val="18"/>
                <w:b w:val="1"/>
                <w:bCs w:val="1"/>
                <w:color w:val="231F20"/>
              </w:rPr>
            </w:pPr>
            <w:hyperlink w:anchor="page71">
              <w:r>
                <w:rPr>
                  <w:rFonts w:ascii="Arial" w:cs="Arial" w:eastAsia="Arial" w:hAnsi="Arial"/>
                  <w:sz w:val="18"/>
                  <w:szCs w:val="18"/>
                  <w:b w:val="1"/>
                  <w:bCs w:val="1"/>
                  <w:color w:val="231F20"/>
                </w:rPr>
                <w:t>68</w:t>
              </w:r>
            </w:hyperlink>
          </w:p>
        </w:tc>
        <w:tc>
          <w:tcPr>
            <w:tcW w:w="0" w:type="dxa"/>
            <w:vAlign w:val="bottom"/>
          </w:tcPr>
          <w:p>
            <w:pPr>
              <w:spacing w:after="0"/>
              <w:rPr>
                <w:sz w:val="1"/>
                <w:szCs w:val="1"/>
                <w:color w:val="auto"/>
              </w:rPr>
            </w:pPr>
          </w:p>
        </w:tc>
      </w:tr>
      <w:tr>
        <w:trPr>
          <w:trHeight w:val="311"/>
        </w:trPr>
        <w:tc>
          <w:tcPr>
            <w:tcW w:w="9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24"/>
                <w:szCs w:val="2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69"/>
        </w:trPr>
        <w:tc>
          <w:tcPr>
            <w:tcW w:w="9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920" w:type="dxa"/>
            <w:vAlign w:val="bottom"/>
            <w:tcBorders>
              <w:bottom w:val="single" w:sz="8" w:color="C0C0C0"/>
            </w:tcBorders>
          </w:tcPr>
          <w:p>
            <w:pPr>
              <w:spacing w:after="0"/>
              <w:rPr>
                <w:sz w:val="24"/>
                <w:szCs w:val="24"/>
                <w:color w:val="auto"/>
              </w:rPr>
            </w:pPr>
          </w:p>
        </w:tc>
        <w:tc>
          <w:tcPr>
            <w:tcW w:w="308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79" w:right="239" w:bottom="333"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60"/>
        <w:spacing w:after="0" w:line="215" w:lineRule="auto"/>
        <w:rPr>
          <w:sz w:val="20"/>
          <w:szCs w:val="20"/>
          <w:color w:val="auto"/>
        </w:rPr>
      </w:pPr>
      <w:r>
        <w:rPr>
          <w:rFonts w:ascii="Arial" w:cs="Arial" w:eastAsia="Arial" w:hAnsi="Arial"/>
          <w:sz w:val="76"/>
          <w:szCs w:val="76"/>
          <w:b w:val="1"/>
          <w:bCs w:val="1"/>
          <w:color w:val="6F2875"/>
        </w:rPr>
        <w:t xml:space="preserve">Notice </w:t>
      </w:r>
      <w:r>
        <w:rPr>
          <w:rFonts w:ascii="Arial" w:cs="Arial" w:eastAsia="Arial" w:hAnsi="Arial"/>
          <w:sz w:val="50"/>
          <w:szCs w:val="50"/>
          <w:b w:val="1"/>
          <w:bCs w:val="1"/>
          <w:color w:val="818285"/>
        </w:rPr>
        <w:t>of 2018 Annual General Meeting of</w:t>
      </w:r>
      <w:r>
        <w:rPr>
          <w:rFonts w:ascii="Arial" w:cs="Arial" w:eastAsia="Arial" w:hAnsi="Arial"/>
          <w:sz w:val="76"/>
          <w:szCs w:val="76"/>
          <w:b w:val="1"/>
          <w:bCs w:val="1"/>
          <w:color w:val="6F2875"/>
        </w:rPr>
        <w:t xml:space="preserve"> </w:t>
      </w:r>
      <w:r>
        <w:rPr>
          <w:rFonts w:ascii="Arial" w:cs="Arial" w:eastAsia="Arial" w:hAnsi="Arial"/>
          <w:sz w:val="50"/>
          <w:szCs w:val="50"/>
          <w:b w:val="1"/>
          <w:bCs w:val="1"/>
          <w:color w:val="818285"/>
        </w:rPr>
        <w:t>Shareholders</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Notice is hereby given that the 2018 Annual General Meeting (the “AGM”) of Shareholders of LivaNova Plc, a public limited company having its registered office at 20 Eastbourne Terrace London W2 6LG, United Kingdom and incorporated in England and Wales with company number 09451374 (“LivaNova” or the “Company”) will be held as follows: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6F2875"/>
        </w:rPr>
        <w:t>Meeting Information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6F2875"/>
        </w:rPr>
        <w:t>TUESDAY, JUNE 12, 2018</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9:00 AM Central Standard Time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Offices of Locke Lord LLP</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600 Travis Street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JPMorgan Chase Tower, Suite 2800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Houston, TX 77002, USA</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6F2875"/>
        </w:rPr>
        <w:t>Online: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www.meetingcenter.io/239829366</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(Password: LIVN2018)</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6F2875"/>
        </w:rPr>
        <w:t>Record date: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April 19, 2018 (at 6:00 PM Central Standard Time)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6F2875"/>
        </w:rPr>
        <w:t>Who Can Attend and Proxy Appointment</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 xml:space="preserve">Record and beneficial holders as of the Record Date may attend. A member who is entitled to attend and vote is entitled to appoint another person (or two or more persons in respect of different ordinary shares nominal value £1 per share (each, an “Ordinary Share”) held by them), as his proxy to exercise all or any of his rights to attend, speak and vote at the meeting. For information on appointing a proxy, see our </w:t>
      </w:r>
      <w:r>
        <w:rPr>
          <w:rFonts w:ascii="Arial" w:cs="Arial" w:eastAsia="Arial" w:hAnsi="Arial"/>
          <w:sz w:val="16"/>
          <w:szCs w:val="16"/>
          <w:i w:val="1"/>
          <w:iCs w:val="1"/>
          <w:color w:val="231F20"/>
        </w:rPr>
        <w:t>Frequently Asked Questions about the AGM.</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6F2875"/>
        </w:rPr>
        <w:t>Items of Business</w:t>
      </w:r>
    </w:p>
    <w:p>
      <w:pPr>
        <w:spacing w:after="0" w:line="21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6"/>
          <w:szCs w:val="16"/>
          <w:b w:val="1"/>
          <w:bCs w:val="1"/>
          <w:color w:val="6F2875"/>
        </w:rPr>
      </w:pPr>
      <w:r>
        <w:rPr>
          <w:rFonts w:ascii="Arial" w:cs="Arial" w:eastAsia="Arial" w:hAnsi="Arial"/>
          <w:sz w:val="16"/>
          <w:szCs w:val="16"/>
          <w:color w:val="231F20"/>
        </w:rPr>
        <w:t>To elect, by separate resolutions, each of the following nine (9) directors for a term expiring at the AGM to be held in 2019:</w:t>
      </w:r>
    </w:p>
    <w:p>
      <w:pPr>
        <w:spacing w:after="0" w:line="5" w:lineRule="exact"/>
        <w:rPr>
          <w:rFonts w:ascii="Arial" w:cs="Arial" w:eastAsia="Arial" w:hAnsi="Arial"/>
          <w:sz w:val="16"/>
          <w:szCs w:val="16"/>
          <w:b w:val="1"/>
          <w:bCs w:val="1"/>
          <w:color w:val="6F2875"/>
        </w:rPr>
      </w:pPr>
    </w:p>
    <w:p>
      <w:pPr>
        <w:ind w:left="660" w:hanging="328"/>
        <w:spacing w:after="0"/>
        <w:tabs>
          <w:tab w:leader="none" w:pos="660" w:val="left"/>
        </w:tabs>
        <w:numPr>
          <w:ilvl w:val="1"/>
          <w:numId w:val="3"/>
        </w:numPr>
        <w:rPr>
          <w:rFonts w:ascii="Arial" w:cs="Arial" w:eastAsia="Arial" w:hAnsi="Arial"/>
          <w:sz w:val="16"/>
          <w:szCs w:val="16"/>
          <w:b w:val="1"/>
          <w:bCs w:val="1"/>
          <w:color w:val="6F2875"/>
        </w:rPr>
      </w:pPr>
      <w:r>
        <w:rPr>
          <w:rFonts w:ascii="Arial" w:cs="Arial" w:eastAsia="Arial" w:hAnsi="Arial"/>
          <w:sz w:val="16"/>
          <w:szCs w:val="16"/>
          <w:color w:val="231F20"/>
        </w:rPr>
        <w:t>Mr. Francesco Bianchi</w:t>
      </w:r>
    </w:p>
    <w:p>
      <w:pPr>
        <w:spacing w:after="0" w:line="18" w:lineRule="exact"/>
        <w:rPr>
          <w:rFonts w:ascii="Arial" w:cs="Arial" w:eastAsia="Arial" w:hAnsi="Arial"/>
          <w:sz w:val="16"/>
          <w:szCs w:val="16"/>
          <w:b w:val="1"/>
          <w:bCs w:val="1"/>
          <w:color w:val="6F2875"/>
        </w:rPr>
      </w:pPr>
    </w:p>
    <w:p>
      <w:pPr>
        <w:ind w:left="660" w:hanging="328"/>
        <w:spacing w:after="0"/>
        <w:tabs>
          <w:tab w:leader="none" w:pos="660" w:val="left"/>
        </w:tabs>
        <w:numPr>
          <w:ilvl w:val="1"/>
          <w:numId w:val="3"/>
        </w:numPr>
        <w:rPr>
          <w:rFonts w:ascii="Arial" w:cs="Arial" w:eastAsia="Arial" w:hAnsi="Arial"/>
          <w:sz w:val="16"/>
          <w:szCs w:val="16"/>
          <w:b w:val="1"/>
          <w:bCs w:val="1"/>
          <w:color w:val="6F2875"/>
        </w:rPr>
      </w:pPr>
      <w:r>
        <w:rPr>
          <w:rFonts w:ascii="Arial" w:cs="Arial" w:eastAsia="Arial" w:hAnsi="Arial"/>
          <w:sz w:val="16"/>
          <w:szCs w:val="16"/>
          <w:color w:val="231F20"/>
        </w:rPr>
        <w:t>Mr. William A. Kozy</w:t>
      </w:r>
    </w:p>
    <w:p>
      <w:pPr>
        <w:spacing w:after="0" w:line="18" w:lineRule="exact"/>
        <w:rPr>
          <w:rFonts w:ascii="Arial" w:cs="Arial" w:eastAsia="Arial" w:hAnsi="Arial"/>
          <w:sz w:val="16"/>
          <w:szCs w:val="16"/>
          <w:b w:val="1"/>
          <w:bCs w:val="1"/>
          <w:color w:val="6F2875"/>
        </w:rPr>
      </w:pPr>
    </w:p>
    <w:p>
      <w:pPr>
        <w:ind w:left="660" w:hanging="328"/>
        <w:spacing w:after="0"/>
        <w:tabs>
          <w:tab w:leader="none" w:pos="660" w:val="left"/>
        </w:tabs>
        <w:numPr>
          <w:ilvl w:val="1"/>
          <w:numId w:val="3"/>
        </w:numPr>
        <w:rPr>
          <w:rFonts w:ascii="Arial" w:cs="Arial" w:eastAsia="Arial" w:hAnsi="Arial"/>
          <w:sz w:val="16"/>
          <w:szCs w:val="16"/>
          <w:b w:val="1"/>
          <w:bCs w:val="1"/>
          <w:color w:val="6F2875"/>
        </w:rPr>
      </w:pPr>
      <w:r>
        <w:rPr>
          <w:rFonts w:ascii="Arial" w:cs="Arial" w:eastAsia="Arial" w:hAnsi="Arial"/>
          <w:sz w:val="16"/>
          <w:szCs w:val="16"/>
          <w:color w:val="231F20"/>
        </w:rPr>
        <w:t>Mr. Damien McDonald</w:t>
      </w:r>
    </w:p>
    <w:p>
      <w:pPr>
        <w:spacing w:after="0" w:line="18" w:lineRule="exact"/>
        <w:rPr>
          <w:rFonts w:ascii="Arial" w:cs="Arial" w:eastAsia="Arial" w:hAnsi="Arial"/>
          <w:sz w:val="16"/>
          <w:szCs w:val="16"/>
          <w:b w:val="1"/>
          <w:bCs w:val="1"/>
          <w:color w:val="6F2875"/>
        </w:rPr>
      </w:pPr>
    </w:p>
    <w:p>
      <w:pPr>
        <w:ind w:left="660" w:hanging="328"/>
        <w:spacing w:after="0"/>
        <w:tabs>
          <w:tab w:leader="none" w:pos="660" w:val="left"/>
        </w:tabs>
        <w:numPr>
          <w:ilvl w:val="1"/>
          <w:numId w:val="3"/>
        </w:numPr>
        <w:rPr>
          <w:rFonts w:ascii="Arial" w:cs="Arial" w:eastAsia="Arial" w:hAnsi="Arial"/>
          <w:sz w:val="16"/>
          <w:szCs w:val="16"/>
          <w:b w:val="1"/>
          <w:bCs w:val="1"/>
          <w:color w:val="6F2875"/>
        </w:rPr>
      </w:pPr>
      <w:r>
        <w:rPr>
          <w:rFonts w:ascii="Arial" w:cs="Arial" w:eastAsia="Arial" w:hAnsi="Arial"/>
          <w:sz w:val="16"/>
          <w:szCs w:val="16"/>
          <w:color w:val="231F20"/>
        </w:rPr>
        <w:t>Mr. Daniel J. Moore</w:t>
      </w:r>
    </w:p>
    <w:p>
      <w:pPr>
        <w:spacing w:after="0" w:line="18" w:lineRule="exact"/>
        <w:rPr>
          <w:rFonts w:ascii="Arial" w:cs="Arial" w:eastAsia="Arial" w:hAnsi="Arial"/>
          <w:sz w:val="16"/>
          <w:szCs w:val="16"/>
          <w:b w:val="1"/>
          <w:bCs w:val="1"/>
          <w:color w:val="6F2875"/>
        </w:rPr>
      </w:pPr>
    </w:p>
    <w:p>
      <w:pPr>
        <w:ind w:left="660" w:hanging="328"/>
        <w:spacing w:after="0"/>
        <w:tabs>
          <w:tab w:leader="none" w:pos="660" w:val="left"/>
        </w:tabs>
        <w:numPr>
          <w:ilvl w:val="1"/>
          <w:numId w:val="3"/>
        </w:numPr>
        <w:rPr>
          <w:rFonts w:ascii="Arial" w:cs="Arial" w:eastAsia="Arial" w:hAnsi="Arial"/>
          <w:sz w:val="16"/>
          <w:szCs w:val="16"/>
          <w:b w:val="1"/>
          <w:bCs w:val="1"/>
          <w:color w:val="6F2875"/>
        </w:rPr>
      </w:pPr>
      <w:r>
        <w:rPr>
          <w:rFonts w:ascii="Arial" w:cs="Arial" w:eastAsia="Arial" w:hAnsi="Arial"/>
          <w:sz w:val="16"/>
          <w:szCs w:val="16"/>
          <w:color w:val="231F20"/>
        </w:rPr>
        <w:t>Mr. Hugh M. Morrison</w:t>
      </w:r>
    </w:p>
    <w:p>
      <w:pPr>
        <w:spacing w:after="0" w:line="18" w:lineRule="exact"/>
        <w:rPr>
          <w:rFonts w:ascii="Arial" w:cs="Arial" w:eastAsia="Arial" w:hAnsi="Arial"/>
          <w:sz w:val="16"/>
          <w:szCs w:val="16"/>
          <w:b w:val="1"/>
          <w:bCs w:val="1"/>
          <w:color w:val="6F2875"/>
        </w:rPr>
      </w:pPr>
    </w:p>
    <w:p>
      <w:pPr>
        <w:ind w:left="660" w:hanging="328"/>
        <w:spacing w:after="0"/>
        <w:tabs>
          <w:tab w:leader="none" w:pos="660" w:val="left"/>
        </w:tabs>
        <w:numPr>
          <w:ilvl w:val="1"/>
          <w:numId w:val="3"/>
        </w:numPr>
        <w:rPr>
          <w:rFonts w:ascii="Arial" w:cs="Arial" w:eastAsia="Arial" w:hAnsi="Arial"/>
          <w:sz w:val="16"/>
          <w:szCs w:val="16"/>
          <w:b w:val="1"/>
          <w:bCs w:val="1"/>
          <w:color w:val="6F2875"/>
        </w:rPr>
      </w:pPr>
      <w:r>
        <w:rPr>
          <w:rFonts w:ascii="Arial" w:cs="Arial" w:eastAsia="Arial" w:hAnsi="Arial"/>
          <w:sz w:val="16"/>
          <w:szCs w:val="16"/>
          <w:color w:val="231F20"/>
        </w:rPr>
        <w:t>Mr. Alfred J. Novak</w:t>
      </w:r>
    </w:p>
    <w:p>
      <w:pPr>
        <w:spacing w:after="0" w:line="18" w:lineRule="exact"/>
        <w:rPr>
          <w:rFonts w:ascii="Arial" w:cs="Arial" w:eastAsia="Arial" w:hAnsi="Arial"/>
          <w:sz w:val="16"/>
          <w:szCs w:val="16"/>
          <w:b w:val="1"/>
          <w:bCs w:val="1"/>
          <w:color w:val="6F2875"/>
        </w:rPr>
      </w:pPr>
    </w:p>
    <w:p>
      <w:pPr>
        <w:ind w:left="660" w:hanging="328"/>
        <w:spacing w:after="0"/>
        <w:tabs>
          <w:tab w:leader="none" w:pos="660" w:val="left"/>
        </w:tabs>
        <w:numPr>
          <w:ilvl w:val="1"/>
          <w:numId w:val="3"/>
        </w:numPr>
        <w:rPr>
          <w:rFonts w:ascii="Arial" w:cs="Arial" w:eastAsia="Arial" w:hAnsi="Arial"/>
          <w:sz w:val="16"/>
          <w:szCs w:val="16"/>
          <w:b w:val="1"/>
          <w:bCs w:val="1"/>
          <w:color w:val="6F2875"/>
        </w:rPr>
      </w:pPr>
      <w:r>
        <w:rPr>
          <w:rFonts w:ascii="Arial" w:cs="Arial" w:eastAsia="Arial" w:hAnsi="Arial"/>
          <w:sz w:val="16"/>
          <w:szCs w:val="16"/>
          <w:color w:val="231F20"/>
        </w:rPr>
        <w:t>Dr. Sharon O’Kane</w:t>
      </w:r>
    </w:p>
    <w:p>
      <w:pPr>
        <w:spacing w:after="0" w:line="18" w:lineRule="exact"/>
        <w:rPr>
          <w:rFonts w:ascii="Arial" w:cs="Arial" w:eastAsia="Arial" w:hAnsi="Arial"/>
          <w:sz w:val="16"/>
          <w:szCs w:val="16"/>
          <w:b w:val="1"/>
          <w:bCs w:val="1"/>
          <w:color w:val="6F2875"/>
        </w:rPr>
      </w:pPr>
    </w:p>
    <w:p>
      <w:pPr>
        <w:ind w:left="660" w:hanging="328"/>
        <w:spacing w:after="0"/>
        <w:tabs>
          <w:tab w:leader="none" w:pos="660" w:val="left"/>
        </w:tabs>
        <w:numPr>
          <w:ilvl w:val="1"/>
          <w:numId w:val="3"/>
        </w:numPr>
        <w:rPr>
          <w:rFonts w:ascii="Arial" w:cs="Arial" w:eastAsia="Arial" w:hAnsi="Arial"/>
          <w:sz w:val="16"/>
          <w:szCs w:val="16"/>
          <w:b w:val="1"/>
          <w:bCs w:val="1"/>
          <w:color w:val="6F2875"/>
        </w:rPr>
      </w:pPr>
      <w:r>
        <w:rPr>
          <w:rFonts w:ascii="Arial" w:cs="Arial" w:eastAsia="Arial" w:hAnsi="Arial"/>
          <w:sz w:val="16"/>
          <w:szCs w:val="16"/>
          <w:color w:val="231F20"/>
        </w:rPr>
        <w:t>Dr. Arthur L. Rosenthal</w:t>
      </w:r>
    </w:p>
    <w:p>
      <w:pPr>
        <w:spacing w:after="0" w:line="18" w:lineRule="exact"/>
        <w:rPr>
          <w:rFonts w:ascii="Arial" w:cs="Arial" w:eastAsia="Arial" w:hAnsi="Arial"/>
          <w:sz w:val="16"/>
          <w:szCs w:val="16"/>
          <w:b w:val="1"/>
          <w:bCs w:val="1"/>
          <w:color w:val="6F2875"/>
        </w:rPr>
      </w:pPr>
    </w:p>
    <w:p>
      <w:pPr>
        <w:ind w:left="660" w:hanging="328"/>
        <w:spacing w:after="0"/>
        <w:tabs>
          <w:tab w:leader="none" w:pos="660" w:val="left"/>
        </w:tabs>
        <w:numPr>
          <w:ilvl w:val="1"/>
          <w:numId w:val="3"/>
        </w:numPr>
        <w:rPr>
          <w:rFonts w:ascii="Arial" w:cs="Arial" w:eastAsia="Arial" w:hAnsi="Arial"/>
          <w:sz w:val="16"/>
          <w:szCs w:val="16"/>
          <w:b w:val="1"/>
          <w:bCs w:val="1"/>
          <w:color w:val="6F2875"/>
        </w:rPr>
      </w:pPr>
      <w:r>
        <w:rPr>
          <w:rFonts w:ascii="Arial" w:cs="Arial" w:eastAsia="Arial" w:hAnsi="Arial"/>
          <w:sz w:val="16"/>
          <w:szCs w:val="16"/>
          <w:color w:val="231F20"/>
        </w:rPr>
        <w:t>Ms. Andrea L. Saia</w:t>
      </w:r>
    </w:p>
    <w:p>
      <w:pPr>
        <w:spacing w:after="0" w:line="18" w:lineRule="exact"/>
        <w:rPr>
          <w:rFonts w:ascii="Arial" w:cs="Arial" w:eastAsia="Arial" w:hAnsi="Arial"/>
          <w:sz w:val="16"/>
          <w:szCs w:val="16"/>
          <w:b w:val="1"/>
          <w:bCs w:val="1"/>
          <w:color w:val="6F2875"/>
        </w:rPr>
      </w:pPr>
    </w:p>
    <w:p>
      <w:pPr>
        <w:ind w:left="340" w:hanging="332"/>
        <w:spacing w:after="0"/>
        <w:tabs>
          <w:tab w:leader="none" w:pos="340" w:val="left"/>
        </w:tabs>
        <w:numPr>
          <w:ilvl w:val="0"/>
          <w:numId w:val="3"/>
        </w:numPr>
        <w:rPr>
          <w:rFonts w:ascii="Arial" w:cs="Arial" w:eastAsia="Arial" w:hAnsi="Arial"/>
          <w:sz w:val="16"/>
          <w:szCs w:val="16"/>
          <w:b w:val="1"/>
          <w:bCs w:val="1"/>
          <w:color w:val="6F2875"/>
        </w:rPr>
      </w:pPr>
      <w:r>
        <w:rPr>
          <w:rFonts w:ascii="Arial" w:cs="Arial" w:eastAsia="Arial" w:hAnsi="Arial"/>
          <w:sz w:val="16"/>
          <w:szCs w:val="16"/>
          <w:color w:val="231F20"/>
        </w:rPr>
        <w:t>To approve, on an advisory basis, the frequency of US Say-on-Pay votes (“US Say-on-Frequency”)</w:t>
      </w:r>
    </w:p>
    <w:p>
      <w:pPr>
        <w:spacing w:after="0" w:line="5" w:lineRule="exact"/>
        <w:rPr>
          <w:rFonts w:ascii="Arial" w:cs="Arial" w:eastAsia="Arial" w:hAnsi="Arial"/>
          <w:sz w:val="16"/>
          <w:szCs w:val="16"/>
          <w:b w:val="1"/>
          <w:bCs w:val="1"/>
          <w:color w:val="6F2875"/>
        </w:rPr>
      </w:pPr>
    </w:p>
    <w:p>
      <w:pPr>
        <w:ind w:left="340" w:hanging="332"/>
        <w:spacing w:after="0"/>
        <w:tabs>
          <w:tab w:leader="none" w:pos="340" w:val="left"/>
        </w:tabs>
        <w:numPr>
          <w:ilvl w:val="0"/>
          <w:numId w:val="3"/>
        </w:numPr>
        <w:rPr>
          <w:rFonts w:ascii="Arial" w:cs="Arial" w:eastAsia="Arial" w:hAnsi="Arial"/>
          <w:sz w:val="16"/>
          <w:szCs w:val="16"/>
          <w:b w:val="1"/>
          <w:bCs w:val="1"/>
          <w:color w:val="6F2875"/>
        </w:rPr>
      </w:pPr>
      <w:r>
        <w:rPr>
          <w:rFonts w:ascii="Arial" w:cs="Arial" w:eastAsia="Arial" w:hAnsi="Arial"/>
          <w:sz w:val="16"/>
          <w:szCs w:val="16"/>
          <w:color w:val="231F20"/>
        </w:rPr>
        <w:t>To approve, on an advisory basis, LivaNova’s compensation of its named executive officers (“US Say-on-Pay”)</w:t>
      </w:r>
    </w:p>
    <w:p>
      <w:pPr>
        <w:spacing w:after="0" w:line="5" w:lineRule="exact"/>
        <w:rPr>
          <w:rFonts w:ascii="Arial" w:cs="Arial" w:eastAsia="Arial" w:hAnsi="Arial"/>
          <w:sz w:val="16"/>
          <w:szCs w:val="16"/>
          <w:b w:val="1"/>
          <w:bCs w:val="1"/>
          <w:color w:val="6F2875"/>
        </w:rPr>
      </w:pPr>
    </w:p>
    <w:p>
      <w:pPr>
        <w:ind w:left="340" w:hanging="332"/>
        <w:spacing w:after="0" w:line="246" w:lineRule="auto"/>
        <w:tabs>
          <w:tab w:leader="none" w:pos="340" w:val="left"/>
        </w:tabs>
        <w:numPr>
          <w:ilvl w:val="0"/>
          <w:numId w:val="3"/>
        </w:numPr>
        <w:rPr>
          <w:rFonts w:ascii="Arial" w:cs="Arial" w:eastAsia="Arial" w:hAnsi="Arial"/>
          <w:sz w:val="16"/>
          <w:szCs w:val="16"/>
          <w:b w:val="1"/>
          <w:bCs w:val="1"/>
          <w:color w:val="6F2875"/>
        </w:rPr>
      </w:pPr>
      <w:r>
        <w:rPr>
          <w:rFonts w:ascii="Arial" w:cs="Arial" w:eastAsia="Arial" w:hAnsi="Arial"/>
          <w:sz w:val="16"/>
          <w:szCs w:val="16"/>
          <w:color w:val="231F20"/>
        </w:rPr>
        <w:t>To ratify PricewaterhouseCoopers LLP, a Delaware limited liability partnership (“PwC USA”) as the Company’s independent registered public accountancy firm</w:t>
      </w:r>
    </w:p>
    <w:p>
      <w:pPr>
        <w:ind w:left="340" w:right="20" w:hanging="332"/>
        <w:spacing w:after="0" w:line="246" w:lineRule="auto"/>
        <w:tabs>
          <w:tab w:leader="none" w:pos="340" w:val="left"/>
        </w:tabs>
        <w:numPr>
          <w:ilvl w:val="0"/>
          <w:numId w:val="3"/>
        </w:numPr>
        <w:rPr>
          <w:rFonts w:ascii="Arial" w:cs="Arial" w:eastAsia="Arial" w:hAnsi="Arial"/>
          <w:sz w:val="16"/>
          <w:szCs w:val="16"/>
          <w:b w:val="1"/>
          <w:bCs w:val="1"/>
          <w:color w:val="6F2875"/>
        </w:rPr>
      </w:pPr>
      <w:r>
        <w:rPr>
          <w:rFonts w:ascii="Arial" w:cs="Arial" w:eastAsia="Arial" w:hAnsi="Arial"/>
          <w:sz w:val="16"/>
          <w:szCs w:val="16"/>
          <w:color w:val="231F20"/>
        </w:rPr>
        <w:t>To approve, on an advisory basis, the UK directors’ remuneration report in the form set out in the Company’s UK annual report and accounts (“UK Annual Report”) for the period ended December 31, 2017</w:t>
      </w:r>
    </w:p>
    <w:p>
      <w:pPr>
        <w:ind w:left="340" w:hanging="332"/>
        <w:spacing w:after="0"/>
        <w:tabs>
          <w:tab w:leader="none" w:pos="340" w:val="left"/>
        </w:tabs>
        <w:numPr>
          <w:ilvl w:val="0"/>
          <w:numId w:val="3"/>
        </w:numPr>
        <w:rPr>
          <w:rFonts w:ascii="Arial" w:cs="Arial" w:eastAsia="Arial" w:hAnsi="Arial"/>
          <w:sz w:val="16"/>
          <w:szCs w:val="16"/>
          <w:b w:val="1"/>
          <w:bCs w:val="1"/>
          <w:color w:val="6F2875"/>
        </w:rPr>
      </w:pPr>
      <w:r>
        <w:rPr>
          <w:rFonts w:ascii="Arial" w:cs="Arial" w:eastAsia="Arial" w:hAnsi="Arial"/>
          <w:sz w:val="16"/>
          <w:szCs w:val="16"/>
          <w:color w:val="231F20"/>
        </w:rPr>
        <w:t>To approve the LivaNova Global Employee Share Purchase Plan</w:t>
      </w:r>
    </w:p>
    <w:p>
      <w:pPr>
        <w:spacing w:after="0" w:line="5" w:lineRule="exact"/>
        <w:rPr>
          <w:rFonts w:ascii="Arial" w:cs="Arial" w:eastAsia="Arial" w:hAnsi="Arial"/>
          <w:sz w:val="16"/>
          <w:szCs w:val="16"/>
          <w:b w:val="1"/>
          <w:bCs w:val="1"/>
          <w:color w:val="6F2875"/>
        </w:rPr>
      </w:pPr>
    </w:p>
    <w:p>
      <w:pPr>
        <w:ind w:left="340" w:hanging="332"/>
        <w:spacing w:after="0" w:line="246" w:lineRule="auto"/>
        <w:tabs>
          <w:tab w:leader="none" w:pos="340" w:val="left"/>
        </w:tabs>
        <w:numPr>
          <w:ilvl w:val="0"/>
          <w:numId w:val="3"/>
        </w:numPr>
        <w:rPr>
          <w:rFonts w:ascii="Arial" w:cs="Arial" w:eastAsia="Arial" w:hAnsi="Arial"/>
          <w:sz w:val="16"/>
          <w:szCs w:val="16"/>
          <w:b w:val="1"/>
          <w:bCs w:val="1"/>
          <w:color w:val="6F2875"/>
        </w:rPr>
      </w:pPr>
      <w:r>
        <w:rPr>
          <w:rFonts w:ascii="Arial" w:cs="Arial" w:eastAsia="Arial" w:hAnsi="Arial"/>
          <w:sz w:val="16"/>
          <w:szCs w:val="16"/>
          <w:color w:val="231F20"/>
        </w:rPr>
        <w:t>To receive and adopt the Company’s audited UK statutory accounts for the year ended December 31, 2017, together with the reports of the directors and the auditors thereon</w:t>
      </w:r>
    </w:p>
    <w:p>
      <w:pPr>
        <w:ind w:left="340" w:right="20" w:hanging="332"/>
        <w:spacing w:after="0" w:line="246" w:lineRule="auto"/>
        <w:tabs>
          <w:tab w:leader="none" w:pos="340" w:val="left"/>
        </w:tabs>
        <w:numPr>
          <w:ilvl w:val="0"/>
          <w:numId w:val="3"/>
        </w:numPr>
        <w:rPr>
          <w:rFonts w:ascii="Arial" w:cs="Arial" w:eastAsia="Arial" w:hAnsi="Arial"/>
          <w:sz w:val="16"/>
          <w:szCs w:val="16"/>
          <w:b w:val="1"/>
          <w:bCs w:val="1"/>
          <w:color w:val="6F2875"/>
        </w:rPr>
      </w:pPr>
      <w:r>
        <w:rPr>
          <w:rFonts w:ascii="Arial" w:cs="Arial" w:eastAsia="Arial" w:hAnsi="Arial"/>
          <w:sz w:val="16"/>
          <w:szCs w:val="16"/>
          <w:color w:val="231F20"/>
        </w:rPr>
        <w:t>To re-appoint PricewaterhouseCoopers LLP, a limited liability partnership registered in England with company number OC303525 (“PwC UK”), as the Company’s UK statutory auditor</w:t>
      </w:r>
    </w:p>
    <w:p>
      <w:pPr>
        <w:ind w:left="340" w:hanging="332"/>
        <w:spacing w:after="0"/>
        <w:tabs>
          <w:tab w:leader="none" w:pos="340" w:val="left"/>
        </w:tabs>
        <w:numPr>
          <w:ilvl w:val="0"/>
          <w:numId w:val="3"/>
        </w:numPr>
        <w:rPr>
          <w:rFonts w:ascii="Arial" w:cs="Arial" w:eastAsia="Arial" w:hAnsi="Arial"/>
          <w:sz w:val="16"/>
          <w:szCs w:val="16"/>
          <w:b w:val="1"/>
          <w:bCs w:val="1"/>
          <w:color w:val="6F2875"/>
        </w:rPr>
      </w:pPr>
      <w:r>
        <w:rPr>
          <w:rFonts w:ascii="Arial" w:cs="Arial" w:eastAsia="Arial" w:hAnsi="Arial"/>
          <w:sz w:val="16"/>
          <w:szCs w:val="16"/>
          <w:color w:val="231F20"/>
        </w:rPr>
        <w:t>To authorize the directors and/or the Audit and Compliance Committee to determine the UK statutory auditor’s remuneration</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91"/>
        </w:trPr>
        <w:tc>
          <w:tcPr>
            <w:tcW w:w="120" w:type="dxa"/>
            <w:vAlign w:val="bottom"/>
            <w:tcBorders>
              <w:top w:val="single" w:sz="8" w:color="6F2775"/>
              <w:left w:val="single" w:sz="8" w:color="6F2775"/>
            </w:tcBorders>
          </w:tcPr>
          <w:p>
            <w:pPr>
              <w:spacing w:after="0"/>
              <w:rPr>
                <w:sz w:val="24"/>
                <w:szCs w:val="24"/>
                <w:color w:val="auto"/>
              </w:rPr>
            </w:pPr>
          </w:p>
        </w:tc>
        <w:tc>
          <w:tcPr>
            <w:tcW w:w="6520" w:type="dxa"/>
            <w:vAlign w:val="bottom"/>
            <w:tcBorders>
              <w:top w:val="single" w:sz="8" w:color="6F2775"/>
            </w:tcBorders>
            <w:gridSpan w:val="7"/>
          </w:tcPr>
          <w:p>
            <w:pPr>
              <w:ind w:left="40"/>
              <w:spacing w:after="0"/>
              <w:rPr>
                <w:sz w:val="20"/>
                <w:szCs w:val="20"/>
                <w:color w:val="auto"/>
              </w:rPr>
            </w:pPr>
            <w:r>
              <w:rPr>
                <w:rFonts w:ascii="Arial" w:cs="Arial" w:eastAsia="Arial" w:hAnsi="Arial"/>
                <w:sz w:val="16"/>
                <w:szCs w:val="16"/>
                <w:b w:val="1"/>
                <w:bCs w:val="1"/>
                <w:color w:val="6F2875"/>
              </w:rPr>
              <w:t>Review your proxy statement and vote in one of five ways:</w:t>
            </w:r>
          </w:p>
        </w:tc>
        <w:tc>
          <w:tcPr>
            <w:tcW w:w="80" w:type="dxa"/>
            <w:vAlign w:val="bottom"/>
            <w:tcBorders>
              <w:top w:val="single" w:sz="8" w:color="6F2775"/>
            </w:tcBorders>
          </w:tcPr>
          <w:p>
            <w:pPr>
              <w:spacing w:after="0"/>
              <w:rPr>
                <w:sz w:val="24"/>
                <w:szCs w:val="24"/>
                <w:color w:val="auto"/>
              </w:rPr>
            </w:pPr>
          </w:p>
        </w:tc>
        <w:tc>
          <w:tcPr>
            <w:tcW w:w="380" w:type="dxa"/>
            <w:vAlign w:val="bottom"/>
            <w:tcBorders>
              <w:top w:val="single" w:sz="8" w:color="6F2775"/>
            </w:tcBorders>
          </w:tcPr>
          <w:p>
            <w:pPr>
              <w:spacing w:after="0"/>
              <w:rPr>
                <w:sz w:val="24"/>
                <w:szCs w:val="24"/>
                <w:color w:val="auto"/>
              </w:rPr>
            </w:pPr>
          </w:p>
        </w:tc>
        <w:tc>
          <w:tcPr>
            <w:tcW w:w="800" w:type="dxa"/>
            <w:vAlign w:val="bottom"/>
            <w:tcBorders>
              <w:top w:val="single" w:sz="8" w:color="6F2775"/>
            </w:tcBorders>
          </w:tcPr>
          <w:p>
            <w:pPr>
              <w:spacing w:after="0"/>
              <w:rPr>
                <w:sz w:val="24"/>
                <w:szCs w:val="24"/>
                <w:color w:val="auto"/>
              </w:rPr>
            </w:pPr>
          </w:p>
        </w:tc>
        <w:tc>
          <w:tcPr>
            <w:tcW w:w="1420" w:type="dxa"/>
            <w:vAlign w:val="bottom"/>
            <w:tcBorders>
              <w:top w:val="single" w:sz="8" w:color="6F2775"/>
            </w:tcBorders>
          </w:tcPr>
          <w:p>
            <w:pPr>
              <w:spacing w:after="0"/>
              <w:rPr>
                <w:sz w:val="24"/>
                <w:szCs w:val="24"/>
                <w:color w:val="auto"/>
              </w:rPr>
            </w:pPr>
          </w:p>
        </w:tc>
        <w:tc>
          <w:tcPr>
            <w:tcW w:w="400" w:type="dxa"/>
            <w:vAlign w:val="bottom"/>
            <w:tcBorders>
              <w:top w:val="single" w:sz="8" w:color="6F2775"/>
            </w:tcBorders>
          </w:tcPr>
          <w:p>
            <w:pPr>
              <w:spacing w:after="0"/>
              <w:rPr>
                <w:sz w:val="24"/>
                <w:szCs w:val="24"/>
                <w:color w:val="auto"/>
              </w:rPr>
            </w:pPr>
          </w:p>
        </w:tc>
        <w:tc>
          <w:tcPr>
            <w:tcW w:w="1700" w:type="dxa"/>
            <w:vAlign w:val="bottom"/>
            <w:tcBorders>
              <w:top w:val="single" w:sz="8" w:color="6F2775"/>
              <w:right w:val="single" w:sz="8" w:color="6F2775"/>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480" w:type="dxa"/>
            <w:vAlign w:val="bottom"/>
            <w:tcBorders>
              <w:left w:val="single" w:sz="8" w:color="6F2775"/>
            </w:tcBorders>
            <w:gridSpan w:val="4"/>
            <w:vMerge w:val="restart"/>
          </w:tcPr>
          <w:p>
            <w:pPr>
              <w:ind w:left="120"/>
              <w:spacing w:after="0"/>
              <w:rPr>
                <w:sz w:val="20"/>
                <w:szCs w:val="20"/>
                <w:color w:val="auto"/>
              </w:rPr>
            </w:pPr>
            <w:r>
              <w:rPr>
                <w:rFonts w:ascii="Arial" w:cs="Arial" w:eastAsia="Arial" w:hAnsi="Arial"/>
                <w:sz w:val="16"/>
                <w:szCs w:val="16"/>
                <w:b w:val="1"/>
                <w:bCs w:val="1"/>
                <w:color w:val="auto"/>
              </w:rPr>
              <w:t>In advance:</w:t>
            </w:r>
          </w:p>
        </w:tc>
        <w:tc>
          <w:tcPr>
            <w:tcW w:w="1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80" w:type="dxa"/>
            <w:vAlign w:val="bottom"/>
            <w:gridSpan w:val="4"/>
            <w:vMerge w:val="restart"/>
          </w:tcPr>
          <w:p>
            <w:pPr>
              <w:ind w:left="80"/>
              <w:spacing w:after="0"/>
              <w:rPr>
                <w:sz w:val="20"/>
                <w:szCs w:val="20"/>
                <w:color w:val="auto"/>
              </w:rPr>
            </w:pPr>
            <w:r>
              <w:rPr>
                <w:rFonts w:ascii="Arial" w:cs="Arial" w:eastAsia="Arial" w:hAnsi="Arial"/>
                <w:sz w:val="16"/>
                <w:szCs w:val="16"/>
                <w:b w:val="1"/>
                <w:bCs w:val="1"/>
                <w:color w:val="auto"/>
              </w:rPr>
              <w:t>At the meeting:</w:t>
            </w:r>
          </w:p>
        </w:tc>
        <w:tc>
          <w:tcPr>
            <w:tcW w:w="400" w:type="dxa"/>
            <w:vAlign w:val="bottom"/>
          </w:tcPr>
          <w:p>
            <w:pPr>
              <w:spacing w:after="0"/>
              <w:rPr>
                <w:sz w:val="6"/>
                <w:szCs w:val="6"/>
                <w:color w:val="auto"/>
              </w:rPr>
            </w:pPr>
          </w:p>
        </w:tc>
        <w:tc>
          <w:tcPr>
            <w:tcW w:w="1700" w:type="dxa"/>
            <w:vAlign w:val="bottom"/>
            <w:tcBorders>
              <w:right w:val="single" w:sz="8" w:color="6F2775"/>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480" w:type="dxa"/>
            <w:vAlign w:val="bottom"/>
            <w:tcBorders>
              <w:left w:val="single" w:sz="8" w:color="6F2775"/>
            </w:tcBorders>
            <w:gridSpan w:val="4"/>
            <w:vMerge w:val="continue"/>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268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tcBorders>
              <w:right w:val="single" w:sz="8" w:color="6F2775"/>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6F2775"/>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36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tcBorders>
              <w:right w:val="single" w:sz="8" w:color="6F277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0"/>
        </w:trPr>
        <w:tc>
          <w:tcPr>
            <w:tcW w:w="120" w:type="dxa"/>
            <w:vAlign w:val="bottom"/>
            <w:tcBorders>
              <w:left w:val="single" w:sz="8" w:color="6F2775"/>
            </w:tcBorders>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2"/>
          </w:tcPr>
          <w:p>
            <w:pPr>
              <w:ind w:left="340"/>
              <w:spacing w:after="0"/>
              <w:rPr>
                <w:sz w:val="20"/>
                <w:szCs w:val="20"/>
                <w:color w:val="auto"/>
              </w:rPr>
            </w:pPr>
            <w:r>
              <w:rPr>
                <w:rFonts w:ascii="Arial" w:cs="Arial" w:eastAsia="Arial" w:hAnsi="Arial"/>
                <w:sz w:val="16"/>
                <w:szCs w:val="16"/>
                <w:b w:val="1"/>
                <w:bCs w:val="1"/>
                <w:color w:val="818285"/>
              </w:rPr>
              <w:t>INTERNET</w:t>
            </w:r>
          </w:p>
        </w:tc>
        <w:tc>
          <w:tcPr>
            <w:tcW w:w="1720" w:type="dxa"/>
            <w:vAlign w:val="bottom"/>
            <w:gridSpan w:val="2"/>
          </w:tcPr>
          <w:p>
            <w:pPr>
              <w:jc w:val="center"/>
              <w:spacing w:after="0"/>
              <w:rPr>
                <w:sz w:val="20"/>
                <w:szCs w:val="20"/>
                <w:color w:val="auto"/>
              </w:rPr>
            </w:pPr>
            <w:r>
              <w:rPr>
                <w:rFonts w:ascii="Arial" w:cs="Arial" w:eastAsia="Arial" w:hAnsi="Arial"/>
                <w:sz w:val="16"/>
                <w:szCs w:val="16"/>
                <w:b w:val="1"/>
                <w:bCs w:val="1"/>
                <w:color w:val="818285"/>
              </w:rPr>
              <w:t>BY TELEPHONE</w:t>
            </w:r>
          </w:p>
        </w:tc>
        <w:tc>
          <w:tcPr>
            <w:tcW w:w="2360" w:type="dxa"/>
            <w:vAlign w:val="bottom"/>
            <w:tcBorders>
              <w:right w:val="single" w:sz="8" w:color="auto"/>
            </w:tcBorders>
          </w:tcPr>
          <w:p>
            <w:pPr>
              <w:jc w:val="center"/>
              <w:ind w:left="219"/>
              <w:spacing w:after="0"/>
              <w:rPr>
                <w:sz w:val="20"/>
                <w:szCs w:val="20"/>
                <w:color w:val="auto"/>
              </w:rPr>
            </w:pPr>
            <w:r>
              <w:rPr>
                <w:rFonts w:ascii="Arial" w:cs="Arial" w:eastAsia="Arial" w:hAnsi="Arial"/>
                <w:sz w:val="16"/>
                <w:szCs w:val="16"/>
                <w:b w:val="1"/>
                <w:bCs w:val="1"/>
                <w:color w:val="818285"/>
              </w:rPr>
              <w:t>BY MAIL</w:t>
            </w:r>
          </w:p>
        </w:tc>
        <w:tc>
          <w:tcPr>
            <w:tcW w:w="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2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818285"/>
              </w:rPr>
              <w:t>IN PERSON</w:t>
            </w:r>
          </w:p>
        </w:tc>
        <w:tc>
          <w:tcPr>
            <w:tcW w:w="400" w:type="dxa"/>
            <w:vAlign w:val="bottom"/>
          </w:tcPr>
          <w:p>
            <w:pPr>
              <w:spacing w:after="0"/>
              <w:rPr>
                <w:sz w:val="24"/>
                <w:szCs w:val="24"/>
                <w:color w:val="auto"/>
              </w:rPr>
            </w:pPr>
          </w:p>
        </w:tc>
        <w:tc>
          <w:tcPr>
            <w:tcW w:w="1700" w:type="dxa"/>
            <w:vAlign w:val="bottom"/>
            <w:tcBorders>
              <w:right w:val="single" w:sz="8" w:color="6F2775"/>
            </w:tcBorders>
          </w:tcPr>
          <w:p>
            <w:pPr>
              <w:jc w:val="center"/>
              <w:ind w:right="279"/>
              <w:spacing w:after="0"/>
              <w:rPr>
                <w:sz w:val="20"/>
                <w:szCs w:val="20"/>
                <w:color w:val="auto"/>
              </w:rPr>
            </w:pPr>
            <w:r>
              <w:rPr>
                <w:rFonts w:ascii="Arial" w:cs="Arial" w:eastAsia="Arial" w:hAnsi="Arial"/>
                <w:sz w:val="16"/>
                <w:szCs w:val="16"/>
                <w:b w:val="1"/>
                <w:bCs w:val="1"/>
                <w:color w:val="818285"/>
              </w:rPr>
              <w:t>VIRTUAL</w:t>
            </w:r>
          </w:p>
        </w:tc>
        <w:tc>
          <w:tcPr>
            <w:tcW w:w="0" w:type="dxa"/>
            <w:vAlign w:val="bottom"/>
          </w:tcPr>
          <w:p>
            <w:pPr>
              <w:spacing w:after="0"/>
              <w:rPr>
                <w:sz w:val="1"/>
                <w:szCs w:val="1"/>
                <w:color w:val="auto"/>
              </w:rPr>
            </w:pPr>
          </w:p>
        </w:tc>
      </w:tr>
      <w:tr>
        <w:trPr>
          <w:trHeight w:val="189"/>
        </w:trPr>
        <w:tc>
          <w:tcPr>
            <w:tcW w:w="120" w:type="dxa"/>
            <w:vAlign w:val="bottom"/>
            <w:tcBorders>
              <w:left w:val="single" w:sz="8" w:color="6F2775"/>
            </w:tcBorders>
          </w:tcPr>
          <w:p>
            <w:pPr>
              <w:spacing w:after="0"/>
              <w:rPr>
                <w:sz w:val="16"/>
                <w:szCs w:val="16"/>
                <w:color w:val="auto"/>
              </w:rPr>
            </w:pPr>
          </w:p>
        </w:tc>
        <w:tc>
          <w:tcPr>
            <w:tcW w:w="2360" w:type="dxa"/>
            <w:vAlign w:val="bottom"/>
            <w:gridSpan w:val="3"/>
          </w:tcPr>
          <w:p>
            <w:pPr>
              <w:ind w:left="40"/>
              <w:spacing w:after="0"/>
              <w:rPr>
                <w:sz w:val="20"/>
                <w:szCs w:val="20"/>
                <w:color w:val="auto"/>
              </w:rPr>
            </w:pPr>
            <w:r>
              <w:rPr>
                <w:rFonts w:ascii="Arial" w:cs="Arial" w:eastAsia="Arial" w:hAnsi="Arial"/>
                <w:sz w:val="16"/>
                <w:szCs w:val="16"/>
                <w:color w:val="auto"/>
              </w:rPr>
              <w:t>www.envisionreports.com/</w:t>
            </w:r>
          </w:p>
        </w:tc>
        <w:tc>
          <w:tcPr>
            <w:tcW w:w="1720" w:type="dxa"/>
            <w:vAlign w:val="bottom"/>
            <w:gridSpan w:val="2"/>
          </w:tcPr>
          <w:p>
            <w:pPr>
              <w:jc w:val="center"/>
              <w:spacing w:after="0"/>
              <w:rPr>
                <w:sz w:val="20"/>
                <w:szCs w:val="20"/>
                <w:color w:val="auto"/>
              </w:rPr>
            </w:pPr>
            <w:r>
              <w:rPr>
                <w:rFonts w:ascii="Arial" w:cs="Arial" w:eastAsia="Arial" w:hAnsi="Arial"/>
                <w:sz w:val="16"/>
                <w:szCs w:val="16"/>
                <w:color w:val="auto"/>
              </w:rPr>
              <w:t>Call the telephone</w:t>
            </w:r>
          </w:p>
        </w:tc>
        <w:tc>
          <w:tcPr>
            <w:tcW w:w="2360" w:type="dxa"/>
            <w:vAlign w:val="bottom"/>
            <w:tcBorders>
              <w:right w:val="single" w:sz="8" w:color="auto"/>
            </w:tcBorders>
          </w:tcPr>
          <w:p>
            <w:pPr>
              <w:jc w:val="center"/>
              <w:ind w:left="219"/>
              <w:spacing w:after="0"/>
              <w:rPr>
                <w:sz w:val="20"/>
                <w:szCs w:val="20"/>
                <w:color w:val="auto"/>
              </w:rPr>
            </w:pPr>
            <w:r>
              <w:rPr>
                <w:rFonts w:ascii="Arial" w:cs="Arial" w:eastAsia="Arial" w:hAnsi="Arial"/>
                <w:sz w:val="16"/>
                <w:szCs w:val="16"/>
                <w:color w:val="auto"/>
              </w:rPr>
              <w:t>Sign, date and return</w:t>
            </w:r>
          </w:p>
        </w:tc>
        <w:tc>
          <w:tcPr>
            <w:tcW w:w="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0" w:type="dxa"/>
            <w:vAlign w:val="bottom"/>
            <w:gridSpan w:val="3"/>
          </w:tcPr>
          <w:p>
            <w:pPr>
              <w:jc w:val="center"/>
              <w:ind w:right="260"/>
              <w:spacing w:after="0"/>
              <w:rPr>
                <w:sz w:val="20"/>
                <w:szCs w:val="20"/>
                <w:color w:val="auto"/>
              </w:rPr>
            </w:pPr>
            <w:r>
              <w:rPr>
                <w:rFonts w:ascii="Arial" w:cs="Arial" w:eastAsia="Arial" w:hAnsi="Arial"/>
                <w:sz w:val="16"/>
                <w:szCs w:val="16"/>
                <w:color w:val="auto"/>
              </w:rPr>
              <w:t>Attend the AGM in Houston, TX.</w:t>
            </w:r>
          </w:p>
        </w:tc>
        <w:tc>
          <w:tcPr>
            <w:tcW w:w="400" w:type="dxa"/>
            <w:vAlign w:val="bottom"/>
          </w:tcPr>
          <w:p>
            <w:pPr>
              <w:spacing w:after="0"/>
              <w:rPr>
                <w:sz w:val="16"/>
                <w:szCs w:val="16"/>
                <w:color w:val="auto"/>
              </w:rPr>
            </w:pPr>
          </w:p>
        </w:tc>
        <w:tc>
          <w:tcPr>
            <w:tcW w:w="1700" w:type="dxa"/>
            <w:vAlign w:val="bottom"/>
            <w:tcBorders>
              <w:right w:val="single" w:sz="8" w:color="6F2775"/>
            </w:tcBorders>
          </w:tcPr>
          <w:p>
            <w:pPr>
              <w:jc w:val="center"/>
              <w:ind w:right="299"/>
              <w:spacing w:after="0"/>
              <w:rPr>
                <w:sz w:val="20"/>
                <w:szCs w:val="20"/>
                <w:color w:val="auto"/>
              </w:rPr>
            </w:pPr>
            <w:r>
              <w:rPr>
                <w:rFonts w:ascii="Arial" w:cs="Arial" w:eastAsia="Arial" w:hAnsi="Arial"/>
                <w:sz w:val="16"/>
                <w:szCs w:val="16"/>
                <w:color w:val="auto"/>
              </w:rPr>
              <w:t>Attend virtually at</w:t>
            </w:r>
          </w:p>
        </w:tc>
        <w:tc>
          <w:tcPr>
            <w:tcW w:w="0" w:type="dxa"/>
            <w:vAlign w:val="bottom"/>
          </w:tcPr>
          <w:p>
            <w:pPr>
              <w:spacing w:after="0"/>
              <w:rPr>
                <w:sz w:val="1"/>
                <w:szCs w:val="1"/>
                <w:color w:val="auto"/>
              </w:rPr>
            </w:pPr>
          </w:p>
        </w:tc>
      </w:tr>
      <w:tr>
        <w:trPr>
          <w:trHeight w:val="189"/>
        </w:trPr>
        <w:tc>
          <w:tcPr>
            <w:tcW w:w="120" w:type="dxa"/>
            <w:vAlign w:val="bottom"/>
            <w:tcBorders>
              <w:left w:val="single" w:sz="8" w:color="6F2775"/>
            </w:tcBorders>
          </w:tcPr>
          <w:p>
            <w:pPr>
              <w:spacing w:after="0"/>
              <w:rPr>
                <w:sz w:val="16"/>
                <w:szCs w:val="16"/>
                <w:color w:val="auto"/>
              </w:rPr>
            </w:pPr>
          </w:p>
        </w:tc>
        <w:tc>
          <w:tcPr>
            <w:tcW w:w="2360" w:type="dxa"/>
            <w:vAlign w:val="bottom"/>
            <w:gridSpan w:val="3"/>
          </w:tcPr>
          <w:p>
            <w:pPr>
              <w:ind w:left="60"/>
              <w:spacing w:after="0"/>
              <w:rPr>
                <w:sz w:val="20"/>
                <w:szCs w:val="20"/>
                <w:color w:val="auto"/>
              </w:rPr>
            </w:pPr>
            <w:r>
              <w:rPr>
                <w:rFonts w:ascii="Arial" w:cs="Arial" w:eastAsia="Arial" w:hAnsi="Arial"/>
                <w:sz w:val="16"/>
                <w:szCs w:val="16"/>
                <w:color w:val="auto"/>
              </w:rPr>
              <w:t>livn or as directed by your</w:t>
            </w:r>
          </w:p>
        </w:tc>
        <w:tc>
          <w:tcPr>
            <w:tcW w:w="1720" w:type="dxa"/>
            <w:vAlign w:val="bottom"/>
            <w:gridSpan w:val="2"/>
          </w:tcPr>
          <w:p>
            <w:pPr>
              <w:jc w:val="center"/>
              <w:spacing w:after="0"/>
              <w:rPr>
                <w:sz w:val="20"/>
                <w:szCs w:val="20"/>
                <w:color w:val="auto"/>
              </w:rPr>
            </w:pPr>
            <w:r>
              <w:rPr>
                <w:rFonts w:ascii="Arial" w:cs="Arial" w:eastAsia="Arial" w:hAnsi="Arial"/>
                <w:sz w:val="16"/>
                <w:szCs w:val="16"/>
                <w:color w:val="auto"/>
              </w:rPr>
              <w:t>number on your proxy</w:t>
            </w:r>
          </w:p>
        </w:tc>
        <w:tc>
          <w:tcPr>
            <w:tcW w:w="2360" w:type="dxa"/>
            <w:vAlign w:val="bottom"/>
            <w:tcBorders>
              <w:right w:val="single" w:sz="8" w:color="auto"/>
            </w:tcBorders>
          </w:tcPr>
          <w:p>
            <w:pPr>
              <w:jc w:val="center"/>
              <w:ind w:left="239"/>
              <w:spacing w:after="0"/>
              <w:rPr>
                <w:sz w:val="20"/>
                <w:szCs w:val="20"/>
                <w:color w:val="auto"/>
              </w:rPr>
            </w:pPr>
            <w:r>
              <w:rPr>
                <w:rFonts w:ascii="Arial" w:cs="Arial" w:eastAsia="Arial" w:hAnsi="Arial"/>
                <w:sz w:val="16"/>
                <w:szCs w:val="16"/>
                <w:color w:val="auto"/>
              </w:rPr>
              <w:t>your proxy card in the</w:t>
            </w:r>
          </w:p>
        </w:tc>
        <w:tc>
          <w:tcPr>
            <w:tcW w:w="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20" w:type="dxa"/>
            <w:vAlign w:val="bottom"/>
            <w:gridSpan w:val="2"/>
          </w:tcPr>
          <w:p>
            <w:pPr>
              <w:jc w:val="center"/>
              <w:ind w:right="640"/>
              <w:spacing w:after="0"/>
              <w:rPr>
                <w:sz w:val="20"/>
                <w:szCs w:val="20"/>
                <w:color w:val="auto"/>
              </w:rPr>
            </w:pPr>
            <w:r>
              <w:rPr>
                <w:rFonts w:ascii="Arial" w:cs="Arial" w:eastAsia="Arial" w:hAnsi="Arial"/>
                <w:sz w:val="16"/>
                <w:szCs w:val="16"/>
                <w:color w:val="auto"/>
              </w:rPr>
              <w:t>See pages 56-59 for</w:t>
            </w:r>
          </w:p>
        </w:tc>
        <w:tc>
          <w:tcPr>
            <w:tcW w:w="2100" w:type="dxa"/>
            <w:vAlign w:val="bottom"/>
            <w:tcBorders>
              <w:right w:val="single" w:sz="8" w:color="6F2775"/>
            </w:tcBorders>
            <w:gridSpan w:val="2"/>
          </w:tcPr>
          <w:p>
            <w:pPr>
              <w:jc w:val="center"/>
              <w:spacing w:after="0"/>
              <w:rPr>
                <w:sz w:val="20"/>
                <w:szCs w:val="20"/>
                <w:color w:val="auto"/>
              </w:rPr>
            </w:pPr>
            <w:r>
              <w:rPr>
                <w:rFonts w:ascii="Arial" w:cs="Arial" w:eastAsia="Arial" w:hAnsi="Arial"/>
                <w:sz w:val="16"/>
                <w:szCs w:val="16"/>
                <w:color w:val="auto"/>
              </w:rPr>
              <w:t>www.meetingcenter.io/</w:t>
            </w:r>
          </w:p>
        </w:tc>
        <w:tc>
          <w:tcPr>
            <w:tcW w:w="0" w:type="dxa"/>
            <w:vAlign w:val="bottom"/>
          </w:tcPr>
          <w:p>
            <w:pPr>
              <w:spacing w:after="0"/>
              <w:rPr>
                <w:sz w:val="1"/>
                <w:szCs w:val="1"/>
                <w:color w:val="auto"/>
              </w:rPr>
            </w:pPr>
          </w:p>
        </w:tc>
      </w:tr>
      <w:tr>
        <w:trPr>
          <w:trHeight w:val="189"/>
        </w:trPr>
        <w:tc>
          <w:tcPr>
            <w:tcW w:w="120" w:type="dxa"/>
            <w:vAlign w:val="bottom"/>
            <w:tcBorders>
              <w:left w:val="single" w:sz="8" w:color="6F2775"/>
            </w:tcBorders>
          </w:tcPr>
          <w:p>
            <w:pPr>
              <w:spacing w:after="0"/>
              <w:rPr>
                <w:sz w:val="16"/>
                <w:szCs w:val="16"/>
                <w:color w:val="auto"/>
              </w:rPr>
            </w:pPr>
          </w:p>
        </w:tc>
        <w:tc>
          <w:tcPr>
            <w:tcW w:w="2360" w:type="dxa"/>
            <w:vAlign w:val="bottom"/>
            <w:gridSpan w:val="3"/>
          </w:tcPr>
          <w:p>
            <w:pPr>
              <w:ind w:left="40"/>
              <w:spacing w:after="0"/>
              <w:rPr>
                <w:sz w:val="20"/>
                <w:szCs w:val="20"/>
                <w:color w:val="auto"/>
              </w:rPr>
            </w:pPr>
            <w:r>
              <w:rPr>
                <w:rFonts w:ascii="Arial" w:cs="Arial" w:eastAsia="Arial" w:hAnsi="Arial"/>
                <w:sz w:val="16"/>
                <w:szCs w:val="16"/>
                <w:color w:val="auto"/>
              </w:rPr>
              <w:t>broker,as the case may be</w:t>
            </w:r>
          </w:p>
        </w:tc>
        <w:tc>
          <w:tcPr>
            <w:tcW w:w="1720" w:type="dxa"/>
            <w:vAlign w:val="bottom"/>
            <w:gridSpan w:val="2"/>
          </w:tcPr>
          <w:p>
            <w:pPr>
              <w:jc w:val="center"/>
              <w:spacing w:after="0"/>
              <w:rPr>
                <w:sz w:val="20"/>
                <w:szCs w:val="20"/>
                <w:color w:val="auto"/>
              </w:rPr>
            </w:pPr>
            <w:r>
              <w:rPr>
                <w:rFonts w:ascii="Arial" w:cs="Arial" w:eastAsia="Arial" w:hAnsi="Arial"/>
                <w:sz w:val="16"/>
                <w:szCs w:val="16"/>
                <w:color w:val="auto"/>
              </w:rPr>
              <w:t>card</w:t>
            </w:r>
          </w:p>
        </w:tc>
        <w:tc>
          <w:tcPr>
            <w:tcW w:w="2360" w:type="dxa"/>
            <w:vAlign w:val="bottom"/>
            <w:tcBorders>
              <w:right w:val="single" w:sz="8" w:color="auto"/>
            </w:tcBorders>
          </w:tcPr>
          <w:p>
            <w:pPr>
              <w:jc w:val="center"/>
              <w:ind w:left="219"/>
              <w:spacing w:after="0"/>
              <w:rPr>
                <w:sz w:val="20"/>
                <w:szCs w:val="20"/>
                <w:color w:val="auto"/>
              </w:rPr>
            </w:pPr>
            <w:r>
              <w:rPr>
                <w:rFonts w:ascii="Arial" w:cs="Arial" w:eastAsia="Arial" w:hAnsi="Arial"/>
                <w:sz w:val="16"/>
                <w:szCs w:val="16"/>
                <w:color w:val="auto"/>
              </w:rPr>
              <w:t>enclosed envelope</w:t>
            </w:r>
          </w:p>
        </w:tc>
        <w:tc>
          <w:tcPr>
            <w:tcW w:w="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0" w:type="dxa"/>
            <w:vAlign w:val="bottom"/>
            <w:gridSpan w:val="3"/>
          </w:tcPr>
          <w:p>
            <w:pPr>
              <w:jc w:val="center"/>
              <w:ind w:right="260"/>
              <w:spacing w:after="0"/>
              <w:rPr>
                <w:sz w:val="20"/>
                <w:szCs w:val="20"/>
                <w:color w:val="auto"/>
              </w:rPr>
            </w:pPr>
            <w:r>
              <w:rPr>
                <w:rFonts w:ascii="Arial" w:cs="Arial" w:eastAsia="Arial" w:hAnsi="Arial"/>
                <w:sz w:val="16"/>
                <w:szCs w:val="16"/>
                <w:color w:val="auto"/>
              </w:rPr>
              <w:t>instructions on how to attend</w:t>
            </w:r>
          </w:p>
        </w:tc>
        <w:tc>
          <w:tcPr>
            <w:tcW w:w="2100" w:type="dxa"/>
            <w:vAlign w:val="bottom"/>
            <w:tcBorders>
              <w:right w:val="single" w:sz="8" w:color="6F2775"/>
            </w:tcBorders>
            <w:gridSpan w:val="2"/>
          </w:tcPr>
          <w:p>
            <w:pPr>
              <w:jc w:val="center"/>
              <w:spacing w:after="0"/>
              <w:rPr>
                <w:sz w:val="20"/>
                <w:szCs w:val="20"/>
                <w:color w:val="auto"/>
              </w:rPr>
            </w:pPr>
            <w:r>
              <w:rPr>
                <w:rFonts w:ascii="Arial" w:cs="Arial" w:eastAsia="Arial" w:hAnsi="Arial"/>
                <w:sz w:val="16"/>
                <w:szCs w:val="16"/>
                <w:color w:val="auto"/>
              </w:rPr>
              <w:t>239829366</w:t>
            </w:r>
          </w:p>
        </w:tc>
        <w:tc>
          <w:tcPr>
            <w:tcW w:w="0" w:type="dxa"/>
            <w:vAlign w:val="bottom"/>
          </w:tcPr>
          <w:p>
            <w:pPr>
              <w:spacing w:after="0"/>
              <w:rPr>
                <w:sz w:val="1"/>
                <w:szCs w:val="1"/>
                <w:color w:val="auto"/>
              </w:rPr>
            </w:pPr>
          </w:p>
        </w:tc>
      </w:tr>
      <w:tr>
        <w:trPr>
          <w:trHeight w:val="195"/>
        </w:trPr>
        <w:tc>
          <w:tcPr>
            <w:tcW w:w="120" w:type="dxa"/>
            <w:vAlign w:val="bottom"/>
            <w:tcBorders>
              <w:left w:val="single" w:sz="8" w:color="6F2775"/>
            </w:tcBorders>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100" w:type="dxa"/>
            <w:vAlign w:val="bottom"/>
            <w:tcBorders>
              <w:right w:val="single" w:sz="8" w:color="6F2775"/>
            </w:tcBorders>
            <w:gridSpan w:val="2"/>
          </w:tcPr>
          <w:p>
            <w:pPr>
              <w:jc w:val="center"/>
              <w:spacing w:after="0"/>
              <w:rPr>
                <w:sz w:val="20"/>
                <w:szCs w:val="20"/>
                <w:color w:val="auto"/>
              </w:rPr>
            </w:pPr>
            <w:r>
              <w:rPr>
                <w:rFonts w:ascii="Arial" w:cs="Arial" w:eastAsia="Arial" w:hAnsi="Arial"/>
                <w:sz w:val="16"/>
                <w:szCs w:val="16"/>
                <w:color w:val="auto"/>
              </w:rPr>
              <w:t>(password: LIVN2018)</w:t>
            </w:r>
          </w:p>
        </w:tc>
        <w:tc>
          <w:tcPr>
            <w:tcW w:w="0" w:type="dxa"/>
            <w:vAlign w:val="bottom"/>
          </w:tcPr>
          <w:p>
            <w:pPr>
              <w:spacing w:after="0"/>
              <w:rPr>
                <w:sz w:val="1"/>
                <w:szCs w:val="1"/>
                <w:color w:val="auto"/>
              </w:rPr>
            </w:pPr>
          </w:p>
        </w:tc>
      </w:tr>
      <w:tr>
        <w:trPr>
          <w:trHeight w:val="74"/>
        </w:trPr>
        <w:tc>
          <w:tcPr>
            <w:tcW w:w="120" w:type="dxa"/>
            <w:vAlign w:val="bottom"/>
            <w:tcBorders>
              <w:left w:val="single" w:sz="8" w:color="6F2775"/>
            </w:tcBorders>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20" w:type="dxa"/>
            <w:vAlign w:val="bottom"/>
            <w:gridSpan w:val="2"/>
          </w:tcPr>
          <w:p>
            <w:pPr>
              <w:spacing w:after="0"/>
              <w:rPr>
                <w:sz w:val="6"/>
                <w:szCs w:val="6"/>
                <w:color w:val="auto"/>
              </w:rPr>
            </w:pPr>
          </w:p>
        </w:tc>
        <w:tc>
          <w:tcPr>
            <w:tcW w:w="2540" w:type="dxa"/>
            <w:vAlign w:val="bottom"/>
            <w:tcBorders>
              <w:right w:val="single" w:sz="8" w:color="auto"/>
            </w:tcBorders>
            <w:gridSpan w:val="2"/>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gridSpan w:val="2"/>
          </w:tcPr>
          <w:p>
            <w:pPr>
              <w:spacing w:after="0"/>
              <w:rPr>
                <w:sz w:val="6"/>
                <w:szCs w:val="6"/>
                <w:color w:val="auto"/>
              </w:rPr>
            </w:pPr>
          </w:p>
        </w:tc>
        <w:tc>
          <w:tcPr>
            <w:tcW w:w="1700" w:type="dxa"/>
            <w:vAlign w:val="bottom"/>
            <w:tcBorders>
              <w:right w:val="single" w:sz="8" w:color="6F2775"/>
            </w:tcBorders>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11420" w:type="dxa"/>
            <w:vAlign w:val="bottom"/>
            <w:tcBorders>
              <w:left w:val="single" w:sz="8" w:color="6F2775"/>
              <w:right w:val="single" w:sz="8" w:color="6F2775"/>
            </w:tcBorders>
            <w:gridSpan w:val="14"/>
          </w:tcPr>
          <w:p>
            <w:pPr>
              <w:jc w:val="center"/>
              <w:ind w:right="319"/>
              <w:spacing w:after="0"/>
              <w:rPr>
                <w:sz w:val="20"/>
                <w:szCs w:val="20"/>
                <w:color w:val="auto"/>
              </w:rPr>
            </w:pPr>
            <w:r>
              <w:rPr>
                <w:rFonts w:ascii="Arial" w:cs="Arial" w:eastAsia="Arial" w:hAnsi="Arial"/>
                <w:sz w:val="16"/>
                <w:szCs w:val="16"/>
                <w:b w:val="1"/>
                <w:bCs w:val="1"/>
                <w:color w:val="auto"/>
              </w:rPr>
              <w:t>Please refer to the enclosed proxy materials or the information forwarded by your bank, broker or other holder of record to see which voting</w:t>
            </w:r>
          </w:p>
        </w:tc>
        <w:tc>
          <w:tcPr>
            <w:tcW w:w="0" w:type="dxa"/>
            <w:vAlign w:val="bottom"/>
          </w:tcPr>
          <w:p>
            <w:pPr>
              <w:spacing w:after="0"/>
              <w:rPr>
                <w:sz w:val="1"/>
                <w:szCs w:val="1"/>
                <w:color w:val="auto"/>
              </w:rPr>
            </w:pPr>
          </w:p>
        </w:tc>
      </w:tr>
      <w:tr>
        <w:trPr>
          <w:trHeight w:val="215"/>
        </w:trPr>
        <w:tc>
          <w:tcPr>
            <w:tcW w:w="2480" w:type="dxa"/>
            <w:vAlign w:val="bottom"/>
            <w:tcBorders>
              <w:left w:val="single" w:sz="8" w:color="6F2775"/>
            </w:tcBorders>
            <w:gridSpan w:val="4"/>
          </w:tcPr>
          <w:p>
            <w:pPr>
              <w:ind w:left="120"/>
              <w:spacing w:after="0"/>
              <w:rPr>
                <w:sz w:val="20"/>
                <w:szCs w:val="20"/>
                <w:color w:val="auto"/>
              </w:rPr>
            </w:pPr>
            <w:r>
              <w:rPr>
                <w:rFonts w:ascii="Arial" w:cs="Arial" w:eastAsia="Arial" w:hAnsi="Arial"/>
                <w:sz w:val="16"/>
                <w:szCs w:val="16"/>
                <w:b w:val="1"/>
                <w:bCs w:val="1"/>
                <w:color w:val="auto"/>
              </w:rPr>
              <w:t>methods are available to you.</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tcBorders>
              <w:right w:val="single" w:sz="8" w:color="6F2775"/>
            </w:tcBorders>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120" w:type="dxa"/>
            <w:vAlign w:val="bottom"/>
            <w:tcBorders>
              <w:left w:val="single" w:sz="8" w:color="6F2775"/>
              <w:bottom w:val="single" w:sz="8" w:color="6F2775"/>
            </w:tcBorders>
          </w:tcPr>
          <w:p>
            <w:pPr>
              <w:spacing w:after="0"/>
              <w:rPr>
                <w:sz w:val="6"/>
                <w:szCs w:val="6"/>
                <w:color w:val="auto"/>
              </w:rPr>
            </w:pPr>
          </w:p>
        </w:tc>
        <w:tc>
          <w:tcPr>
            <w:tcW w:w="240" w:type="dxa"/>
            <w:vAlign w:val="bottom"/>
            <w:tcBorders>
              <w:bottom w:val="single" w:sz="8" w:color="6F2775"/>
            </w:tcBorders>
          </w:tcPr>
          <w:p>
            <w:pPr>
              <w:spacing w:after="0"/>
              <w:rPr>
                <w:sz w:val="6"/>
                <w:szCs w:val="6"/>
                <w:color w:val="auto"/>
              </w:rPr>
            </w:pPr>
          </w:p>
        </w:tc>
        <w:tc>
          <w:tcPr>
            <w:tcW w:w="640" w:type="dxa"/>
            <w:vAlign w:val="bottom"/>
            <w:tcBorders>
              <w:bottom w:val="single" w:sz="8" w:color="6F2775"/>
            </w:tcBorders>
          </w:tcPr>
          <w:p>
            <w:pPr>
              <w:spacing w:after="0"/>
              <w:rPr>
                <w:sz w:val="6"/>
                <w:szCs w:val="6"/>
                <w:color w:val="auto"/>
              </w:rPr>
            </w:pPr>
          </w:p>
        </w:tc>
        <w:tc>
          <w:tcPr>
            <w:tcW w:w="1480" w:type="dxa"/>
            <w:vAlign w:val="bottom"/>
            <w:tcBorders>
              <w:bottom w:val="single" w:sz="8" w:color="6F2775"/>
            </w:tcBorders>
          </w:tcPr>
          <w:p>
            <w:pPr>
              <w:spacing w:after="0"/>
              <w:rPr>
                <w:sz w:val="6"/>
                <w:szCs w:val="6"/>
                <w:color w:val="auto"/>
              </w:rPr>
            </w:pPr>
          </w:p>
        </w:tc>
        <w:tc>
          <w:tcPr>
            <w:tcW w:w="1540" w:type="dxa"/>
            <w:vAlign w:val="bottom"/>
            <w:tcBorders>
              <w:bottom w:val="single" w:sz="8" w:color="6F2775"/>
            </w:tcBorders>
          </w:tcPr>
          <w:p>
            <w:pPr>
              <w:spacing w:after="0"/>
              <w:rPr>
                <w:sz w:val="6"/>
                <w:szCs w:val="6"/>
                <w:color w:val="auto"/>
              </w:rPr>
            </w:pPr>
          </w:p>
        </w:tc>
        <w:tc>
          <w:tcPr>
            <w:tcW w:w="180" w:type="dxa"/>
            <w:vAlign w:val="bottom"/>
            <w:tcBorders>
              <w:bottom w:val="single" w:sz="8" w:color="6F2775"/>
            </w:tcBorders>
          </w:tcPr>
          <w:p>
            <w:pPr>
              <w:spacing w:after="0"/>
              <w:rPr>
                <w:sz w:val="6"/>
                <w:szCs w:val="6"/>
                <w:color w:val="auto"/>
              </w:rPr>
            </w:pPr>
          </w:p>
        </w:tc>
        <w:tc>
          <w:tcPr>
            <w:tcW w:w="2360" w:type="dxa"/>
            <w:vAlign w:val="bottom"/>
            <w:tcBorders>
              <w:bottom w:val="single" w:sz="8" w:color="6F2775"/>
            </w:tcBorders>
          </w:tcPr>
          <w:p>
            <w:pPr>
              <w:spacing w:after="0"/>
              <w:rPr>
                <w:sz w:val="6"/>
                <w:szCs w:val="6"/>
                <w:color w:val="auto"/>
              </w:rPr>
            </w:pPr>
          </w:p>
        </w:tc>
        <w:tc>
          <w:tcPr>
            <w:tcW w:w="80" w:type="dxa"/>
            <w:vAlign w:val="bottom"/>
            <w:tcBorders>
              <w:bottom w:val="single" w:sz="8" w:color="6F2775"/>
            </w:tcBorders>
          </w:tcPr>
          <w:p>
            <w:pPr>
              <w:spacing w:after="0"/>
              <w:rPr>
                <w:sz w:val="6"/>
                <w:szCs w:val="6"/>
                <w:color w:val="auto"/>
              </w:rPr>
            </w:pPr>
          </w:p>
        </w:tc>
        <w:tc>
          <w:tcPr>
            <w:tcW w:w="80" w:type="dxa"/>
            <w:vAlign w:val="bottom"/>
            <w:tcBorders>
              <w:bottom w:val="single" w:sz="8" w:color="6F2775"/>
            </w:tcBorders>
          </w:tcPr>
          <w:p>
            <w:pPr>
              <w:spacing w:after="0"/>
              <w:rPr>
                <w:sz w:val="6"/>
                <w:szCs w:val="6"/>
                <w:color w:val="auto"/>
              </w:rPr>
            </w:pPr>
          </w:p>
        </w:tc>
        <w:tc>
          <w:tcPr>
            <w:tcW w:w="380" w:type="dxa"/>
            <w:vAlign w:val="bottom"/>
            <w:tcBorders>
              <w:bottom w:val="single" w:sz="8" w:color="6F2775"/>
            </w:tcBorders>
          </w:tcPr>
          <w:p>
            <w:pPr>
              <w:spacing w:after="0"/>
              <w:rPr>
                <w:sz w:val="6"/>
                <w:szCs w:val="6"/>
                <w:color w:val="auto"/>
              </w:rPr>
            </w:pPr>
          </w:p>
        </w:tc>
        <w:tc>
          <w:tcPr>
            <w:tcW w:w="800" w:type="dxa"/>
            <w:vAlign w:val="bottom"/>
            <w:tcBorders>
              <w:bottom w:val="single" w:sz="8" w:color="6F2775"/>
            </w:tcBorders>
          </w:tcPr>
          <w:p>
            <w:pPr>
              <w:spacing w:after="0"/>
              <w:rPr>
                <w:sz w:val="6"/>
                <w:szCs w:val="6"/>
                <w:color w:val="auto"/>
              </w:rPr>
            </w:pPr>
          </w:p>
        </w:tc>
        <w:tc>
          <w:tcPr>
            <w:tcW w:w="1420" w:type="dxa"/>
            <w:vAlign w:val="bottom"/>
            <w:tcBorders>
              <w:bottom w:val="single" w:sz="8" w:color="6F2775"/>
            </w:tcBorders>
          </w:tcPr>
          <w:p>
            <w:pPr>
              <w:spacing w:after="0"/>
              <w:rPr>
                <w:sz w:val="6"/>
                <w:szCs w:val="6"/>
                <w:color w:val="auto"/>
              </w:rPr>
            </w:pPr>
          </w:p>
        </w:tc>
        <w:tc>
          <w:tcPr>
            <w:tcW w:w="400" w:type="dxa"/>
            <w:vAlign w:val="bottom"/>
            <w:tcBorders>
              <w:bottom w:val="single" w:sz="8" w:color="6F2775"/>
            </w:tcBorders>
          </w:tcPr>
          <w:p>
            <w:pPr>
              <w:spacing w:after="0"/>
              <w:rPr>
                <w:sz w:val="6"/>
                <w:szCs w:val="6"/>
                <w:color w:val="auto"/>
              </w:rPr>
            </w:pPr>
          </w:p>
        </w:tc>
        <w:tc>
          <w:tcPr>
            <w:tcW w:w="1700" w:type="dxa"/>
            <w:vAlign w:val="bottom"/>
            <w:tcBorders>
              <w:bottom w:val="single" w:sz="8" w:color="6F2775"/>
              <w:right w:val="single" w:sz="8" w:color="6F2775"/>
            </w:tcBorders>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2</w:t>
            </w:r>
          </w:p>
        </w:tc>
        <w:tc>
          <w:tcPr>
            <w:tcW w:w="240" w:type="dxa"/>
            <w:vAlign w:val="bottom"/>
            <w:vMerge w:val="restart"/>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8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00" w:type="dxa"/>
            <w:vAlign w:val="bottom"/>
            <w:vMerge w:val="restart"/>
          </w:tcPr>
          <w:p>
            <w:pPr>
              <w:ind w:left="260"/>
              <w:spacing w:after="0"/>
              <w:rPr>
                <w:sz w:val="20"/>
                <w:szCs w:val="20"/>
                <w:color w:val="auto"/>
              </w:rPr>
            </w:pPr>
            <w:r>
              <w:rPr>
                <w:rFonts w:ascii="Arial" w:cs="Arial" w:eastAsia="Arial" w:hAnsi="Arial"/>
                <w:sz w:val="16"/>
                <w:szCs w:val="16"/>
                <w:b w:val="1"/>
                <w:bCs w:val="1"/>
                <w:color w:val="6F2875"/>
                <w:w w:val="97"/>
              </w:rPr>
              <w:t>www.livanova.com</w:t>
            </w:r>
          </w:p>
        </w:tc>
        <w:tc>
          <w:tcPr>
            <w:tcW w:w="0" w:type="dxa"/>
            <w:vAlign w:val="bottom"/>
          </w:tcPr>
          <w:p>
            <w:pPr>
              <w:spacing w:after="0"/>
              <w:rPr>
                <w:sz w:val="1"/>
                <w:szCs w:val="1"/>
                <w:color w:val="auto"/>
              </w:rPr>
            </w:pPr>
          </w:p>
        </w:tc>
      </w:tr>
      <w:tr>
        <w:trPr>
          <w:trHeight w:val="69"/>
        </w:trPr>
        <w:tc>
          <w:tcPr>
            <w:tcW w:w="12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00" w:type="dxa"/>
            <w:vAlign w:val="bottom"/>
            <w:gridSpan w:val="4"/>
            <w:vMerge w:val="continue"/>
          </w:tcPr>
          <w:p>
            <w:pPr>
              <w:spacing w:after="0"/>
              <w:rPr>
                <w:sz w:val="5"/>
                <w:szCs w:val="5"/>
                <w:color w:val="auto"/>
              </w:rPr>
            </w:pPr>
          </w:p>
        </w:tc>
        <w:tc>
          <w:tcPr>
            <w:tcW w:w="8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-1633220</wp:posOffset>
            </wp:positionV>
            <wp:extent cx="342900" cy="334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 cy="334645"/>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-1624965</wp:posOffset>
            </wp:positionV>
            <wp:extent cx="188595" cy="325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595" cy="325755"/>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-1573530</wp:posOffset>
            </wp:positionV>
            <wp:extent cx="2743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-1598930</wp:posOffset>
            </wp:positionV>
            <wp:extent cx="462915"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2915" cy="27432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-1607820</wp:posOffset>
            </wp:positionV>
            <wp:extent cx="445770"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5770" cy="283210"/>
                    </a:xfrm>
                    <a:prstGeom prst="rect">
                      <a:avLst/>
                    </a:prstGeom>
                    <a:noFill/>
                  </pic:spPr>
                </pic:pic>
              </a:graphicData>
            </a:graphic>
          </wp:anchor>
        </w:drawing>
      </w:r>
    </w:p>
    <w:p>
      <w:pPr>
        <w:sectPr>
          <w:pgSz w:w="11900" w:h="16838" w:orient="portrait"/>
          <w:cols w:equalWidth="0" w:num="1">
            <w:col w:w="11420"/>
          </w:cols>
          <w:pgMar w:left="240" w:top="234" w:right="239" w:bottom="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6F2875"/>
        </w:rPr>
        <w:t>How to Vote</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231F20"/>
        </w:rPr>
        <w:t xml:space="preserve">You may vote at the AGM, either in person, or virtually at www.meetingcenter.io/239829366 (password: LIVN2018). Please see our </w:t>
      </w:r>
      <w:r>
        <w:rPr>
          <w:rFonts w:ascii="Arial" w:cs="Arial" w:eastAsia="Arial" w:hAnsi="Arial"/>
          <w:sz w:val="16"/>
          <w:szCs w:val="16"/>
          <w:i w:val="1"/>
          <w:iCs w:val="1"/>
          <w:color w:val="231F20"/>
        </w:rPr>
        <w:t>Frequently Asked</w:t>
      </w:r>
      <w:r>
        <w:rPr>
          <w:rFonts w:ascii="Arial" w:cs="Arial" w:eastAsia="Arial" w:hAnsi="Arial"/>
          <w:sz w:val="16"/>
          <w:szCs w:val="16"/>
          <w:color w:val="231F20"/>
        </w:rPr>
        <w:t xml:space="preserve"> </w:t>
      </w:r>
      <w:r>
        <w:rPr>
          <w:rFonts w:ascii="Arial" w:cs="Arial" w:eastAsia="Arial" w:hAnsi="Arial"/>
          <w:sz w:val="16"/>
          <w:szCs w:val="16"/>
          <w:i w:val="1"/>
          <w:iCs w:val="1"/>
          <w:color w:val="231F20"/>
        </w:rPr>
        <w:t xml:space="preserve">Questions About the AGM </w:t>
      </w:r>
      <w:r>
        <w:rPr>
          <w:rFonts w:ascii="Arial" w:cs="Arial" w:eastAsia="Arial" w:hAnsi="Arial"/>
          <w:sz w:val="16"/>
          <w:szCs w:val="16"/>
          <w:color w:val="231F20"/>
        </w:rPr>
        <w:t>for detailed information on how shareholders of record, beneficial holders and CDI holders may attend and vote at the AGM either in</w:t>
      </w:r>
      <w:r>
        <w:rPr>
          <w:rFonts w:ascii="Arial" w:cs="Arial" w:eastAsia="Arial" w:hAnsi="Arial"/>
          <w:sz w:val="16"/>
          <w:szCs w:val="16"/>
          <w:i w:val="1"/>
          <w:iCs w:val="1"/>
          <w:color w:val="231F20"/>
        </w:rPr>
        <w:t xml:space="preserve"> </w:t>
      </w:r>
      <w:r>
        <w:rPr>
          <w:rFonts w:ascii="Arial" w:cs="Arial" w:eastAsia="Arial" w:hAnsi="Arial"/>
          <w:sz w:val="16"/>
          <w:szCs w:val="16"/>
          <w:color w:val="231F20"/>
        </w:rPr>
        <w:t>person or virtually. All attendees in person must present government-issued identification.</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 xml:space="preserve">You may also vote in advance of the meeting. Depending on whether you are a shareholder of record, a beneficial holder or a CDI holder, you will be able to do so by post, via the internet or by telephone. Please see our </w:t>
      </w:r>
      <w:r>
        <w:rPr>
          <w:rFonts w:ascii="Arial" w:cs="Arial" w:eastAsia="Arial" w:hAnsi="Arial"/>
          <w:sz w:val="16"/>
          <w:szCs w:val="16"/>
          <w:i w:val="1"/>
          <w:iCs w:val="1"/>
          <w:color w:val="231F20"/>
        </w:rPr>
        <w:t>Frequently Asked Questions About the AGM</w:t>
      </w:r>
      <w:r>
        <w:rPr>
          <w:rFonts w:ascii="Arial" w:cs="Arial" w:eastAsia="Arial" w:hAnsi="Arial"/>
          <w:sz w:val="16"/>
          <w:szCs w:val="16"/>
          <w:color w:val="231F20"/>
        </w:rPr>
        <w: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6F2875"/>
        </w:rPr>
        <w:t>Section 527 Notice - Website Materials</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Under section 527 of the Companies Act 2006, shareholders meeting the threshold requirements set out in that section have the right to require the Company to publish on a website a statement setting out any matter relating to: (i) the audit of the Company’s accounts (including the auditor’s report and the conduct of the audit) that are to be laid before the meeting; or (ii) any circumstance connected with an auditor of the Company ceasing to hold office since the previous meeting at which annual accounts and reports were laid in accordance with section 437 of the Companies Act 2006. The Company may not require the shareholders requesting any such website publication to pay its expenses in complying with section 527 or section 528 of the Companies Act 2006. Where the Company is required to place a statement on a website under section 527 of the Companies Act 2006, it must forward the statement to the Company’s auditor not later than the time when it makes the statement available on the website. The business which may be dealt with at the meeting includes any statement that the Company has been required under section 527 of the Companies Act 2006 to publish on a website.</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6"/>
          <w:szCs w:val="16"/>
          <w:color w:val="231F20"/>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1905</wp:posOffset>
            </wp:positionV>
            <wp:extent cx="1003300" cy="626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033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231F20"/>
        </w:rPr>
        <w:t>Catherine Moroz</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231F20"/>
        </w:rPr>
        <w:t>Company Secretary</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231F20"/>
        </w:rPr>
        <w:t>April 30, 2018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Borders>
              <w:bottom w:val="single" w:sz="8" w:color="auto"/>
            </w:tcBorders>
          </w:tcPr>
          <w:p>
            <w:pPr>
              <w:spacing w:after="0"/>
              <w:rPr>
                <w:sz w:val="10"/>
                <w:szCs w:val="10"/>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69"/>
        </w:trPr>
        <w:tc>
          <w:tcPr>
            <w:tcW w:w="40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Cautionary Note Regarding Forward-Looking Statements</w:t>
      </w:r>
    </w:p>
    <w:p>
      <w:pPr>
        <w:spacing w:after="0" w:line="23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This proxy statement contains forward-looking statements within the meaning of the US federal securities laws. Forward-looking statements may be identified by words like “may,” “could,” “seek,” “guidance,” “predict,” “potential,” “likely,” “believe,” “will,” “should,” “expect,” “anticipate,” “estimate,” “plan,” “intend,” “forecast,” “foresee” or variations of these terms and similar expressions, or the negative of these terms or similar expressions. Forward-looking statements in this proxy statement include, but are not limited to, statements regarding individual and Company performance objectives and targets. These and other forward-looking statements are based on our beliefs, assumptions and estimates using information available to us at the time and are not intended to be guarantees of future events or performance. Factors that may cause actual results to differ materially from those contemplated by the statements in this proxy statement can be found in our periodic reports on file with the SEC. The forward-looking statements speak only as of the date of this proxy statement and undue reliance should not be placed on these statements. We disclaim any intention or obligation to publicly update or revise any forward-looking statements, unless required by applicable securities laws. This cautionary statement is applicable to all forward-looking statements contained in this document.</w:t>
      </w:r>
    </w:p>
    <w:p>
      <w:pPr>
        <w:spacing w:after="0" w:line="187" w:lineRule="exact"/>
        <w:rPr>
          <w:sz w:val="20"/>
          <w:szCs w:val="20"/>
          <w:color w:val="auto"/>
        </w:rPr>
      </w:pPr>
    </w:p>
    <w:p>
      <w:pPr>
        <w:spacing w:after="0"/>
        <w:tabs>
          <w:tab w:leader="none" w:pos="4220" w:val="left"/>
          <w:tab w:leader="none" w:pos="9960" w:val="left"/>
        </w:tabs>
        <w:rPr>
          <w:sz w:val="20"/>
          <w:szCs w:val="20"/>
          <w:color w:val="auto"/>
        </w:rPr>
      </w:pPr>
      <w:r>
        <w:rPr>
          <w:rFonts w:ascii="Arial" w:cs="Arial" w:eastAsia="Arial" w:hAnsi="Arial"/>
          <w:sz w:val="16"/>
          <w:szCs w:val="16"/>
          <w:b w:val="1"/>
          <w:bCs w:val="1"/>
          <w:color w:val="auto"/>
        </w:rPr>
        <w:t>4</w:t>
      </w:r>
      <w:r>
        <w:rPr>
          <w:sz w:val="20"/>
          <w:szCs w:val="20"/>
          <w:color w:val="auto"/>
        </w:rPr>
        <w:tab/>
      </w: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r>
        <w:rPr>
          <w:sz w:val="20"/>
          <w:szCs w:val="20"/>
          <w:color w:val="auto"/>
        </w:rPr>
        <w:tab/>
      </w:r>
      <w:r>
        <w:rPr>
          <w:rFonts w:ascii="Arial" w:cs="Arial" w:eastAsia="Arial" w:hAnsi="Arial"/>
          <w:sz w:val="16"/>
          <w:szCs w:val="16"/>
          <w:b w:val="1"/>
          <w:bCs w:val="1"/>
          <w:color w:val="6F2875"/>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-36195</wp:posOffset>
            </wp:positionV>
            <wp:extent cx="1663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-36195</wp:posOffset>
            </wp:positionV>
            <wp:extent cx="23241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tabs>
          <w:tab w:leader="none" w:pos="3040" w:val="left"/>
        </w:tabs>
        <w:rPr>
          <w:sz w:val="20"/>
          <w:szCs w:val="20"/>
          <w:color w:val="auto"/>
        </w:rPr>
      </w:pPr>
      <w:r>
        <w:rPr>
          <w:rFonts w:ascii="Arial" w:cs="Arial" w:eastAsia="Arial" w:hAnsi="Arial"/>
          <w:sz w:val="47"/>
          <w:szCs w:val="47"/>
          <w:b w:val="1"/>
          <w:bCs w:val="1"/>
          <w:color w:val="6F2875"/>
        </w:rPr>
        <w:t>Proposal 1</w:t>
      </w:r>
      <w:r>
        <w:rPr>
          <w:sz w:val="20"/>
          <w:szCs w:val="20"/>
          <w:color w:val="auto"/>
        </w:rPr>
        <w:tab/>
      </w:r>
      <w:r>
        <w:rPr>
          <w:rFonts w:ascii="Arial" w:cs="Arial" w:eastAsia="Arial" w:hAnsi="Arial"/>
          <w:sz w:val="46"/>
          <w:szCs w:val="46"/>
          <w:b w:val="1"/>
          <w:bCs w:val="1"/>
          <w:color w:val="818285"/>
        </w:rPr>
        <w:t>Election of Directors</w:t>
      </w:r>
    </w:p>
    <w:p>
      <w:pPr>
        <w:spacing w:after="0" w:line="200" w:lineRule="exact"/>
        <w:rPr>
          <w:sz w:val="20"/>
          <w:szCs w:val="20"/>
          <w:color w:val="auto"/>
        </w:rPr>
      </w:pP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The selection of qualified directors is critical to the long-term success of the Company and its shareholders. Director nominees must be able to contribute significantly to the Board’s discussion and decision-making on the broad array of complex issues facing the Company. The Board of Director’s (the “Board”) established process for director selection begins with an assessment of our strategic objectives and the skills, experience and qualifications needed to further those objectives. Through that process, the Board has determined that its nominees for election as director collectively represent the best mix of experience, qualifications and skills to further the long-term interests of all shareholders.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231F20"/>
        </w:rPr>
        <w:t>The Board is unclassified and pursuant to our Articles of Association, the terms of all incumbent director nominees will expire at this AGM.</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You are being asked to vote, by separate resolutions, on the election of the following nine director nominees, each for a one year term. Election is by a majority of the votes cast in an uncontested election such as this one. Detailed information about each director nominee’s background, skill sets and areas of expertise can be found beginning on page 8.</w:t>
      </w:r>
    </w:p>
    <w:p>
      <w:pPr>
        <w:spacing w:after="0" w:line="208" w:lineRule="exact"/>
        <w:rPr>
          <w:sz w:val="20"/>
          <w:szCs w:val="20"/>
          <w:color w:val="auto"/>
        </w:rPr>
      </w:pPr>
    </w:p>
    <w:p>
      <w:pPr>
        <w:ind w:left="2340"/>
        <w:spacing w:after="0"/>
        <w:rPr>
          <w:sz w:val="20"/>
          <w:szCs w:val="20"/>
          <w:color w:val="auto"/>
        </w:rPr>
      </w:pPr>
      <w:r>
        <w:rPr>
          <w:rFonts w:ascii="Arial" w:cs="Arial" w:eastAsia="Arial" w:hAnsi="Arial"/>
          <w:sz w:val="16"/>
          <w:szCs w:val="16"/>
          <w:b w:val="1"/>
          <w:bCs w:val="1"/>
          <w:color w:val="6F2775"/>
        </w:rPr>
        <w:t>DIRECTOR NOMINEES</w:t>
      </w:r>
    </w:p>
    <w:p>
      <w:pPr>
        <w:spacing w:after="0" w:line="57" w:lineRule="exact"/>
        <w:rPr>
          <w:sz w:val="20"/>
          <w:szCs w:val="20"/>
          <w:color w:val="auto"/>
        </w:rPr>
      </w:pPr>
    </w:p>
    <w:tbl>
      <w:tblPr>
        <w:tblLayout w:type="fixed"/>
        <w:tblInd w:w="2300" w:type="dxa"/>
        <w:tblCellMar>
          <w:top w:w="0" w:type="dxa"/>
          <w:left w:w="0" w:type="dxa"/>
          <w:bottom w:w="0" w:type="dxa"/>
          <w:right w:w="0" w:type="dxa"/>
        </w:tblCellMar>
      </w:tblPr>
      <w:tr>
        <w:trPr>
          <w:trHeight w:val="203"/>
        </w:trPr>
        <w:tc>
          <w:tcPr>
            <w:tcW w:w="2420" w:type="dxa"/>
            <w:vAlign w:val="bottom"/>
            <w:tcBorders>
              <w:top w:val="single" w:sz="8" w:color="6F2875"/>
            </w:tcBorders>
          </w:tcPr>
          <w:p>
            <w:pPr>
              <w:ind w:left="40"/>
              <w:spacing w:after="0"/>
              <w:rPr>
                <w:sz w:val="20"/>
                <w:szCs w:val="20"/>
                <w:color w:val="auto"/>
              </w:rPr>
            </w:pPr>
            <w:r>
              <w:rPr>
                <w:rFonts w:ascii="Arial" w:cs="Arial" w:eastAsia="Arial" w:hAnsi="Arial"/>
                <w:sz w:val="16"/>
                <w:szCs w:val="16"/>
                <w:color w:val="auto"/>
              </w:rPr>
              <w:t>Francesco Bianchi</w:t>
            </w:r>
          </w:p>
        </w:tc>
        <w:tc>
          <w:tcPr>
            <w:tcW w:w="4420" w:type="dxa"/>
            <w:vAlign w:val="bottom"/>
            <w:tcBorders>
              <w:top w:val="single" w:sz="8" w:color="6F2875"/>
            </w:tcBorders>
          </w:tcPr>
          <w:p>
            <w:pPr>
              <w:ind w:left="1060"/>
              <w:spacing w:after="0"/>
              <w:rPr>
                <w:sz w:val="20"/>
                <w:szCs w:val="20"/>
                <w:color w:val="auto"/>
              </w:rPr>
            </w:pPr>
            <w:r>
              <w:rPr>
                <w:rFonts w:ascii="Arial" w:cs="Arial" w:eastAsia="Arial" w:hAnsi="Arial"/>
                <w:sz w:val="16"/>
                <w:szCs w:val="16"/>
                <w:color w:val="auto"/>
              </w:rPr>
              <w:t>Alfred J. Novak</w:t>
            </w:r>
          </w:p>
        </w:tc>
      </w:tr>
      <w:tr>
        <w:trPr>
          <w:trHeight w:val="189"/>
        </w:trPr>
        <w:tc>
          <w:tcPr>
            <w:tcW w:w="2420" w:type="dxa"/>
            <w:vAlign w:val="bottom"/>
            <w:shd w:val="clear" w:color="auto" w:fill="F3EDF3"/>
          </w:tcPr>
          <w:p>
            <w:pPr>
              <w:ind w:left="40"/>
              <w:spacing w:after="0"/>
              <w:rPr>
                <w:sz w:val="20"/>
                <w:szCs w:val="20"/>
                <w:color w:val="auto"/>
              </w:rPr>
            </w:pPr>
            <w:r>
              <w:rPr>
                <w:rFonts w:ascii="Arial" w:cs="Arial" w:eastAsia="Arial" w:hAnsi="Arial"/>
                <w:sz w:val="16"/>
                <w:szCs w:val="16"/>
                <w:color w:val="auto"/>
              </w:rPr>
              <w:t>William Kozy</w:t>
            </w:r>
          </w:p>
        </w:tc>
        <w:tc>
          <w:tcPr>
            <w:tcW w:w="4420" w:type="dxa"/>
            <w:vAlign w:val="bottom"/>
            <w:shd w:val="clear" w:color="auto" w:fill="F3EDF3"/>
          </w:tcPr>
          <w:p>
            <w:pPr>
              <w:ind w:left="1060"/>
              <w:spacing w:after="0"/>
              <w:rPr>
                <w:sz w:val="20"/>
                <w:szCs w:val="20"/>
                <w:color w:val="auto"/>
              </w:rPr>
            </w:pPr>
            <w:r>
              <w:rPr>
                <w:rFonts w:ascii="Arial" w:cs="Arial" w:eastAsia="Arial" w:hAnsi="Arial"/>
                <w:sz w:val="16"/>
                <w:szCs w:val="16"/>
                <w:color w:val="auto"/>
              </w:rPr>
              <w:t>Sharon O’Kane, Ph.D.</w:t>
            </w:r>
          </w:p>
        </w:tc>
      </w:tr>
      <w:tr>
        <w:trPr>
          <w:trHeight w:val="189"/>
        </w:trPr>
        <w:tc>
          <w:tcPr>
            <w:tcW w:w="2420" w:type="dxa"/>
            <w:vAlign w:val="bottom"/>
          </w:tcPr>
          <w:p>
            <w:pPr>
              <w:ind w:left="40"/>
              <w:spacing w:after="0"/>
              <w:rPr>
                <w:sz w:val="20"/>
                <w:szCs w:val="20"/>
                <w:color w:val="auto"/>
              </w:rPr>
            </w:pPr>
            <w:r>
              <w:rPr>
                <w:rFonts w:ascii="Arial" w:cs="Arial" w:eastAsia="Arial" w:hAnsi="Arial"/>
                <w:sz w:val="16"/>
                <w:szCs w:val="16"/>
                <w:color w:val="auto"/>
              </w:rPr>
              <w:t>Damien McDonald</w:t>
            </w:r>
          </w:p>
        </w:tc>
        <w:tc>
          <w:tcPr>
            <w:tcW w:w="4420" w:type="dxa"/>
            <w:vAlign w:val="bottom"/>
          </w:tcPr>
          <w:p>
            <w:pPr>
              <w:ind w:left="1060"/>
              <w:spacing w:after="0"/>
              <w:rPr>
                <w:sz w:val="20"/>
                <w:szCs w:val="20"/>
                <w:color w:val="auto"/>
              </w:rPr>
            </w:pPr>
            <w:r>
              <w:rPr>
                <w:rFonts w:ascii="Arial" w:cs="Arial" w:eastAsia="Arial" w:hAnsi="Arial"/>
                <w:sz w:val="16"/>
                <w:szCs w:val="16"/>
                <w:color w:val="auto"/>
              </w:rPr>
              <w:t>Arthur L. Rosenthal, Ph.D.</w:t>
            </w:r>
          </w:p>
        </w:tc>
      </w:tr>
      <w:tr>
        <w:trPr>
          <w:trHeight w:val="189"/>
        </w:trPr>
        <w:tc>
          <w:tcPr>
            <w:tcW w:w="2420" w:type="dxa"/>
            <w:vAlign w:val="bottom"/>
            <w:shd w:val="clear" w:color="auto" w:fill="F3EDF3"/>
          </w:tcPr>
          <w:p>
            <w:pPr>
              <w:ind w:left="40"/>
              <w:spacing w:after="0"/>
              <w:rPr>
                <w:sz w:val="20"/>
                <w:szCs w:val="20"/>
                <w:color w:val="auto"/>
              </w:rPr>
            </w:pPr>
            <w:r>
              <w:rPr>
                <w:rFonts w:ascii="Arial" w:cs="Arial" w:eastAsia="Arial" w:hAnsi="Arial"/>
                <w:sz w:val="16"/>
                <w:szCs w:val="16"/>
                <w:color w:val="auto"/>
              </w:rPr>
              <w:t>Daniel J. Moore</w:t>
            </w:r>
          </w:p>
        </w:tc>
        <w:tc>
          <w:tcPr>
            <w:tcW w:w="4420" w:type="dxa"/>
            <w:vAlign w:val="bottom"/>
            <w:shd w:val="clear" w:color="auto" w:fill="F3EDF3"/>
          </w:tcPr>
          <w:p>
            <w:pPr>
              <w:ind w:left="1060"/>
              <w:spacing w:after="0"/>
              <w:rPr>
                <w:sz w:val="20"/>
                <w:szCs w:val="20"/>
                <w:color w:val="auto"/>
              </w:rPr>
            </w:pPr>
            <w:r>
              <w:rPr>
                <w:rFonts w:ascii="Arial" w:cs="Arial" w:eastAsia="Arial" w:hAnsi="Arial"/>
                <w:sz w:val="16"/>
                <w:szCs w:val="16"/>
                <w:color w:val="auto"/>
              </w:rPr>
              <w:t>Andrea L. Saia</w:t>
            </w:r>
          </w:p>
        </w:tc>
      </w:tr>
      <w:tr>
        <w:trPr>
          <w:trHeight w:val="189"/>
        </w:trPr>
        <w:tc>
          <w:tcPr>
            <w:tcW w:w="2420" w:type="dxa"/>
            <w:vAlign w:val="bottom"/>
            <w:tcBorders>
              <w:bottom w:val="single" w:sz="8" w:color="6F2875"/>
            </w:tcBorders>
          </w:tcPr>
          <w:p>
            <w:pPr>
              <w:ind w:left="40"/>
              <w:spacing w:after="0"/>
              <w:rPr>
                <w:sz w:val="20"/>
                <w:szCs w:val="20"/>
                <w:color w:val="auto"/>
              </w:rPr>
            </w:pPr>
            <w:r>
              <w:rPr>
                <w:rFonts w:ascii="Arial" w:cs="Arial" w:eastAsia="Arial" w:hAnsi="Arial"/>
                <w:sz w:val="16"/>
                <w:szCs w:val="16"/>
                <w:color w:val="auto"/>
              </w:rPr>
              <w:t>Hugh M. Morrison</w:t>
            </w:r>
          </w:p>
        </w:tc>
        <w:tc>
          <w:tcPr>
            <w:tcW w:w="4420" w:type="dxa"/>
            <w:vAlign w:val="bottom"/>
            <w:tcBorders>
              <w:bottom w:val="single" w:sz="8" w:color="6F2875"/>
            </w:tcBorders>
          </w:tcPr>
          <w:p>
            <w:pPr>
              <w:spacing w:after="0"/>
              <w:rPr>
                <w:sz w:val="16"/>
                <w:szCs w:val="16"/>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Vote Required</w:t>
      </w:r>
    </w:p>
    <w:p>
      <w:pPr>
        <w:spacing w:after="0" w:line="35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In an uncontested election such as this year’s, to be elected, each director nominee will require the affirmative vote of a majority of shares present at the AGM, in person or by proxy, and entitled to vote on the proposal. Abstentions will have the same effect as votes against this proposal. If you own shares through a bank, broker or other holder of record, you must instruct your bank, broker or other holder of record how to vote in order for them to vote your shares so that your vote can be counted on this proposal. Broker non-votes will have no effect on this proposal as brokers are not entitled to vote on non-routine matters (such as this proposal) in the absence of voting instructions from the beneficial owner.</w:t>
      </w:r>
    </w:p>
    <w:p>
      <w:pPr>
        <w:spacing w:after="0" w:line="260"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Board Recommendation</w:t>
      </w:r>
    </w:p>
    <w:p>
      <w:pPr>
        <w:spacing w:after="0" w:line="323" w:lineRule="exact"/>
        <w:rPr>
          <w:sz w:val="20"/>
          <w:szCs w:val="20"/>
          <w:color w:val="auto"/>
        </w:rPr>
      </w:pPr>
    </w:p>
    <w:p>
      <w:pPr>
        <w:spacing w:after="0"/>
        <w:rPr>
          <w:sz w:val="20"/>
          <w:szCs w:val="20"/>
          <w:color w:val="auto"/>
        </w:rPr>
      </w:pPr>
      <w:r>
        <w:rPr>
          <w:sz w:val="1"/>
          <w:szCs w:val="1"/>
          <w:color w:val="auto"/>
        </w:rPr>
        <w:drawing>
          <wp:inline distT="0" distB="0" distL="0" distR="0">
            <wp:extent cx="163195" cy="1543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3195" cy="154305"/>
                    </a:xfrm>
                    <a:prstGeom prst="rect">
                      <a:avLst/>
                    </a:prstGeom>
                    <a:noFill/>
                    <a:ln>
                      <a:noFill/>
                    </a:ln>
                  </pic:spPr>
                </pic:pic>
              </a:graphicData>
            </a:graphic>
          </wp:inline>
        </w:drawing>
      </w:r>
      <w:r>
        <w:rPr>
          <w:rFonts w:ascii="Arial" w:cs="Arial" w:eastAsia="Arial" w:hAnsi="Arial"/>
          <w:sz w:val="16"/>
          <w:szCs w:val="16"/>
          <w:color w:val="231F20"/>
        </w:rPr>
        <w:t xml:space="preserve"> THE BOARD RECOMMENDS A </w:t>
      </w:r>
      <w:r>
        <w:rPr>
          <w:rFonts w:ascii="Arial" w:cs="Arial" w:eastAsia="Arial" w:hAnsi="Arial"/>
          <w:sz w:val="16"/>
          <w:szCs w:val="16"/>
          <w:b w:val="1"/>
          <w:bCs w:val="1"/>
          <w:color w:val="FC5D45"/>
        </w:rPr>
        <w:t>VOTE “FOR”</w:t>
      </w:r>
      <w:r>
        <w:rPr>
          <w:rFonts w:ascii="Arial" w:cs="Arial" w:eastAsia="Arial" w:hAnsi="Arial"/>
          <w:sz w:val="16"/>
          <w:szCs w:val="16"/>
          <w:color w:val="231F20"/>
        </w:rPr>
        <w:t xml:space="preserve"> THE ELECTION TO THE BOARD OF EACH OF THE DIRECTOR NOMINEES.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Borders>
              <w:bottom w:val="single" w:sz="8" w:color="auto"/>
            </w:tcBorders>
          </w:tcPr>
          <w:p>
            <w:pPr>
              <w:spacing w:after="0"/>
              <w:rPr>
                <w:sz w:val="10"/>
                <w:szCs w:val="10"/>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69"/>
        </w:trPr>
        <w:tc>
          <w:tcPr>
            <w:tcW w:w="40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The Board of Directors</w:t>
      </w:r>
    </w:p>
    <w:p>
      <w:pPr>
        <w:spacing w:after="0" w:line="35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Our Articles of Association provide that the number of directors shall be nine unless otherwise decided by the Board. Currently, the Board is composed of eight directors as Mr. Stefano Gianotti resigned on and with effect March 23, 2018. Upon the recommendation of our Nominating and Corporate Governance Committee, the Board has nominated the persons named under Proposal No. 1 to serve as directors until the 2019 AGM or their earlier resignation or removal.</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With the exception of Mr. Damien McDonald, our chief executive officer (“CEO”), and Mr. Daniel Moore, our chairman (and previously CEO of one of our legacy businesses until 2015), each of the named nominees is independent under applicable rules of The Nasdaq Stock Market LLC (“Nasdaq”), and the US Securities &amp; Exchange Commission (“SEC”) for committee memberships. If re-elected, Mr. Moore will continue to serve as the Company’s non-executive chairman of the Board.</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Qualifications and Director Selection</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231F20"/>
        </w:rPr>
        <w:t xml:space="preserve">The selection process for directors is set out in our Corporate Governance Guidelines and in the charter of the Nominating and Corporate Governance Committee. Both of these documents are available at </w:t>
      </w:r>
      <w:r>
        <w:rPr>
          <w:rFonts w:ascii="Arial" w:cs="Arial" w:eastAsia="Arial" w:hAnsi="Arial"/>
          <w:sz w:val="16"/>
          <w:szCs w:val="16"/>
          <w:i w:val="1"/>
          <w:iCs w:val="1"/>
          <w:color w:val="231F20"/>
        </w:rPr>
        <w:t>www.investor.livanova.com.</w:t>
      </w:r>
      <w:r>
        <w:rPr>
          <w:rFonts w:ascii="Arial" w:cs="Arial" w:eastAsia="Arial" w:hAnsi="Arial"/>
          <w:sz w:val="16"/>
          <w:szCs w:val="16"/>
          <w:color w:val="231F20"/>
        </w:rPr>
        <w:t xml:space="preserve"> The charter authorizes the Nominating and Corporate Governance Committee to determine the qualifications, qualities, skills and other expertise required to be a director but also sets out certain minimum qualification requirements:</w:t>
      </w:r>
    </w:p>
    <w:p>
      <w:pPr>
        <w:spacing w:after="0" w:line="366"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6"/>
          <w:szCs w:val="16"/>
          <w:color w:val="6F2875"/>
        </w:rPr>
      </w:pPr>
      <w:r>
        <w:rPr>
          <w:rFonts w:ascii="Arial" w:cs="Arial" w:eastAsia="Arial" w:hAnsi="Arial"/>
          <w:sz w:val="16"/>
          <w:szCs w:val="16"/>
          <w:color w:val="231F20"/>
        </w:rPr>
        <w:t>a high ethical behavior;</w:t>
      </w:r>
    </w:p>
    <w:p>
      <w:pPr>
        <w:spacing w:after="0" w:line="59" w:lineRule="exact"/>
        <w:rPr>
          <w:rFonts w:ascii="Arial" w:cs="Arial" w:eastAsia="Arial" w:hAnsi="Arial"/>
          <w:sz w:val="16"/>
          <w:szCs w:val="16"/>
          <w:color w:val="6F2875"/>
        </w:rPr>
      </w:pPr>
    </w:p>
    <w:p>
      <w:pPr>
        <w:ind w:left="180" w:hanging="172"/>
        <w:spacing w:after="0"/>
        <w:tabs>
          <w:tab w:leader="none" w:pos="180" w:val="left"/>
        </w:tabs>
        <w:numPr>
          <w:ilvl w:val="0"/>
          <w:numId w:val="4"/>
        </w:numPr>
        <w:rPr>
          <w:rFonts w:ascii="Arial" w:cs="Arial" w:eastAsia="Arial" w:hAnsi="Arial"/>
          <w:sz w:val="16"/>
          <w:szCs w:val="16"/>
          <w:color w:val="6F2875"/>
        </w:rPr>
      </w:pPr>
      <w:r>
        <w:rPr>
          <w:rFonts w:ascii="Arial" w:cs="Arial" w:eastAsia="Arial" w:hAnsi="Arial"/>
          <w:sz w:val="16"/>
          <w:szCs w:val="16"/>
          <w:color w:val="231F20"/>
        </w:rPr>
        <w:t>accomplishments within their respective fields;</w:t>
      </w:r>
    </w:p>
    <w:p>
      <w:pPr>
        <w:spacing w:after="0" w:line="59" w:lineRule="exact"/>
        <w:rPr>
          <w:rFonts w:ascii="Arial" w:cs="Arial" w:eastAsia="Arial" w:hAnsi="Arial"/>
          <w:sz w:val="16"/>
          <w:szCs w:val="16"/>
          <w:color w:val="6F2875"/>
        </w:rPr>
      </w:pPr>
    </w:p>
    <w:p>
      <w:pPr>
        <w:ind w:left="180" w:hanging="172"/>
        <w:spacing w:after="0"/>
        <w:tabs>
          <w:tab w:leader="none" w:pos="180" w:val="left"/>
        </w:tabs>
        <w:numPr>
          <w:ilvl w:val="0"/>
          <w:numId w:val="4"/>
        </w:numPr>
        <w:rPr>
          <w:rFonts w:ascii="Arial" w:cs="Arial" w:eastAsia="Arial" w:hAnsi="Arial"/>
          <w:sz w:val="16"/>
          <w:szCs w:val="16"/>
          <w:color w:val="6F2875"/>
        </w:rPr>
      </w:pPr>
      <w:r>
        <w:rPr>
          <w:rFonts w:ascii="Arial" w:cs="Arial" w:eastAsia="Arial" w:hAnsi="Arial"/>
          <w:sz w:val="16"/>
          <w:szCs w:val="16"/>
          <w:color w:val="231F20"/>
        </w:rPr>
        <w:t>relevant business and financial expertise and experience;</w:t>
      </w:r>
    </w:p>
    <w:p>
      <w:pPr>
        <w:spacing w:after="0" w:line="59" w:lineRule="exact"/>
        <w:rPr>
          <w:rFonts w:ascii="Arial" w:cs="Arial" w:eastAsia="Arial" w:hAnsi="Arial"/>
          <w:sz w:val="16"/>
          <w:szCs w:val="16"/>
          <w:color w:val="6F2875"/>
        </w:rPr>
      </w:pPr>
    </w:p>
    <w:p>
      <w:pPr>
        <w:ind w:left="180" w:hanging="172"/>
        <w:spacing w:after="0"/>
        <w:tabs>
          <w:tab w:leader="none" w:pos="180" w:val="left"/>
        </w:tabs>
        <w:numPr>
          <w:ilvl w:val="0"/>
          <w:numId w:val="4"/>
        </w:numPr>
        <w:rPr>
          <w:rFonts w:ascii="Arial" w:cs="Arial" w:eastAsia="Arial" w:hAnsi="Arial"/>
          <w:sz w:val="16"/>
          <w:szCs w:val="16"/>
          <w:color w:val="6F2875"/>
        </w:rPr>
      </w:pPr>
      <w:r>
        <w:rPr>
          <w:rFonts w:ascii="Arial" w:cs="Arial" w:eastAsia="Arial" w:hAnsi="Arial"/>
          <w:sz w:val="16"/>
          <w:szCs w:val="16"/>
          <w:color w:val="231F20"/>
        </w:rPr>
        <w:t>sound business judgment; and</w:t>
      </w:r>
    </w:p>
    <w:p>
      <w:pPr>
        <w:spacing w:after="0" w:line="59" w:lineRule="exact"/>
        <w:rPr>
          <w:rFonts w:ascii="Arial" w:cs="Arial" w:eastAsia="Arial" w:hAnsi="Arial"/>
          <w:sz w:val="16"/>
          <w:szCs w:val="16"/>
          <w:color w:val="6F2875"/>
        </w:rPr>
      </w:pPr>
    </w:p>
    <w:p>
      <w:pPr>
        <w:ind w:left="180" w:hanging="172"/>
        <w:spacing w:after="0"/>
        <w:tabs>
          <w:tab w:leader="none" w:pos="180" w:val="left"/>
        </w:tabs>
        <w:numPr>
          <w:ilvl w:val="0"/>
          <w:numId w:val="4"/>
        </w:numPr>
        <w:rPr>
          <w:rFonts w:ascii="Arial" w:cs="Arial" w:eastAsia="Arial" w:hAnsi="Arial"/>
          <w:sz w:val="16"/>
          <w:szCs w:val="16"/>
          <w:color w:val="6F2875"/>
        </w:rPr>
      </w:pPr>
      <w:r>
        <w:rPr>
          <w:rFonts w:ascii="Arial" w:cs="Arial" w:eastAsia="Arial" w:hAnsi="Arial"/>
          <w:sz w:val="16"/>
          <w:szCs w:val="16"/>
          <w:color w:val="231F20"/>
        </w:rPr>
        <w:t>diversity, including in respect to gender, race/ethnicity, geography, professional experience, skills and tenure.</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Our Articles of Association stipulate that directors must be able to understand and speak English sufficiently to be able to participate fully in all meetings of the Board.</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The Board has not introduced term or age limits. While term limits could help ensure that fresh ideas and viewpoints are available to the Board, they hold the disadvantage of losing the contribution of directors who have been able to develop, over a period of time, increased insight into the Company and its operations and, therefore, provide significant contributions to the Board as a whole. As an alternative to term limits, the Nominating and Corporate Governance Committee reviews each director’s continued tenure on the Board annually.</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For the purposes of the 2018 AGM, the Nominating and Corporate Governance Committee started a process in mid-2017 during which it conducted a skills gap analysis and considered that analysis in the context of the Company’s strategic plan in order to identify skills and expertise required to lead the Company now and in the future. It also considered the results of the Board and its committees’ annual self-assessments at year end to identify any further lacunae and ultimately to determine the qualifications, qualities, skills and other expertise (in addition to the minimum requirements set out above) for director nominees at the 2018 AGM. Subsequently, the committee engaged an executive search firm to conduct a search (which search included receiving nominations from board members and members of the executive team) and to assist with the evaluation of the candidates. The Nominating and Corporate Governance Committee then assessed all current directors who expressed an interest in being re-nominated as well as potential new candidates evaluated by the executive search firm and made its recommendation to the Board in 2018. No shareholder nominees were submitted for consideration.</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Nominating and Corporate Governance Committee may consider candidates for our Board from any reasonable source, including from a search firm engaged by the Nominating and Corporate Governance Committee or shareholder recommendations, provided that the procedures set forth below and the full procedures identified in our Corporate Governance Guidelines are followed.</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Although we do not have a formal policy with regard to the consideration of any director nominees recommended by shareholders, a shareholder or group of shareholders may recommend potential candidates for consideration. We do not have such a policy because the Nominating and Corporate Governance Committee believes that it can adequately evaluate any such nominees on a case-by-case basis.</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Nominees for consideration by the Nominating and Corporate Governance Committee may be sent in writing to the Office of the Company Secretary, by mail at 20 Eastbourne Terrace, London W2 6LG, United Kingdom, not less than 90 nor more than 120 days prior to the first anniversary of the AGM for the previous year. The written request must include all information relating to such director nominee that is required to be disclosed in a proxy statement or other filings required to be made in connection with solicitations of proxies for election of directors, or otherwise required, pursuant to Regulation 14A under the Securities and Exchange Act of 1934, as amended (the “Exchange Act”), including such person’s written consent to be named in the proxy statement as nominee and to serve as a director if elected. In addition, the request must include:</w:t>
      </w:r>
    </w:p>
    <w:p>
      <w:pPr>
        <w:spacing w:after="0" w:line="178"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6"/>
          <w:szCs w:val="16"/>
          <w:color w:val="6F2875"/>
        </w:rPr>
      </w:pPr>
      <w:r>
        <w:rPr>
          <w:rFonts w:ascii="Arial" w:cs="Arial" w:eastAsia="Arial" w:hAnsi="Arial"/>
          <w:sz w:val="16"/>
          <w:szCs w:val="16"/>
          <w:color w:val="231F20"/>
        </w:rPr>
        <w:t>the nominating shareholder’s or shareholders’ name(s) and address(es) as they appear on the Company’s books;</w:t>
      </w:r>
    </w:p>
    <w:p>
      <w:pPr>
        <w:spacing w:after="0" w:line="59" w:lineRule="exact"/>
        <w:rPr>
          <w:rFonts w:ascii="Arial" w:cs="Arial" w:eastAsia="Arial" w:hAnsi="Arial"/>
          <w:sz w:val="16"/>
          <w:szCs w:val="16"/>
          <w:color w:val="6F2875"/>
        </w:rPr>
      </w:pPr>
    </w:p>
    <w:p>
      <w:pPr>
        <w:ind w:left="180" w:hanging="172"/>
        <w:spacing w:after="0"/>
        <w:tabs>
          <w:tab w:leader="none" w:pos="180" w:val="left"/>
        </w:tabs>
        <w:numPr>
          <w:ilvl w:val="0"/>
          <w:numId w:val="5"/>
        </w:numPr>
        <w:rPr>
          <w:rFonts w:ascii="Arial" w:cs="Arial" w:eastAsia="Arial" w:hAnsi="Arial"/>
          <w:sz w:val="16"/>
          <w:szCs w:val="16"/>
          <w:color w:val="6F2875"/>
        </w:rPr>
      </w:pPr>
      <w:r>
        <w:rPr>
          <w:rFonts w:ascii="Arial" w:cs="Arial" w:eastAsia="Arial" w:hAnsi="Arial"/>
          <w:sz w:val="16"/>
          <w:szCs w:val="16"/>
          <w:color w:val="231F20"/>
        </w:rPr>
        <w:t>the class and number of shares beneficially owned by the nominating shareholder(s);</w:t>
      </w:r>
    </w:p>
    <w:p>
      <w:pPr>
        <w:spacing w:after="0" w:line="59" w:lineRule="exact"/>
        <w:rPr>
          <w:rFonts w:ascii="Arial" w:cs="Arial" w:eastAsia="Arial" w:hAnsi="Arial"/>
          <w:sz w:val="16"/>
          <w:szCs w:val="16"/>
          <w:color w:val="6F2875"/>
        </w:rPr>
      </w:pPr>
    </w:p>
    <w:p>
      <w:pPr>
        <w:jc w:val="both"/>
        <w:ind w:left="180" w:hanging="172"/>
        <w:spacing w:after="0" w:line="258" w:lineRule="auto"/>
        <w:tabs>
          <w:tab w:leader="none" w:pos="180" w:val="left"/>
        </w:tabs>
        <w:numPr>
          <w:ilvl w:val="0"/>
          <w:numId w:val="5"/>
        </w:numPr>
        <w:rPr>
          <w:rFonts w:ascii="Arial" w:cs="Arial" w:eastAsia="Arial" w:hAnsi="Arial"/>
          <w:sz w:val="16"/>
          <w:szCs w:val="16"/>
          <w:color w:val="6F2875"/>
        </w:rPr>
      </w:pPr>
      <w:r>
        <w:rPr>
          <w:rFonts w:ascii="Arial" w:cs="Arial" w:eastAsia="Arial" w:hAnsi="Arial"/>
          <w:sz w:val="16"/>
          <w:szCs w:val="16"/>
          <w:color w:val="231F20"/>
        </w:rPr>
        <w:t>a description of all agreements, arrangements and understandings between such shareholder(s) (other than where the shareholder is a depositary, as defined under the Articles), each proposed director nominee and any other person or persons (including their names) in connection with the nomination of a director;</w:t>
      </w:r>
    </w:p>
    <w:p>
      <w:pPr>
        <w:spacing w:after="0" w:line="368" w:lineRule="exact"/>
        <w:rPr>
          <w:sz w:val="20"/>
          <w:szCs w:val="20"/>
          <w:color w:val="auto"/>
        </w:rPr>
      </w:pPr>
    </w:p>
    <w:p>
      <w:pPr>
        <w:spacing w:after="0"/>
        <w:tabs>
          <w:tab w:leader="none" w:pos="4220" w:val="left"/>
          <w:tab w:leader="none" w:pos="9960" w:val="left"/>
        </w:tabs>
        <w:rPr>
          <w:sz w:val="20"/>
          <w:szCs w:val="20"/>
          <w:color w:val="auto"/>
        </w:rPr>
      </w:pPr>
      <w:r>
        <w:rPr>
          <w:rFonts w:ascii="Arial" w:cs="Arial" w:eastAsia="Arial" w:hAnsi="Arial"/>
          <w:sz w:val="14"/>
          <w:szCs w:val="14"/>
          <w:b w:val="1"/>
          <w:bCs w:val="1"/>
          <w:color w:val="auto"/>
        </w:rPr>
        <w:t>6</w:t>
      </w:r>
      <w:r>
        <w:rPr>
          <w:sz w:val="20"/>
          <w:szCs w:val="20"/>
          <w:color w:val="auto"/>
        </w:rPr>
        <w:tab/>
      </w: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r>
        <w:rPr>
          <w:sz w:val="20"/>
          <w:szCs w:val="20"/>
          <w:color w:val="auto"/>
        </w:rPr>
        <w:tab/>
      </w:r>
      <w:r>
        <w:rPr>
          <w:rFonts w:ascii="Arial" w:cs="Arial" w:eastAsia="Arial" w:hAnsi="Arial"/>
          <w:sz w:val="16"/>
          <w:szCs w:val="16"/>
          <w:b w:val="1"/>
          <w:bCs w:val="1"/>
          <w:color w:val="6F2875"/>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-36195</wp:posOffset>
            </wp:positionV>
            <wp:extent cx="1663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-36195</wp:posOffset>
            </wp:positionV>
            <wp:extent cx="23241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0" w:lineRule="exact"/>
        <w:rPr>
          <w:sz w:val="20"/>
          <w:szCs w:val="20"/>
          <w:color w:val="auto"/>
        </w:rPr>
      </w:pPr>
    </w:p>
    <w:p>
      <w:pPr>
        <w:spacing w:after="0" w:line="289" w:lineRule="exact"/>
        <w:rPr>
          <w:sz w:val="20"/>
          <w:szCs w:val="20"/>
          <w:color w:val="auto"/>
        </w:rPr>
      </w:pPr>
    </w:p>
    <w:p>
      <w:pPr>
        <w:ind w:left="180" w:right="20" w:hanging="172"/>
        <w:spacing w:after="0" w:line="260" w:lineRule="auto"/>
        <w:tabs>
          <w:tab w:leader="none" w:pos="180" w:val="left"/>
        </w:tabs>
        <w:numPr>
          <w:ilvl w:val="0"/>
          <w:numId w:val="6"/>
        </w:numPr>
        <w:rPr>
          <w:rFonts w:ascii="Arial" w:cs="Arial" w:eastAsia="Arial" w:hAnsi="Arial"/>
          <w:sz w:val="16"/>
          <w:szCs w:val="16"/>
          <w:color w:val="6F2875"/>
        </w:rPr>
      </w:pPr>
      <w:r>
        <w:rPr>
          <w:rFonts w:ascii="Arial" w:cs="Arial" w:eastAsia="Arial" w:hAnsi="Arial"/>
          <w:sz w:val="16"/>
          <w:szCs w:val="16"/>
          <w:color w:val="231F20"/>
        </w:rPr>
        <w:t>any other information relating to such shareholder(s) that would be required to be disclosed in a proxy statement or other filings required to be made in connection with solicitations of proxies pursuant to Regulation 14A under the Exchange Act; and</w:t>
      </w:r>
    </w:p>
    <w:p>
      <w:pPr>
        <w:spacing w:after="0" w:line="33" w:lineRule="exact"/>
        <w:rPr>
          <w:rFonts w:ascii="Arial" w:cs="Arial" w:eastAsia="Arial" w:hAnsi="Arial"/>
          <w:sz w:val="16"/>
          <w:szCs w:val="16"/>
          <w:color w:val="6F2875"/>
        </w:rPr>
      </w:pPr>
    </w:p>
    <w:p>
      <w:pPr>
        <w:ind w:left="180" w:hanging="172"/>
        <w:spacing w:after="0"/>
        <w:tabs>
          <w:tab w:leader="none" w:pos="180" w:val="left"/>
        </w:tabs>
        <w:numPr>
          <w:ilvl w:val="0"/>
          <w:numId w:val="6"/>
        </w:numPr>
        <w:rPr>
          <w:rFonts w:ascii="Arial" w:cs="Arial" w:eastAsia="Arial" w:hAnsi="Arial"/>
          <w:sz w:val="16"/>
          <w:szCs w:val="16"/>
          <w:color w:val="6F2875"/>
        </w:rPr>
      </w:pPr>
      <w:r>
        <w:rPr>
          <w:rFonts w:ascii="Arial" w:cs="Arial" w:eastAsia="Arial" w:hAnsi="Arial"/>
          <w:sz w:val="16"/>
          <w:szCs w:val="16"/>
          <w:color w:val="231F20"/>
        </w:rPr>
        <w:t>to the extent known by the shareholder(s) giving notice, the name and address of any other shareholder(s) supporting the election of the director candidate.</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Additionally, under sections 338 and 338A of the Companies Act 2006, shareholders meeting the threshold requirements in those sections may require us (i) to include a resolution in its notice of AGM or (ii) require us to include any matter (other than a proposed resolution) in the business to be dealt with at the AGM. Provided that the appropriate thresholds are met, notice of the resolution or matter must be received by the Company at the Office of the Company Secretary at 20 Eastbourne Terrace, London W2 6LG, United Kingdom at least six weeks prior to the date of the AGM or, if later, at the time notice of the AGM is delivered to shareholders.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From time to time, the Nominating and Corporate Governance Committee may request additional information from the nominee or the nominating shareholder(s). Potential nominees suggested by shareholders are evaluated by the Nominating and Corporate Governance Committee in the same manner as other possible candidates.</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Board Diversity and Director Tenure</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As enshrined in the charter of the Nominating and Corporate Governance Committee, the Board and Company are focused on ensuring a diverse Board. In 2017, the nine person Board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106045</wp:posOffset>
            </wp:positionV>
            <wp:extent cx="6457315" cy="33020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57315"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Borders>
              <w:bottom w:val="single" w:sz="8" w:color="auto"/>
            </w:tcBorders>
          </w:tcPr>
          <w:p>
            <w:pPr>
              <w:spacing w:after="0"/>
              <w:rPr>
                <w:sz w:val="10"/>
                <w:szCs w:val="10"/>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69"/>
        </w:trPr>
        <w:tc>
          <w:tcPr>
            <w:tcW w:w="40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Background Information Regarding Directors and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FFFFFF"/>
        </w:rPr>
        <w:t>FRANCESCO BIANCHI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63270" cy="9950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3270" cy="995045"/>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0"/>
        <w:spacing w:after="0" w:line="342" w:lineRule="auto"/>
        <w:rPr>
          <w:sz w:val="20"/>
          <w:szCs w:val="20"/>
          <w:color w:val="auto"/>
        </w:rPr>
      </w:pPr>
      <w:r>
        <w:rPr>
          <w:rFonts w:ascii="Arial" w:cs="Arial" w:eastAsia="Arial" w:hAnsi="Arial"/>
          <w:sz w:val="14"/>
          <w:szCs w:val="14"/>
          <w:b w:val="1"/>
          <w:bCs w:val="1"/>
          <w:color w:val="FC5D45"/>
        </w:rPr>
        <w:t xml:space="preserve">INDEPENDENT </w:t>
      </w:r>
      <w:r>
        <w:rPr>
          <w:rFonts w:ascii="Arial" w:cs="Arial" w:eastAsia="Arial" w:hAnsi="Arial"/>
          <w:sz w:val="14"/>
          <w:szCs w:val="14"/>
          <w:b w:val="1"/>
          <w:bCs w:val="1"/>
          <w:color w:val="231F20"/>
        </w:rPr>
        <w:t>Age 61</w:t>
      </w:r>
    </w:p>
    <w:p>
      <w:pPr>
        <w:ind w:left="60" w:right="260"/>
        <w:spacing w:after="0" w:line="285" w:lineRule="auto"/>
        <w:rPr>
          <w:sz w:val="20"/>
          <w:szCs w:val="20"/>
          <w:color w:val="auto"/>
        </w:rPr>
      </w:pPr>
      <w:r>
        <w:rPr>
          <w:rFonts w:ascii="Arial" w:cs="Arial" w:eastAsia="Arial" w:hAnsi="Arial"/>
          <w:sz w:val="14"/>
          <w:szCs w:val="14"/>
          <w:b w:val="1"/>
          <w:bCs w:val="1"/>
          <w:color w:val="231F20"/>
        </w:rPr>
        <w:t xml:space="preserve">Director since: </w:t>
      </w:r>
      <w:r>
        <w:rPr>
          <w:rFonts w:ascii="Arial" w:cs="Arial" w:eastAsia="Arial" w:hAnsi="Arial"/>
          <w:sz w:val="14"/>
          <w:szCs w:val="14"/>
          <w:b w:val="1"/>
          <w:bCs w:val="1"/>
          <w:color w:val="6F2875"/>
        </w:rPr>
        <w:t>2015</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6F2875"/>
        </w:rPr>
        <w:t>Biography:</w:t>
      </w:r>
    </w:p>
    <w:p>
      <w:pPr>
        <w:spacing w:after="0" w:line="19" w:lineRule="exact"/>
        <w:rPr>
          <w:sz w:val="20"/>
          <w:szCs w:val="20"/>
          <w:color w:val="auto"/>
        </w:rPr>
      </w:pPr>
    </w:p>
    <w:p>
      <w:pPr>
        <w:jc w:val="both"/>
        <w:ind w:left="2" w:right="60"/>
        <w:spacing w:after="0" w:line="244" w:lineRule="auto"/>
        <w:rPr>
          <w:sz w:val="20"/>
          <w:szCs w:val="20"/>
          <w:color w:val="auto"/>
        </w:rPr>
      </w:pPr>
      <w:r>
        <w:rPr>
          <w:rFonts w:ascii="Arial" w:cs="Arial" w:eastAsia="Arial" w:hAnsi="Arial"/>
          <w:sz w:val="14"/>
          <w:szCs w:val="14"/>
          <w:color w:val="231F20"/>
        </w:rPr>
        <w:t>Mr. Bianchi serves as Chairman at Seven Capital Partners S.r.l.. From 2015 until its merger with Cyberonics, Inc. (“Cyberonics”), Mr. Bianchi served on the board of directors of Sorin S.p.A. (“Sorin”). Mr. Bianchi has 30 years of mergers and acquisitions and strategic advisory experience working for well-recognized international financial institutions such as JPMorgan Chase (Paris), Morgan Grenfell (Milan), Citi (London) and Bankers Trust (Milan), where he served in various positions including general manager and head of the mergers and acquisitions and corporate finance division. He also headed the strategic planning division of Banca-Intesa S.p.A. in Italy and abroad. Mr. Bianchi earned a degree in economic sciences with honors from the University of Florence and is a chartered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85090</wp:posOffset>
            </wp:positionV>
            <wp:extent cx="64490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141" w:lineRule="exact"/>
        <w:rPr>
          <w:sz w:val="20"/>
          <w:szCs w:val="20"/>
          <w:color w:val="auto"/>
        </w:rPr>
      </w:pPr>
    </w:p>
    <w:p>
      <w:pPr>
        <w:ind w:left="2"/>
        <w:spacing w:after="0"/>
        <w:tabs>
          <w:tab w:leader="none" w:pos="5202" w:val="left"/>
        </w:tabs>
        <w:rPr>
          <w:sz w:val="20"/>
          <w:szCs w:val="20"/>
          <w:color w:val="auto"/>
        </w:rPr>
      </w:pPr>
      <w:r>
        <w:rPr>
          <w:rFonts w:ascii="Arial" w:cs="Arial" w:eastAsia="Arial" w:hAnsi="Arial"/>
          <w:sz w:val="14"/>
          <w:szCs w:val="14"/>
          <w:b w:val="1"/>
          <w:bCs w:val="1"/>
          <w:color w:val="6F2875"/>
        </w:rPr>
        <w:t>Skills and Qualifications:</w:t>
      </w:r>
      <w:r>
        <w:rPr>
          <w:sz w:val="20"/>
          <w:szCs w:val="20"/>
          <w:color w:val="auto"/>
        </w:rPr>
        <w:tab/>
      </w:r>
      <w:r>
        <w:rPr>
          <w:rFonts w:ascii="Arial" w:cs="Arial" w:eastAsia="Arial" w:hAnsi="Arial"/>
          <w:sz w:val="14"/>
          <w:szCs w:val="14"/>
          <w:b w:val="1"/>
          <w:bCs w:val="1"/>
          <w:color w:val="6F2875"/>
        </w:rPr>
        <w:t>Current Directorships:</w:t>
      </w:r>
    </w:p>
    <w:p>
      <w:pPr>
        <w:spacing w:after="0" w:line="19" w:lineRule="exact"/>
        <w:rPr>
          <w:sz w:val="20"/>
          <w:szCs w:val="20"/>
          <w:color w:val="auto"/>
        </w:rPr>
      </w:pPr>
    </w:p>
    <w:p>
      <w:pPr>
        <w:ind w:left="2"/>
        <w:spacing w:after="0"/>
        <w:tabs>
          <w:tab w:leader="none" w:pos="5202" w:val="left"/>
        </w:tabs>
        <w:rPr>
          <w:sz w:val="20"/>
          <w:szCs w:val="20"/>
          <w:color w:val="auto"/>
        </w:rPr>
      </w:pPr>
      <w:r>
        <w:rPr>
          <w:rFonts w:ascii="Arial" w:cs="Arial" w:eastAsia="Arial" w:hAnsi="Arial"/>
          <w:sz w:val="14"/>
          <w:szCs w:val="14"/>
          <w:color w:val="6F2875"/>
        </w:rPr>
        <w:t xml:space="preserve">• </w:t>
      </w:r>
      <w:r>
        <w:rPr>
          <w:rFonts w:ascii="Arial" w:cs="Arial" w:eastAsia="Arial" w:hAnsi="Arial"/>
          <w:sz w:val="14"/>
          <w:szCs w:val="14"/>
          <w:color w:val="231F20"/>
        </w:rPr>
        <w:t>financial expertise</w:t>
      </w:r>
      <w:r>
        <w:rPr>
          <w:sz w:val="20"/>
          <w:szCs w:val="20"/>
          <w:color w:val="auto"/>
        </w:rPr>
        <w:tab/>
      </w:r>
      <w:r>
        <w:rPr>
          <w:rFonts w:ascii="Arial" w:cs="Arial" w:eastAsia="Arial" w:hAnsi="Arial"/>
          <w:sz w:val="14"/>
          <w:szCs w:val="14"/>
          <w:color w:val="6F2875"/>
        </w:rPr>
        <w:t xml:space="preserve">• </w:t>
      </w:r>
      <w:r>
        <w:rPr>
          <w:rFonts w:ascii="Arial" w:cs="Arial" w:eastAsia="Arial" w:hAnsi="Arial"/>
          <w:sz w:val="14"/>
          <w:szCs w:val="14"/>
          <w:color w:val="231F20"/>
        </w:rPr>
        <w:t>Seven Capital Partners S.r.l.</w:t>
      </w:r>
    </w:p>
    <w:p>
      <w:pPr>
        <w:spacing w:after="0" w:line="1" w:lineRule="exact"/>
        <w:rPr>
          <w:sz w:val="20"/>
          <w:szCs w:val="20"/>
          <w:color w:val="auto"/>
        </w:rPr>
      </w:pPr>
    </w:p>
    <w:p>
      <w:pPr>
        <w:ind w:left="122" w:hanging="122"/>
        <w:spacing w:after="0"/>
        <w:tabs>
          <w:tab w:leader="none" w:pos="122" w:val="left"/>
        </w:tabs>
        <w:numPr>
          <w:ilvl w:val="0"/>
          <w:numId w:val="7"/>
        </w:numPr>
        <w:rPr>
          <w:rFonts w:ascii="Arial" w:cs="Arial" w:eastAsia="Arial" w:hAnsi="Arial"/>
          <w:sz w:val="14"/>
          <w:szCs w:val="14"/>
          <w:color w:val="6F2875"/>
        </w:rPr>
      </w:pPr>
      <w:r>
        <w:rPr>
          <w:rFonts w:ascii="Arial" w:cs="Arial" w:eastAsia="Arial" w:hAnsi="Arial"/>
          <w:sz w:val="14"/>
          <w:szCs w:val="14"/>
          <w:color w:val="231F20"/>
        </w:rPr>
        <w:t>extensive professional background working in strategy and mergers and</w:t>
      </w:r>
    </w:p>
    <w:p>
      <w:pPr>
        <w:spacing w:after="0" w:line="1" w:lineRule="exact"/>
        <w:rPr>
          <w:sz w:val="20"/>
          <w:szCs w:val="20"/>
          <w:color w:val="auto"/>
        </w:rPr>
      </w:pPr>
    </w:p>
    <w:p>
      <w:pPr>
        <w:ind w:left="142"/>
        <w:spacing w:after="0"/>
        <w:tabs>
          <w:tab w:leader="none" w:pos="5202" w:val="left"/>
        </w:tabs>
        <w:rPr>
          <w:sz w:val="20"/>
          <w:szCs w:val="20"/>
          <w:color w:val="auto"/>
        </w:rPr>
      </w:pPr>
      <w:r>
        <w:rPr>
          <w:rFonts w:ascii="Arial" w:cs="Arial" w:eastAsia="Arial" w:hAnsi="Arial"/>
          <w:sz w:val="14"/>
          <w:szCs w:val="14"/>
          <w:color w:val="231F20"/>
        </w:rPr>
        <w:t>acquisitions</w:t>
      </w:r>
      <w:r>
        <w:rPr>
          <w:sz w:val="20"/>
          <w:szCs w:val="20"/>
          <w:color w:val="auto"/>
        </w:rPr>
        <w:tab/>
      </w:r>
      <w:r>
        <w:rPr>
          <w:rFonts w:ascii="Arial" w:cs="Arial" w:eastAsia="Arial" w:hAnsi="Arial"/>
          <w:sz w:val="14"/>
          <w:szCs w:val="14"/>
          <w:b w:val="1"/>
          <w:bCs w:val="1"/>
          <w:color w:val="6F2875"/>
        </w:rPr>
        <w:t>Former Directorships Held During the Past 5 Years:</w:t>
      </w:r>
    </w:p>
    <w:p>
      <w:pPr>
        <w:spacing w:after="0" w:line="1" w:lineRule="exact"/>
        <w:rPr>
          <w:sz w:val="20"/>
          <w:szCs w:val="20"/>
          <w:color w:val="auto"/>
        </w:rPr>
      </w:pPr>
    </w:p>
    <w:p>
      <w:pPr>
        <w:ind w:left="5222"/>
        <w:spacing w:after="0"/>
        <w:rPr>
          <w:sz w:val="20"/>
          <w:szCs w:val="20"/>
          <w:color w:val="auto"/>
        </w:rPr>
      </w:pPr>
      <w:r>
        <w:rPr>
          <w:rFonts w:ascii="Arial" w:cs="Arial" w:eastAsia="Arial" w:hAnsi="Arial"/>
          <w:sz w:val="14"/>
          <w:szCs w:val="14"/>
          <w:color w:val="6F2875"/>
        </w:rPr>
        <w:t xml:space="preserve">• </w:t>
      </w:r>
      <w:r>
        <w:rPr>
          <w:rFonts w:ascii="Arial" w:cs="Arial" w:eastAsia="Arial" w:hAnsi="Arial"/>
          <w:sz w:val="14"/>
          <w:szCs w:val="14"/>
          <w:color w:val="231F20"/>
        </w:rPr>
        <w:t>Sorin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-831215</wp:posOffset>
            </wp:positionH>
            <wp:positionV relativeFrom="paragraph">
              <wp:posOffset>186055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-831215</wp:posOffset>
            </wp:positionH>
            <wp:positionV relativeFrom="paragraph">
              <wp:posOffset>323850</wp:posOffset>
            </wp:positionV>
            <wp:extent cx="72466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13" w:lineRule="exact"/>
        <w:rPr>
          <w:sz w:val="20"/>
          <w:szCs w:val="20"/>
          <w:color w:val="auto"/>
        </w:rPr>
      </w:pPr>
    </w:p>
    <w:p>
      <w:pPr>
        <w:sectPr>
          <w:pgSz w:w="11900" w:h="16838" w:orient="portrait"/>
          <w:cols w:equalWidth="0" w:num="2">
            <w:col w:w="1100" w:space="218"/>
            <w:col w:w="10102"/>
          </w:cols>
          <w:pgMar w:left="240" w:top="234" w:right="239" w:bottom="1440" w:gutter="0" w:footer="0" w:header="0"/>
          <w:type w:val="continuous"/>
        </w:sectPr>
      </w:pPr>
    </w:p>
    <w:p>
      <w:pPr>
        <w:ind w:left="60"/>
        <w:spacing w:after="0"/>
        <w:rPr>
          <w:sz w:val="20"/>
          <w:szCs w:val="20"/>
          <w:color w:val="auto"/>
        </w:rPr>
      </w:pPr>
      <w:r>
        <w:rPr>
          <w:rFonts w:ascii="Arial" w:cs="Arial" w:eastAsia="Arial" w:hAnsi="Arial"/>
          <w:sz w:val="18"/>
          <w:szCs w:val="18"/>
          <w:b w:val="1"/>
          <w:bCs w:val="1"/>
          <w:color w:val="FFFFFF"/>
        </w:rPr>
        <w:t>STEFANO GIANOTTI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63270" cy="1003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3270" cy="1003300"/>
                    </a:xfrm>
                    <a:prstGeom prst="rect">
                      <a:avLst/>
                    </a:prstGeom>
                    <a:noFill/>
                  </pic:spPr>
                </pic:pic>
              </a:graphicData>
            </a:graphic>
          </wp:anchor>
        </w:drawing>
      </w:r>
    </w:p>
    <w:p>
      <w:pPr>
        <w:spacing w:after="0" w:line="66"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6F2875"/>
        </w:rPr>
        <w:t>Biography:</w:t>
      </w:r>
    </w:p>
    <w:p>
      <w:pPr>
        <w:spacing w:after="0" w:line="19" w:lineRule="exact"/>
        <w:rPr>
          <w:sz w:val="20"/>
          <w:szCs w:val="20"/>
          <w:color w:val="auto"/>
        </w:rPr>
      </w:pPr>
    </w:p>
    <w:p>
      <w:pPr>
        <w:jc w:val="both"/>
        <w:ind w:left="1320" w:right="60"/>
        <w:spacing w:after="0" w:line="250" w:lineRule="auto"/>
        <w:rPr>
          <w:sz w:val="20"/>
          <w:szCs w:val="20"/>
          <w:color w:val="auto"/>
        </w:rPr>
      </w:pPr>
      <w:r>
        <w:rPr>
          <w:rFonts w:ascii="Arial" w:cs="Arial" w:eastAsia="Arial" w:hAnsi="Arial"/>
          <w:sz w:val="14"/>
          <w:szCs w:val="14"/>
          <w:color w:val="231F20"/>
        </w:rPr>
        <w:t>Mr. Gianotti is the chief executive officer of KYMCO Motor Italia. He earned a Bachelor in Accounting from Istituto Tecnico G. Abba. On March 23, 2018 (as filed on a Form 8-K with the SEC dated March 26, 2018). Mr. Gianotti resigned from the Board and his role on the Nominating and Corporate Governance Committee with immediate effect in order to pursue his other business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3175</wp:posOffset>
            </wp:positionV>
            <wp:extent cx="64490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980" w:type="dxa"/>
            <w:vAlign w:val="bottom"/>
            <w:gridSpan w:val="2"/>
          </w:tcPr>
          <w:p>
            <w:pPr>
              <w:ind w:left="1320"/>
              <w:spacing w:after="0"/>
              <w:rPr>
                <w:sz w:val="20"/>
                <w:szCs w:val="20"/>
                <w:color w:val="auto"/>
              </w:rPr>
            </w:pPr>
            <w:r>
              <w:rPr>
                <w:rFonts w:ascii="Arial" w:cs="Arial" w:eastAsia="Arial" w:hAnsi="Arial"/>
                <w:sz w:val="14"/>
                <w:szCs w:val="14"/>
                <w:b w:val="1"/>
                <w:bCs w:val="1"/>
                <w:color w:val="6F2875"/>
              </w:rPr>
              <w:t>Skills and Qualifications:</w:t>
            </w:r>
          </w:p>
        </w:tc>
        <w:tc>
          <w:tcPr>
            <w:tcW w:w="6440" w:type="dxa"/>
            <w:vAlign w:val="bottom"/>
            <w:gridSpan w:val="2"/>
          </w:tcPr>
          <w:p>
            <w:pPr>
              <w:ind w:left="1560"/>
              <w:spacing w:after="0"/>
              <w:rPr>
                <w:sz w:val="20"/>
                <w:szCs w:val="20"/>
                <w:color w:val="auto"/>
              </w:rPr>
            </w:pPr>
            <w:r>
              <w:rPr>
                <w:rFonts w:ascii="Arial" w:cs="Arial" w:eastAsia="Arial" w:hAnsi="Arial"/>
                <w:sz w:val="14"/>
                <w:szCs w:val="14"/>
                <w:b w:val="1"/>
                <w:bCs w:val="1"/>
                <w:color w:val="6F2875"/>
              </w:rPr>
              <w:t>Current Directorships:</w:t>
            </w:r>
          </w:p>
        </w:tc>
        <w:tc>
          <w:tcPr>
            <w:tcW w:w="0" w:type="dxa"/>
            <w:vAlign w:val="bottom"/>
          </w:tcPr>
          <w:p>
            <w:pPr>
              <w:spacing w:after="0"/>
              <w:rPr>
                <w:sz w:val="1"/>
                <w:szCs w:val="1"/>
                <w:color w:val="auto"/>
              </w:rPr>
            </w:pPr>
          </w:p>
        </w:tc>
      </w:tr>
      <w:tr>
        <w:trPr>
          <w:trHeight w:val="162"/>
        </w:trPr>
        <w:tc>
          <w:tcPr>
            <w:tcW w:w="1400" w:type="dxa"/>
            <w:vAlign w:val="bottom"/>
          </w:tcPr>
          <w:p>
            <w:pPr>
              <w:ind w:left="1320"/>
              <w:spacing w:after="0"/>
              <w:rPr>
                <w:sz w:val="20"/>
                <w:szCs w:val="20"/>
                <w:color w:val="auto"/>
              </w:rPr>
            </w:pPr>
            <w:r>
              <w:rPr>
                <w:rFonts w:ascii="Arial" w:cs="Arial" w:eastAsia="Arial" w:hAnsi="Arial"/>
                <w:sz w:val="14"/>
                <w:szCs w:val="14"/>
                <w:color w:val="6F2875"/>
              </w:rPr>
              <w:t>•</w:t>
            </w:r>
          </w:p>
        </w:tc>
        <w:tc>
          <w:tcPr>
            <w:tcW w:w="3580" w:type="dxa"/>
            <w:vAlign w:val="bottom"/>
          </w:tcPr>
          <w:p>
            <w:pPr>
              <w:ind w:left="40"/>
              <w:spacing w:after="0"/>
              <w:rPr>
                <w:sz w:val="20"/>
                <w:szCs w:val="20"/>
                <w:color w:val="auto"/>
              </w:rPr>
            </w:pPr>
            <w:r>
              <w:rPr>
                <w:rFonts w:ascii="Arial" w:cs="Arial" w:eastAsia="Arial" w:hAnsi="Arial"/>
                <w:sz w:val="14"/>
                <w:szCs w:val="14"/>
                <w:color w:val="231F20"/>
              </w:rPr>
              <w:t>management experience</w:t>
            </w:r>
          </w:p>
        </w:tc>
        <w:tc>
          <w:tcPr>
            <w:tcW w:w="1660" w:type="dxa"/>
            <w:vAlign w:val="bottom"/>
          </w:tcPr>
          <w:p>
            <w:pPr>
              <w:ind w:left="1560"/>
              <w:spacing w:after="0"/>
              <w:rPr>
                <w:sz w:val="20"/>
                <w:szCs w:val="20"/>
                <w:color w:val="auto"/>
              </w:rPr>
            </w:pPr>
            <w:r>
              <w:rPr>
                <w:rFonts w:ascii="Arial" w:cs="Arial" w:eastAsia="Arial" w:hAnsi="Arial"/>
                <w:sz w:val="14"/>
                <w:szCs w:val="14"/>
                <w:color w:val="6F2875"/>
              </w:rPr>
              <w:t>•</w:t>
            </w:r>
          </w:p>
        </w:tc>
        <w:tc>
          <w:tcPr>
            <w:tcW w:w="4780" w:type="dxa"/>
            <w:vAlign w:val="bottom"/>
          </w:tcPr>
          <w:p>
            <w:pPr>
              <w:ind w:left="40"/>
              <w:spacing w:after="0"/>
              <w:rPr>
                <w:sz w:val="20"/>
                <w:szCs w:val="20"/>
                <w:color w:val="auto"/>
              </w:rPr>
            </w:pPr>
            <w:r>
              <w:rPr>
                <w:rFonts w:ascii="Arial" w:cs="Arial" w:eastAsia="Arial" w:hAnsi="Arial"/>
                <w:sz w:val="14"/>
                <w:szCs w:val="14"/>
                <w:color w:val="231F20"/>
              </w:rPr>
              <w:t>KYMCO Motor Italia-KMI S.r.l.</w:t>
            </w:r>
          </w:p>
        </w:tc>
        <w:tc>
          <w:tcPr>
            <w:tcW w:w="0" w:type="dxa"/>
            <w:vAlign w:val="bottom"/>
          </w:tcPr>
          <w:p>
            <w:pPr>
              <w:spacing w:after="0"/>
              <w:rPr>
                <w:sz w:val="1"/>
                <w:szCs w:val="1"/>
                <w:color w:val="auto"/>
              </w:rPr>
            </w:pPr>
          </w:p>
        </w:tc>
      </w:tr>
      <w:tr>
        <w:trPr>
          <w:trHeight w:val="162"/>
        </w:trPr>
        <w:tc>
          <w:tcPr>
            <w:tcW w:w="1400" w:type="dxa"/>
            <w:vAlign w:val="bottom"/>
          </w:tcPr>
          <w:p>
            <w:pPr>
              <w:ind w:left="1320"/>
              <w:spacing w:after="0"/>
              <w:rPr>
                <w:sz w:val="20"/>
                <w:szCs w:val="20"/>
                <w:color w:val="auto"/>
              </w:rPr>
            </w:pPr>
            <w:r>
              <w:rPr>
                <w:rFonts w:ascii="Arial" w:cs="Arial" w:eastAsia="Arial" w:hAnsi="Arial"/>
                <w:sz w:val="14"/>
                <w:szCs w:val="14"/>
                <w:color w:val="6F2875"/>
              </w:rPr>
              <w:t>•</w:t>
            </w:r>
          </w:p>
        </w:tc>
        <w:tc>
          <w:tcPr>
            <w:tcW w:w="3580" w:type="dxa"/>
            <w:vAlign w:val="bottom"/>
          </w:tcPr>
          <w:p>
            <w:pPr>
              <w:ind w:left="40"/>
              <w:spacing w:after="0"/>
              <w:rPr>
                <w:sz w:val="20"/>
                <w:szCs w:val="20"/>
                <w:color w:val="auto"/>
              </w:rPr>
            </w:pPr>
            <w:r>
              <w:rPr>
                <w:rFonts w:ascii="Arial" w:cs="Arial" w:eastAsia="Arial" w:hAnsi="Arial"/>
                <w:sz w:val="14"/>
                <w:szCs w:val="14"/>
                <w:color w:val="231F20"/>
              </w:rPr>
              <w:t>extensive financial background</w:t>
            </w:r>
          </w:p>
        </w:tc>
        <w:tc>
          <w:tcPr>
            <w:tcW w:w="1660" w:type="dxa"/>
            <w:vAlign w:val="bottom"/>
          </w:tcPr>
          <w:p>
            <w:pPr>
              <w:ind w:left="1560"/>
              <w:spacing w:after="0"/>
              <w:rPr>
                <w:sz w:val="20"/>
                <w:szCs w:val="20"/>
                <w:color w:val="auto"/>
              </w:rPr>
            </w:pPr>
            <w:r>
              <w:rPr>
                <w:rFonts w:ascii="Arial" w:cs="Arial" w:eastAsia="Arial" w:hAnsi="Arial"/>
                <w:sz w:val="14"/>
                <w:szCs w:val="14"/>
                <w:color w:val="6F2875"/>
              </w:rPr>
              <w:t>•</w:t>
            </w:r>
          </w:p>
        </w:tc>
        <w:tc>
          <w:tcPr>
            <w:tcW w:w="4780" w:type="dxa"/>
            <w:vAlign w:val="bottom"/>
          </w:tcPr>
          <w:p>
            <w:pPr>
              <w:ind w:left="40"/>
              <w:spacing w:after="0"/>
              <w:rPr>
                <w:sz w:val="20"/>
                <w:szCs w:val="20"/>
                <w:color w:val="auto"/>
              </w:rPr>
            </w:pPr>
            <w:r>
              <w:rPr>
                <w:rFonts w:ascii="Arial" w:cs="Arial" w:eastAsia="Arial" w:hAnsi="Arial"/>
                <w:sz w:val="14"/>
                <w:szCs w:val="14"/>
                <w:color w:val="231F20"/>
              </w:rPr>
              <w:t>Padana Sviluppo S.p.A</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60" w:type="dxa"/>
            <w:vAlign w:val="bottom"/>
          </w:tcPr>
          <w:p>
            <w:pPr>
              <w:ind w:left="1560"/>
              <w:spacing w:after="0"/>
              <w:rPr>
                <w:sz w:val="20"/>
                <w:szCs w:val="20"/>
                <w:color w:val="auto"/>
              </w:rPr>
            </w:pPr>
            <w:r>
              <w:rPr>
                <w:rFonts w:ascii="Arial" w:cs="Arial" w:eastAsia="Arial" w:hAnsi="Arial"/>
                <w:sz w:val="14"/>
                <w:szCs w:val="14"/>
                <w:color w:val="6F2875"/>
              </w:rPr>
              <w:t>•</w:t>
            </w:r>
          </w:p>
        </w:tc>
        <w:tc>
          <w:tcPr>
            <w:tcW w:w="4780" w:type="dxa"/>
            <w:vAlign w:val="bottom"/>
          </w:tcPr>
          <w:p>
            <w:pPr>
              <w:ind w:left="40"/>
              <w:spacing w:after="0"/>
              <w:rPr>
                <w:sz w:val="20"/>
                <w:szCs w:val="20"/>
                <w:color w:val="auto"/>
              </w:rPr>
            </w:pPr>
            <w:r>
              <w:rPr>
                <w:rFonts w:ascii="Arial" w:cs="Arial" w:eastAsia="Arial" w:hAnsi="Arial"/>
                <w:sz w:val="14"/>
                <w:szCs w:val="14"/>
                <w:color w:val="231F20"/>
              </w:rPr>
              <w:t>Calisio S.p.A.</w:t>
            </w:r>
          </w:p>
        </w:tc>
        <w:tc>
          <w:tcPr>
            <w:tcW w:w="0" w:type="dxa"/>
            <w:vAlign w:val="bottom"/>
          </w:tcPr>
          <w:p>
            <w:pPr>
              <w:spacing w:after="0"/>
              <w:rPr>
                <w:sz w:val="1"/>
                <w:szCs w:val="1"/>
                <w:color w:val="auto"/>
              </w:rPr>
            </w:pPr>
          </w:p>
        </w:tc>
      </w:tr>
      <w:tr>
        <w:trPr>
          <w:trHeight w:val="172"/>
        </w:trPr>
        <w:tc>
          <w:tcPr>
            <w:tcW w:w="14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6440" w:type="dxa"/>
            <w:vAlign w:val="bottom"/>
            <w:gridSpan w:val="2"/>
          </w:tcPr>
          <w:p>
            <w:pPr>
              <w:ind w:left="1560"/>
              <w:spacing w:after="0"/>
              <w:rPr>
                <w:sz w:val="20"/>
                <w:szCs w:val="20"/>
                <w:color w:val="auto"/>
              </w:rPr>
            </w:pPr>
            <w:r>
              <w:rPr>
                <w:rFonts w:ascii="Arial" w:cs="Arial" w:eastAsia="Arial" w:hAnsi="Arial"/>
                <w:sz w:val="14"/>
                <w:szCs w:val="14"/>
                <w:color w:val="6F2875"/>
              </w:rPr>
              <w:t xml:space="preserve">• </w:t>
            </w:r>
            <w:r>
              <w:rPr>
                <w:rFonts w:ascii="Arial" w:cs="Arial" w:eastAsia="Arial" w:hAnsi="Arial"/>
                <w:sz w:val="14"/>
                <w:szCs w:val="14"/>
                <w:color w:val="231F20"/>
              </w:rPr>
              <w:t>Association of Former Shareholders of Banca Lombarda e Piemontese</w:t>
            </w:r>
          </w:p>
        </w:tc>
        <w:tc>
          <w:tcPr>
            <w:tcW w:w="0" w:type="dxa"/>
            <w:vAlign w:val="bottom"/>
          </w:tcPr>
          <w:p>
            <w:pPr>
              <w:spacing w:after="0"/>
              <w:rPr>
                <w:sz w:val="1"/>
                <w:szCs w:val="1"/>
                <w:color w:val="auto"/>
              </w:rPr>
            </w:pPr>
          </w:p>
        </w:tc>
      </w:tr>
      <w:tr>
        <w:trPr>
          <w:trHeight w:val="257"/>
        </w:trPr>
        <w:tc>
          <w:tcPr>
            <w:tcW w:w="1400" w:type="dxa"/>
            <w:vAlign w:val="bottom"/>
          </w:tcPr>
          <w:p>
            <w:pPr>
              <w:ind w:left="60"/>
              <w:spacing w:after="0"/>
              <w:rPr>
                <w:sz w:val="20"/>
                <w:szCs w:val="20"/>
                <w:color w:val="auto"/>
              </w:rPr>
            </w:pPr>
            <w:r>
              <w:rPr>
                <w:rFonts w:ascii="Arial" w:cs="Arial" w:eastAsia="Arial" w:hAnsi="Arial"/>
                <w:sz w:val="14"/>
                <w:szCs w:val="14"/>
                <w:b w:val="1"/>
                <w:bCs w:val="1"/>
                <w:color w:val="FC5D45"/>
              </w:rPr>
              <w:t>INDEPENDENT</w:t>
            </w:r>
          </w:p>
        </w:tc>
        <w:tc>
          <w:tcPr>
            <w:tcW w:w="3580" w:type="dxa"/>
            <w:vAlign w:val="bottom"/>
          </w:tcPr>
          <w:p>
            <w:pPr>
              <w:spacing w:after="0"/>
              <w:rPr>
                <w:sz w:val="22"/>
                <w:szCs w:val="22"/>
                <w:color w:val="auto"/>
              </w:rPr>
            </w:pPr>
          </w:p>
        </w:tc>
        <w:tc>
          <w:tcPr>
            <w:tcW w:w="6440" w:type="dxa"/>
            <w:vAlign w:val="bottom"/>
            <w:gridSpan w:val="2"/>
            <w:vMerge w:val="restart"/>
          </w:tcPr>
          <w:p>
            <w:pPr>
              <w:ind w:left="1560"/>
              <w:spacing w:after="0"/>
              <w:rPr>
                <w:sz w:val="20"/>
                <w:szCs w:val="20"/>
                <w:color w:val="auto"/>
              </w:rPr>
            </w:pPr>
            <w:r>
              <w:rPr>
                <w:rFonts w:ascii="Arial" w:cs="Arial" w:eastAsia="Arial" w:hAnsi="Arial"/>
                <w:sz w:val="14"/>
                <w:szCs w:val="14"/>
                <w:b w:val="1"/>
                <w:bCs w:val="1"/>
                <w:color w:val="6F2875"/>
              </w:rPr>
              <w:t>Former Directorships Held During the Past 5 Years:</w:t>
            </w:r>
          </w:p>
        </w:tc>
        <w:tc>
          <w:tcPr>
            <w:tcW w:w="0" w:type="dxa"/>
            <w:vAlign w:val="bottom"/>
          </w:tcPr>
          <w:p>
            <w:pPr>
              <w:spacing w:after="0"/>
              <w:rPr>
                <w:sz w:val="1"/>
                <w:szCs w:val="1"/>
                <w:color w:val="auto"/>
              </w:rPr>
            </w:pPr>
          </w:p>
        </w:tc>
      </w:tr>
      <w:tr>
        <w:trPr>
          <w:trHeight w:val="57"/>
        </w:trPr>
        <w:tc>
          <w:tcPr>
            <w:tcW w:w="140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Age 55</w:t>
            </w:r>
          </w:p>
        </w:tc>
        <w:tc>
          <w:tcPr>
            <w:tcW w:w="3580" w:type="dxa"/>
            <w:vAlign w:val="bottom"/>
          </w:tcPr>
          <w:p>
            <w:pPr>
              <w:spacing w:after="0"/>
              <w:rPr>
                <w:sz w:val="4"/>
                <w:szCs w:val="4"/>
                <w:color w:val="auto"/>
              </w:rPr>
            </w:pPr>
          </w:p>
        </w:tc>
        <w:tc>
          <w:tcPr>
            <w:tcW w:w="64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400" w:type="dxa"/>
            <w:vAlign w:val="bottom"/>
            <w:vMerge w:val="continue"/>
          </w:tcPr>
          <w:p>
            <w:pPr>
              <w:spacing w:after="0"/>
              <w:rPr>
                <w:sz w:val="14"/>
                <w:szCs w:val="14"/>
                <w:color w:val="auto"/>
              </w:rPr>
            </w:pPr>
          </w:p>
        </w:tc>
        <w:tc>
          <w:tcPr>
            <w:tcW w:w="3580" w:type="dxa"/>
            <w:vAlign w:val="bottom"/>
          </w:tcPr>
          <w:p>
            <w:pPr>
              <w:spacing w:after="0"/>
              <w:rPr>
                <w:sz w:val="14"/>
                <w:szCs w:val="14"/>
                <w:color w:val="auto"/>
              </w:rPr>
            </w:pPr>
          </w:p>
        </w:tc>
        <w:tc>
          <w:tcPr>
            <w:tcW w:w="1660" w:type="dxa"/>
            <w:vAlign w:val="bottom"/>
          </w:tcPr>
          <w:p>
            <w:pPr>
              <w:ind w:left="1560"/>
              <w:spacing w:after="0"/>
              <w:rPr>
                <w:sz w:val="20"/>
                <w:szCs w:val="20"/>
                <w:color w:val="auto"/>
              </w:rPr>
            </w:pPr>
            <w:r>
              <w:rPr>
                <w:rFonts w:ascii="Arial" w:cs="Arial" w:eastAsia="Arial" w:hAnsi="Arial"/>
                <w:sz w:val="14"/>
                <w:szCs w:val="14"/>
                <w:color w:val="6F2875"/>
              </w:rPr>
              <w:t>•</w:t>
            </w:r>
          </w:p>
        </w:tc>
        <w:tc>
          <w:tcPr>
            <w:tcW w:w="4780" w:type="dxa"/>
            <w:vAlign w:val="bottom"/>
          </w:tcPr>
          <w:p>
            <w:pPr>
              <w:ind w:left="40"/>
              <w:spacing w:after="0"/>
              <w:rPr>
                <w:sz w:val="20"/>
                <w:szCs w:val="20"/>
                <w:color w:val="auto"/>
              </w:rPr>
            </w:pPr>
            <w:r>
              <w:rPr>
                <w:rFonts w:ascii="Arial" w:cs="Arial" w:eastAsia="Arial" w:hAnsi="Arial"/>
                <w:sz w:val="14"/>
                <w:szCs w:val="14"/>
                <w:color w:val="231F20"/>
              </w:rPr>
              <w:t>Banco di Brescia S.p.A</w:t>
            </w:r>
          </w:p>
        </w:tc>
        <w:tc>
          <w:tcPr>
            <w:tcW w:w="0" w:type="dxa"/>
            <w:vAlign w:val="bottom"/>
          </w:tcPr>
          <w:p>
            <w:pPr>
              <w:spacing w:after="0"/>
              <w:rPr>
                <w:sz w:val="1"/>
                <w:szCs w:val="1"/>
                <w:color w:val="auto"/>
              </w:rPr>
            </w:pPr>
          </w:p>
        </w:tc>
      </w:tr>
      <w:tr>
        <w:trPr>
          <w:trHeight w:val="162"/>
        </w:trPr>
        <w:tc>
          <w:tcPr>
            <w:tcW w:w="140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Director</w:t>
            </w:r>
          </w:p>
        </w:tc>
        <w:tc>
          <w:tcPr>
            <w:tcW w:w="3580" w:type="dxa"/>
            <w:vAlign w:val="bottom"/>
          </w:tcPr>
          <w:p>
            <w:pPr>
              <w:spacing w:after="0"/>
              <w:rPr>
                <w:sz w:val="14"/>
                <w:szCs w:val="14"/>
                <w:color w:val="auto"/>
              </w:rPr>
            </w:pPr>
          </w:p>
        </w:tc>
        <w:tc>
          <w:tcPr>
            <w:tcW w:w="6440" w:type="dxa"/>
            <w:vAlign w:val="bottom"/>
            <w:gridSpan w:val="2"/>
          </w:tcPr>
          <w:p>
            <w:pPr>
              <w:ind w:left="1560"/>
              <w:spacing w:after="0"/>
              <w:rPr>
                <w:sz w:val="20"/>
                <w:szCs w:val="20"/>
                <w:color w:val="auto"/>
              </w:rPr>
            </w:pPr>
            <w:r>
              <w:rPr>
                <w:rFonts w:ascii="Arial" w:cs="Arial" w:eastAsia="Arial" w:hAnsi="Arial"/>
                <w:sz w:val="14"/>
                <w:szCs w:val="14"/>
                <w:color w:val="6F2875"/>
              </w:rPr>
              <w:t xml:space="preserve">• </w:t>
            </w:r>
            <w:r>
              <w:rPr>
                <w:rFonts w:ascii="Arial" w:cs="Arial" w:eastAsia="Arial" w:hAnsi="Arial"/>
                <w:sz w:val="14"/>
                <w:szCs w:val="14"/>
                <w:color w:val="231F20"/>
              </w:rPr>
              <w:t>Banca Popolare di Bergamo S.p.A</w:t>
            </w:r>
          </w:p>
        </w:tc>
        <w:tc>
          <w:tcPr>
            <w:tcW w:w="0" w:type="dxa"/>
            <w:vAlign w:val="bottom"/>
          </w:tcPr>
          <w:p>
            <w:pPr>
              <w:spacing w:after="0"/>
              <w:rPr>
                <w:sz w:val="1"/>
                <w:szCs w:val="1"/>
                <w:color w:val="auto"/>
              </w:rPr>
            </w:pPr>
          </w:p>
        </w:tc>
      </w:tr>
      <w:tr>
        <w:trPr>
          <w:trHeight w:val="50"/>
        </w:trPr>
        <w:tc>
          <w:tcPr>
            <w:tcW w:w="140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1660" w:type="dxa"/>
            <w:vAlign w:val="bottom"/>
            <w:vMerge w:val="restart"/>
          </w:tcPr>
          <w:p>
            <w:pPr>
              <w:ind w:left="1560"/>
              <w:spacing w:after="0"/>
              <w:rPr>
                <w:sz w:val="20"/>
                <w:szCs w:val="20"/>
                <w:color w:val="auto"/>
              </w:rPr>
            </w:pPr>
            <w:r>
              <w:rPr>
                <w:rFonts w:ascii="Arial" w:cs="Arial" w:eastAsia="Arial" w:hAnsi="Arial"/>
                <w:sz w:val="14"/>
                <w:szCs w:val="14"/>
                <w:color w:val="6F2875"/>
              </w:rPr>
              <w:t>•</w:t>
            </w:r>
          </w:p>
        </w:tc>
        <w:tc>
          <w:tcPr>
            <w:tcW w:w="4780" w:type="dxa"/>
            <w:vAlign w:val="bottom"/>
            <w:vMerge w:val="restart"/>
          </w:tcPr>
          <w:p>
            <w:pPr>
              <w:ind w:left="40"/>
              <w:spacing w:after="0"/>
              <w:rPr>
                <w:sz w:val="20"/>
                <w:szCs w:val="20"/>
                <w:color w:val="auto"/>
              </w:rPr>
            </w:pPr>
            <w:r>
              <w:rPr>
                <w:rFonts w:ascii="Arial" w:cs="Arial" w:eastAsia="Arial" w:hAnsi="Arial"/>
                <w:sz w:val="14"/>
                <w:szCs w:val="14"/>
                <w:color w:val="231F20"/>
              </w:rPr>
              <w:t>Mittel S.p.A.</w:t>
            </w:r>
          </w:p>
        </w:tc>
        <w:tc>
          <w:tcPr>
            <w:tcW w:w="0" w:type="dxa"/>
            <w:vAlign w:val="bottom"/>
          </w:tcPr>
          <w:p>
            <w:pPr>
              <w:spacing w:after="0"/>
              <w:rPr>
                <w:sz w:val="1"/>
                <w:szCs w:val="1"/>
                <w:color w:val="auto"/>
              </w:rPr>
            </w:pPr>
          </w:p>
        </w:tc>
      </w:tr>
      <w:tr>
        <w:trPr>
          <w:trHeight w:val="113"/>
        </w:trPr>
        <w:tc>
          <w:tcPr>
            <w:tcW w:w="140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 xml:space="preserve">since: </w:t>
            </w:r>
            <w:r>
              <w:rPr>
                <w:rFonts w:ascii="Arial" w:cs="Arial" w:eastAsia="Arial" w:hAnsi="Arial"/>
                <w:sz w:val="14"/>
                <w:szCs w:val="14"/>
                <w:b w:val="1"/>
                <w:bCs w:val="1"/>
                <w:color w:val="6F2875"/>
              </w:rPr>
              <w:t>2015</w:t>
            </w:r>
          </w:p>
        </w:tc>
        <w:tc>
          <w:tcPr>
            <w:tcW w:w="35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4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400" w:type="dxa"/>
            <w:vAlign w:val="bottom"/>
            <w:vMerge w:val="continue"/>
          </w:tcPr>
          <w:p>
            <w:pPr>
              <w:spacing w:after="0"/>
              <w:rPr>
                <w:sz w:val="6"/>
                <w:szCs w:val="6"/>
                <w:color w:val="auto"/>
              </w:rPr>
            </w:pPr>
          </w:p>
        </w:tc>
        <w:tc>
          <w:tcPr>
            <w:tcW w:w="3580" w:type="dxa"/>
            <w:vAlign w:val="bottom"/>
          </w:tcPr>
          <w:p>
            <w:pPr>
              <w:spacing w:after="0"/>
              <w:rPr>
                <w:sz w:val="6"/>
                <w:szCs w:val="6"/>
                <w:color w:val="auto"/>
              </w:rPr>
            </w:pPr>
          </w:p>
        </w:tc>
        <w:tc>
          <w:tcPr>
            <w:tcW w:w="1660" w:type="dxa"/>
            <w:vAlign w:val="bottom"/>
            <w:vMerge w:val="restart"/>
          </w:tcPr>
          <w:p>
            <w:pPr>
              <w:ind w:left="1560"/>
              <w:spacing w:after="0"/>
              <w:rPr>
                <w:sz w:val="20"/>
                <w:szCs w:val="20"/>
                <w:color w:val="auto"/>
              </w:rPr>
            </w:pPr>
            <w:r>
              <w:rPr>
                <w:rFonts w:ascii="Arial" w:cs="Arial" w:eastAsia="Arial" w:hAnsi="Arial"/>
                <w:sz w:val="14"/>
                <w:szCs w:val="14"/>
                <w:color w:val="6F2875"/>
              </w:rPr>
              <w:t>•</w:t>
            </w:r>
          </w:p>
        </w:tc>
        <w:tc>
          <w:tcPr>
            <w:tcW w:w="4780" w:type="dxa"/>
            <w:vAlign w:val="bottom"/>
            <w:vMerge w:val="restart"/>
          </w:tcPr>
          <w:p>
            <w:pPr>
              <w:ind w:left="40"/>
              <w:spacing w:after="0"/>
              <w:rPr>
                <w:sz w:val="20"/>
                <w:szCs w:val="20"/>
                <w:color w:val="auto"/>
              </w:rPr>
            </w:pPr>
            <w:r>
              <w:rPr>
                <w:rFonts w:ascii="Arial" w:cs="Arial" w:eastAsia="Arial" w:hAnsi="Arial"/>
                <w:sz w:val="14"/>
                <w:szCs w:val="14"/>
                <w:color w:val="231F20"/>
              </w:rPr>
              <w:t>UBI Assicurazioni</w:t>
            </w:r>
          </w:p>
        </w:tc>
        <w:tc>
          <w:tcPr>
            <w:tcW w:w="0" w:type="dxa"/>
            <w:vAlign w:val="bottom"/>
          </w:tcPr>
          <w:p>
            <w:pPr>
              <w:spacing w:after="0"/>
              <w:rPr>
                <w:sz w:val="1"/>
                <w:szCs w:val="1"/>
                <w:color w:val="auto"/>
              </w:rPr>
            </w:pPr>
          </w:p>
        </w:tc>
      </w:tr>
      <w:tr>
        <w:trPr>
          <w:trHeight w:val="84"/>
        </w:trPr>
        <w:tc>
          <w:tcPr>
            <w:tcW w:w="1400" w:type="dxa"/>
            <w:vAlign w:val="bottom"/>
          </w:tcPr>
          <w:p>
            <w:pPr>
              <w:spacing w:after="0"/>
              <w:rPr>
                <w:sz w:val="7"/>
                <w:szCs w:val="7"/>
                <w:color w:val="auto"/>
              </w:rPr>
            </w:pPr>
          </w:p>
        </w:tc>
        <w:tc>
          <w:tcPr>
            <w:tcW w:w="358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4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1400" w:type="dxa"/>
            <w:vAlign w:val="bottom"/>
            <w:tcBorders>
              <w:bottom w:val="single" w:sz="8" w:color="6F2875"/>
            </w:tcBorders>
          </w:tcPr>
          <w:p>
            <w:pPr>
              <w:spacing w:after="0"/>
              <w:rPr>
                <w:sz w:val="15"/>
                <w:szCs w:val="15"/>
                <w:color w:val="auto"/>
              </w:rPr>
            </w:pPr>
          </w:p>
        </w:tc>
        <w:tc>
          <w:tcPr>
            <w:tcW w:w="3580" w:type="dxa"/>
            <w:vAlign w:val="bottom"/>
            <w:tcBorders>
              <w:bottom w:val="single" w:sz="8" w:color="6F2875"/>
            </w:tcBorders>
          </w:tcPr>
          <w:p>
            <w:pPr>
              <w:spacing w:after="0"/>
              <w:rPr>
                <w:sz w:val="15"/>
                <w:szCs w:val="15"/>
                <w:color w:val="auto"/>
              </w:rPr>
            </w:pPr>
          </w:p>
        </w:tc>
        <w:tc>
          <w:tcPr>
            <w:tcW w:w="1660" w:type="dxa"/>
            <w:vAlign w:val="bottom"/>
            <w:tcBorders>
              <w:bottom w:val="single" w:sz="8" w:color="6F2875"/>
            </w:tcBorders>
          </w:tcPr>
          <w:p>
            <w:pPr>
              <w:ind w:left="1560"/>
              <w:spacing w:after="0"/>
              <w:rPr>
                <w:sz w:val="20"/>
                <w:szCs w:val="20"/>
                <w:color w:val="auto"/>
              </w:rPr>
            </w:pPr>
            <w:r>
              <w:rPr>
                <w:rFonts w:ascii="Arial" w:cs="Arial" w:eastAsia="Arial" w:hAnsi="Arial"/>
                <w:sz w:val="14"/>
                <w:szCs w:val="14"/>
                <w:color w:val="6F2875"/>
              </w:rPr>
              <w:t>•</w:t>
            </w:r>
          </w:p>
        </w:tc>
        <w:tc>
          <w:tcPr>
            <w:tcW w:w="4780" w:type="dxa"/>
            <w:vAlign w:val="bottom"/>
            <w:tcBorders>
              <w:bottom w:val="single" w:sz="8" w:color="6F2875"/>
            </w:tcBorders>
          </w:tcPr>
          <w:p>
            <w:pPr>
              <w:ind w:left="40"/>
              <w:spacing w:after="0"/>
              <w:rPr>
                <w:sz w:val="20"/>
                <w:szCs w:val="20"/>
                <w:color w:val="auto"/>
              </w:rPr>
            </w:pPr>
            <w:r>
              <w:rPr>
                <w:rFonts w:ascii="Arial" w:cs="Arial" w:eastAsia="Arial" w:hAnsi="Arial"/>
                <w:sz w:val="14"/>
                <w:szCs w:val="14"/>
                <w:color w:val="231F20"/>
              </w:rPr>
              <w:t>Cattolica Investimenti S.p.A.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FFFFFF"/>
        </w:rPr>
        <w:t>WILLIAM A. KOZY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54380" cy="9950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54380" cy="995045"/>
                    </a:xfrm>
                    <a:prstGeom prst="rect">
                      <a:avLst/>
                    </a:prstGeom>
                    <a:noFill/>
                  </pic:spPr>
                </pic:pic>
              </a:graphicData>
            </a:graphic>
          </wp:anchor>
        </w:drawing>
      </w:r>
    </w:p>
    <w:p>
      <w:pPr>
        <w:spacing w:after="0" w:line="66"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6F2875"/>
        </w:rPr>
        <w:t>Biography:</w:t>
      </w:r>
    </w:p>
    <w:p>
      <w:pPr>
        <w:spacing w:after="0" w:line="19" w:lineRule="exact"/>
        <w:rPr>
          <w:sz w:val="20"/>
          <w:szCs w:val="20"/>
          <w:color w:val="auto"/>
        </w:rPr>
      </w:pPr>
    </w:p>
    <w:p>
      <w:pPr>
        <w:jc w:val="both"/>
        <w:ind w:left="1320" w:right="60"/>
        <w:spacing w:after="0" w:line="247" w:lineRule="auto"/>
        <w:rPr>
          <w:sz w:val="20"/>
          <w:szCs w:val="20"/>
          <w:color w:val="auto"/>
        </w:rPr>
      </w:pPr>
      <w:r>
        <w:rPr>
          <w:rFonts w:ascii="Arial" w:cs="Arial" w:eastAsia="Arial" w:hAnsi="Arial"/>
          <w:sz w:val="14"/>
          <w:szCs w:val="14"/>
          <w:color w:val="231F20"/>
        </w:rPr>
        <w:t xml:space="preserve">Mr. Kozy has had a career spanning more than 40 years with global medical technology company, Becton, Dickinson and Company. From 2011 until his retirement in 2016, Mr. Kozy was Executive Vice President and Chief Operating Officer at Becton, Dickinson and Company. During his time at Becton, Dickinson and Company, Mr. Kozy was responsible for all worldwide businesses of the company with leadership emphasis on profitable revenue growth and talent development. Mr. Kozy graduated </w:t>
      </w:r>
      <w:r>
        <w:rPr>
          <w:rFonts w:ascii="Arial" w:cs="Arial" w:eastAsia="Arial" w:hAnsi="Arial"/>
          <w:sz w:val="14"/>
          <w:szCs w:val="14"/>
          <w:i w:val="1"/>
          <w:iCs w:val="1"/>
          <w:color w:val="231F20"/>
        </w:rPr>
        <w:t>cum laude</w:t>
      </w:r>
      <w:r>
        <w:rPr>
          <w:rFonts w:ascii="Arial" w:cs="Arial" w:eastAsia="Arial" w:hAnsi="Arial"/>
          <w:sz w:val="14"/>
          <w:szCs w:val="14"/>
          <w:color w:val="231F20"/>
        </w:rPr>
        <w:t xml:space="preserve"> from Kenyon College in 1974.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64770</wp:posOffset>
            </wp:positionV>
            <wp:extent cx="64490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0" w:type="dxa"/>
            <w:vAlign w:val="bottom"/>
          </w:tcPr>
          <w:p>
            <w:pPr>
              <w:spacing w:after="0"/>
              <w:rPr>
                <w:sz w:val="15"/>
                <w:szCs w:val="15"/>
                <w:color w:val="auto"/>
              </w:rPr>
            </w:pPr>
          </w:p>
        </w:tc>
        <w:tc>
          <w:tcPr>
            <w:tcW w:w="5960" w:type="dxa"/>
            <w:vAlign w:val="bottom"/>
            <w:gridSpan w:val="3"/>
          </w:tcPr>
          <w:p>
            <w:pPr>
              <w:ind w:left="960"/>
              <w:spacing w:after="0"/>
              <w:rPr>
                <w:sz w:val="20"/>
                <w:szCs w:val="20"/>
                <w:color w:val="auto"/>
              </w:rPr>
            </w:pPr>
            <w:r>
              <w:rPr>
                <w:rFonts w:ascii="Arial" w:cs="Arial" w:eastAsia="Arial" w:hAnsi="Arial"/>
                <w:sz w:val="14"/>
                <w:szCs w:val="14"/>
                <w:b w:val="1"/>
                <w:bCs w:val="1"/>
                <w:color w:val="6F2875"/>
              </w:rPr>
              <w:t>Skills and Qualifications:</w:t>
            </w:r>
          </w:p>
        </w:tc>
        <w:tc>
          <w:tcPr>
            <w:tcW w:w="3400" w:type="dxa"/>
            <w:vAlign w:val="bottom"/>
            <w:gridSpan w:val="3"/>
          </w:tcPr>
          <w:p>
            <w:pPr>
              <w:ind w:left="220"/>
              <w:spacing w:after="0"/>
              <w:rPr>
                <w:sz w:val="20"/>
                <w:szCs w:val="20"/>
                <w:color w:val="auto"/>
              </w:rPr>
            </w:pPr>
            <w:r>
              <w:rPr>
                <w:rFonts w:ascii="Arial" w:cs="Arial" w:eastAsia="Arial" w:hAnsi="Arial"/>
                <w:sz w:val="14"/>
                <w:szCs w:val="14"/>
                <w:b w:val="1"/>
                <w:bCs w:val="1"/>
                <w:color w:val="6F2875"/>
              </w:rPr>
              <w:t>Current Directorships:</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1040" w:type="dxa"/>
            <w:vAlign w:val="bottom"/>
          </w:tcPr>
          <w:p>
            <w:pPr>
              <w:ind w:left="960"/>
              <w:spacing w:after="0"/>
              <w:rPr>
                <w:sz w:val="20"/>
                <w:szCs w:val="20"/>
                <w:color w:val="auto"/>
              </w:rPr>
            </w:pPr>
            <w:r>
              <w:rPr>
                <w:rFonts w:ascii="Arial" w:cs="Arial" w:eastAsia="Arial" w:hAnsi="Arial"/>
                <w:sz w:val="14"/>
                <w:szCs w:val="14"/>
                <w:color w:val="6F2875"/>
              </w:rPr>
              <w:t>•</w:t>
            </w:r>
          </w:p>
        </w:tc>
        <w:tc>
          <w:tcPr>
            <w:tcW w:w="4920" w:type="dxa"/>
            <w:vAlign w:val="bottom"/>
            <w:gridSpan w:val="2"/>
          </w:tcPr>
          <w:p>
            <w:pPr>
              <w:ind w:left="40"/>
              <w:spacing w:after="0"/>
              <w:rPr>
                <w:sz w:val="20"/>
                <w:szCs w:val="20"/>
                <w:color w:val="auto"/>
              </w:rPr>
            </w:pPr>
            <w:r>
              <w:rPr>
                <w:rFonts w:ascii="Arial" w:cs="Arial" w:eastAsia="Arial" w:hAnsi="Arial"/>
                <w:sz w:val="14"/>
                <w:szCs w:val="14"/>
                <w:color w:val="231F20"/>
              </w:rPr>
              <w:t>extensive management experience in the medical technology industry</w:t>
            </w:r>
          </w:p>
        </w:tc>
        <w:tc>
          <w:tcPr>
            <w:tcW w:w="320" w:type="dxa"/>
            <w:vAlign w:val="bottom"/>
          </w:tcPr>
          <w:p>
            <w:pPr>
              <w:ind w:left="220"/>
              <w:spacing w:after="0"/>
              <w:rPr>
                <w:sz w:val="20"/>
                <w:szCs w:val="20"/>
                <w:color w:val="auto"/>
              </w:rPr>
            </w:pPr>
            <w:r>
              <w:rPr>
                <w:rFonts w:ascii="Arial" w:cs="Arial" w:eastAsia="Arial" w:hAnsi="Arial"/>
                <w:sz w:val="14"/>
                <w:szCs w:val="14"/>
                <w:color w:val="6F2875"/>
              </w:rPr>
              <w:t>•</w:t>
            </w:r>
          </w:p>
        </w:tc>
        <w:tc>
          <w:tcPr>
            <w:tcW w:w="3080" w:type="dxa"/>
            <w:vAlign w:val="bottom"/>
            <w:gridSpan w:val="2"/>
          </w:tcPr>
          <w:p>
            <w:pPr>
              <w:ind w:left="40"/>
              <w:spacing w:after="0"/>
              <w:rPr>
                <w:sz w:val="20"/>
                <w:szCs w:val="20"/>
                <w:color w:val="auto"/>
              </w:rPr>
            </w:pPr>
            <w:r>
              <w:rPr>
                <w:rFonts w:ascii="Arial" w:cs="Arial" w:eastAsia="Arial" w:hAnsi="Arial"/>
                <w:sz w:val="14"/>
                <w:szCs w:val="14"/>
                <w:color w:val="231F20"/>
              </w:rPr>
              <w:t>Cooper Companies, Inc.</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5960" w:type="dxa"/>
            <w:vAlign w:val="bottom"/>
            <w:gridSpan w:val="3"/>
          </w:tcPr>
          <w:p>
            <w:pPr>
              <w:ind w:left="960"/>
              <w:spacing w:after="0"/>
              <w:rPr>
                <w:sz w:val="20"/>
                <w:szCs w:val="20"/>
                <w:color w:val="auto"/>
              </w:rPr>
            </w:pPr>
            <w:r>
              <w:rPr>
                <w:rFonts w:ascii="Arial" w:cs="Arial" w:eastAsia="Arial" w:hAnsi="Arial"/>
                <w:sz w:val="14"/>
                <w:szCs w:val="14"/>
                <w:color w:val="6F2875"/>
              </w:rPr>
              <w:t xml:space="preserve">•  </w:t>
            </w:r>
            <w:r>
              <w:rPr>
                <w:rFonts w:ascii="Arial" w:cs="Arial" w:eastAsia="Arial" w:hAnsi="Arial"/>
                <w:sz w:val="14"/>
                <w:szCs w:val="14"/>
                <w:color w:val="231F20"/>
              </w:rPr>
              <w:t>broad experience in global strategy, manufacturing, M&amp;A, ERP systems,</w:t>
            </w:r>
          </w:p>
        </w:tc>
        <w:tc>
          <w:tcPr>
            <w:tcW w:w="320" w:type="dxa"/>
            <w:vAlign w:val="bottom"/>
          </w:tcPr>
          <w:p>
            <w:pPr>
              <w:ind w:left="220"/>
              <w:spacing w:after="0"/>
              <w:rPr>
                <w:sz w:val="20"/>
                <w:szCs w:val="20"/>
                <w:color w:val="auto"/>
              </w:rPr>
            </w:pPr>
            <w:r>
              <w:rPr>
                <w:rFonts w:ascii="Arial" w:cs="Arial" w:eastAsia="Arial" w:hAnsi="Arial"/>
                <w:sz w:val="14"/>
                <w:szCs w:val="14"/>
                <w:color w:val="6F2875"/>
              </w:rPr>
              <w:t>•</w:t>
            </w:r>
          </w:p>
        </w:tc>
        <w:tc>
          <w:tcPr>
            <w:tcW w:w="3080" w:type="dxa"/>
            <w:vAlign w:val="bottom"/>
            <w:gridSpan w:val="2"/>
          </w:tcPr>
          <w:p>
            <w:pPr>
              <w:ind w:left="40"/>
              <w:spacing w:after="0"/>
              <w:rPr>
                <w:sz w:val="20"/>
                <w:szCs w:val="20"/>
                <w:color w:val="auto"/>
              </w:rPr>
            </w:pPr>
            <w:r>
              <w:rPr>
                <w:rFonts w:ascii="Arial" w:cs="Arial" w:eastAsia="Arial" w:hAnsi="Arial"/>
                <w:sz w:val="14"/>
                <w:szCs w:val="14"/>
                <w:color w:val="231F20"/>
              </w:rPr>
              <w:t>Hackensack Meridian Health Board</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FC5D45"/>
              </w:rPr>
              <w:t>INDEPENDENT</w:t>
            </w:r>
          </w:p>
        </w:tc>
        <w:tc>
          <w:tcPr>
            <w:tcW w:w="4920" w:type="dxa"/>
            <w:vAlign w:val="bottom"/>
            <w:gridSpan w:val="2"/>
          </w:tcPr>
          <w:p>
            <w:pPr>
              <w:ind w:left="60"/>
              <w:spacing w:after="0"/>
              <w:rPr>
                <w:sz w:val="20"/>
                <w:szCs w:val="20"/>
                <w:color w:val="auto"/>
              </w:rPr>
            </w:pPr>
            <w:r>
              <w:rPr>
                <w:rFonts w:ascii="Arial" w:cs="Arial" w:eastAsia="Arial" w:hAnsi="Arial"/>
                <w:sz w:val="14"/>
                <w:szCs w:val="14"/>
                <w:color w:val="231F20"/>
              </w:rPr>
              <w:t>and technology/product development</w:t>
            </w:r>
          </w:p>
        </w:tc>
        <w:tc>
          <w:tcPr>
            <w:tcW w:w="320" w:type="dxa"/>
            <w:vAlign w:val="bottom"/>
          </w:tcPr>
          <w:p>
            <w:pPr>
              <w:ind w:left="220"/>
              <w:spacing w:after="0"/>
              <w:rPr>
                <w:sz w:val="20"/>
                <w:szCs w:val="20"/>
                <w:color w:val="auto"/>
              </w:rPr>
            </w:pPr>
            <w:r>
              <w:rPr>
                <w:rFonts w:ascii="Arial" w:cs="Arial" w:eastAsia="Arial" w:hAnsi="Arial"/>
                <w:sz w:val="14"/>
                <w:szCs w:val="14"/>
                <w:color w:val="6F2875"/>
              </w:rPr>
              <w:t>•</w:t>
            </w:r>
          </w:p>
        </w:tc>
        <w:tc>
          <w:tcPr>
            <w:tcW w:w="3080" w:type="dxa"/>
            <w:vAlign w:val="bottom"/>
            <w:gridSpan w:val="2"/>
          </w:tcPr>
          <w:p>
            <w:pPr>
              <w:ind w:left="40"/>
              <w:spacing w:after="0"/>
              <w:rPr>
                <w:sz w:val="20"/>
                <w:szCs w:val="20"/>
                <w:color w:val="auto"/>
              </w:rPr>
            </w:pPr>
            <w:r>
              <w:rPr>
                <w:rFonts w:ascii="Arial" w:cs="Arial" w:eastAsia="Arial" w:hAnsi="Arial"/>
                <w:sz w:val="14"/>
                <w:szCs w:val="14"/>
                <w:color w:val="231F20"/>
              </w:rPr>
              <w:t>Franciscan Sister of the Poor</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0" w:type="dxa"/>
            <w:vAlign w:val="bottom"/>
            <w:gridSpan w:val="2"/>
            <w:vMerge w:val="continue"/>
          </w:tcPr>
          <w:p>
            <w:pPr>
              <w:spacing w:after="0"/>
              <w:rPr>
                <w:sz w:val="12"/>
                <w:szCs w:val="12"/>
                <w:color w:val="auto"/>
              </w:rPr>
            </w:pPr>
          </w:p>
        </w:tc>
        <w:tc>
          <w:tcPr>
            <w:tcW w:w="26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231F20"/>
              </w:rPr>
              <w:t>Age 66</w:t>
            </w:r>
          </w:p>
        </w:tc>
        <w:tc>
          <w:tcPr>
            <w:tcW w:w="26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231F20"/>
              </w:rPr>
              <w:t>Director</w:t>
            </w:r>
          </w:p>
        </w:tc>
        <w:tc>
          <w:tcPr>
            <w:tcW w:w="26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400" w:type="dxa"/>
            <w:vAlign w:val="bottom"/>
            <w:tcBorders>
              <w:bottom w:val="single" w:sz="8" w:color="6F2875"/>
            </w:tcBorders>
            <w:gridSpan w:val="2"/>
          </w:tcPr>
          <w:p>
            <w:pPr>
              <w:ind w:left="60"/>
              <w:spacing w:after="0"/>
              <w:rPr>
                <w:sz w:val="20"/>
                <w:szCs w:val="20"/>
                <w:color w:val="auto"/>
              </w:rPr>
            </w:pPr>
            <w:r>
              <w:rPr>
                <w:rFonts w:ascii="Arial" w:cs="Arial" w:eastAsia="Arial" w:hAnsi="Arial"/>
                <w:sz w:val="14"/>
                <w:szCs w:val="14"/>
                <w:b w:val="1"/>
                <w:bCs w:val="1"/>
                <w:color w:val="231F20"/>
              </w:rPr>
              <w:t xml:space="preserve">Nominee in </w:t>
            </w:r>
            <w:r>
              <w:rPr>
                <w:rFonts w:ascii="Arial" w:cs="Arial" w:eastAsia="Arial" w:hAnsi="Arial"/>
                <w:sz w:val="14"/>
                <w:szCs w:val="14"/>
                <w:b w:val="1"/>
                <w:bCs w:val="1"/>
                <w:color w:val="6F2875"/>
              </w:rPr>
              <w:t>2018</w:t>
            </w:r>
          </w:p>
        </w:tc>
        <w:tc>
          <w:tcPr>
            <w:tcW w:w="2620" w:type="dxa"/>
            <w:vAlign w:val="bottom"/>
            <w:tcBorders>
              <w:bottom w:val="single" w:sz="8" w:color="6F2875"/>
            </w:tcBorders>
          </w:tcPr>
          <w:p>
            <w:pPr>
              <w:spacing w:after="0"/>
              <w:rPr>
                <w:sz w:val="16"/>
                <w:szCs w:val="16"/>
                <w:color w:val="auto"/>
              </w:rPr>
            </w:pPr>
          </w:p>
        </w:tc>
        <w:tc>
          <w:tcPr>
            <w:tcW w:w="2300" w:type="dxa"/>
            <w:vAlign w:val="bottom"/>
            <w:tcBorders>
              <w:bottom w:val="single" w:sz="8" w:color="6F2875"/>
            </w:tcBorders>
          </w:tcPr>
          <w:p>
            <w:pPr>
              <w:spacing w:after="0"/>
              <w:rPr>
                <w:sz w:val="16"/>
                <w:szCs w:val="16"/>
                <w:color w:val="auto"/>
              </w:rPr>
            </w:pPr>
          </w:p>
        </w:tc>
        <w:tc>
          <w:tcPr>
            <w:tcW w:w="320" w:type="dxa"/>
            <w:vAlign w:val="bottom"/>
            <w:tcBorders>
              <w:bottom w:val="single" w:sz="8" w:color="6F2875"/>
            </w:tcBorders>
          </w:tcPr>
          <w:p>
            <w:pPr>
              <w:spacing w:after="0"/>
              <w:rPr>
                <w:sz w:val="16"/>
                <w:szCs w:val="16"/>
                <w:color w:val="auto"/>
              </w:rPr>
            </w:pPr>
          </w:p>
        </w:tc>
        <w:tc>
          <w:tcPr>
            <w:tcW w:w="460" w:type="dxa"/>
            <w:vAlign w:val="bottom"/>
            <w:tcBorders>
              <w:bottom w:val="single" w:sz="8" w:color="6F2875"/>
            </w:tcBorders>
          </w:tcPr>
          <w:p>
            <w:pPr>
              <w:spacing w:after="0"/>
              <w:rPr>
                <w:sz w:val="16"/>
                <w:szCs w:val="16"/>
                <w:color w:val="auto"/>
              </w:rPr>
            </w:pPr>
          </w:p>
        </w:tc>
        <w:tc>
          <w:tcPr>
            <w:tcW w:w="2620" w:type="dxa"/>
            <w:vAlign w:val="bottom"/>
            <w:tcBorders>
              <w:bottom w:val="single" w:sz="8" w:color="6F2875"/>
            </w:tcBorders>
          </w:tcPr>
          <w:p>
            <w:pPr>
              <w:spacing w:after="0"/>
              <w:rPr>
                <w:sz w:val="16"/>
                <w:szCs w:val="16"/>
                <w:color w:val="auto"/>
              </w:rPr>
            </w:pPr>
          </w:p>
        </w:tc>
        <w:tc>
          <w:tcPr>
            <w:tcW w:w="1700" w:type="dxa"/>
            <w:vAlign w:val="bottom"/>
            <w:tcBorders>
              <w:bottom w:val="single" w:sz="8" w:color="6F2875"/>
            </w:tcBorders>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360" w:type="dxa"/>
            <w:vAlign w:val="bottom"/>
            <w:vMerge w:val="restart"/>
          </w:tcPr>
          <w:p>
            <w:pPr>
              <w:spacing w:after="0"/>
              <w:rPr>
                <w:sz w:val="20"/>
                <w:szCs w:val="20"/>
                <w:color w:val="auto"/>
              </w:rPr>
            </w:pPr>
            <w:r>
              <w:rPr>
                <w:rFonts w:ascii="Arial" w:cs="Arial" w:eastAsia="Arial" w:hAnsi="Arial"/>
                <w:sz w:val="16"/>
                <w:szCs w:val="16"/>
                <w:b w:val="1"/>
                <w:bCs w:val="1"/>
                <w:color w:val="auto"/>
              </w:rPr>
              <w:t>8</w:t>
            </w:r>
          </w:p>
        </w:tc>
        <w:tc>
          <w:tcPr>
            <w:tcW w:w="10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3080" w:type="dxa"/>
            <w:vAlign w:val="bottom"/>
            <w:gridSpan w:val="3"/>
            <w:vMerge w:val="restart"/>
          </w:tcPr>
          <w:p>
            <w:pPr>
              <w:ind w:left="22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2620" w:type="dxa"/>
            <w:vAlign w:val="bottom"/>
            <w:tcBorders>
              <w:bottom w:val="single" w:sz="8" w:color="auto"/>
            </w:tcBorders>
          </w:tcPr>
          <w:p>
            <w:pPr>
              <w:spacing w:after="0"/>
              <w:rPr>
                <w:sz w:val="24"/>
                <w:szCs w:val="24"/>
                <w:color w:val="auto"/>
              </w:rPr>
            </w:pPr>
          </w:p>
        </w:tc>
        <w:tc>
          <w:tcPr>
            <w:tcW w:w="1700" w:type="dxa"/>
            <w:vAlign w:val="bottom"/>
            <w:vMerge w:val="restart"/>
          </w:tcPr>
          <w:p>
            <w:pPr>
              <w:ind w:left="260"/>
              <w:spacing w:after="0"/>
              <w:rPr>
                <w:sz w:val="20"/>
                <w:szCs w:val="20"/>
                <w:color w:val="auto"/>
              </w:rPr>
            </w:pPr>
            <w:r>
              <w:rPr>
                <w:rFonts w:ascii="Arial" w:cs="Arial" w:eastAsia="Arial" w:hAnsi="Arial"/>
                <w:sz w:val="16"/>
                <w:szCs w:val="16"/>
                <w:b w:val="1"/>
                <w:bCs w:val="1"/>
                <w:color w:val="6F2875"/>
                <w:w w:val="99"/>
              </w:rPr>
              <w:t>www.livanova.com</w:t>
            </w:r>
          </w:p>
        </w:tc>
        <w:tc>
          <w:tcPr>
            <w:tcW w:w="0" w:type="dxa"/>
            <w:vAlign w:val="bottom"/>
          </w:tcPr>
          <w:p>
            <w:pPr>
              <w:spacing w:after="0"/>
              <w:rPr>
                <w:sz w:val="1"/>
                <w:szCs w:val="1"/>
                <w:color w:val="auto"/>
              </w:rPr>
            </w:pPr>
          </w:p>
        </w:tc>
      </w:tr>
      <w:tr>
        <w:trPr>
          <w:trHeight w:val="69"/>
        </w:trPr>
        <w:tc>
          <w:tcPr>
            <w:tcW w:w="3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2620" w:type="dxa"/>
            <w:vAlign w:val="bottom"/>
          </w:tcPr>
          <w:p>
            <w:pPr>
              <w:spacing w:after="0"/>
              <w:rPr>
                <w:sz w:val="5"/>
                <w:szCs w:val="5"/>
                <w:color w:val="auto"/>
              </w:rPr>
            </w:pPr>
          </w:p>
        </w:tc>
        <w:tc>
          <w:tcPr>
            <w:tcW w:w="3080" w:type="dxa"/>
            <w:vAlign w:val="bottom"/>
            <w:gridSpan w:val="3"/>
            <w:vMerge w:val="continue"/>
          </w:tcPr>
          <w:p>
            <w:pPr>
              <w:spacing w:after="0"/>
              <w:rPr>
                <w:sz w:val="5"/>
                <w:szCs w:val="5"/>
                <w:color w:val="auto"/>
              </w:rPr>
            </w:pPr>
          </w:p>
        </w:tc>
        <w:tc>
          <w:tcPr>
            <w:tcW w:w="26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360" w:type="dxa"/>
            <w:vAlign w:val="bottom"/>
            <w:tcBorders>
              <w:bottom w:val="single" w:sz="8" w:color="C0C0C0"/>
            </w:tcBorders>
          </w:tcPr>
          <w:p>
            <w:pPr>
              <w:spacing w:after="0"/>
              <w:rPr>
                <w:sz w:val="24"/>
                <w:szCs w:val="24"/>
                <w:color w:val="auto"/>
              </w:rPr>
            </w:pPr>
          </w:p>
        </w:tc>
        <w:tc>
          <w:tcPr>
            <w:tcW w:w="104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230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2620" w:type="dxa"/>
            <w:vAlign w:val="bottom"/>
            <w:tcBorders>
              <w:bottom w:val="single" w:sz="8" w:color="C0C0C0"/>
            </w:tcBorders>
          </w:tcPr>
          <w:p>
            <w:pPr>
              <w:spacing w:after="0"/>
              <w:rPr>
                <w:sz w:val="24"/>
                <w:szCs w:val="24"/>
                <w:color w:val="auto"/>
              </w:rPr>
            </w:pPr>
          </w:p>
        </w:tc>
        <w:tc>
          <w:tcPr>
            <w:tcW w:w="17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type w:val="continuous"/>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FFFFFF"/>
        </w:rPr>
        <w:t>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71525" cy="1037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1525" cy="10375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231F20"/>
        </w:rPr>
        <w:t>Age 53</w:t>
      </w:r>
    </w:p>
    <w:p>
      <w:pPr>
        <w:spacing w:after="0" w:line="69" w:lineRule="exact"/>
        <w:rPr>
          <w:sz w:val="20"/>
          <w:szCs w:val="20"/>
          <w:color w:val="auto"/>
        </w:rPr>
      </w:pPr>
    </w:p>
    <w:p>
      <w:pPr>
        <w:ind w:left="60"/>
        <w:spacing w:after="0" w:line="285" w:lineRule="auto"/>
        <w:rPr>
          <w:sz w:val="20"/>
          <w:szCs w:val="20"/>
          <w:color w:val="auto"/>
        </w:rPr>
      </w:pPr>
      <w:r>
        <w:rPr>
          <w:rFonts w:ascii="Arial" w:cs="Arial" w:eastAsia="Arial" w:hAnsi="Arial"/>
          <w:sz w:val="14"/>
          <w:szCs w:val="14"/>
          <w:b w:val="1"/>
          <w:bCs w:val="1"/>
          <w:color w:val="231F20"/>
        </w:rPr>
        <w:t xml:space="preserve">Director since </w:t>
      </w:r>
      <w:r>
        <w:rPr>
          <w:rFonts w:ascii="Arial" w:cs="Arial" w:eastAsia="Arial" w:hAnsi="Arial"/>
          <w:sz w:val="14"/>
          <w:szCs w:val="14"/>
          <w:b w:val="1"/>
          <w:bCs w:val="1"/>
          <w:color w:val="6F2875"/>
        </w:rPr>
        <w:t>2017</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6F2875"/>
        </w:rPr>
        <w:t>Biography:</w:t>
      </w:r>
    </w:p>
    <w:p>
      <w:pPr>
        <w:spacing w:after="0" w:line="19" w:lineRule="exact"/>
        <w:rPr>
          <w:sz w:val="20"/>
          <w:szCs w:val="20"/>
          <w:color w:val="auto"/>
        </w:rPr>
      </w:pPr>
    </w:p>
    <w:p>
      <w:pPr>
        <w:jc w:val="both"/>
        <w:ind w:right="60"/>
        <w:spacing w:after="0" w:line="243" w:lineRule="auto"/>
        <w:rPr>
          <w:sz w:val="20"/>
          <w:szCs w:val="20"/>
          <w:color w:val="auto"/>
        </w:rPr>
      </w:pPr>
      <w:r>
        <w:rPr>
          <w:rFonts w:ascii="Arial" w:cs="Arial" w:eastAsia="Arial" w:hAnsi="Arial"/>
          <w:sz w:val="14"/>
          <w:szCs w:val="14"/>
          <w:color w:val="231F20"/>
        </w:rPr>
        <w:t>Mr. McDonald is the CEO and an executive director of LivaNova, a role he has occupied since January 1, 2017. Mr. McDonald served as Chief Operating Officer of LivaNova from October 3, 2016 through December 31, 2016. Prior to joining us, Mr. McDonald held several senior roles in the global life sciences sector. Most recently, Mr. McDonald was Group Executive and Corporate Vice President at Danaher Corporation (“Danaher”). From 2013 until 2016, he served as Group President, Professional Consumables at Danaher. During his tenure at Danaher, he was responsible for, among other things, 13 operating plants in Europe and the Americas and over 3,200 employees globally. From 2011 to 2013, Mr. McDonald served as Group President of Kerr Corporation, a subsidiary of Danaher, where he was responsible for a dental consumables business with operations in the United States, Mexico, Switzerland, Italy and the Czech Republic. In 2010, Mr. McDonald undertook special projects for Danaher. From 2007 to 2010, Mr. McDonald was President, Zimmer Spine at Zimmer Holdings, where he was responsible for divisions in the United States and France. From 1999 to 2007, Mr. McDonald occupied various roles with Johnson and Johnson. Mr. McDonald holds bachelor’s degrees in pharmacy and economics from the University of Queensland in Australia, a master’s degree in international economics from the University of Wales, and an MBA from the Institute for Management Development in Lausanne.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8255</wp:posOffset>
            </wp:positionV>
            <wp:extent cx="64490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47" w:lineRule="exact"/>
        <w:rPr>
          <w:sz w:val="20"/>
          <w:szCs w:val="20"/>
          <w:color w:val="auto"/>
        </w:rPr>
      </w:pPr>
    </w:p>
    <w:p>
      <w:pPr>
        <w:spacing w:after="0"/>
        <w:tabs>
          <w:tab w:leader="none" w:pos="5200" w:val="left"/>
        </w:tabs>
        <w:rPr>
          <w:sz w:val="20"/>
          <w:szCs w:val="20"/>
          <w:color w:val="auto"/>
        </w:rPr>
      </w:pPr>
      <w:r>
        <w:rPr>
          <w:rFonts w:ascii="Arial" w:cs="Arial" w:eastAsia="Arial" w:hAnsi="Arial"/>
          <w:sz w:val="14"/>
          <w:szCs w:val="14"/>
          <w:b w:val="1"/>
          <w:bCs w:val="1"/>
          <w:color w:val="6F2875"/>
        </w:rPr>
        <w:t>Skills and Qualifications:</w:t>
      </w:r>
      <w:r>
        <w:rPr>
          <w:sz w:val="20"/>
          <w:szCs w:val="20"/>
          <w:color w:val="auto"/>
        </w:rPr>
        <w:tab/>
      </w:r>
      <w:r>
        <w:rPr>
          <w:rFonts w:ascii="Arial" w:cs="Arial" w:eastAsia="Arial" w:hAnsi="Arial"/>
          <w:sz w:val="14"/>
          <w:szCs w:val="14"/>
          <w:b w:val="1"/>
          <w:bCs w:val="1"/>
          <w:color w:val="6F2875"/>
        </w:rPr>
        <w:t>Current Directorships:</w:t>
      </w:r>
    </w:p>
    <w:p>
      <w:pPr>
        <w:spacing w:after="0" w:line="19" w:lineRule="exact"/>
        <w:rPr>
          <w:sz w:val="20"/>
          <w:szCs w:val="20"/>
          <w:color w:val="auto"/>
        </w:rPr>
      </w:pPr>
    </w:p>
    <w:p>
      <w:pPr>
        <w:spacing w:after="0"/>
        <w:tabs>
          <w:tab w:leader="none" w:pos="5200" w:val="left"/>
        </w:tabs>
        <w:rPr>
          <w:sz w:val="20"/>
          <w:szCs w:val="20"/>
          <w:color w:val="auto"/>
        </w:rPr>
      </w:pPr>
      <w:r>
        <w:rPr>
          <w:rFonts w:ascii="Arial" w:cs="Arial" w:eastAsia="Arial" w:hAnsi="Arial"/>
          <w:sz w:val="14"/>
          <w:szCs w:val="14"/>
          <w:color w:val="6F2875"/>
        </w:rPr>
        <w:t xml:space="preserve">• </w:t>
      </w:r>
      <w:r>
        <w:rPr>
          <w:rFonts w:ascii="Arial" w:cs="Arial" w:eastAsia="Arial" w:hAnsi="Arial"/>
          <w:sz w:val="14"/>
          <w:szCs w:val="14"/>
          <w:color w:val="231F20"/>
        </w:rPr>
        <w:t>extensive management experience in the medical device and life</w:t>
      </w:r>
      <w:r>
        <w:rPr>
          <w:sz w:val="20"/>
          <w:szCs w:val="20"/>
          <w:color w:val="auto"/>
        </w:rPr>
        <w:tab/>
      </w:r>
      <w:r>
        <w:rPr>
          <w:rFonts w:ascii="Arial" w:cs="Arial" w:eastAsia="Arial" w:hAnsi="Arial"/>
          <w:sz w:val="14"/>
          <w:szCs w:val="14"/>
          <w:color w:val="6F2875"/>
        </w:rPr>
        <w:t xml:space="preserve">• </w:t>
      </w:r>
      <w:r>
        <w:rPr>
          <w:rFonts w:ascii="Arial" w:cs="Arial" w:eastAsia="Arial" w:hAnsi="Arial"/>
          <w:sz w:val="14"/>
          <w:szCs w:val="14"/>
          <w:color w:val="231F20"/>
        </w:rPr>
        <w:t>Avita Medical, an American Stock Exchange-listed company</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231F20"/>
        </w:rPr>
        <w:t>sciences industries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6F2875"/>
        </w:rPr>
        <w:t xml:space="preserve">• </w:t>
      </w:r>
      <w:r>
        <w:rPr>
          <w:rFonts w:ascii="Arial" w:cs="Arial" w:eastAsia="Arial" w:hAnsi="Arial"/>
          <w:sz w:val="14"/>
          <w:szCs w:val="14"/>
          <w:color w:val="231F20"/>
        </w:rPr>
        <w:t>service as CEO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151765</wp:posOffset>
            </wp:positionV>
            <wp:extent cx="72466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 w:space="520"/>
            <w:col w:w="10100"/>
          </w:cols>
          <w:pgMar w:left="240" w:top="234" w:right="239" w:bottom="1440" w:gutter="0" w:footer="0" w:header="0"/>
          <w:type w:val="continuous"/>
        </w:sectPr>
      </w:pPr>
    </w:p>
    <w:p>
      <w:pPr>
        <w:spacing w:after="0" w:line="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FFFFFF"/>
        </w:rPr>
        <w:t>DANIEL J. MOORE</w:t>
      </w:r>
    </w:p>
    <w:p>
      <w:pPr>
        <w:spacing w:after="0" w:line="86"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6F2875"/>
        </w:rPr>
        <w:t>Biography:</w:t>
      </w:r>
    </w:p>
    <w:p>
      <w:pPr>
        <w:spacing w:after="0" w:line="19" w:lineRule="exact"/>
        <w:rPr>
          <w:sz w:val="20"/>
          <w:szCs w:val="20"/>
          <w:color w:val="auto"/>
        </w:rPr>
      </w:pPr>
    </w:p>
    <w:p>
      <w:pPr>
        <w:jc w:val="both"/>
        <w:ind w:left="1320" w:right="60"/>
        <w:spacing w:after="0" w:line="245" w:lineRule="auto"/>
        <w:rPr>
          <w:sz w:val="20"/>
          <w:szCs w:val="20"/>
          <w:color w:val="auto"/>
        </w:rPr>
      </w:pPr>
      <w:r>
        <w:rPr>
          <w:rFonts w:ascii="Arial" w:cs="Arial" w:eastAsia="Arial" w:hAnsi="Arial"/>
          <w:sz w:val="14"/>
          <w:szCs w:val="14"/>
          <w:color w:val="231F20"/>
        </w:rPr>
        <w:t>Mr. Moore was appointed as Chairman of LivaNova’s Board in September 2015. From 2007 until the merger of Cyberonics and Sorin in October 2015, Mr. Moore was a member of the board and served as CEO of Cyberonics. Mr. Moore joined Cyberonics from Boston Scientific Corporation, where, since 1989, he held positions in sales, marketing and senior management in the US and in Europe. His last position at Boston Scientific Corporation was President, International Distributor Management. Prior to that role, he held the position of President, Inter-Continental. Mr. Moore earned an Executive MBA from Boston University and a Bachelor of Arts from Harvard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6985</wp:posOffset>
            </wp:positionV>
            <wp:extent cx="64490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
        <w:spacing w:after="0" w:line="342" w:lineRule="auto"/>
        <w:rPr>
          <w:sz w:val="20"/>
          <w:szCs w:val="20"/>
          <w:color w:val="auto"/>
        </w:rPr>
      </w:pPr>
      <w:r>
        <w:rPr>
          <w:rFonts w:ascii="Arial" w:cs="Arial" w:eastAsia="Arial" w:hAnsi="Arial"/>
          <w:sz w:val="14"/>
          <w:szCs w:val="14"/>
          <w:b w:val="1"/>
          <w:bCs w:val="1"/>
          <w:color w:val="FC5D45"/>
        </w:rPr>
        <w:t xml:space="preserve">CHAIRMAN </w:t>
      </w:r>
      <w:r>
        <w:rPr>
          <w:rFonts w:ascii="Arial" w:cs="Arial" w:eastAsia="Arial" w:hAnsi="Arial"/>
          <w:sz w:val="14"/>
          <w:szCs w:val="14"/>
          <w:b w:val="1"/>
          <w:bCs w:val="1"/>
          <w:color w:val="231F20"/>
        </w:rPr>
        <w:t>Age 57</w:t>
      </w:r>
    </w:p>
    <w:p>
      <w:pPr>
        <w:ind w:left="60"/>
        <w:spacing w:after="0" w:line="285" w:lineRule="auto"/>
        <w:rPr>
          <w:sz w:val="20"/>
          <w:szCs w:val="20"/>
          <w:color w:val="auto"/>
        </w:rPr>
      </w:pPr>
      <w:r>
        <w:rPr>
          <w:rFonts w:ascii="Arial" w:cs="Arial" w:eastAsia="Arial" w:hAnsi="Arial"/>
          <w:sz w:val="14"/>
          <w:szCs w:val="14"/>
          <w:b w:val="1"/>
          <w:bCs w:val="1"/>
          <w:color w:val="231F20"/>
        </w:rPr>
        <w:t xml:space="preserve">Director since: </w:t>
      </w:r>
      <w:r>
        <w:rPr>
          <w:rFonts w:ascii="Arial" w:cs="Arial" w:eastAsia="Arial" w:hAnsi="Arial"/>
          <w:sz w:val="14"/>
          <w:szCs w:val="14"/>
          <w:b w:val="1"/>
          <w:bCs w:val="1"/>
          <w:color w:val="6F2875"/>
        </w:rPr>
        <w:t>2015</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4880" w:type="dxa"/>
            <w:vAlign w:val="bottom"/>
            <w:gridSpan w:val="2"/>
          </w:tcPr>
          <w:p>
            <w:pPr>
              <w:spacing w:after="0"/>
              <w:rPr>
                <w:sz w:val="20"/>
                <w:szCs w:val="20"/>
                <w:color w:val="auto"/>
              </w:rPr>
            </w:pPr>
            <w:r>
              <w:rPr>
                <w:rFonts w:ascii="Arial" w:cs="Arial" w:eastAsia="Arial" w:hAnsi="Arial"/>
                <w:sz w:val="14"/>
                <w:szCs w:val="14"/>
                <w:b w:val="1"/>
                <w:bCs w:val="1"/>
                <w:color w:val="6F2875"/>
              </w:rPr>
              <w:t>Skills and Qualifications:</w:t>
            </w:r>
          </w:p>
        </w:tc>
        <w:tc>
          <w:tcPr>
            <w:tcW w:w="5020" w:type="dxa"/>
            <w:vAlign w:val="bottom"/>
            <w:gridSpan w:val="2"/>
          </w:tcPr>
          <w:p>
            <w:pPr>
              <w:ind w:left="340"/>
              <w:spacing w:after="0"/>
              <w:rPr>
                <w:sz w:val="20"/>
                <w:szCs w:val="20"/>
                <w:color w:val="auto"/>
              </w:rPr>
            </w:pPr>
            <w:r>
              <w:rPr>
                <w:rFonts w:ascii="Arial" w:cs="Arial" w:eastAsia="Arial" w:hAnsi="Arial"/>
                <w:sz w:val="14"/>
                <w:szCs w:val="14"/>
                <w:b w:val="1"/>
                <w:bCs w:val="1"/>
                <w:color w:val="6F2875"/>
              </w:rPr>
              <w:t>Current Directorships:</w:t>
            </w:r>
          </w:p>
        </w:tc>
      </w:tr>
      <w:tr>
        <w:trPr>
          <w:trHeight w:val="162"/>
        </w:trPr>
        <w:tc>
          <w:tcPr>
            <w:tcW w:w="80" w:type="dxa"/>
            <w:vAlign w:val="bottom"/>
          </w:tcPr>
          <w:p>
            <w:pPr>
              <w:spacing w:after="0"/>
              <w:rPr>
                <w:sz w:val="20"/>
                <w:szCs w:val="20"/>
                <w:color w:val="auto"/>
              </w:rPr>
            </w:pPr>
            <w:r>
              <w:rPr>
                <w:rFonts w:ascii="Arial" w:cs="Arial" w:eastAsia="Arial" w:hAnsi="Arial"/>
                <w:sz w:val="14"/>
                <w:szCs w:val="14"/>
                <w:color w:val="6F2875"/>
              </w:rPr>
              <w:t>•</w:t>
            </w:r>
          </w:p>
        </w:tc>
        <w:tc>
          <w:tcPr>
            <w:tcW w:w="4800" w:type="dxa"/>
            <w:vAlign w:val="bottom"/>
          </w:tcPr>
          <w:p>
            <w:pPr>
              <w:ind w:left="40"/>
              <w:spacing w:after="0"/>
              <w:rPr>
                <w:sz w:val="20"/>
                <w:szCs w:val="20"/>
                <w:color w:val="auto"/>
              </w:rPr>
            </w:pPr>
            <w:r>
              <w:rPr>
                <w:rFonts w:ascii="Arial" w:cs="Arial" w:eastAsia="Arial" w:hAnsi="Arial"/>
                <w:sz w:val="14"/>
                <w:szCs w:val="14"/>
                <w:color w:val="231F20"/>
              </w:rPr>
              <w:t>extensive domestic and international sales</w:t>
            </w:r>
          </w:p>
        </w:tc>
        <w:tc>
          <w:tcPr>
            <w:tcW w:w="440" w:type="dxa"/>
            <w:vAlign w:val="bottom"/>
          </w:tcPr>
          <w:p>
            <w:pPr>
              <w:ind w:left="340"/>
              <w:spacing w:after="0"/>
              <w:rPr>
                <w:sz w:val="20"/>
                <w:szCs w:val="20"/>
                <w:color w:val="auto"/>
              </w:rPr>
            </w:pPr>
            <w:r>
              <w:rPr>
                <w:rFonts w:ascii="Arial" w:cs="Arial" w:eastAsia="Arial" w:hAnsi="Arial"/>
                <w:sz w:val="14"/>
                <w:szCs w:val="14"/>
                <w:color w:val="6F2875"/>
              </w:rPr>
              <w:t>•</w:t>
            </w:r>
          </w:p>
        </w:tc>
        <w:tc>
          <w:tcPr>
            <w:tcW w:w="4580" w:type="dxa"/>
            <w:vAlign w:val="bottom"/>
          </w:tcPr>
          <w:p>
            <w:pPr>
              <w:ind w:left="40"/>
              <w:spacing w:after="0"/>
              <w:rPr>
                <w:sz w:val="20"/>
                <w:szCs w:val="20"/>
                <w:color w:val="auto"/>
              </w:rPr>
            </w:pPr>
            <w:r>
              <w:rPr>
                <w:rFonts w:ascii="Arial" w:cs="Arial" w:eastAsia="Arial" w:hAnsi="Arial"/>
                <w:sz w:val="14"/>
                <w:szCs w:val="14"/>
                <w:color w:val="231F20"/>
              </w:rPr>
              <w:t>GI Dynamics, Inc.</w:t>
            </w:r>
          </w:p>
        </w:tc>
      </w:tr>
      <w:tr>
        <w:trPr>
          <w:trHeight w:val="162"/>
        </w:trPr>
        <w:tc>
          <w:tcPr>
            <w:tcW w:w="80" w:type="dxa"/>
            <w:vAlign w:val="bottom"/>
          </w:tcPr>
          <w:p>
            <w:pPr>
              <w:spacing w:after="0"/>
              <w:rPr>
                <w:sz w:val="20"/>
                <w:szCs w:val="20"/>
                <w:color w:val="auto"/>
              </w:rPr>
            </w:pPr>
            <w:r>
              <w:rPr>
                <w:rFonts w:ascii="Arial" w:cs="Arial" w:eastAsia="Arial" w:hAnsi="Arial"/>
                <w:sz w:val="14"/>
                <w:szCs w:val="14"/>
                <w:color w:val="6F2875"/>
              </w:rPr>
              <w:t>•</w:t>
            </w:r>
          </w:p>
        </w:tc>
        <w:tc>
          <w:tcPr>
            <w:tcW w:w="4800" w:type="dxa"/>
            <w:vAlign w:val="bottom"/>
          </w:tcPr>
          <w:p>
            <w:pPr>
              <w:ind w:left="40"/>
              <w:spacing w:after="0"/>
              <w:rPr>
                <w:sz w:val="20"/>
                <w:szCs w:val="20"/>
                <w:color w:val="auto"/>
              </w:rPr>
            </w:pPr>
            <w:r>
              <w:rPr>
                <w:rFonts w:ascii="Arial" w:cs="Arial" w:eastAsia="Arial" w:hAnsi="Arial"/>
                <w:sz w:val="14"/>
                <w:szCs w:val="14"/>
                <w:color w:val="231F20"/>
              </w:rPr>
              <w:t>management and operating executive experience at a diverse, global</w:t>
            </w:r>
          </w:p>
        </w:tc>
        <w:tc>
          <w:tcPr>
            <w:tcW w:w="440" w:type="dxa"/>
            <w:vAlign w:val="bottom"/>
          </w:tcPr>
          <w:p>
            <w:pPr>
              <w:ind w:left="340"/>
              <w:spacing w:after="0"/>
              <w:rPr>
                <w:sz w:val="20"/>
                <w:szCs w:val="20"/>
                <w:color w:val="auto"/>
              </w:rPr>
            </w:pPr>
            <w:r>
              <w:rPr>
                <w:rFonts w:ascii="Arial" w:cs="Arial" w:eastAsia="Arial" w:hAnsi="Arial"/>
                <w:sz w:val="14"/>
                <w:szCs w:val="14"/>
                <w:color w:val="6F2875"/>
              </w:rPr>
              <w:t>•</w:t>
            </w:r>
          </w:p>
        </w:tc>
        <w:tc>
          <w:tcPr>
            <w:tcW w:w="4580" w:type="dxa"/>
            <w:vAlign w:val="bottom"/>
          </w:tcPr>
          <w:p>
            <w:pPr>
              <w:ind w:left="40"/>
              <w:spacing w:after="0"/>
              <w:rPr>
                <w:sz w:val="20"/>
                <w:szCs w:val="20"/>
                <w:color w:val="auto"/>
              </w:rPr>
            </w:pPr>
            <w:r>
              <w:rPr>
                <w:rFonts w:ascii="Arial" w:cs="Arial" w:eastAsia="Arial" w:hAnsi="Arial"/>
                <w:sz w:val="14"/>
                <w:szCs w:val="14"/>
                <w:color w:val="231F20"/>
              </w:rPr>
              <w:t>ViewRay, Inc.</w:t>
            </w:r>
          </w:p>
        </w:tc>
      </w:tr>
      <w:tr>
        <w:trPr>
          <w:trHeight w:val="162"/>
        </w:trPr>
        <w:tc>
          <w:tcPr>
            <w:tcW w:w="80" w:type="dxa"/>
            <w:vAlign w:val="bottom"/>
          </w:tcPr>
          <w:p>
            <w:pPr>
              <w:spacing w:after="0"/>
              <w:rPr>
                <w:sz w:val="14"/>
                <w:szCs w:val="14"/>
                <w:color w:val="auto"/>
              </w:rPr>
            </w:pPr>
          </w:p>
        </w:tc>
        <w:tc>
          <w:tcPr>
            <w:tcW w:w="4800" w:type="dxa"/>
            <w:vAlign w:val="bottom"/>
          </w:tcPr>
          <w:p>
            <w:pPr>
              <w:ind w:left="60"/>
              <w:spacing w:after="0"/>
              <w:rPr>
                <w:sz w:val="20"/>
                <w:szCs w:val="20"/>
                <w:color w:val="auto"/>
              </w:rPr>
            </w:pPr>
            <w:r>
              <w:rPr>
                <w:rFonts w:ascii="Arial" w:cs="Arial" w:eastAsia="Arial" w:hAnsi="Arial"/>
                <w:sz w:val="14"/>
                <w:szCs w:val="14"/>
                <w:color w:val="231F20"/>
              </w:rPr>
              <w:t>medical device manufacturer</w:t>
            </w:r>
          </w:p>
        </w:tc>
        <w:tc>
          <w:tcPr>
            <w:tcW w:w="440" w:type="dxa"/>
            <w:vAlign w:val="bottom"/>
          </w:tcPr>
          <w:p>
            <w:pPr>
              <w:ind w:left="340"/>
              <w:spacing w:after="0"/>
              <w:rPr>
                <w:sz w:val="20"/>
                <w:szCs w:val="20"/>
                <w:color w:val="auto"/>
              </w:rPr>
            </w:pPr>
            <w:r>
              <w:rPr>
                <w:rFonts w:ascii="Arial" w:cs="Arial" w:eastAsia="Arial" w:hAnsi="Arial"/>
                <w:sz w:val="14"/>
                <w:szCs w:val="14"/>
                <w:color w:val="6F2875"/>
              </w:rPr>
              <w:t>•</w:t>
            </w:r>
          </w:p>
        </w:tc>
        <w:tc>
          <w:tcPr>
            <w:tcW w:w="4580" w:type="dxa"/>
            <w:vAlign w:val="bottom"/>
          </w:tcPr>
          <w:p>
            <w:pPr>
              <w:ind w:left="40"/>
              <w:spacing w:after="0"/>
              <w:rPr>
                <w:sz w:val="20"/>
                <w:szCs w:val="20"/>
                <w:color w:val="auto"/>
              </w:rPr>
            </w:pPr>
            <w:r>
              <w:rPr>
                <w:rFonts w:ascii="Arial" w:cs="Arial" w:eastAsia="Arial" w:hAnsi="Arial"/>
                <w:sz w:val="14"/>
                <w:szCs w:val="14"/>
                <w:color w:val="231F20"/>
              </w:rPr>
              <w:t>BrainScope Company, Inc.</w:t>
            </w:r>
          </w:p>
        </w:tc>
      </w:tr>
      <w:tr>
        <w:trPr>
          <w:trHeight w:val="162"/>
        </w:trPr>
        <w:tc>
          <w:tcPr>
            <w:tcW w:w="80" w:type="dxa"/>
            <w:vAlign w:val="bottom"/>
          </w:tcPr>
          <w:p>
            <w:pPr>
              <w:spacing w:after="0"/>
              <w:rPr>
                <w:sz w:val="20"/>
                <w:szCs w:val="20"/>
                <w:color w:val="auto"/>
              </w:rPr>
            </w:pPr>
            <w:r>
              <w:rPr>
                <w:rFonts w:ascii="Arial" w:cs="Arial" w:eastAsia="Arial" w:hAnsi="Arial"/>
                <w:sz w:val="14"/>
                <w:szCs w:val="14"/>
                <w:color w:val="6F2875"/>
              </w:rPr>
              <w:t>•</w:t>
            </w:r>
          </w:p>
        </w:tc>
        <w:tc>
          <w:tcPr>
            <w:tcW w:w="4800" w:type="dxa"/>
            <w:vAlign w:val="bottom"/>
          </w:tcPr>
          <w:p>
            <w:pPr>
              <w:ind w:left="40"/>
              <w:spacing w:after="0"/>
              <w:rPr>
                <w:sz w:val="20"/>
                <w:szCs w:val="20"/>
                <w:color w:val="auto"/>
              </w:rPr>
            </w:pPr>
            <w:r>
              <w:rPr>
                <w:rFonts w:ascii="Arial" w:cs="Arial" w:eastAsia="Arial" w:hAnsi="Arial"/>
                <w:sz w:val="14"/>
                <w:szCs w:val="14"/>
                <w:color w:val="231F20"/>
              </w:rPr>
              <w:t>service as the President and CEO of Cyberonics Inc.</w:t>
            </w:r>
          </w:p>
        </w:tc>
        <w:tc>
          <w:tcPr>
            <w:tcW w:w="440" w:type="dxa"/>
            <w:vAlign w:val="bottom"/>
          </w:tcPr>
          <w:p>
            <w:pPr>
              <w:ind w:left="340"/>
              <w:spacing w:after="0"/>
              <w:rPr>
                <w:sz w:val="20"/>
                <w:szCs w:val="20"/>
                <w:color w:val="auto"/>
              </w:rPr>
            </w:pPr>
            <w:r>
              <w:rPr>
                <w:rFonts w:ascii="Arial" w:cs="Arial" w:eastAsia="Arial" w:hAnsi="Arial"/>
                <w:sz w:val="14"/>
                <w:szCs w:val="14"/>
                <w:color w:val="6F2875"/>
              </w:rPr>
              <w:t>•</w:t>
            </w:r>
          </w:p>
        </w:tc>
        <w:tc>
          <w:tcPr>
            <w:tcW w:w="4580" w:type="dxa"/>
            <w:vAlign w:val="bottom"/>
          </w:tcPr>
          <w:p>
            <w:pPr>
              <w:ind w:left="40"/>
              <w:spacing w:after="0"/>
              <w:rPr>
                <w:sz w:val="20"/>
                <w:szCs w:val="20"/>
                <w:color w:val="auto"/>
              </w:rPr>
            </w:pPr>
            <w:r>
              <w:rPr>
                <w:rFonts w:ascii="Arial" w:cs="Arial" w:eastAsia="Arial" w:hAnsi="Arial"/>
                <w:sz w:val="14"/>
                <w:szCs w:val="14"/>
                <w:color w:val="231F20"/>
              </w:rPr>
              <w:t>BioHouston Executive Committee</w:t>
            </w:r>
          </w:p>
        </w:tc>
      </w:tr>
      <w:tr>
        <w:trPr>
          <w:trHeight w:val="162"/>
        </w:trPr>
        <w:tc>
          <w:tcPr>
            <w:tcW w:w="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40" w:type="dxa"/>
            <w:vAlign w:val="bottom"/>
          </w:tcPr>
          <w:p>
            <w:pPr>
              <w:ind w:left="340"/>
              <w:spacing w:after="0"/>
              <w:rPr>
                <w:sz w:val="20"/>
                <w:szCs w:val="20"/>
                <w:color w:val="auto"/>
              </w:rPr>
            </w:pPr>
            <w:r>
              <w:rPr>
                <w:rFonts w:ascii="Arial" w:cs="Arial" w:eastAsia="Arial" w:hAnsi="Arial"/>
                <w:sz w:val="14"/>
                <w:szCs w:val="14"/>
                <w:color w:val="6F2875"/>
              </w:rPr>
              <w:t>•</w:t>
            </w:r>
          </w:p>
        </w:tc>
        <w:tc>
          <w:tcPr>
            <w:tcW w:w="4580" w:type="dxa"/>
            <w:vAlign w:val="bottom"/>
          </w:tcPr>
          <w:p>
            <w:pPr>
              <w:ind w:left="40"/>
              <w:spacing w:after="0"/>
              <w:rPr>
                <w:sz w:val="20"/>
                <w:szCs w:val="20"/>
                <w:color w:val="auto"/>
              </w:rPr>
            </w:pPr>
            <w:r>
              <w:rPr>
                <w:rFonts w:ascii="Arial" w:cs="Arial" w:eastAsia="Arial" w:hAnsi="Arial"/>
                <w:sz w:val="14"/>
                <w:szCs w:val="14"/>
                <w:color w:val="231F20"/>
              </w:rPr>
              <w:t>Purdue University’s Weldon School of Biomedical Engineering Advisory</w:t>
            </w:r>
          </w:p>
        </w:tc>
      </w:tr>
      <w:tr>
        <w:trPr>
          <w:trHeight w:val="162"/>
        </w:trPr>
        <w:tc>
          <w:tcPr>
            <w:tcW w:w="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580" w:type="dxa"/>
            <w:vAlign w:val="bottom"/>
          </w:tcPr>
          <w:p>
            <w:pPr>
              <w:ind w:left="40"/>
              <w:spacing w:after="0"/>
              <w:rPr>
                <w:sz w:val="20"/>
                <w:szCs w:val="20"/>
                <w:color w:val="auto"/>
              </w:rPr>
            </w:pPr>
            <w:r>
              <w:rPr>
                <w:rFonts w:ascii="Arial" w:cs="Arial" w:eastAsia="Arial" w:hAnsi="Arial"/>
                <w:sz w:val="14"/>
                <w:szCs w:val="14"/>
                <w:color w:val="231F20"/>
              </w:rPr>
              <w:t>Board</w:t>
            </w:r>
          </w:p>
        </w:tc>
      </w:tr>
      <w:tr>
        <w:trPr>
          <w:trHeight w:val="172"/>
        </w:trPr>
        <w:tc>
          <w:tcPr>
            <w:tcW w:w="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40" w:type="dxa"/>
            <w:vAlign w:val="bottom"/>
          </w:tcPr>
          <w:p>
            <w:pPr>
              <w:ind w:left="340"/>
              <w:spacing w:after="0"/>
              <w:rPr>
                <w:sz w:val="20"/>
                <w:szCs w:val="20"/>
                <w:color w:val="auto"/>
              </w:rPr>
            </w:pPr>
            <w:r>
              <w:rPr>
                <w:rFonts w:ascii="Arial" w:cs="Arial" w:eastAsia="Arial" w:hAnsi="Arial"/>
                <w:sz w:val="14"/>
                <w:szCs w:val="14"/>
                <w:color w:val="6F2875"/>
              </w:rPr>
              <w:t>•</w:t>
            </w:r>
          </w:p>
        </w:tc>
        <w:tc>
          <w:tcPr>
            <w:tcW w:w="4580" w:type="dxa"/>
            <w:vAlign w:val="bottom"/>
          </w:tcPr>
          <w:p>
            <w:pPr>
              <w:ind w:left="40"/>
              <w:spacing w:after="0"/>
              <w:rPr>
                <w:sz w:val="20"/>
                <w:szCs w:val="20"/>
                <w:color w:val="auto"/>
              </w:rPr>
            </w:pPr>
            <w:r>
              <w:rPr>
                <w:rFonts w:ascii="Arial" w:cs="Arial" w:eastAsia="Arial" w:hAnsi="Arial"/>
                <w:sz w:val="14"/>
                <w:szCs w:val="14"/>
                <w:color w:val="231F20"/>
              </w:rPr>
              <w:t>Epilepsy Foundation of America</w:t>
            </w:r>
          </w:p>
        </w:tc>
      </w:tr>
    </w:tbl>
    <w:p>
      <w:pPr>
        <w:spacing w:after="0" w:line="134"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6F2875"/>
        </w:rPr>
        <w:t>Former Directorships Held During the Past 5 Years:</w:t>
      </w:r>
    </w:p>
    <w:p>
      <w:pPr>
        <w:spacing w:after="0" w:line="19" w:lineRule="exact"/>
        <w:rPr>
          <w:sz w:val="20"/>
          <w:szCs w:val="20"/>
          <w:color w:val="auto"/>
        </w:rPr>
      </w:pPr>
    </w:p>
    <w:p>
      <w:pPr>
        <w:ind w:left="5220"/>
        <w:spacing w:after="0"/>
        <w:rPr>
          <w:sz w:val="20"/>
          <w:szCs w:val="20"/>
          <w:color w:val="auto"/>
        </w:rPr>
      </w:pPr>
      <w:r>
        <w:rPr>
          <w:rFonts w:ascii="Arial" w:cs="Arial" w:eastAsia="Arial" w:hAnsi="Arial"/>
          <w:sz w:val="14"/>
          <w:szCs w:val="14"/>
          <w:color w:val="6F2875"/>
        </w:rPr>
        <w:t xml:space="preserve">• </w:t>
      </w:r>
      <w:r>
        <w:rPr>
          <w:rFonts w:ascii="Arial" w:cs="Arial" w:eastAsia="Arial" w:hAnsi="Arial"/>
          <w:sz w:val="14"/>
          <w:szCs w:val="14"/>
          <w:color w:val="231F20"/>
        </w:rPr>
        <w:t>Cyberonics, Inc.</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4"/>
          <w:szCs w:val="14"/>
          <w:color w:val="6F2875"/>
        </w:rPr>
        <w:t xml:space="preserve">• </w:t>
      </w:r>
      <w:r>
        <w:rPr>
          <w:rFonts w:ascii="Arial" w:cs="Arial" w:eastAsia="Arial" w:hAnsi="Arial"/>
          <w:sz w:val="14"/>
          <w:szCs w:val="14"/>
          <w:color w:val="231F20"/>
        </w:rPr>
        <w:t>Topera, Inc.</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4"/>
          <w:szCs w:val="14"/>
          <w:color w:val="6F2875"/>
        </w:rPr>
        <w:t xml:space="preserve">• </w:t>
      </w:r>
      <w:r>
        <w:rPr>
          <w:rFonts w:ascii="Arial" w:cs="Arial" w:eastAsia="Arial" w:hAnsi="Arial"/>
          <w:sz w:val="14"/>
          <w:szCs w:val="14"/>
          <w:color w:val="231F20"/>
        </w:rPr>
        <w:t>TriVascular Technologies, Inc.</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4"/>
          <w:szCs w:val="14"/>
          <w:color w:val="6F2875"/>
        </w:rPr>
        <w:t xml:space="preserve">• </w:t>
      </w:r>
      <w:r>
        <w:rPr>
          <w:rFonts w:ascii="Arial" w:cs="Arial" w:eastAsia="Arial" w:hAnsi="Arial"/>
          <w:sz w:val="14"/>
          <w:szCs w:val="14"/>
          <w:color w:val="231F20"/>
        </w:rPr>
        <w:t>Medical Device Manufacturers Association</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4"/>
          <w:szCs w:val="14"/>
          <w:color w:val="6F2875"/>
        </w:rPr>
        <w:t xml:space="preserve">• </w:t>
      </w:r>
      <w:r>
        <w:rPr>
          <w:rFonts w:ascii="Arial" w:cs="Arial" w:eastAsia="Arial" w:hAnsi="Arial"/>
          <w:sz w:val="14"/>
          <w:szCs w:val="14"/>
          <w:color w:val="231F20"/>
        </w:rPr>
        <w:t>Medical Device Innovation Consortium,</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4"/>
          <w:szCs w:val="14"/>
          <w:color w:val="6F2875"/>
        </w:rPr>
        <w:t xml:space="preserve">• </w:t>
      </w:r>
      <w:r>
        <w:rPr>
          <w:rFonts w:ascii="Arial" w:cs="Arial" w:eastAsia="Arial" w:hAnsi="Arial"/>
          <w:sz w:val="14"/>
          <w:szCs w:val="14"/>
          <w:color w:val="231F20"/>
        </w:rPr>
        <w:t>Smiling Kids, Inc.,</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4"/>
          <w:szCs w:val="14"/>
          <w:color w:val="6F2875"/>
        </w:rPr>
        <w:t xml:space="preserve">• </w:t>
      </w:r>
      <w:r>
        <w:rPr>
          <w:rFonts w:ascii="Arial" w:cs="Arial" w:eastAsia="Arial" w:hAnsi="Arial"/>
          <w:sz w:val="14"/>
          <w:szCs w:val="14"/>
          <w:color w:val="231F20"/>
        </w:rPr>
        <w:t>Epilepsy Foundation of Texas</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4"/>
          <w:szCs w:val="14"/>
          <w:color w:val="6F2875"/>
        </w:rPr>
        <w:t xml:space="preserve">• </w:t>
      </w:r>
      <w:r>
        <w:rPr>
          <w:rFonts w:ascii="Arial" w:cs="Arial" w:eastAsia="Arial" w:hAnsi="Arial"/>
          <w:sz w:val="14"/>
          <w:szCs w:val="14"/>
          <w:color w:val="231F20"/>
        </w:rPr>
        <w:t>Epilepsy Foundation of Texas-Houston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0" w:space="480"/>
            <w:col w:w="10100"/>
          </w:cols>
          <w:pgMar w:left="240" w:top="234" w:right="23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Borders>
              <w:bottom w:val="single" w:sz="8" w:color="auto"/>
            </w:tcBorders>
          </w:tcPr>
          <w:p>
            <w:pPr>
              <w:spacing w:after="0"/>
              <w:rPr>
                <w:sz w:val="10"/>
                <w:szCs w:val="10"/>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w:t>
            </w:r>
          </w:p>
        </w:tc>
        <w:tc>
          <w:tcPr>
            <w:tcW w:w="0" w:type="dxa"/>
            <w:vAlign w:val="bottom"/>
          </w:tcPr>
          <w:p>
            <w:pPr>
              <w:spacing w:after="0"/>
              <w:rPr>
                <w:sz w:val="1"/>
                <w:szCs w:val="1"/>
                <w:color w:val="auto"/>
              </w:rPr>
            </w:pPr>
          </w:p>
        </w:tc>
      </w:tr>
      <w:tr>
        <w:trPr>
          <w:trHeight w:val="69"/>
        </w:trPr>
        <w:tc>
          <w:tcPr>
            <w:tcW w:w="40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type w:val="continuous"/>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FFFFFF"/>
        </w:rPr>
        <w:t>HUGH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71525" cy="10204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1525" cy="1020445"/>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0"/>
        <w:spacing w:after="0" w:line="342" w:lineRule="auto"/>
        <w:rPr>
          <w:sz w:val="20"/>
          <w:szCs w:val="20"/>
          <w:color w:val="auto"/>
        </w:rPr>
      </w:pPr>
      <w:r>
        <w:rPr>
          <w:rFonts w:ascii="Arial" w:cs="Arial" w:eastAsia="Arial" w:hAnsi="Arial"/>
          <w:sz w:val="14"/>
          <w:szCs w:val="14"/>
          <w:b w:val="1"/>
          <w:bCs w:val="1"/>
          <w:color w:val="FC5D45"/>
        </w:rPr>
        <w:t xml:space="preserve">INDEPENDENT </w:t>
      </w:r>
      <w:r>
        <w:rPr>
          <w:rFonts w:ascii="Arial" w:cs="Arial" w:eastAsia="Arial" w:hAnsi="Arial"/>
          <w:sz w:val="14"/>
          <w:szCs w:val="14"/>
          <w:b w:val="1"/>
          <w:bCs w:val="1"/>
          <w:color w:val="231F20"/>
        </w:rPr>
        <w:t>Age 71</w:t>
      </w:r>
    </w:p>
    <w:p>
      <w:pPr>
        <w:ind w:left="60" w:right="260"/>
        <w:spacing w:after="0" w:line="285" w:lineRule="auto"/>
        <w:rPr>
          <w:sz w:val="20"/>
          <w:szCs w:val="20"/>
          <w:color w:val="auto"/>
        </w:rPr>
      </w:pPr>
      <w:r>
        <w:rPr>
          <w:rFonts w:ascii="Arial" w:cs="Arial" w:eastAsia="Arial" w:hAnsi="Arial"/>
          <w:sz w:val="14"/>
          <w:szCs w:val="14"/>
          <w:b w:val="1"/>
          <w:bCs w:val="1"/>
          <w:color w:val="231F20"/>
        </w:rPr>
        <w:t xml:space="preserve">Director since: </w:t>
      </w:r>
      <w:r>
        <w:rPr>
          <w:rFonts w:ascii="Arial" w:cs="Arial" w:eastAsia="Arial" w:hAnsi="Arial"/>
          <w:sz w:val="14"/>
          <w:szCs w:val="14"/>
          <w:b w:val="1"/>
          <w:bCs w:val="1"/>
          <w:color w:val="6F2875"/>
        </w:rPr>
        <w:t>2015</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6F2875"/>
        </w:rPr>
        <w:t>Biography:</w:t>
      </w:r>
    </w:p>
    <w:p>
      <w:pPr>
        <w:spacing w:after="0" w:line="19" w:lineRule="exact"/>
        <w:rPr>
          <w:sz w:val="20"/>
          <w:szCs w:val="20"/>
          <w:color w:val="auto"/>
        </w:rPr>
      </w:pPr>
    </w:p>
    <w:p>
      <w:pPr>
        <w:jc w:val="both"/>
        <w:ind w:right="60"/>
        <w:spacing w:after="0" w:line="243" w:lineRule="auto"/>
        <w:rPr>
          <w:sz w:val="20"/>
          <w:szCs w:val="20"/>
          <w:color w:val="auto"/>
        </w:rPr>
      </w:pPr>
      <w:r>
        <w:rPr>
          <w:rFonts w:ascii="Arial" w:cs="Arial" w:eastAsia="Arial" w:hAnsi="Arial"/>
          <w:sz w:val="14"/>
          <w:szCs w:val="14"/>
          <w:color w:val="231F20"/>
        </w:rPr>
        <w:t>Mr. Morrison has engaged in independent consulting since 2012. Previously, Mr. Morrison served as a non-executive director (November 2006 to January 2007) and as Chairman (January 2007 to October 2015) of the board of directors of Cyberonics until Cyberonics merged with Sorin to form LivaNova in October 2015. From September 2008 through June 2012, he was a Managing Director at Callahan Advisors, LLC, an investment management company. Previously, from 1983 to December 2005, Mr. Morrison served as a director, and from January 1998 to December 2005 as Chairman of the board of directors, of Advanced Neuromodulation Systems, Inc., a publicly-held designer, developer, manufacturer and marketer of advanced implantable neurostimulation devices acquired by St. Jude Medical, Inc. in 2005. Mr. Morrison served as a director of Owen Healthcare, Inc., a publicly held hospital pharmacy management firm, from 1994 until it was acquired in 1996 by Cardinal Healthcare. In addition, Mr. Morrison served as a director of Dow Hickam Pharmaceuticals, Inc., a pharmaceutical manufacturer and marketer, from 1984 to 1991, when the company was sold to Mylan Laboratories, Inc.. From March 1996 to May 2006, Mr. Morrison served as President and Chief Executive Officer, and from January 1998 to May 2006 served as Chairman of the Board of Directors, of Pilgrim Cleaners, Inc., a retail dry cleaning company operating over 100 stores. Mr. Morrison earned a BBA in Accounting from Texas A&amp;M University-Kingsville and is licensed as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7620</wp:posOffset>
            </wp:positionV>
            <wp:extent cx="64490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80" w:type="dxa"/>
            <w:vAlign w:val="bottom"/>
            <w:gridSpan w:val="2"/>
          </w:tcPr>
          <w:p>
            <w:pPr>
              <w:spacing w:after="0"/>
              <w:rPr>
                <w:sz w:val="20"/>
                <w:szCs w:val="20"/>
                <w:color w:val="auto"/>
              </w:rPr>
            </w:pPr>
            <w:r>
              <w:rPr>
                <w:rFonts w:ascii="Arial" w:cs="Arial" w:eastAsia="Arial" w:hAnsi="Arial"/>
                <w:sz w:val="14"/>
                <w:szCs w:val="14"/>
                <w:b w:val="1"/>
                <w:bCs w:val="1"/>
                <w:color w:val="6F2875"/>
              </w:rPr>
              <w:t>Skills and Qualifications:</w:t>
            </w:r>
          </w:p>
        </w:tc>
        <w:tc>
          <w:tcPr>
            <w:tcW w:w="4060" w:type="dxa"/>
            <w:vAlign w:val="bottom"/>
            <w:gridSpan w:val="2"/>
          </w:tcPr>
          <w:p>
            <w:pPr>
              <w:ind w:left="540"/>
              <w:spacing w:after="0"/>
              <w:rPr>
                <w:sz w:val="20"/>
                <w:szCs w:val="20"/>
                <w:color w:val="auto"/>
              </w:rPr>
            </w:pPr>
            <w:r>
              <w:rPr>
                <w:rFonts w:ascii="Arial" w:cs="Arial" w:eastAsia="Arial" w:hAnsi="Arial"/>
                <w:sz w:val="14"/>
                <w:szCs w:val="14"/>
                <w:b w:val="1"/>
                <w:bCs w:val="1"/>
                <w:color w:val="6F2875"/>
              </w:rPr>
              <w:t>Current Directorships:</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20"/>
                <w:szCs w:val="20"/>
                <w:color w:val="auto"/>
              </w:rPr>
            </w:pPr>
            <w:r>
              <w:rPr>
                <w:rFonts w:ascii="Arial" w:cs="Arial" w:eastAsia="Arial" w:hAnsi="Arial"/>
                <w:sz w:val="14"/>
                <w:szCs w:val="14"/>
                <w:color w:val="6F2875"/>
              </w:rPr>
              <w:t>•</w:t>
            </w:r>
          </w:p>
        </w:tc>
        <w:tc>
          <w:tcPr>
            <w:tcW w:w="4600" w:type="dxa"/>
            <w:vAlign w:val="bottom"/>
          </w:tcPr>
          <w:p>
            <w:pPr>
              <w:ind w:left="40"/>
              <w:spacing w:after="0"/>
              <w:rPr>
                <w:sz w:val="20"/>
                <w:szCs w:val="20"/>
                <w:color w:val="auto"/>
              </w:rPr>
            </w:pPr>
            <w:r>
              <w:rPr>
                <w:rFonts w:ascii="Arial" w:cs="Arial" w:eastAsia="Arial" w:hAnsi="Arial"/>
                <w:sz w:val="14"/>
                <w:szCs w:val="14"/>
                <w:color w:val="231F20"/>
              </w:rPr>
              <w:t>extensive board leadership experience in the healthcare sector</w:t>
            </w:r>
          </w:p>
        </w:tc>
        <w:tc>
          <w:tcPr>
            <w:tcW w:w="640" w:type="dxa"/>
            <w:vAlign w:val="bottom"/>
          </w:tcPr>
          <w:p>
            <w:pPr>
              <w:ind w:left="540"/>
              <w:spacing w:after="0"/>
              <w:rPr>
                <w:sz w:val="20"/>
                <w:szCs w:val="20"/>
                <w:color w:val="auto"/>
              </w:rPr>
            </w:pPr>
            <w:r>
              <w:rPr>
                <w:rFonts w:ascii="Arial" w:cs="Arial" w:eastAsia="Arial" w:hAnsi="Arial"/>
                <w:sz w:val="14"/>
                <w:szCs w:val="14"/>
                <w:color w:val="6F2875"/>
              </w:rPr>
              <w:t>•</w:t>
            </w:r>
          </w:p>
        </w:tc>
        <w:tc>
          <w:tcPr>
            <w:tcW w:w="3420" w:type="dxa"/>
            <w:vAlign w:val="bottom"/>
          </w:tcPr>
          <w:p>
            <w:pPr>
              <w:ind w:left="40"/>
              <w:spacing w:after="0"/>
              <w:rPr>
                <w:sz w:val="20"/>
                <w:szCs w:val="20"/>
                <w:color w:val="auto"/>
              </w:rPr>
            </w:pPr>
            <w:r>
              <w:rPr>
                <w:rFonts w:ascii="Arial" w:cs="Arial" w:eastAsia="Arial" w:hAnsi="Arial"/>
                <w:sz w:val="14"/>
                <w:szCs w:val="14"/>
                <w:color w:val="231F20"/>
              </w:rPr>
              <w:t>Rockport Center for the Arts</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20"/>
                <w:szCs w:val="20"/>
                <w:color w:val="auto"/>
              </w:rPr>
            </w:pPr>
            <w:r>
              <w:rPr>
                <w:rFonts w:ascii="Arial" w:cs="Arial" w:eastAsia="Arial" w:hAnsi="Arial"/>
                <w:sz w:val="14"/>
                <w:szCs w:val="14"/>
                <w:color w:val="6F2875"/>
              </w:rPr>
              <w:t>•</w:t>
            </w:r>
          </w:p>
        </w:tc>
        <w:tc>
          <w:tcPr>
            <w:tcW w:w="4600" w:type="dxa"/>
            <w:vAlign w:val="bottom"/>
          </w:tcPr>
          <w:p>
            <w:pPr>
              <w:ind w:left="40"/>
              <w:spacing w:after="0"/>
              <w:rPr>
                <w:sz w:val="20"/>
                <w:szCs w:val="20"/>
                <w:color w:val="auto"/>
              </w:rPr>
            </w:pPr>
            <w:r>
              <w:rPr>
                <w:rFonts w:ascii="Arial" w:cs="Arial" w:eastAsia="Arial" w:hAnsi="Arial"/>
                <w:sz w:val="14"/>
                <w:szCs w:val="14"/>
                <w:color w:val="231F20"/>
              </w:rPr>
              <w:t>specific knowledge of neurostimulation device businesses</w:t>
            </w:r>
          </w:p>
        </w:tc>
        <w:tc>
          <w:tcPr>
            <w:tcW w:w="406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6F2875"/>
              </w:rPr>
              <w:t>Former Directorships Held During the Past 5 Years:</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20"/>
                <w:szCs w:val="20"/>
                <w:color w:val="auto"/>
              </w:rPr>
            </w:pPr>
            <w:r>
              <w:rPr>
                <w:rFonts w:ascii="Arial" w:cs="Arial" w:eastAsia="Arial" w:hAnsi="Arial"/>
                <w:sz w:val="14"/>
                <w:szCs w:val="14"/>
                <w:color w:val="6F2875"/>
              </w:rPr>
              <w:t>•</w:t>
            </w:r>
          </w:p>
        </w:tc>
        <w:tc>
          <w:tcPr>
            <w:tcW w:w="4600" w:type="dxa"/>
            <w:vAlign w:val="bottom"/>
          </w:tcPr>
          <w:p>
            <w:pPr>
              <w:ind w:left="40"/>
              <w:spacing w:after="0"/>
              <w:rPr>
                <w:sz w:val="20"/>
                <w:szCs w:val="20"/>
                <w:color w:val="auto"/>
              </w:rPr>
            </w:pPr>
            <w:r>
              <w:rPr>
                <w:rFonts w:ascii="Arial" w:cs="Arial" w:eastAsia="Arial" w:hAnsi="Arial"/>
                <w:sz w:val="14"/>
                <w:szCs w:val="14"/>
                <w:color w:val="231F20"/>
              </w:rPr>
              <w:t>operating executive experience</w:t>
            </w:r>
          </w:p>
        </w:tc>
        <w:tc>
          <w:tcPr>
            <w:tcW w:w="4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20"/>
                <w:szCs w:val="20"/>
                <w:color w:val="auto"/>
              </w:rPr>
            </w:pPr>
            <w:r>
              <w:rPr>
                <w:rFonts w:ascii="Arial" w:cs="Arial" w:eastAsia="Arial" w:hAnsi="Arial"/>
                <w:sz w:val="14"/>
                <w:szCs w:val="14"/>
                <w:color w:val="6F2875"/>
              </w:rPr>
              <w:t>•</w:t>
            </w:r>
          </w:p>
        </w:tc>
        <w:tc>
          <w:tcPr>
            <w:tcW w:w="4600" w:type="dxa"/>
            <w:vAlign w:val="bottom"/>
          </w:tcPr>
          <w:p>
            <w:pPr>
              <w:ind w:left="40"/>
              <w:spacing w:after="0"/>
              <w:rPr>
                <w:sz w:val="20"/>
                <w:szCs w:val="20"/>
                <w:color w:val="auto"/>
              </w:rPr>
            </w:pPr>
            <w:r>
              <w:rPr>
                <w:rFonts w:ascii="Arial" w:cs="Arial" w:eastAsia="Arial" w:hAnsi="Arial"/>
                <w:sz w:val="14"/>
                <w:szCs w:val="14"/>
                <w:color w:val="231F20"/>
              </w:rPr>
              <w:t>accounting expertise</w:t>
            </w:r>
          </w:p>
        </w:tc>
        <w:tc>
          <w:tcPr>
            <w:tcW w:w="640" w:type="dxa"/>
            <w:vAlign w:val="bottom"/>
          </w:tcPr>
          <w:p>
            <w:pPr>
              <w:ind w:left="540"/>
              <w:spacing w:after="0"/>
              <w:rPr>
                <w:sz w:val="20"/>
                <w:szCs w:val="20"/>
                <w:color w:val="auto"/>
              </w:rPr>
            </w:pPr>
            <w:r>
              <w:rPr>
                <w:rFonts w:ascii="Arial" w:cs="Arial" w:eastAsia="Arial" w:hAnsi="Arial"/>
                <w:sz w:val="14"/>
                <w:szCs w:val="14"/>
                <w:color w:val="6F2875"/>
              </w:rPr>
              <w:t>•</w:t>
            </w:r>
          </w:p>
        </w:tc>
        <w:tc>
          <w:tcPr>
            <w:tcW w:w="3420" w:type="dxa"/>
            <w:vAlign w:val="bottom"/>
          </w:tcPr>
          <w:p>
            <w:pPr>
              <w:ind w:left="40"/>
              <w:spacing w:after="0"/>
              <w:rPr>
                <w:sz w:val="20"/>
                <w:szCs w:val="20"/>
                <w:color w:val="auto"/>
              </w:rPr>
            </w:pPr>
            <w:r>
              <w:rPr>
                <w:rFonts w:ascii="Arial" w:cs="Arial" w:eastAsia="Arial" w:hAnsi="Arial"/>
                <w:sz w:val="14"/>
                <w:szCs w:val="14"/>
                <w:color w:val="231F20"/>
              </w:rPr>
              <w:t>Cyberonics,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144780</wp:posOffset>
            </wp:positionV>
            <wp:extent cx="724662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7620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00" w:space="220"/>
            <w:col w:w="10100"/>
          </w:cols>
          <w:pgMar w:left="240" w:top="234" w:right="239" w:bottom="1440" w:gutter="0" w:footer="0" w:header="0"/>
          <w:type w:val="continuous"/>
        </w:sectPr>
      </w:pP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FFFFFF"/>
        </w:rPr>
        <w:t>ALFRED J.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71525" cy="10121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1525" cy="10121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line="342" w:lineRule="auto"/>
        <w:rPr>
          <w:sz w:val="20"/>
          <w:szCs w:val="20"/>
          <w:color w:val="auto"/>
        </w:rPr>
      </w:pPr>
      <w:r>
        <w:rPr>
          <w:rFonts w:ascii="Arial" w:cs="Arial" w:eastAsia="Arial" w:hAnsi="Arial"/>
          <w:sz w:val="14"/>
          <w:szCs w:val="14"/>
          <w:b w:val="1"/>
          <w:bCs w:val="1"/>
          <w:color w:val="FC5D45"/>
        </w:rPr>
        <w:t xml:space="preserve">INDEPENDENT </w:t>
      </w:r>
      <w:r>
        <w:rPr>
          <w:rFonts w:ascii="Arial" w:cs="Arial" w:eastAsia="Arial" w:hAnsi="Arial"/>
          <w:sz w:val="14"/>
          <w:szCs w:val="14"/>
          <w:b w:val="1"/>
          <w:bCs w:val="1"/>
          <w:color w:val="231F20"/>
        </w:rPr>
        <w:t>Age 70</w:t>
      </w:r>
    </w:p>
    <w:p>
      <w:pPr>
        <w:ind w:left="60" w:right="260"/>
        <w:spacing w:after="0" w:line="285" w:lineRule="auto"/>
        <w:rPr>
          <w:sz w:val="20"/>
          <w:szCs w:val="20"/>
          <w:color w:val="auto"/>
        </w:rPr>
      </w:pPr>
      <w:r>
        <w:rPr>
          <w:rFonts w:ascii="Arial" w:cs="Arial" w:eastAsia="Arial" w:hAnsi="Arial"/>
          <w:sz w:val="14"/>
          <w:szCs w:val="14"/>
          <w:b w:val="1"/>
          <w:bCs w:val="1"/>
          <w:color w:val="231F20"/>
        </w:rPr>
        <w:t xml:space="preserve">Director since: </w:t>
      </w:r>
      <w:r>
        <w:rPr>
          <w:rFonts w:ascii="Arial" w:cs="Arial" w:eastAsia="Arial" w:hAnsi="Arial"/>
          <w:sz w:val="14"/>
          <w:szCs w:val="14"/>
          <w:b w:val="1"/>
          <w:bCs w:val="1"/>
          <w:color w:val="6F2875"/>
        </w:rPr>
        <w:t>2015</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6F2875"/>
        </w:rPr>
        <w:t>Biography:</w:t>
      </w:r>
    </w:p>
    <w:p>
      <w:pPr>
        <w:spacing w:after="0" w:line="19" w:lineRule="exact"/>
        <w:rPr>
          <w:sz w:val="20"/>
          <w:szCs w:val="20"/>
          <w:color w:val="auto"/>
        </w:rPr>
      </w:pPr>
    </w:p>
    <w:p>
      <w:pPr>
        <w:jc w:val="both"/>
        <w:ind w:left="2" w:right="60"/>
        <w:spacing w:after="0" w:line="243" w:lineRule="auto"/>
        <w:rPr>
          <w:sz w:val="20"/>
          <w:szCs w:val="20"/>
          <w:color w:val="auto"/>
        </w:rPr>
      </w:pPr>
      <w:r>
        <w:rPr>
          <w:rFonts w:ascii="Arial" w:cs="Arial" w:eastAsia="Arial" w:hAnsi="Arial"/>
          <w:sz w:val="14"/>
          <w:szCs w:val="14"/>
          <w:color w:val="231F20"/>
        </w:rPr>
        <w:t>Mr. Novak served on the board of directors of Cyberonics from January 2007 to October 2015. From April 2014 until March 2015, Mr. Novak served as President and Chief Executive Officer of Syntheon Cardiology, LLC, an early-stage company developing a percutaneous aortic heart valve. From September 1999 until January 2014, he served on the board of directors of OrbusNeich Medical Technology Company, Ltd., a privately held interventional cardiology company, where he was Chairman and Chief Executive Officer from January 2010 until October 2013. From October 2002 until March 2006, Mr. Novak was the President, Chief Executive Officer and a director of Novoste Corporation, a publicly held interventional cardiology company. In September 1998, he was a founder of Syntheon, LLC, a privately held company that focused on minimally invasive medical devices for the gastroenterology and vascular markets until August 2003. From April 1998 to May 2002, he served as Chairman of the board of directors of ProRhythm, Inc., a privately held company dedicated to the treatment of atrial fibrillation through the use of ultrasound technologies. From December 1998 until October 2002, Mr. Novak was a member of the board of directors of Sutura, Inc., a vascular closure company. Mr. Novak was President, Chief Executive Officer and a director of Biosense, Inc., an electrophysiology company, from July 1996 until January 1998, when it was acquired by Johnson &amp; Johnson. Prior to that time he was employed by Cordis Corporation where he served as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7620</wp:posOffset>
            </wp:positionV>
            <wp:extent cx="64490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46" w:lineRule="exact"/>
        <w:rPr>
          <w:sz w:val="20"/>
          <w:szCs w:val="20"/>
          <w:color w:val="auto"/>
        </w:rPr>
      </w:pPr>
    </w:p>
    <w:tbl>
      <w:tblPr>
        <w:tblLayout w:type="fixed"/>
        <w:tblInd w:w="2" w:type="dxa"/>
        <w:tblCellMar>
          <w:top w:w="0" w:type="dxa"/>
          <w:left w:w="0" w:type="dxa"/>
          <w:bottom w:w="0" w:type="dxa"/>
          <w:right w:w="0" w:type="dxa"/>
        </w:tblCellMar>
      </w:tblPr>
      <w:tr>
        <w:trPr>
          <w:trHeight w:val="180"/>
        </w:trPr>
        <w:tc>
          <w:tcPr>
            <w:tcW w:w="4980" w:type="dxa"/>
            <w:vAlign w:val="bottom"/>
            <w:gridSpan w:val="2"/>
          </w:tcPr>
          <w:p>
            <w:pPr>
              <w:spacing w:after="0"/>
              <w:rPr>
                <w:sz w:val="20"/>
                <w:szCs w:val="20"/>
                <w:color w:val="auto"/>
              </w:rPr>
            </w:pPr>
            <w:r>
              <w:rPr>
                <w:rFonts w:ascii="Arial" w:cs="Arial" w:eastAsia="Arial" w:hAnsi="Arial"/>
                <w:sz w:val="14"/>
                <w:szCs w:val="14"/>
                <w:b w:val="1"/>
                <w:bCs w:val="1"/>
                <w:color w:val="6F2875"/>
              </w:rPr>
              <w:t>Skills and Qualifications:</w:t>
            </w:r>
          </w:p>
        </w:tc>
        <w:tc>
          <w:tcPr>
            <w:tcW w:w="3760" w:type="dxa"/>
            <w:vAlign w:val="bottom"/>
            <w:gridSpan w:val="2"/>
          </w:tcPr>
          <w:p>
            <w:pPr>
              <w:ind w:left="240"/>
              <w:spacing w:after="0"/>
              <w:rPr>
                <w:sz w:val="20"/>
                <w:szCs w:val="20"/>
                <w:color w:val="auto"/>
              </w:rPr>
            </w:pPr>
            <w:r>
              <w:rPr>
                <w:rFonts w:ascii="Arial" w:cs="Arial" w:eastAsia="Arial" w:hAnsi="Arial"/>
                <w:sz w:val="14"/>
                <w:szCs w:val="14"/>
                <w:b w:val="1"/>
                <w:bCs w:val="1"/>
                <w:color w:val="6F2875"/>
              </w:rPr>
              <w:t>Current Directorships:</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20"/>
                <w:szCs w:val="20"/>
                <w:color w:val="auto"/>
              </w:rPr>
            </w:pPr>
            <w:r>
              <w:rPr>
                <w:rFonts w:ascii="Arial" w:cs="Arial" w:eastAsia="Arial" w:hAnsi="Arial"/>
                <w:sz w:val="14"/>
                <w:szCs w:val="14"/>
                <w:color w:val="6F2875"/>
              </w:rPr>
              <w:t>•</w:t>
            </w:r>
          </w:p>
        </w:tc>
        <w:tc>
          <w:tcPr>
            <w:tcW w:w="4900" w:type="dxa"/>
            <w:vAlign w:val="bottom"/>
          </w:tcPr>
          <w:p>
            <w:pPr>
              <w:ind w:left="40"/>
              <w:spacing w:after="0"/>
              <w:rPr>
                <w:sz w:val="20"/>
                <w:szCs w:val="20"/>
                <w:color w:val="auto"/>
              </w:rPr>
            </w:pPr>
            <w:r>
              <w:rPr>
                <w:rFonts w:ascii="Arial" w:cs="Arial" w:eastAsia="Arial" w:hAnsi="Arial"/>
                <w:sz w:val="14"/>
                <w:szCs w:val="14"/>
                <w:color w:val="231F20"/>
              </w:rPr>
              <w:t>his broad operating executive experience as Chief Executive Officer and</w:t>
            </w:r>
          </w:p>
        </w:tc>
        <w:tc>
          <w:tcPr>
            <w:tcW w:w="340" w:type="dxa"/>
            <w:vAlign w:val="bottom"/>
          </w:tcPr>
          <w:p>
            <w:pPr>
              <w:ind w:left="240"/>
              <w:spacing w:after="0"/>
              <w:rPr>
                <w:sz w:val="20"/>
                <w:szCs w:val="20"/>
                <w:color w:val="auto"/>
              </w:rPr>
            </w:pPr>
            <w:r>
              <w:rPr>
                <w:rFonts w:ascii="Arial" w:cs="Arial" w:eastAsia="Arial" w:hAnsi="Arial"/>
                <w:sz w:val="14"/>
                <w:szCs w:val="14"/>
                <w:color w:val="6F2875"/>
              </w:rPr>
              <w:t>•</w:t>
            </w:r>
          </w:p>
        </w:tc>
        <w:tc>
          <w:tcPr>
            <w:tcW w:w="3420" w:type="dxa"/>
            <w:vAlign w:val="bottom"/>
          </w:tcPr>
          <w:p>
            <w:pPr>
              <w:ind w:left="40"/>
              <w:spacing w:after="0"/>
              <w:rPr>
                <w:sz w:val="20"/>
                <w:szCs w:val="20"/>
                <w:color w:val="auto"/>
              </w:rPr>
            </w:pPr>
            <w:r>
              <w:rPr>
                <w:rFonts w:ascii="Arial" w:cs="Arial" w:eastAsia="Arial" w:hAnsi="Arial"/>
                <w:sz w:val="14"/>
                <w:szCs w:val="14"/>
                <w:color w:val="231F20"/>
              </w:rPr>
              <w:t>Dova Pharmaceuticals, Inc.</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4900" w:type="dxa"/>
            <w:vAlign w:val="bottom"/>
          </w:tcPr>
          <w:p>
            <w:pPr>
              <w:ind w:left="60"/>
              <w:spacing w:after="0"/>
              <w:rPr>
                <w:sz w:val="20"/>
                <w:szCs w:val="20"/>
                <w:color w:val="auto"/>
              </w:rPr>
            </w:pPr>
            <w:r>
              <w:rPr>
                <w:rFonts w:ascii="Arial" w:cs="Arial" w:eastAsia="Arial" w:hAnsi="Arial"/>
                <w:sz w:val="14"/>
                <w:szCs w:val="14"/>
                <w:color w:val="231F20"/>
              </w:rPr>
              <w:t>Chief Financial Officer at medical device companies</w:t>
            </w:r>
          </w:p>
        </w:tc>
        <w:tc>
          <w:tcPr>
            <w:tcW w:w="37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6F2875"/>
              </w:rPr>
              <w:t>Former Directorships Held During the Past 5 Years:</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20"/>
                <w:szCs w:val="20"/>
                <w:color w:val="auto"/>
              </w:rPr>
            </w:pPr>
            <w:r>
              <w:rPr>
                <w:rFonts w:ascii="Arial" w:cs="Arial" w:eastAsia="Arial" w:hAnsi="Arial"/>
                <w:sz w:val="14"/>
                <w:szCs w:val="14"/>
                <w:color w:val="6F2875"/>
              </w:rPr>
              <w:t>•</w:t>
            </w:r>
          </w:p>
        </w:tc>
        <w:tc>
          <w:tcPr>
            <w:tcW w:w="4900" w:type="dxa"/>
            <w:vAlign w:val="bottom"/>
          </w:tcPr>
          <w:p>
            <w:pPr>
              <w:ind w:left="40"/>
              <w:spacing w:after="0"/>
              <w:rPr>
                <w:sz w:val="20"/>
                <w:szCs w:val="20"/>
                <w:color w:val="auto"/>
              </w:rPr>
            </w:pPr>
            <w:r>
              <w:rPr>
                <w:rFonts w:ascii="Arial" w:cs="Arial" w:eastAsia="Arial" w:hAnsi="Arial"/>
                <w:sz w:val="14"/>
                <w:szCs w:val="14"/>
                <w:color w:val="231F20"/>
              </w:rPr>
              <w:t>his board of director experience at medical device companies</w:t>
            </w:r>
          </w:p>
        </w:tc>
        <w:tc>
          <w:tcPr>
            <w:tcW w:w="3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20"/>
                <w:szCs w:val="20"/>
                <w:color w:val="auto"/>
              </w:rPr>
            </w:pPr>
            <w:r>
              <w:rPr>
                <w:rFonts w:ascii="Arial" w:cs="Arial" w:eastAsia="Arial" w:hAnsi="Arial"/>
                <w:sz w:val="14"/>
                <w:szCs w:val="14"/>
                <w:color w:val="6F2875"/>
              </w:rPr>
              <w:t>•</w:t>
            </w:r>
          </w:p>
        </w:tc>
        <w:tc>
          <w:tcPr>
            <w:tcW w:w="4900" w:type="dxa"/>
            <w:vAlign w:val="bottom"/>
          </w:tcPr>
          <w:p>
            <w:pPr>
              <w:ind w:left="40"/>
              <w:spacing w:after="0"/>
              <w:rPr>
                <w:sz w:val="20"/>
                <w:szCs w:val="20"/>
                <w:color w:val="auto"/>
              </w:rPr>
            </w:pPr>
            <w:r>
              <w:rPr>
                <w:rFonts w:ascii="Arial" w:cs="Arial" w:eastAsia="Arial" w:hAnsi="Arial"/>
                <w:sz w:val="14"/>
                <w:szCs w:val="14"/>
                <w:color w:val="231F20"/>
              </w:rPr>
              <w:t>his expertise concerning new product development, regulatory approval</w:t>
            </w:r>
          </w:p>
        </w:tc>
        <w:tc>
          <w:tcPr>
            <w:tcW w:w="340" w:type="dxa"/>
            <w:vAlign w:val="bottom"/>
          </w:tcPr>
          <w:p>
            <w:pPr>
              <w:ind w:left="240"/>
              <w:spacing w:after="0"/>
              <w:rPr>
                <w:sz w:val="20"/>
                <w:szCs w:val="20"/>
                <w:color w:val="auto"/>
              </w:rPr>
            </w:pPr>
            <w:r>
              <w:rPr>
                <w:rFonts w:ascii="Arial" w:cs="Arial" w:eastAsia="Arial" w:hAnsi="Arial"/>
                <w:sz w:val="14"/>
                <w:szCs w:val="14"/>
                <w:color w:val="6F2875"/>
              </w:rPr>
              <w:t>•</w:t>
            </w:r>
          </w:p>
        </w:tc>
        <w:tc>
          <w:tcPr>
            <w:tcW w:w="3420" w:type="dxa"/>
            <w:vAlign w:val="bottom"/>
          </w:tcPr>
          <w:p>
            <w:pPr>
              <w:ind w:left="40"/>
              <w:spacing w:after="0"/>
              <w:rPr>
                <w:sz w:val="20"/>
                <w:szCs w:val="20"/>
                <w:color w:val="auto"/>
              </w:rPr>
            </w:pPr>
            <w:r>
              <w:rPr>
                <w:rFonts w:ascii="Arial" w:cs="Arial" w:eastAsia="Arial" w:hAnsi="Arial"/>
                <w:sz w:val="14"/>
                <w:szCs w:val="14"/>
                <w:color w:val="231F20"/>
              </w:rPr>
              <w:t>Syntheon Cardiology, LLC</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4900" w:type="dxa"/>
            <w:vAlign w:val="bottom"/>
          </w:tcPr>
          <w:p>
            <w:pPr>
              <w:ind w:left="60"/>
              <w:spacing w:after="0"/>
              <w:rPr>
                <w:sz w:val="20"/>
                <w:szCs w:val="20"/>
                <w:color w:val="auto"/>
              </w:rPr>
            </w:pPr>
            <w:r>
              <w:rPr>
                <w:rFonts w:ascii="Arial" w:cs="Arial" w:eastAsia="Arial" w:hAnsi="Arial"/>
                <w:sz w:val="14"/>
                <w:szCs w:val="14"/>
                <w:color w:val="231F20"/>
              </w:rPr>
              <w:t>and commercialization of medical devices</w:t>
            </w:r>
          </w:p>
        </w:tc>
        <w:tc>
          <w:tcPr>
            <w:tcW w:w="340" w:type="dxa"/>
            <w:vAlign w:val="bottom"/>
          </w:tcPr>
          <w:p>
            <w:pPr>
              <w:ind w:left="240"/>
              <w:spacing w:after="0"/>
              <w:rPr>
                <w:sz w:val="20"/>
                <w:szCs w:val="20"/>
                <w:color w:val="auto"/>
              </w:rPr>
            </w:pPr>
            <w:r>
              <w:rPr>
                <w:rFonts w:ascii="Arial" w:cs="Arial" w:eastAsia="Arial" w:hAnsi="Arial"/>
                <w:sz w:val="14"/>
                <w:szCs w:val="14"/>
                <w:color w:val="6F2875"/>
              </w:rPr>
              <w:t>•</w:t>
            </w:r>
          </w:p>
        </w:tc>
        <w:tc>
          <w:tcPr>
            <w:tcW w:w="3420" w:type="dxa"/>
            <w:vAlign w:val="bottom"/>
          </w:tcPr>
          <w:p>
            <w:pPr>
              <w:ind w:left="40"/>
              <w:spacing w:after="0"/>
              <w:rPr>
                <w:sz w:val="20"/>
                <w:szCs w:val="20"/>
                <w:color w:val="auto"/>
              </w:rPr>
            </w:pPr>
            <w:r>
              <w:rPr>
                <w:rFonts w:ascii="Arial" w:cs="Arial" w:eastAsia="Arial" w:hAnsi="Arial"/>
                <w:sz w:val="14"/>
                <w:szCs w:val="14"/>
                <w:color w:val="231F20"/>
              </w:rPr>
              <w:t>OrbusNeich Medical Technology Company, Ltd.</w:t>
            </w:r>
          </w:p>
        </w:tc>
        <w:tc>
          <w:tcPr>
            <w:tcW w:w="0" w:type="dxa"/>
            <w:vAlign w:val="bottom"/>
          </w:tcPr>
          <w:p>
            <w:pPr>
              <w:spacing w:after="0"/>
              <w:rPr>
                <w:sz w:val="1"/>
                <w:szCs w:val="1"/>
                <w:color w:val="auto"/>
              </w:rPr>
            </w:pPr>
          </w:p>
        </w:tc>
      </w:tr>
    </w:tbl>
    <w:p>
      <w:pPr>
        <w:ind w:left="122" w:hanging="122"/>
        <w:spacing w:after="0"/>
        <w:tabs>
          <w:tab w:leader="none" w:pos="122" w:val="left"/>
        </w:tabs>
        <w:numPr>
          <w:ilvl w:val="0"/>
          <w:numId w:val="8"/>
        </w:numPr>
        <w:rPr>
          <w:rFonts w:ascii="Arial" w:cs="Arial" w:eastAsia="Arial" w:hAnsi="Arial"/>
          <w:sz w:val="14"/>
          <w:szCs w:val="14"/>
          <w:color w:val="6F2875"/>
        </w:rPr>
      </w:pPr>
      <w:r>
        <w:rPr>
          <w:rFonts w:ascii="Arial" w:cs="Arial" w:eastAsia="Arial" w:hAnsi="Arial"/>
          <w:sz w:val="14"/>
          <w:szCs w:val="14"/>
          <w:color w:val="231F20"/>
        </w:rPr>
        <w:t>his finance and accounting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-831215</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00" w:space="218"/>
            <w:col w:w="10102"/>
          </w:cols>
          <w:pgMar w:left="240" w:top="234" w:right="239" w:bottom="1440" w:gutter="0" w:footer="0" w:header="0"/>
          <w:type w:val="continuous"/>
        </w:sectPr>
      </w:pPr>
    </w:p>
    <w:p>
      <w:pPr>
        <w:spacing w:after="0" w:line="35" w:lineRule="exact"/>
        <w:rPr>
          <w:sz w:val="20"/>
          <w:szCs w:val="20"/>
          <w:color w:val="auto"/>
        </w:rPr>
      </w:pPr>
    </w:p>
    <w:p>
      <w:pPr>
        <w:spacing w:after="0"/>
        <w:tabs>
          <w:tab w:leader="none" w:pos="4220" w:val="left"/>
          <w:tab w:leader="none" w:pos="9960" w:val="left"/>
        </w:tabs>
        <w:rPr>
          <w:sz w:val="20"/>
          <w:szCs w:val="20"/>
          <w:color w:val="auto"/>
        </w:rPr>
      </w:pPr>
      <w:r>
        <w:rPr>
          <w:rFonts w:ascii="Arial" w:cs="Arial" w:eastAsia="Arial" w:hAnsi="Arial"/>
          <w:sz w:val="16"/>
          <w:szCs w:val="16"/>
          <w:b w:val="1"/>
          <w:bCs w:val="1"/>
          <w:color w:val="auto"/>
        </w:rPr>
        <w:t>10</w:t>
      </w:r>
      <w:r>
        <w:rPr>
          <w:sz w:val="20"/>
          <w:szCs w:val="20"/>
          <w:color w:val="auto"/>
        </w:rPr>
        <w:tab/>
      </w: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r>
        <w:rPr>
          <w:sz w:val="20"/>
          <w:szCs w:val="20"/>
          <w:color w:val="auto"/>
        </w:rPr>
        <w:tab/>
      </w:r>
      <w:r>
        <w:rPr>
          <w:rFonts w:ascii="Arial" w:cs="Arial" w:eastAsia="Arial" w:hAnsi="Arial"/>
          <w:sz w:val="16"/>
          <w:szCs w:val="16"/>
          <w:b w:val="1"/>
          <w:bCs w:val="1"/>
          <w:color w:val="6F2875"/>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-36195</wp:posOffset>
            </wp:positionV>
            <wp:extent cx="1663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-36195</wp:posOffset>
            </wp:positionV>
            <wp:extent cx="23241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FFFFFF"/>
        </w:rPr>
        <w:t>SHARON O’KANE,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71525" cy="10121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1525" cy="10121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line="342" w:lineRule="auto"/>
        <w:rPr>
          <w:sz w:val="20"/>
          <w:szCs w:val="20"/>
          <w:color w:val="auto"/>
        </w:rPr>
      </w:pPr>
      <w:r>
        <w:rPr>
          <w:rFonts w:ascii="Arial" w:cs="Arial" w:eastAsia="Arial" w:hAnsi="Arial"/>
          <w:sz w:val="14"/>
          <w:szCs w:val="14"/>
          <w:b w:val="1"/>
          <w:bCs w:val="1"/>
          <w:color w:val="FC5D45"/>
        </w:rPr>
        <w:t xml:space="preserve">INDEPENDENT </w:t>
      </w:r>
      <w:r>
        <w:rPr>
          <w:rFonts w:ascii="Arial" w:cs="Arial" w:eastAsia="Arial" w:hAnsi="Arial"/>
          <w:sz w:val="14"/>
          <w:szCs w:val="14"/>
          <w:b w:val="1"/>
          <w:bCs w:val="1"/>
          <w:color w:val="231F20"/>
        </w:rPr>
        <w:t>Age 50</w:t>
      </w:r>
    </w:p>
    <w:p>
      <w:pPr>
        <w:ind w:left="60" w:right="260"/>
        <w:spacing w:after="0" w:line="285" w:lineRule="auto"/>
        <w:rPr>
          <w:sz w:val="20"/>
          <w:szCs w:val="20"/>
          <w:color w:val="auto"/>
        </w:rPr>
      </w:pPr>
      <w:r>
        <w:rPr>
          <w:rFonts w:ascii="Arial" w:cs="Arial" w:eastAsia="Arial" w:hAnsi="Arial"/>
          <w:sz w:val="14"/>
          <w:szCs w:val="14"/>
          <w:b w:val="1"/>
          <w:bCs w:val="1"/>
          <w:color w:val="231F20"/>
        </w:rPr>
        <w:t xml:space="preserve">Director since: </w:t>
      </w:r>
      <w:r>
        <w:rPr>
          <w:rFonts w:ascii="Arial" w:cs="Arial" w:eastAsia="Arial" w:hAnsi="Arial"/>
          <w:sz w:val="14"/>
          <w:szCs w:val="14"/>
          <w:b w:val="1"/>
          <w:bCs w:val="1"/>
          <w:color w:val="6F2875"/>
        </w:rPr>
        <w:t>2015</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6F2875"/>
        </w:rPr>
        <w:t>Biography:</w:t>
      </w:r>
    </w:p>
    <w:p>
      <w:pPr>
        <w:spacing w:after="0" w:line="19" w:lineRule="exact"/>
        <w:rPr>
          <w:sz w:val="20"/>
          <w:szCs w:val="20"/>
          <w:color w:val="auto"/>
        </w:rPr>
      </w:pPr>
    </w:p>
    <w:p>
      <w:pPr>
        <w:jc w:val="both"/>
        <w:ind w:left="2" w:right="60"/>
        <w:spacing w:after="0" w:line="243" w:lineRule="auto"/>
        <w:rPr>
          <w:sz w:val="20"/>
          <w:szCs w:val="20"/>
          <w:color w:val="auto"/>
        </w:rPr>
      </w:pPr>
      <w:r>
        <w:rPr>
          <w:rFonts w:ascii="Arial" w:cs="Arial" w:eastAsia="Arial" w:hAnsi="Arial"/>
          <w:sz w:val="14"/>
          <w:szCs w:val="14"/>
          <w:color w:val="231F20"/>
        </w:rPr>
        <w:t>Dr. O’Kane is currently an Entrepreneur in Residence at University College Dublin and is on the clinical/scientific advisory board of ScarX Therapeutics Inc., a Canadian biotech company. Dr. O’Kane is an expert advisor to the Stevenage Bioscience Catalyst Facility at GlaxoSmithKline and a Commercial Mentor to Queen’s University, Belfast. Previously, Dr. O’Kane was the Entrepreneur in Residence at the University of Manchester Intellectual Property Company UMIP from 2009 to 2014, and the Chair of the Drug Discovery Advisory Board at the University of Manchester from 2011 to 2013. From 2011 to 2013, she was also a member of the External Business Advisory Board of the Faculty of Life Sciences of the University of Manchester, and from 2010 to 2012, Dr. O’Kane was a non-executive director of Manchester Inward Development Agency and a member of the Operational Board of the Association of Greater Manchester Authorities’ Centre of Excellence. Dr. O’Kane co-founded, and from 1998-2010 was the Chief Scientific Officer and Executive Director of, Renovo Group Plc, a publicly listed UK biotech company. Dr. O’Kane has been a member of the Institute of Directors (IOD) UK since 2002 and IOD Ireland since 2013. Dr. O’Kane earned a Diploma in Company Direction from The Institute of Directors, a Ph.D. in Biomedical Sciences from University of Ulster from which she also obtained a B.Sc (Honours) First Class in Biomedical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8255</wp:posOffset>
            </wp:positionV>
            <wp:extent cx="64490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47" w:lineRule="exact"/>
        <w:rPr>
          <w:sz w:val="20"/>
          <w:szCs w:val="20"/>
          <w:color w:val="auto"/>
        </w:rPr>
      </w:pPr>
    </w:p>
    <w:p>
      <w:pPr>
        <w:ind w:left="2"/>
        <w:spacing w:after="0"/>
        <w:tabs>
          <w:tab w:leader="none" w:pos="5202" w:val="left"/>
        </w:tabs>
        <w:rPr>
          <w:sz w:val="20"/>
          <w:szCs w:val="20"/>
          <w:color w:val="auto"/>
        </w:rPr>
      </w:pPr>
      <w:r>
        <w:rPr>
          <w:rFonts w:ascii="Arial" w:cs="Arial" w:eastAsia="Arial" w:hAnsi="Arial"/>
          <w:sz w:val="14"/>
          <w:szCs w:val="14"/>
          <w:b w:val="1"/>
          <w:bCs w:val="1"/>
          <w:color w:val="6F2875"/>
        </w:rPr>
        <w:t>Skills and Qualifications:</w:t>
      </w:r>
      <w:r>
        <w:rPr>
          <w:sz w:val="20"/>
          <w:szCs w:val="20"/>
          <w:color w:val="auto"/>
        </w:rPr>
        <w:tab/>
      </w:r>
      <w:r>
        <w:rPr>
          <w:rFonts w:ascii="Arial" w:cs="Arial" w:eastAsia="Arial" w:hAnsi="Arial"/>
          <w:sz w:val="14"/>
          <w:szCs w:val="14"/>
          <w:b w:val="1"/>
          <w:bCs w:val="1"/>
          <w:color w:val="6F2875"/>
        </w:rPr>
        <w:t>Current Directorships:</w:t>
      </w:r>
    </w:p>
    <w:p>
      <w:pPr>
        <w:spacing w:after="0" w:line="19" w:lineRule="exact"/>
        <w:rPr>
          <w:sz w:val="20"/>
          <w:szCs w:val="20"/>
          <w:color w:val="auto"/>
        </w:rPr>
      </w:pPr>
    </w:p>
    <w:p>
      <w:pPr>
        <w:ind w:left="2"/>
        <w:spacing w:after="0"/>
        <w:tabs>
          <w:tab w:leader="none" w:pos="5202" w:val="left"/>
        </w:tabs>
        <w:rPr>
          <w:sz w:val="20"/>
          <w:szCs w:val="20"/>
          <w:color w:val="auto"/>
        </w:rPr>
      </w:pPr>
      <w:r>
        <w:rPr>
          <w:rFonts w:ascii="Arial" w:cs="Arial" w:eastAsia="Arial" w:hAnsi="Arial"/>
          <w:sz w:val="14"/>
          <w:szCs w:val="14"/>
          <w:color w:val="6F2875"/>
        </w:rPr>
        <w:t xml:space="preserve">• </w:t>
      </w:r>
      <w:r>
        <w:rPr>
          <w:rFonts w:ascii="Arial" w:cs="Arial" w:eastAsia="Arial" w:hAnsi="Arial"/>
          <w:sz w:val="14"/>
          <w:szCs w:val="14"/>
          <w:color w:val="231F20"/>
        </w:rPr>
        <w:t>extensive experience in the healthcare area in both academic and</w:t>
      </w:r>
      <w:r>
        <w:rPr>
          <w:sz w:val="20"/>
          <w:szCs w:val="20"/>
          <w:color w:val="auto"/>
        </w:rPr>
        <w:tab/>
      </w:r>
      <w:r>
        <w:rPr>
          <w:rFonts w:ascii="Arial" w:cs="Arial" w:eastAsia="Arial" w:hAnsi="Arial"/>
          <w:sz w:val="14"/>
          <w:szCs w:val="14"/>
          <w:color w:val="6F2875"/>
        </w:rPr>
        <w:t xml:space="preserve">• </w:t>
      </w:r>
      <w:r>
        <w:rPr>
          <w:rFonts w:ascii="Arial" w:cs="Arial" w:eastAsia="Arial" w:hAnsi="Arial"/>
          <w:sz w:val="14"/>
          <w:szCs w:val="14"/>
          <w:color w:val="231F20"/>
        </w:rPr>
        <w:t>Bank End Properties 1 Limited</w:t>
      </w:r>
    </w:p>
    <w:p>
      <w:pPr>
        <w:spacing w:after="0" w:line="1" w:lineRule="exact"/>
        <w:rPr>
          <w:sz w:val="20"/>
          <w:szCs w:val="20"/>
          <w:color w:val="auto"/>
        </w:rPr>
      </w:pPr>
    </w:p>
    <w:p>
      <w:pPr>
        <w:ind w:left="142"/>
        <w:spacing w:after="0"/>
        <w:tabs>
          <w:tab w:leader="none" w:pos="5202" w:val="left"/>
        </w:tabs>
        <w:rPr>
          <w:sz w:val="20"/>
          <w:szCs w:val="20"/>
          <w:color w:val="auto"/>
        </w:rPr>
      </w:pPr>
      <w:r>
        <w:rPr>
          <w:rFonts w:ascii="Arial" w:cs="Arial" w:eastAsia="Arial" w:hAnsi="Arial"/>
          <w:sz w:val="14"/>
          <w:szCs w:val="14"/>
          <w:color w:val="231F20"/>
        </w:rPr>
        <w:t>research capacities</w:t>
      </w:r>
      <w:r>
        <w:rPr>
          <w:sz w:val="20"/>
          <w:szCs w:val="20"/>
          <w:color w:val="auto"/>
        </w:rPr>
        <w:tab/>
      </w:r>
      <w:r>
        <w:rPr>
          <w:rFonts w:ascii="Arial" w:cs="Arial" w:eastAsia="Arial" w:hAnsi="Arial"/>
          <w:sz w:val="14"/>
          <w:szCs w:val="14"/>
          <w:color w:val="6F2875"/>
        </w:rPr>
        <w:t xml:space="preserve">• </w:t>
      </w:r>
      <w:r>
        <w:rPr>
          <w:rFonts w:ascii="Arial" w:cs="Arial" w:eastAsia="Arial" w:hAnsi="Arial"/>
          <w:sz w:val="14"/>
          <w:szCs w:val="14"/>
          <w:color w:val="231F20"/>
        </w:rPr>
        <w:t>Bank End Properties 2 Limited</w:t>
      </w:r>
    </w:p>
    <w:p>
      <w:pPr>
        <w:spacing w:after="0" w:line="1" w:lineRule="exact"/>
        <w:rPr>
          <w:sz w:val="20"/>
          <w:szCs w:val="20"/>
          <w:color w:val="auto"/>
        </w:rPr>
      </w:pPr>
    </w:p>
    <w:p>
      <w:pPr>
        <w:ind w:left="122" w:hanging="122"/>
        <w:spacing w:after="0"/>
        <w:tabs>
          <w:tab w:leader="none" w:pos="122" w:val="left"/>
        </w:tabs>
        <w:numPr>
          <w:ilvl w:val="0"/>
          <w:numId w:val="9"/>
        </w:numPr>
        <w:rPr>
          <w:rFonts w:ascii="Arial" w:cs="Arial" w:eastAsia="Arial" w:hAnsi="Arial"/>
          <w:sz w:val="14"/>
          <w:szCs w:val="14"/>
          <w:color w:val="6F2875"/>
        </w:rPr>
      </w:pPr>
      <w:r>
        <w:rPr>
          <w:rFonts w:ascii="Arial" w:cs="Arial" w:eastAsia="Arial" w:hAnsi="Arial"/>
          <w:sz w:val="14"/>
          <w:szCs w:val="14"/>
          <w:color w:val="231F20"/>
        </w:rPr>
        <w:t>her service on the boards of different biotech and healthcare companies</w:t>
      </w:r>
    </w:p>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162"/>
        </w:trPr>
        <w:tc>
          <w:tcPr>
            <w:tcW w:w="80" w:type="dxa"/>
            <w:vAlign w:val="bottom"/>
          </w:tcPr>
          <w:p>
            <w:pPr>
              <w:spacing w:after="0"/>
              <w:rPr>
                <w:sz w:val="20"/>
                <w:szCs w:val="20"/>
                <w:color w:val="auto"/>
              </w:rPr>
            </w:pPr>
            <w:r>
              <w:rPr>
                <w:rFonts w:ascii="Arial" w:cs="Arial" w:eastAsia="Arial" w:hAnsi="Arial"/>
                <w:sz w:val="14"/>
                <w:szCs w:val="14"/>
                <w:color w:val="6F2875"/>
              </w:rPr>
              <w:t>•</w:t>
            </w:r>
          </w:p>
        </w:tc>
        <w:tc>
          <w:tcPr>
            <w:tcW w:w="4900" w:type="dxa"/>
            <w:vAlign w:val="bottom"/>
          </w:tcPr>
          <w:p>
            <w:pPr>
              <w:ind w:left="40"/>
              <w:spacing w:after="0"/>
              <w:rPr>
                <w:sz w:val="20"/>
                <w:szCs w:val="20"/>
                <w:color w:val="auto"/>
              </w:rPr>
            </w:pPr>
            <w:r>
              <w:rPr>
                <w:rFonts w:ascii="Arial" w:cs="Arial" w:eastAsia="Arial" w:hAnsi="Arial"/>
                <w:sz w:val="14"/>
                <w:szCs w:val="14"/>
                <w:color w:val="231F20"/>
              </w:rPr>
              <w:t>her roles as co-founder, Chief Scientific Officer and Executive Director of</w:t>
            </w:r>
          </w:p>
        </w:tc>
        <w:tc>
          <w:tcPr>
            <w:tcW w:w="4900" w:type="dxa"/>
            <w:vAlign w:val="bottom"/>
            <w:gridSpan w:val="2"/>
          </w:tcPr>
          <w:p>
            <w:pPr>
              <w:ind w:left="240"/>
              <w:spacing w:after="0"/>
              <w:rPr>
                <w:sz w:val="20"/>
                <w:szCs w:val="20"/>
                <w:color w:val="auto"/>
              </w:rPr>
            </w:pPr>
            <w:r>
              <w:rPr>
                <w:rFonts w:ascii="Arial" w:cs="Arial" w:eastAsia="Arial" w:hAnsi="Arial"/>
                <w:sz w:val="14"/>
                <w:szCs w:val="14"/>
                <w:b w:val="1"/>
                <w:bCs w:val="1"/>
                <w:color w:val="6F2875"/>
              </w:rPr>
              <w:t>Former Directorships Held During the Past 5 Years:</w:t>
            </w:r>
          </w:p>
        </w:tc>
      </w:tr>
      <w:tr>
        <w:trPr>
          <w:trHeight w:val="162"/>
        </w:trPr>
        <w:tc>
          <w:tcPr>
            <w:tcW w:w="80" w:type="dxa"/>
            <w:vAlign w:val="bottom"/>
          </w:tcPr>
          <w:p>
            <w:pPr>
              <w:spacing w:after="0"/>
              <w:rPr>
                <w:sz w:val="14"/>
                <w:szCs w:val="14"/>
                <w:color w:val="auto"/>
              </w:rPr>
            </w:pPr>
          </w:p>
        </w:tc>
        <w:tc>
          <w:tcPr>
            <w:tcW w:w="4900" w:type="dxa"/>
            <w:vAlign w:val="bottom"/>
          </w:tcPr>
          <w:p>
            <w:pPr>
              <w:ind w:left="60"/>
              <w:spacing w:after="0"/>
              <w:rPr>
                <w:sz w:val="20"/>
                <w:szCs w:val="20"/>
                <w:color w:val="auto"/>
              </w:rPr>
            </w:pPr>
            <w:r>
              <w:rPr>
                <w:rFonts w:ascii="Arial" w:cs="Arial" w:eastAsia="Arial" w:hAnsi="Arial"/>
                <w:sz w:val="14"/>
                <w:szCs w:val="14"/>
                <w:color w:val="231F20"/>
              </w:rPr>
              <w:t>Renovo Group Plc</w:t>
            </w:r>
          </w:p>
        </w:tc>
        <w:tc>
          <w:tcPr>
            <w:tcW w:w="4900" w:type="dxa"/>
            <w:vAlign w:val="bottom"/>
            <w:gridSpan w:val="2"/>
          </w:tcPr>
          <w:p>
            <w:pPr>
              <w:ind w:left="240"/>
              <w:spacing w:after="0"/>
              <w:rPr>
                <w:sz w:val="20"/>
                <w:szCs w:val="20"/>
                <w:color w:val="auto"/>
              </w:rPr>
            </w:pPr>
            <w:r>
              <w:rPr>
                <w:rFonts w:ascii="Arial" w:cs="Arial" w:eastAsia="Arial" w:hAnsi="Arial"/>
                <w:sz w:val="14"/>
                <w:szCs w:val="14"/>
                <w:color w:val="6F2875"/>
              </w:rPr>
              <w:t xml:space="preserve">• </w:t>
            </w:r>
            <w:r>
              <w:rPr>
                <w:rFonts w:ascii="Arial" w:cs="Arial" w:eastAsia="Arial" w:hAnsi="Arial"/>
                <w:sz w:val="14"/>
                <w:szCs w:val="14"/>
                <w:color w:val="231F20"/>
              </w:rPr>
              <w:t>IOmet Pharma LTD</w:t>
            </w:r>
          </w:p>
        </w:tc>
      </w:tr>
      <w:tr>
        <w:trPr>
          <w:trHeight w:val="162"/>
        </w:trPr>
        <w:tc>
          <w:tcPr>
            <w:tcW w:w="80" w:type="dxa"/>
            <w:vAlign w:val="bottom"/>
          </w:tcPr>
          <w:p>
            <w:pPr>
              <w:spacing w:after="0"/>
              <w:rPr>
                <w:sz w:val="20"/>
                <w:szCs w:val="20"/>
                <w:color w:val="auto"/>
              </w:rPr>
            </w:pPr>
            <w:r>
              <w:rPr>
                <w:rFonts w:ascii="Arial" w:cs="Arial" w:eastAsia="Arial" w:hAnsi="Arial"/>
                <w:sz w:val="14"/>
                <w:szCs w:val="14"/>
                <w:color w:val="6F2875"/>
              </w:rPr>
              <w:t>•</w:t>
            </w:r>
          </w:p>
        </w:tc>
        <w:tc>
          <w:tcPr>
            <w:tcW w:w="4900" w:type="dxa"/>
            <w:vAlign w:val="bottom"/>
          </w:tcPr>
          <w:p>
            <w:pPr>
              <w:ind w:left="40"/>
              <w:spacing w:after="0"/>
              <w:rPr>
                <w:sz w:val="20"/>
                <w:szCs w:val="20"/>
                <w:color w:val="auto"/>
              </w:rPr>
            </w:pPr>
            <w:r>
              <w:rPr>
                <w:rFonts w:ascii="Arial" w:cs="Arial" w:eastAsia="Arial" w:hAnsi="Arial"/>
                <w:sz w:val="14"/>
                <w:szCs w:val="14"/>
                <w:color w:val="231F20"/>
              </w:rPr>
              <w:t>numerous positions advising healthcare and biotech companies</w:t>
            </w:r>
          </w:p>
        </w:tc>
        <w:tc>
          <w:tcPr>
            <w:tcW w:w="340" w:type="dxa"/>
            <w:vAlign w:val="bottom"/>
          </w:tcPr>
          <w:p>
            <w:pPr>
              <w:ind w:left="240"/>
              <w:spacing w:after="0"/>
              <w:rPr>
                <w:sz w:val="20"/>
                <w:szCs w:val="20"/>
                <w:color w:val="auto"/>
              </w:rPr>
            </w:pPr>
            <w:r>
              <w:rPr>
                <w:rFonts w:ascii="Arial" w:cs="Arial" w:eastAsia="Arial" w:hAnsi="Arial"/>
                <w:sz w:val="14"/>
                <w:szCs w:val="14"/>
                <w:color w:val="6F2875"/>
              </w:rPr>
              <w:t>•</w:t>
            </w:r>
          </w:p>
        </w:tc>
        <w:tc>
          <w:tcPr>
            <w:tcW w:w="4560" w:type="dxa"/>
            <w:vAlign w:val="bottom"/>
          </w:tcPr>
          <w:p>
            <w:pPr>
              <w:ind w:left="40"/>
              <w:spacing w:after="0"/>
              <w:rPr>
                <w:sz w:val="20"/>
                <w:szCs w:val="20"/>
                <w:color w:val="auto"/>
              </w:rPr>
            </w:pPr>
            <w:r>
              <w:rPr>
                <w:rFonts w:ascii="Arial" w:cs="Arial" w:eastAsia="Arial" w:hAnsi="Arial"/>
                <w:sz w:val="14"/>
                <w:szCs w:val="14"/>
                <w:color w:val="231F20"/>
              </w:rPr>
              <w:t>Drug Discovery Advisory Board at the University of Manchester</w:t>
            </w:r>
          </w:p>
        </w:tc>
      </w:tr>
      <w:tr>
        <w:trPr>
          <w:trHeight w:val="162"/>
        </w:trPr>
        <w:tc>
          <w:tcPr>
            <w:tcW w:w="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40" w:type="dxa"/>
            <w:vAlign w:val="bottom"/>
          </w:tcPr>
          <w:p>
            <w:pPr>
              <w:ind w:left="240"/>
              <w:spacing w:after="0"/>
              <w:rPr>
                <w:sz w:val="20"/>
                <w:szCs w:val="20"/>
                <w:color w:val="auto"/>
              </w:rPr>
            </w:pPr>
            <w:r>
              <w:rPr>
                <w:rFonts w:ascii="Arial" w:cs="Arial" w:eastAsia="Arial" w:hAnsi="Arial"/>
                <w:sz w:val="14"/>
                <w:szCs w:val="14"/>
                <w:color w:val="6F2875"/>
              </w:rPr>
              <w:t>•</w:t>
            </w:r>
          </w:p>
        </w:tc>
        <w:tc>
          <w:tcPr>
            <w:tcW w:w="4560" w:type="dxa"/>
            <w:vAlign w:val="bottom"/>
          </w:tcPr>
          <w:p>
            <w:pPr>
              <w:ind w:left="40"/>
              <w:spacing w:after="0"/>
              <w:rPr>
                <w:sz w:val="20"/>
                <w:szCs w:val="20"/>
                <w:color w:val="auto"/>
              </w:rPr>
            </w:pPr>
            <w:r>
              <w:rPr>
                <w:rFonts w:ascii="Arial" w:cs="Arial" w:eastAsia="Arial" w:hAnsi="Arial"/>
                <w:sz w:val="14"/>
                <w:szCs w:val="14"/>
                <w:color w:val="231F20"/>
              </w:rPr>
              <w:t>External Business Advisory Board of the Faculty of Life Sciences of the</w:t>
            </w:r>
          </w:p>
        </w:tc>
      </w:tr>
      <w:tr>
        <w:trPr>
          <w:trHeight w:val="172"/>
        </w:trPr>
        <w:tc>
          <w:tcPr>
            <w:tcW w:w="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60" w:type="dxa"/>
            <w:vAlign w:val="bottom"/>
          </w:tcPr>
          <w:p>
            <w:pPr>
              <w:ind w:left="40"/>
              <w:spacing w:after="0"/>
              <w:rPr>
                <w:sz w:val="20"/>
                <w:szCs w:val="20"/>
                <w:color w:val="auto"/>
              </w:rPr>
            </w:pPr>
            <w:r>
              <w:rPr>
                <w:rFonts w:ascii="Arial" w:cs="Arial" w:eastAsia="Arial" w:hAnsi="Arial"/>
                <w:sz w:val="14"/>
                <w:szCs w:val="14"/>
                <w:color w:val="231F20"/>
              </w:rPr>
              <w:t>University of Manchester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-831215</wp:posOffset>
            </wp:positionH>
            <wp:positionV relativeFrom="paragraph">
              <wp:posOffset>7620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-831215</wp:posOffset>
            </wp:positionH>
            <wp:positionV relativeFrom="paragraph">
              <wp:posOffset>144780</wp:posOffset>
            </wp:positionV>
            <wp:extent cx="724662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00" w:space="218"/>
            <w:col w:w="10102"/>
          </w:cols>
          <w:pgMar w:left="240" w:top="234" w:right="239" w:bottom="1440" w:gutter="0" w:footer="0" w:header="0"/>
          <w:type w:val="continuous"/>
        </w:sectPr>
      </w:pP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FFFFFF"/>
        </w:rPr>
        <w:t>ARTHUR L. ROSENTHAL,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71525" cy="10204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525" cy="1020445"/>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0"/>
        <w:spacing w:after="0" w:line="342" w:lineRule="auto"/>
        <w:rPr>
          <w:sz w:val="20"/>
          <w:szCs w:val="20"/>
          <w:color w:val="auto"/>
        </w:rPr>
      </w:pPr>
      <w:r>
        <w:rPr>
          <w:rFonts w:ascii="Arial" w:cs="Arial" w:eastAsia="Arial" w:hAnsi="Arial"/>
          <w:sz w:val="14"/>
          <w:szCs w:val="14"/>
          <w:b w:val="1"/>
          <w:bCs w:val="1"/>
          <w:color w:val="FC5D45"/>
        </w:rPr>
        <w:t xml:space="preserve">INDEPENDENT </w:t>
      </w:r>
      <w:r>
        <w:rPr>
          <w:rFonts w:ascii="Arial" w:cs="Arial" w:eastAsia="Arial" w:hAnsi="Arial"/>
          <w:sz w:val="14"/>
          <w:szCs w:val="14"/>
          <w:b w:val="1"/>
          <w:bCs w:val="1"/>
          <w:color w:val="231F20"/>
        </w:rPr>
        <w:t>Age 71</w:t>
      </w:r>
    </w:p>
    <w:p>
      <w:pPr>
        <w:ind w:left="60" w:right="260"/>
        <w:spacing w:after="0" w:line="285" w:lineRule="auto"/>
        <w:rPr>
          <w:sz w:val="20"/>
          <w:szCs w:val="20"/>
          <w:color w:val="auto"/>
        </w:rPr>
      </w:pPr>
      <w:r>
        <w:rPr>
          <w:rFonts w:ascii="Arial" w:cs="Arial" w:eastAsia="Arial" w:hAnsi="Arial"/>
          <w:sz w:val="14"/>
          <w:szCs w:val="14"/>
          <w:b w:val="1"/>
          <w:bCs w:val="1"/>
          <w:color w:val="231F20"/>
        </w:rPr>
        <w:t xml:space="preserve">Director since: </w:t>
      </w:r>
      <w:r>
        <w:rPr>
          <w:rFonts w:ascii="Arial" w:cs="Arial" w:eastAsia="Arial" w:hAnsi="Arial"/>
          <w:sz w:val="14"/>
          <w:szCs w:val="14"/>
          <w:b w:val="1"/>
          <w:bCs w:val="1"/>
          <w:color w:val="6F2875"/>
        </w:rPr>
        <w:t>2015</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6F2875"/>
        </w:rPr>
        <w:t>Biography:</w:t>
      </w:r>
    </w:p>
    <w:p>
      <w:pPr>
        <w:spacing w:after="0" w:line="19" w:lineRule="exact"/>
        <w:rPr>
          <w:sz w:val="20"/>
          <w:szCs w:val="20"/>
          <w:color w:val="auto"/>
        </w:rPr>
      </w:pPr>
    </w:p>
    <w:p>
      <w:pPr>
        <w:jc w:val="both"/>
        <w:ind w:left="2" w:right="60"/>
        <w:spacing w:after="0" w:line="242" w:lineRule="auto"/>
        <w:rPr>
          <w:sz w:val="20"/>
          <w:szCs w:val="20"/>
          <w:color w:val="auto"/>
        </w:rPr>
      </w:pPr>
      <w:r>
        <w:rPr>
          <w:rFonts w:ascii="Arial" w:cs="Arial" w:eastAsia="Arial" w:hAnsi="Arial"/>
          <w:sz w:val="14"/>
          <w:szCs w:val="14"/>
          <w:color w:val="231F20"/>
        </w:rPr>
        <w:t>Dr. Rosenthal has served as a non-executive director on the board of Interface Biologics, Inc., a Toronto-based development-stage company focused on drug delivery devices since 2009. Previously, Dr. Rosenthal served on the board of directors of Cyberonics from January 2007 to October 2015. Since December 2011, Dr. Rosenthal has also served as Chief Executive Officer of EyeCue, Ltd., which he co-founded, a development-stage medical device company working on a guided biopsy for lower and upper gastrointestinal cancer screening. From June 2011 until July 2012, he served as Executive Vice Chairman of Cappella Medical Devices Ltd. (now ArraVasc Ltd.), a development-stage company focused on novel device solutions for coronary artery disease. From June 2009 until June 2011, he served as President and Chief Executive Officer of Cappella, Inc. Dr. Rosenthal served as Chairman, from January 2002, and Chief Executive Officer, commencing in January 2005, of Labcoat, Ltd. until its acquisition by Boston Scientific Corporation in December 2008. From January 1994 to May 2000, he was a Senior Vice President, Corporate Officer, and Chief Development Officer of Boston Scientific Corporation, and from May 2000 until his retirement in January 2005, he was a Senior Vice President, Chief Scientific Officer, and Executive Committee Member of Boston Scientific Corporation. From January 2010 to June 2015, Dr. Rosenthal also served as Professor of Practice in the Biomedical Engineering Department at Boston University. Dr. Rosenthal served as a non-executive director, from 2000 until 2010, and as Chairman of the Remuneration Committee, from 2006 through 2009, of Renovo, Ltd., a UK-based pharmaceutical company that became publicly traded in 2006. Dr. Rosenthal earned a Ph.D. in Biochemistry from the University of Massachusetts and a Bachelor Degree in Bacteriology from the University of Connecticut.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12065</wp:posOffset>
            </wp:positionV>
            <wp:extent cx="64490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53" w:lineRule="exact"/>
        <w:rPr>
          <w:sz w:val="20"/>
          <w:szCs w:val="20"/>
          <w:color w:val="auto"/>
        </w:rPr>
      </w:pPr>
    </w:p>
    <w:tbl>
      <w:tblPr>
        <w:tblLayout w:type="fixed"/>
        <w:tblInd w:w="2" w:type="dxa"/>
        <w:tblCellMar>
          <w:top w:w="0" w:type="dxa"/>
          <w:left w:w="0" w:type="dxa"/>
          <w:bottom w:w="0" w:type="dxa"/>
          <w:right w:w="0" w:type="dxa"/>
        </w:tblCellMar>
      </w:tblPr>
      <w:tr>
        <w:trPr>
          <w:trHeight w:val="180"/>
        </w:trPr>
        <w:tc>
          <w:tcPr>
            <w:tcW w:w="4840" w:type="dxa"/>
            <w:vAlign w:val="bottom"/>
            <w:gridSpan w:val="2"/>
          </w:tcPr>
          <w:p>
            <w:pPr>
              <w:spacing w:after="0"/>
              <w:rPr>
                <w:sz w:val="20"/>
                <w:szCs w:val="20"/>
                <w:color w:val="auto"/>
              </w:rPr>
            </w:pPr>
            <w:r>
              <w:rPr>
                <w:rFonts w:ascii="Arial" w:cs="Arial" w:eastAsia="Arial" w:hAnsi="Arial"/>
                <w:sz w:val="14"/>
                <w:szCs w:val="14"/>
                <w:b w:val="1"/>
                <w:bCs w:val="1"/>
                <w:color w:val="6F2875"/>
              </w:rPr>
              <w:t>Skills and Qualifications:</w:t>
            </w:r>
          </w:p>
        </w:tc>
        <w:tc>
          <w:tcPr>
            <w:tcW w:w="3900" w:type="dxa"/>
            <w:vAlign w:val="bottom"/>
            <w:gridSpan w:val="2"/>
          </w:tcPr>
          <w:p>
            <w:pPr>
              <w:ind w:left="380"/>
              <w:spacing w:after="0"/>
              <w:rPr>
                <w:sz w:val="20"/>
                <w:szCs w:val="20"/>
                <w:color w:val="auto"/>
              </w:rPr>
            </w:pPr>
            <w:r>
              <w:rPr>
                <w:rFonts w:ascii="Arial" w:cs="Arial" w:eastAsia="Arial" w:hAnsi="Arial"/>
                <w:sz w:val="14"/>
                <w:szCs w:val="14"/>
                <w:b w:val="1"/>
                <w:bCs w:val="1"/>
                <w:color w:val="6F2875"/>
              </w:rPr>
              <w:t>Current Directorships:</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20"/>
                <w:szCs w:val="20"/>
                <w:color w:val="auto"/>
              </w:rPr>
            </w:pPr>
            <w:r>
              <w:rPr>
                <w:rFonts w:ascii="Arial" w:cs="Arial" w:eastAsia="Arial" w:hAnsi="Arial"/>
                <w:sz w:val="14"/>
                <w:szCs w:val="14"/>
                <w:color w:val="6F2875"/>
              </w:rPr>
              <w:t>•</w:t>
            </w:r>
          </w:p>
        </w:tc>
        <w:tc>
          <w:tcPr>
            <w:tcW w:w="4760" w:type="dxa"/>
            <w:vAlign w:val="bottom"/>
          </w:tcPr>
          <w:p>
            <w:pPr>
              <w:ind w:left="40"/>
              <w:spacing w:after="0"/>
              <w:rPr>
                <w:sz w:val="20"/>
                <w:szCs w:val="20"/>
                <w:color w:val="auto"/>
              </w:rPr>
            </w:pPr>
            <w:r>
              <w:rPr>
                <w:rFonts w:ascii="Arial" w:cs="Arial" w:eastAsia="Arial" w:hAnsi="Arial"/>
                <w:sz w:val="14"/>
                <w:szCs w:val="14"/>
                <w:color w:val="231F20"/>
              </w:rPr>
              <w:t>more than 40 years developing medical device technologies as an</w:t>
            </w:r>
          </w:p>
        </w:tc>
        <w:tc>
          <w:tcPr>
            <w:tcW w:w="480" w:type="dxa"/>
            <w:vAlign w:val="bottom"/>
          </w:tcPr>
          <w:p>
            <w:pPr>
              <w:ind w:left="380"/>
              <w:spacing w:after="0"/>
              <w:rPr>
                <w:sz w:val="20"/>
                <w:szCs w:val="20"/>
                <w:color w:val="auto"/>
              </w:rPr>
            </w:pPr>
            <w:r>
              <w:rPr>
                <w:rFonts w:ascii="Arial" w:cs="Arial" w:eastAsia="Arial" w:hAnsi="Arial"/>
                <w:sz w:val="14"/>
                <w:szCs w:val="14"/>
                <w:color w:val="6F2875"/>
              </w:rPr>
              <w:t>•</w:t>
            </w:r>
          </w:p>
        </w:tc>
        <w:tc>
          <w:tcPr>
            <w:tcW w:w="3420" w:type="dxa"/>
            <w:vAlign w:val="bottom"/>
          </w:tcPr>
          <w:p>
            <w:pPr>
              <w:ind w:left="40"/>
              <w:spacing w:after="0"/>
              <w:rPr>
                <w:sz w:val="20"/>
                <w:szCs w:val="20"/>
                <w:color w:val="auto"/>
              </w:rPr>
            </w:pPr>
            <w:r>
              <w:rPr>
                <w:rFonts w:ascii="Arial" w:cs="Arial" w:eastAsia="Arial" w:hAnsi="Arial"/>
                <w:sz w:val="14"/>
                <w:szCs w:val="14"/>
                <w:color w:val="231F20"/>
              </w:rPr>
              <w:t>Interface Biologics, Inc.</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4760" w:type="dxa"/>
            <w:vAlign w:val="bottom"/>
          </w:tcPr>
          <w:p>
            <w:pPr>
              <w:ind w:left="60"/>
              <w:spacing w:after="0"/>
              <w:rPr>
                <w:sz w:val="20"/>
                <w:szCs w:val="20"/>
                <w:color w:val="auto"/>
              </w:rPr>
            </w:pPr>
            <w:r>
              <w:rPr>
                <w:rFonts w:ascii="Arial" w:cs="Arial" w:eastAsia="Arial" w:hAnsi="Arial"/>
                <w:sz w:val="14"/>
                <w:szCs w:val="14"/>
                <w:color w:val="231F20"/>
              </w:rPr>
              <w:t>individual contributor, technology executive and serial entrepreneur</w:t>
            </w:r>
          </w:p>
        </w:tc>
        <w:tc>
          <w:tcPr>
            <w:tcW w:w="39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6F2875"/>
              </w:rPr>
              <w:t>Former Directorships Held During the Past 5 Years:</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20"/>
                <w:szCs w:val="20"/>
                <w:color w:val="auto"/>
              </w:rPr>
            </w:pPr>
            <w:r>
              <w:rPr>
                <w:rFonts w:ascii="Arial" w:cs="Arial" w:eastAsia="Arial" w:hAnsi="Arial"/>
                <w:sz w:val="14"/>
                <w:szCs w:val="14"/>
                <w:color w:val="6F2875"/>
              </w:rPr>
              <w:t>•</w:t>
            </w:r>
          </w:p>
        </w:tc>
        <w:tc>
          <w:tcPr>
            <w:tcW w:w="4760" w:type="dxa"/>
            <w:vAlign w:val="bottom"/>
          </w:tcPr>
          <w:p>
            <w:pPr>
              <w:ind w:left="40"/>
              <w:spacing w:after="0"/>
              <w:rPr>
                <w:sz w:val="20"/>
                <w:szCs w:val="20"/>
                <w:color w:val="auto"/>
              </w:rPr>
            </w:pPr>
            <w:r>
              <w:rPr>
                <w:rFonts w:ascii="Arial" w:cs="Arial" w:eastAsia="Arial" w:hAnsi="Arial"/>
                <w:sz w:val="14"/>
                <w:szCs w:val="14"/>
                <w:color w:val="231F20"/>
              </w:rPr>
              <w:t>his extensive knowledge of regulatory and compliance requirements</w:t>
            </w:r>
          </w:p>
        </w:tc>
        <w:tc>
          <w:tcPr>
            <w:tcW w:w="3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4760" w:type="dxa"/>
            <w:vAlign w:val="bottom"/>
          </w:tcPr>
          <w:p>
            <w:pPr>
              <w:ind w:left="60"/>
              <w:spacing w:after="0"/>
              <w:rPr>
                <w:sz w:val="20"/>
                <w:szCs w:val="20"/>
                <w:color w:val="auto"/>
              </w:rPr>
            </w:pPr>
            <w:r>
              <w:rPr>
                <w:rFonts w:ascii="Arial" w:cs="Arial" w:eastAsia="Arial" w:hAnsi="Arial"/>
                <w:sz w:val="14"/>
                <w:szCs w:val="14"/>
                <w:color w:val="231F20"/>
              </w:rPr>
              <w:t>pertaining to medical devices</w:t>
            </w:r>
          </w:p>
        </w:tc>
        <w:tc>
          <w:tcPr>
            <w:tcW w:w="480" w:type="dxa"/>
            <w:vAlign w:val="bottom"/>
          </w:tcPr>
          <w:p>
            <w:pPr>
              <w:ind w:left="380"/>
              <w:spacing w:after="0"/>
              <w:rPr>
                <w:sz w:val="20"/>
                <w:szCs w:val="20"/>
                <w:color w:val="auto"/>
              </w:rPr>
            </w:pPr>
            <w:r>
              <w:rPr>
                <w:rFonts w:ascii="Arial" w:cs="Arial" w:eastAsia="Arial" w:hAnsi="Arial"/>
                <w:sz w:val="14"/>
                <w:szCs w:val="14"/>
                <w:color w:val="6F2875"/>
              </w:rPr>
              <w:t>•</w:t>
            </w:r>
          </w:p>
        </w:tc>
        <w:tc>
          <w:tcPr>
            <w:tcW w:w="3420" w:type="dxa"/>
            <w:vAlign w:val="bottom"/>
          </w:tcPr>
          <w:p>
            <w:pPr>
              <w:ind w:left="40"/>
              <w:spacing w:after="0"/>
              <w:rPr>
                <w:sz w:val="20"/>
                <w:szCs w:val="20"/>
                <w:color w:val="auto"/>
              </w:rPr>
            </w:pPr>
            <w:r>
              <w:rPr>
                <w:rFonts w:ascii="Arial" w:cs="Arial" w:eastAsia="Arial" w:hAnsi="Arial"/>
                <w:sz w:val="14"/>
                <w:szCs w:val="14"/>
                <w:color w:val="231F20"/>
              </w:rPr>
              <w:t>Cyberonics, Inc.</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20"/>
                <w:szCs w:val="20"/>
                <w:color w:val="auto"/>
              </w:rPr>
            </w:pPr>
            <w:r>
              <w:rPr>
                <w:rFonts w:ascii="Arial" w:cs="Arial" w:eastAsia="Arial" w:hAnsi="Arial"/>
                <w:sz w:val="14"/>
                <w:szCs w:val="14"/>
                <w:color w:val="6F2875"/>
              </w:rPr>
              <w:t>•</w:t>
            </w:r>
          </w:p>
        </w:tc>
        <w:tc>
          <w:tcPr>
            <w:tcW w:w="4760" w:type="dxa"/>
            <w:vAlign w:val="bottom"/>
          </w:tcPr>
          <w:p>
            <w:pPr>
              <w:ind w:left="40"/>
              <w:spacing w:after="0"/>
              <w:rPr>
                <w:sz w:val="20"/>
                <w:szCs w:val="20"/>
                <w:color w:val="auto"/>
              </w:rPr>
            </w:pPr>
            <w:r>
              <w:rPr>
                <w:rFonts w:ascii="Arial" w:cs="Arial" w:eastAsia="Arial" w:hAnsi="Arial"/>
                <w:sz w:val="14"/>
                <w:szCs w:val="14"/>
                <w:color w:val="231F20"/>
              </w:rPr>
              <w:t>his experience with new product development and technology</w:t>
            </w:r>
          </w:p>
        </w:tc>
        <w:tc>
          <w:tcPr>
            <w:tcW w:w="480" w:type="dxa"/>
            <w:vAlign w:val="bottom"/>
          </w:tcPr>
          <w:p>
            <w:pPr>
              <w:ind w:left="380"/>
              <w:spacing w:after="0"/>
              <w:rPr>
                <w:sz w:val="20"/>
                <w:szCs w:val="20"/>
                <w:color w:val="auto"/>
              </w:rPr>
            </w:pPr>
            <w:r>
              <w:rPr>
                <w:rFonts w:ascii="Arial" w:cs="Arial" w:eastAsia="Arial" w:hAnsi="Arial"/>
                <w:sz w:val="14"/>
                <w:szCs w:val="14"/>
                <w:color w:val="6F2875"/>
              </w:rPr>
              <w:t>•</w:t>
            </w:r>
          </w:p>
        </w:tc>
        <w:tc>
          <w:tcPr>
            <w:tcW w:w="3420" w:type="dxa"/>
            <w:vAlign w:val="bottom"/>
          </w:tcPr>
          <w:p>
            <w:pPr>
              <w:ind w:left="40"/>
              <w:spacing w:after="0"/>
              <w:rPr>
                <w:sz w:val="20"/>
                <w:szCs w:val="20"/>
                <w:color w:val="auto"/>
              </w:rPr>
            </w:pPr>
            <w:r>
              <w:rPr>
                <w:rFonts w:ascii="Arial" w:cs="Arial" w:eastAsia="Arial" w:hAnsi="Arial"/>
                <w:sz w:val="14"/>
                <w:szCs w:val="14"/>
                <w:color w:val="231F20"/>
              </w:rPr>
              <w:t>Arch Therapeutics, Inc.</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4760" w:type="dxa"/>
            <w:vAlign w:val="bottom"/>
          </w:tcPr>
          <w:p>
            <w:pPr>
              <w:ind w:left="60"/>
              <w:spacing w:after="0"/>
              <w:rPr>
                <w:sz w:val="20"/>
                <w:szCs w:val="20"/>
                <w:color w:val="auto"/>
              </w:rPr>
            </w:pPr>
            <w:r>
              <w:rPr>
                <w:rFonts w:ascii="Arial" w:cs="Arial" w:eastAsia="Arial" w:hAnsi="Arial"/>
                <w:sz w:val="14"/>
                <w:szCs w:val="14"/>
                <w:color w:val="231F20"/>
              </w:rPr>
              <w:t>commercialization</w:t>
            </w:r>
          </w:p>
        </w:tc>
        <w:tc>
          <w:tcPr>
            <w:tcW w:w="4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42" w:right="5700" w:hanging="142"/>
        <w:spacing w:after="0" w:line="258" w:lineRule="auto"/>
        <w:tabs>
          <w:tab w:leader="none" w:pos="128" w:val="left"/>
        </w:tabs>
        <w:numPr>
          <w:ilvl w:val="0"/>
          <w:numId w:val="10"/>
        </w:numPr>
        <w:rPr>
          <w:rFonts w:ascii="Arial" w:cs="Arial" w:eastAsia="Arial" w:hAnsi="Arial"/>
          <w:sz w:val="14"/>
          <w:szCs w:val="14"/>
          <w:color w:val="6F2875"/>
        </w:rPr>
      </w:pPr>
      <w:r>
        <w:rPr>
          <w:rFonts w:ascii="Arial" w:cs="Arial" w:eastAsia="Arial" w:hAnsi="Arial"/>
          <w:sz w:val="14"/>
          <w:szCs w:val="14"/>
          <w:color w:val="231F20"/>
        </w:rPr>
        <w:t>his experience as an operating executive at a major medical device manufacturer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-831215</wp:posOffset>
            </wp:positionH>
            <wp:positionV relativeFrom="paragraph">
              <wp:posOffset>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1100" w:space="218"/>
            <w:col w:w="10102"/>
          </w:cols>
          <w:pgMar w:left="240" w:top="234" w:right="23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4000" w:type="dxa"/>
            <w:vAlign w:val="bottom"/>
            <w:tcBorders>
              <w:bottom w:val="single" w:sz="8" w:color="auto"/>
            </w:tcBorders>
          </w:tcPr>
          <w:p>
            <w:pPr>
              <w:spacing w:after="0"/>
              <w:rPr>
                <w:sz w:val="10"/>
                <w:szCs w:val="10"/>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r>
        <w:trPr>
          <w:trHeight w:val="69"/>
        </w:trPr>
        <w:tc>
          <w:tcPr>
            <w:tcW w:w="40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type w:val="continuous"/>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FFFFFF"/>
        </w:rPr>
        <w:t>ANDREA L. SAIA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71525" cy="10121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1525" cy="10121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line="342" w:lineRule="auto"/>
        <w:rPr>
          <w:sz w:val="20"/>
          <w:szCs w:val="20"/>
          <w:color w:val="auto"/>
        </w:rPr>
      </w:pPr>
      <w:r>
        <w:rPr>
          <w:rFonts w:ascii="Arial" w:cs="Arial" w:eastAsia="Arial" w:hAnsi="Arial"/>
          <w:sz w:val="14"/>
          <w:szCs w:val="14"/>
          <w:b w:val="1"/>
          <w:bCs w:val="1"/>
          <w:color w:val="FC5D45"/>
        </w:rPr>
        <w:t xml:space="preserve">INDEPENDENT </w:t>
      </w:r>
      <w:r>
        <w:rPr>
          <w:rFonts w:ascii="Arial" w:cs="Arial" w:eastAsia="Arial" w:hAnsi="Arial"/>
          <w:sz w:val="14"/>
          <w:szCs w:val="14"/>
          <w:b w:val="1"/>
          <w:bCs w:val="1"/>
          <w:color w:val="231F20"/>
        </w:rPr>
        <w:t>Age 60</w:t>
      </w:r>
    </w:p>
    <w:p>
      <w:pPr>
        <w:ind w:left="60" w:right="260"/>
        <w:spacing w:after="0" w:line="285" w:lineRule="auto"/>
        <w:rPr>
          <w:sz w:val="20"/>
          <w:szCs w:val="20"/>
          <w:color w:val="auto"/>
        </w:rPr>
      </w:pPr>
      <w:r>
        <w:rPr>
          <w:rFonts w:ascii="Arial" w:cs="Arial" w:eastAsia="Arial" w:hAnsi="Arial"/>
          <w:sz w:val="14"/>
          <w:szCs w:val="14"/>
          <w:b w:val="1"/>
          <w:bCs w:val="1"/>
          <w:color w:val="231F20"/>
        </w:rPr>
        <w:t xml:space="preserve">Director since: </w:t>
      </w:r>
      <w:r>
        <w:rPr>
          <w:rFonts w:ascii="Arial" w:cs="Arial" w:eastAsia="Arial" w:hAnsi="Arial"/>
          <w:sz w:val="14"/>
          <w:szCs w:val="14"/>
          <w:b w:val="1"/>
          <w:bCs w:val="1"/>
          <w:color w:val="6F2875"/>
        </w:rPr>
        <w:t>2016</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6F2875"/>
        </w:rPr>
        <w:t>Biography:</w:t>
      </w:r>
    </w:p>
    <w:p>
      <w:pPr>
        <w:spacing w:after="0" w:line="19" w:lineRule="exact"/>
        <w:rPr>
          <w:sz w:val="20"/>
          <w:szCs w:val="20"/>
          <w:color w:val="auto"/>
        </w:rPr>
      </w:pPr>
    </w:p>
    <w:p>
      <w:pPr>
        <w:jc w:val="both"/>
        <w:ind w:right="60"/>
        <w:spacing w:after="0" w:line="245" w:lineRule="auto"/>
        <w:rPr>
          <w:sz w:val="20"/>
          <w:szCs w:val="20"/>
          <w:color w:val="auto"/>
        </w:rPr>
      </w:pPr>
      <w:r>
        <w:rPr>
          <w:rFonts w:ascii="Arial" w:cs="Arial" w:eastAsia="Arial" w:hAnsi="Arial"/>
          <w:sz w:val="14"/>
          <w:szCs w:val="14"/>
          <w:color w:val="231F20"/>
        </w:rPr>
        <w:t>Ms. Saia is an accomplished global business leader having held executive positions in the medical devices and consumer products industries with multi-national companies including: Novartis, Unilever, Revlon and Procter &amp; Gamble. From 2008 until 2011, Ms. Saia served as CEO of Ciba Vision, a Novartis company. From 2011 to 2012, she served as Global Head of Alcon’s Vision Care Business Unit, another Novartis company. Additionally, she served as Chief Operating Officer, Chief Marketing Officer, and President Europe, Middle East and Africa of Ciba Vision. Ms. Saia earned an MBA from Northwestern University’s Kellogg Graduate School of Management in Marketing and Finance in 1981, and a Bachelor of Science Degree in Business Administration from Miami University in 1979.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186690</wp:posOffset>
            </wp:positionV>
            <wp:extent cx="64490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00" w:type="dxa"/>
            <w:vAlign w:val="bottom"/>
            <w:gridSpan w:val="2"/>
          </w:tcPr>
          <w:p>
            <w:pPr>
              <w:spacing w:after="0"/>
              <w:rPr>
                <w:sz w:val="20"/>
                <w:szCs w:val="20"/>
                <w:color w:val="auto"/>
              </w:rPr>
            </w:pPr>
            <w:r>
              <w:rPr>
                <w:rFonts w:ascii="Arial" w:cs="Arial" w:eastAsia="Arial" w:hAnsi="Arial"/>
                <w:sz w:val="14"/>
                <w:szCs w:val="14"/>
                <w:b w:val="1"/>
                <w:bCs w:val="1"/>
                <w:color w:val="6F2875"/>
              </w:rPr>
              <w:t>Skills and Qualifications:</w:t>
            </w:r>
          </w:p>
        </w:tc>
        <w:tc>
          <w:tcPr>
            <w:tcW w:w="3380" w:type="dxa"/>
            <w:vAlign w:val="bottom"/>
            <w:gridSpan w:val="2"/>
          </w:tcPr>
          <w:p>
            <w:pPr>
              <w:ind w:left="420"/>
              <w:spacing w:after="0"/>
              <w:rPr>
                <w:sz w:val="20"/>
                <w:szCs w:val="20"/>
                <w:color w:val="auto"/>
              </w:rPr>
            </w:pPr>
            <w:r>
              <w:rPr>
                <w:rFonts w:ascii="Arial" w:cs="Arial" w:eastAsia="Arial" w:hAnsi="Arial"/>
                <w:sz w:val="14"/>
                <w:szCs w:val="14"/>
                <w:b w:val="1"/>
                <w:bCs w:val="1"/>
                <w:color w:val="6F2875"/>
              </w:rPr>
              <w:t>Current Directorships:</w:t>
            </w:r>
          </w:p>
        </w:tc>
      </w:tr>
      <w:tr>
        <w:trPr>
          <w:trHeight w:val="162"/>
        </w:trPr>
        <w:tc>
          <w:tcPr>
            <w:tcW w:w="80" w:type="dxa"/>
            <w:vAlign w:val="bottom"/>
          </w:tcPr>
          <w:p>
            <w:pPr>
              <w:spacing w:after="0"/>
              <w:rPr>
                <w:sz w:val="20"/>
                <w:szCs w:val="20"/>
                <w:color w:val="auto"/>
              </w:rPr>
            </w:pPr>
            <w:r>
              <w:rPr>
                <w:rFonts w:ascii="Arial" w:cs="Arial" w:eastAsia="Arial" w:hAnsi="Arial"/>
                <w:sz w:val="14"/>
                <w:szCs w:val="14"/>
                <w:color w:val="6F2875"/>
              </w:rPr>
              <w:t>•</w:t>
            </w:r>
          </w:p>
        </w:tc>
        <w:tc>
          <w:tcPr>
            <w:tcW w:w="4720" w:type="dxa"/>
            <w:vAlign w:val="bottom"/>
          </w:tcPr>
          <w:p>
            <w:pPr>
              <w:ind w:left="40"/>
              <w:spacing w:after="0"/>
              <w:rPr>
                <w:sz w:val="20"/>
                <w:szCs w:val="20"/>
                <w:color w:val="auto"/>
              </w:rPr>
            </w:pPr>
            <w:r>
              <w:rPr>
                <w:rFonts w:ascii="Arial" w:cs="Arial" w:eastAsia="Arial" w:hAnsi="Arial"/>
                <w:sz w:val="14"/>
                <w:szCs w:val="14"/>
                <w:color w:val="231F20"/>
              </w:rPr>
              <w:t>global operating and leadership experience in medical devices and</w:t>
            </w:r>
          </w:p>
        </w:tc>
        <w:tc>
          <w:tcPr>
            <w:tcW w:w="520" w:type="dxa"/>
            <w:vAlign w:val="bottom"/>
          </w:tcPr>
          <w:p>
            <w:pPr>
              <w:ind w:left="420"/>
              <w:spacing w:after="0"/>
              <w:rPr>
                <w:sz w:val="20"/>
                <w:szCs w:val="20"/>
                <w:color w:val="auto"/>
              </w:rPr>
            </w:pPr>
            <w:r>
              <w:rPr>
                <w:rFonts w:ascii="Arial" w:cs="Arial" w:eastAsia="Arial" w:hAnsi="Arial"/>
                <w:sz w:val="14"/>
                <w:szCs w:val="14"/>
                <w:color w:val="6F2875"/>
              </w:rPr>
              <w:t>•</w:t>
            </w:r>
          </w:p>
        </w:tc>
        <w:tc>
          <w:tcPr>
            <w:tcW w:w="2860" w:type="dxa"/>
            <w:vAlign w:val="bottom"/>
          </w:tcPr>
          <w:p>
            <w:pPr>
              <w:ind w:left="40"/>
              <w:spacing w:after="0"/>
              <w:rPr>
                <w:sz w:val="20"/>
                <w:szCs w:val="20"/>
                <w:color w:val="auto"/>
              </w:rPr>
            </w:pPr>
            <w:r>
              <w:rPr>
                <w:rFonts w:ascii="Arial" w:cs="Arial" w:eastAsia="Arial" w:hAnsi="Arial"/>
                <w:sz w:val="14"/>
                <w:szCs w:val="14"/>
                <w:color w:val="231F20"/>
              </w:rPr>
              <w:t>Align Technology, Inc.</w:t>
            </w:r>
          </w:p>
        </w:tc>
      </w:tr>
      <w:tr>
        <w:trPr>
          <w:trHeight w:val="162"/>
        </w:trPr>
        <w:tc>
          <w:tcPr>
            <w:tcW w:w="80" w:type="dxa"/>
            <w:vAlign w:val="bottom"/>
          </w:tcPr>
          <w:p>
            <w:pPr>
              <w:spacing w:after="0"/>
              <w:rPr>
                <w:sz w:val="14"/>
                <w:szCs w:val="14"/>
                <w:color w:val="auto"/>
              </w:rPr>
            </w:pPr>
          </w:p>
        </w:tc>
        <w:tc>
          <w:tcPr>
            <w:tcW w:w="4720" w:type="dxa"/>
            <w:vAlign w:val="bottom"/>
          </w:tcPr>
          <w:p>
            <w:pPr>
              <w:ind w:left="60"/>
              <w:spacing w:after="0"/>
              <w:rPr>
                <w:sz w:val="20"/>
                <w:szCs w:val="20"/>
                <w:color w:val="auto"/>
              </w:rPr>
            </w:pPr>
            <w:r>
              <w:rPr>
                <w:rFonts w:ascii="Arial" w:cs="Arial" w:eastAsia="Arial" w:hAnsi="Arial"/>
                <w:sz w:val="14"/>
                <w:szCs w:val="14"/>
                <w:color w:val="231F20"/>
              </w:rPr>
              <w:t>consumer products</w:t>
            </w:r>
          </w:p>
        </w:tc>
        <w:tc>
          <w:tcPr>
            <w:tcW w:w="520" w:type="dxa"/>
            <w:vAlign w:val="bottom"/>
          </w:tcPr>
          <w:p>
            <w:pPr>
              <w:ind w:left="420"/>
              <w:spacing w:after="0"/>
              <w:rPr>
                <w:sz w:val="20"/>
                <w:szCs w:val="20"/>
                <w:color w:val="auto"/>
              </w:rPr>
            </w:pPr>
            <w:r>
              <w:rPr>
                <w:rFonts w:ascii="Arial" w:cs="Arial" w:eastAsia="Arial" w:hAnsi="Arial"/>
                <w:sz w:val="14"/>
                <w:szCs w:val="14"/>
                <w:color w:val="6F2875"/>
              </w:rPr>
              <w:t>•</w:t>
            </w:r>
          </w:p>
        </w:tc>
        <w:tc>
          <w:tcPr>
            <w:tcW w:w="2860" w:type="dxa"/>
            <w:vAlign w:val="bottom"/>
          </w:tcPr>
          <w:p>
            <w:pPr>
              <w:ind w:left="40"/>
              <w:spacing w:after="0"/>
              <w:rPr>
                <w:sz w:val="20"/>
                <w:szCs w:val="20"/>
                <w:color w:val="auto"/>
              </w:rPr>
            </w:pPr>
            <w:r>
              <w:rPr>
                <w:rFonts w:ascii="Arial" w:cs="Arial" w:eastAsia="Arial" w:hAnsi="Arial"/>
                <w:sz w:val="14"/>
                <w:szCs w:val="14"/>
                <w:color w:val="231F20"/>
              </w:rPr>
              <w:t>Farmer Business School at Miami University</w:t>
            </w:r>
          </w:p>
        </w:tc>
      </w:tr>
      <w:tr>
        <w:trPr>
          <w:trHeight w:val="162"/>
        </w:trPr>
        <w:tc>
          <w:tcPr>
            <w:tcW w:w="80" w:type="dxa"/>
            <w:vAlign w:val="bottom"/>
          </w:tcPr>
          <w:p>
            <w:pPr>
              <w:spacing w:after="0"/>
              <w:rPr>
                <w:sz w:val="20"/>
                <w:szCs w:val="20"/>
                <w:color w:val="auto"/>
              </w:rPr>
            </w:pPr>
            <w:r>
              <w:rPr>
                <w:rFonts w:ascii="Arial" w:cs="Arial" w:eastAsia="Arial" w:hAnsi="Arial"/>
                <w:sz w:val="14"/>
                <w:szCs w:val="14"/>
                <w:color w:val="6F2875"/>
              </w:rPr>
              <w:t>•</w:t>
            </w:r>
          </w:p>
        </w:tc>
        <w:tc>
          <w:tcPr>
            <w:tcW w:w="4720" w:type="dxa"/>
            <w:vAlign w:val="bottom"/>
          </w:tcPr>
          <w:p>
            <w:pPr>
              <w:ind w:left="40"/>
              <w:spacing w:after="0"/>
              <w:rPr>
                <w:sz w:val="20"/>
                <w:szCs w:val="20"/>
                <w:color w:val="auto"/>
              </w:rPr>
            </w:pPr>
            <w:r>
              <w:rPr>
                <w:rFonts w:ascii="Arial" w:cs="Arial" w:eastAsia="Arial" w:hAnsi="Arial"/>
                <w:sz w:val="14"/>
                <w:szCs w:val="14"/>
                <w:color w:val="231F20"/>
              </w:rPr>
              <w:t>her experience on other multi-national boards</w:t>
            </w:r>
          </w:p>
        </w:tc>
        <w:tc>
          <w:tcPr>
            <w:tcW w:w="520" w:type="dxa"/>
            <w:vAlign w:val="bottom"/>
          </w:tcPr>
          <w:p>
            <w:pPr>
              <w:spacing w:after="0"/>
              <w:rPr>
                <w:sz w:val="14"/>
                <w:szCs w:val="14"/>
                <w:color w:val="auto"/>
              </w:rPr>
            </w:pPr>
          </w:p>
        </w:tc>
        <w:tc>
          <w:tcPr>
            <w:tcW w:w="2860" w:type="dxa"/>
            <w:vAlign w:val="bottom"/>
          </w:tcPr>
          <w:p>
            <w:pPr>
              <w:spacing w:after="0"/>
              <w:rPr>
                <w:sz w:val="14"/>
                <w:szCs w:val="14"/>
                <w:color w:val="auto"/>
              </w:rPr>
            </w:pPr>
          </w:p>
        </w:tc>
      </w:tr>
    </w:tbl>
    <w:p>
      <w:pPr>
        <w:ind w:left="5220"/>
        <w:spacing w:after="0"/>
        <w:rPr>
          <w:sz w:val="20"/>
          <w:szCs w:val="20"/>
          <w:color w:val="auto"/>
        </w:rPr>
      </w:pPr>
      <w:r>
        <w:rPr>
          <w:rFonts w:ascii="Arial" w:cs="Arial" w:eastAsia="Arial" w:hAnsi="Arial"/>
          <w:sz w:val="14"/>
          <w:szCs w:val="14"/>
          <w:b w:val="1"/>
          <w:bCs w:val="1"/>
          <w:color w:val="6F2875"/>
        </w:rPr>
        <w:t>Former Directorships Held During the Past 5 Years:</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4"/>
          <w:szCs w:val="14"/>
          <w:color w:val="6F2875"/>
        </w:rPr>
        <w:t xml:space="preserve">• </w:t>
      </w:r>
      <w:r>
        <w:rPr>
          <w:rFonts w:ascii="Arial" w:cs="Arial" w:eastAsia="Arial" w:hAnsi="Arial"/>
          <w:sz w:val="14"/>
          <w:szCs w:val="14"/>
          <w:color w:val="231F20"/>
        </w:rPr>
        <w:t>Coca Cola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83185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p>
      <w:pPr>
        <w:sectPr>
          <w:pgSz w:w="11900" w:h="16838" w:orient="portrait"/>
          <w:cols w:equalWidth="0" w:num="2">
            <w:col w:w="1100" w:space="220"/>
            <w:col w:w="10100"/>
          </w:cols>
          <w:pgMar w:left="240" w:top="234" w:right="239" w:bottom="1440" w:gutter="0" w:footer="0" w:header="0"/>
          <w:type w:val="continuous"/>
        </w:sectPr>
      </w:pPr>
    </w:p>
    <w:p>
      <w:pPr>
        <w:spacing w:after="0"/>
        <w:rPr>
          <w:sz w:val="20"/>
          <w:szCs w:val="20"/>
          <w:color w:val="auto"/>
        </w:rPr>
      </w:pPr>
      <w:r>
        <w:rPr>
          <w:rFonts w:ascii="Arial" w:cs="Arial" w:eastAsia="Arial" w:hAnsi="Arial"/>
          <w:sz w:val="16"/>
          <w:szCs w:val="16"/>
          <w:color w:val="231F20"/>
        </w:rPr>
        <w:t>There are no family relationships among any of our directors or executive officers.</w:t>
      </w:r>
    </w:p>
    <w:p>
      <w:pPr>
        <w:spacing w:after="0" w:line="188" w:lineRule="exact"/>
        <w:rPr>
          <w:sz w:val="20"/>
          <w:szCs w:val="20"/>
          <w:color w:val="auto"/>
        </w:rPr>
      </w:pPr>
    </w:p>
    <w:p>
      <w:pPr>
        <w:spacing w:after="0"/>
        <w:tabs>
          <w:tab w:leader="none" w:pos="4220" w:val="left"/>
          <w:tab w:leader="none" w:pos="996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r>
        <w:rPr>
          <w:sz w:val="20"/>
          <w:szCs w:val="20"/>
          <w:color w:val="auto"/>
        </w:rPr>
        <w:tab/>
      </w:r>
      <w:r>
        <w:rPr>
          <w:rFonts w:ascii="Arial" w:cs="Arial" w:eastAsia="Arial" w:hAnsi="Arial"/>
          <w:sz w:val="16"/>
          <w:szCs w:val="16"/>
          <w:b w:val="1"/>
          <w:bCs w:val="1"/>
          <w:color w:val="6F2875"/>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-36195</wp:posOffset>
            </wp:positionV>
            <wp:extent cx="1663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-36195</wp:posOffset>
            </wp:positionV>
            <wp:extent cx="23241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47"/>
          <w:szCs w:val="47"/>
          <w:b w:val="1"/>
          <w:bCs w:val="1"/>
          <w:color w:val="6F2875"/>
        </w:rPr>
        <w:t xml:space="preserve">Corporate </w:t>
      </w:r>
      <w:r>
        <w:rPr>
          <w:rFonts w:ascii="Arial" w:cs="Arial" w:eastAsia="Arial" w:hAnsi="Arial"/>
          <w:sz w:val="47"/>
          <w:szCs w:val="47"/>
          <w:b w:val="1"/>
          <w:bCs w:val="1"/>
          <w:color w:val="818285"/>
        </w:rPr>
        <w:t>Governance</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Director Independence</w:t>
      </w: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Nominating and Corporate Governance Committee of the Board is empowered under its Board-approved charter to make all determinations of independence required under Nasdaq rules or other applicable laws and regulations, including but not limited to determinations as to which directors are independent, non-employee directors, and audit committee financial experts.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Under the Nasdaq listing rules, a majority of the members of our Board must qualify as “independent directors”. An “independent director” for Nasdaq purposes is a person other than an executive officer or employee of the Company or any other individual having a relationship which, in the opinion of the Board, would interfere with the exercise of independent judgment in carrying out the responsibilities of a director.</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The Nominating and Corporate Governance Committee has evaluated, with appropriate recommendation, all relevant transactions and relationships between each director, or any of his or her family members, and the Company, senior management and our independent registered public accounting firm. Based on this evaluation, the Nominating and Corporate Governance Committee has determined that the following individuals, constituting a majority of the members of our Board, are “independent” as that term is defined in the Nasdaq listing standards and under the US securities laws:</w:t>
      </w:r>
    </w:p>
    <w:p>
      <w:pPr>
        <w:spacing w:after="0" w:line="154" w:lineRule="exact"/>
        <w:rPr>
          <w:sz w:val="20"/>
          <w:szCs w:val="20"/>
          <w:color w:val="auto"/>
        </w:rPr>
      </w:pPr>
    </w:p>
    <w:tbl>
      <w:tblPr>
        <w:tblLayout w:type="fixed"/>
        <w:tblInd w:w="2300" w:type="dxa"/>
        <w:tblCellMar>
          <w:top w:w="0" w:type="dxa"/>
          <w:left w:w="0" w:type="dxa"/>
          <w:bottom w:w="0" w:type="dxa"/>
          <w:right w:w="0" w:type="dxa"/>
        </w:tblCellMar>
      </w:tblPr>
      <w:tr>
        <w:trPr>
          <w:trHeight w:val="203"/>
        </w:trPr>
        <w:tc>
          <w:tcPr>
            <w:tcW w:w="2420" w:type="dxa"/>
            <w:vAlign w:val="bottom"/>
            <w:tcBorders>
              <w:top w:val="single" w:sz="8" w:color="6F2875"/>
            </w:tcBorders>
          </w:tcPr>
          <w:p>
            <w:pPr>
              <w:ind w:left="40"/>
              <w:spacing w:after="0"/>
              <w:rPr>
                <w:sz w:val="20"/>
                <w:szCs w:val="20"/>
                <w:color w:val="auto"/>
              </w:rPr>
            </w:pPr>
            <w:r>
              <w:rPr>
                <w:rFonts w:ascii="Arial" w:cs="Arial" w:eastAsia="Arial" w:hAnsi="Arial"/>
                <w:sz w:val="16"/>
                <w:szCs w:val="16"/>
                <w:color w:val="231F20"/>
              </w:rPr>
              <w:t>Francesco Bianchi</w:t>
            </w:r>
          </w:p>
        </w:tc>
        <w:tc>
          <w:tcPr>
            <w:tcW w:w="4420" w:type="dxa"/>
            <w:vAlign w:val="bottom"/>
            <w:tcBorders>
              <w:top w:val="single" w:sz="8" w:color="6F2875"/>
            </w:tcBorders>
          </w:tcPr>
          <w:p>
            <w:pPr>
              <w:ind w:left="1060"/>
              <w:spacing w:after="0"/>
              <w:rPr>
                <w:sz w:val="20"/>
                <w:szCs w:val="20"/>
                <w:color w:val="auto"/>
              </w:rPr>
            </w:pPr>
            <w:r>
              <w:rPr>
                <w:rFonts w:ascii="Arial" w:cs="Arial" w:eastAsia="Arial" w:hAnsi="Arial"/>
                <w:sz w:val="16"/>
                <w:szCs w:val="16"/>
                <w:color w:val="231F20"/>
              </w:rPr>
              <w:t>Sharon O’Kane</w:t>
            </w:r>
          </w:p>
        </w:tc>
      </w:tr>
      <w:tr>
        <w:trPr>
          <w:trHeight w:val="189"/>
        </w:trPr>
        <w:tc>
          <w:tcPr>
            <w:tcW w:w="2420" w:type="dxa"/>
            <w:vAlign w:val="bottom"/>
            <w:shd w:val="clear" w:color="auto" w:fill="F3EDF3"/>
          </w:tcPr>
          <w:p>
            <w:pPr>
              <w:ind w:left="40"/>
              <w:spacing w:after="0"/>
              <w:rPr>
                <w:sz w:val="20"/>
                <w:szCs w:val="20"/>
                <w:color w:val="auto"/>
              </w:rPr>
            </w:pPr>
            <w:r>
              <w:rPr>
                <w:rFonts w:ascii="Arial" w:cs="Arial" w:eastAsia="Arial" w:hAnsi="Arial"/>
                <w:sz w:val="16"/>
                <w:szCs w:val="16"/>
                <w:color w:val="231F20"/>
              </w:rPr>
              <w:t>William Kozy</w:t>
            </w:r>
          </w:p>
        </w:tc>
        <w:tc>
          <w:tcPr>
            <w:tcW w:w="4420" w:type="dxa"/>
            <w:vAlign w:val="bottom"/>
            <w:shd w:val="clear" w:color="auto" w:fill="F3EDF3"/>
          </w:tcPr>
          <w:p>
            <w:pPr>
              <w:ind w:left="1060"/>
              <w:spacing w:after="0"/>
              <w:rPr>
                <w:sz w:val="20"/>
                <w:szCs w:val="20"/>
                <w:color w:val="auto"/>
              </w:rPr>
            </w:pPr>
            <w:r>
              <w:rPr>
                <w:rFonts w:ascii="Arial" w:cs="Arial" w:eastAsia="Arial" w:hAnsi="Arial"/>
                <w:sz w:val="16"/>
                <w:szCs w:val="16"/>
                <w:color w:val="231F20"/>
              </w:rPr>
              <w:t>Arthur Rosenthal</w:t>
            </w:r>
          </w:p>
        </w:tc>
      </w:tr>
      <w:tr>
        <w:trPr>
          <w:trHeight w:val="189"/>
        </w:trPr>
        <w:tc>
          <w:tcPr>
            <w:tcW w:w="2420" w:type="dxa"/>
            <w:vAlign w:val="bottom"/>
          </w:tcPr>
          <w:p>
            <w:pPr>
              <w:ind w:left="40"/>
              <w:spacing w:after="0"/>
              <w:rPr>
                <w:sz w:val="20"/>
                <w:szCs w:val="20"/>
                <w:color w:val="auto"/>
              </w:rPr>
            </w:pPr>
            <w:r>
              <w:rPr>
                <w:rFonts w:ascii="Arial" w:cs="Arial" w:eastAsia="Arial" w:hAnsi="Arial"/>
                <w:sz w:val="16"/>
                <w:szCs w:val="16"/>
                <w:color w:val="231F20"/>
              </w:rPr>
              <w:t>Hugh Morrison</w:t>
            </w:r>
          </w:p>
        </w:tc>
        <w:tc>
          <w:tcPr>
            <w:tcW w:w="4420" w:type="dxa"/>
            <w:vAlign w:val="bottom"/>
          </w:tcPr>
          <w:p>
            <w:pPr>
              <w:ind w:left="1060"/>
              <w:spacing w:after="0"/>
              <w:rPr>
                <w:sz w:val="20"/>
                <w:szCs w:val="20"/>
                <w:color w:val="auto"/>
              </w:rPr>
            </w:pPr>
            <w:r>
              <w:rPr>
                <w:rFonts w:ascii="Arial" w:cs="Arial" w:eastAsia="Arial" w:hAnsi="Arial"/>
                <w:sz w:val="16"/>
                <w:szCs w:val="16"/>
                <w:color w:val="231F20"/>
              </w:rPr>
              <w:t>Andrea Saia</w:t>
            </w:r>
          </w:p>
        </w:tc>
      </w:tr>
      <w:tr>
        <w:trPr>
          <w:trHeight w:val="189"/>
        </w:trPr>
        <w:tc>
          <w:tcPr>
            <w:tcW w:w="2420" w:type="dxa"/>
            <w:vAlign w:val="bottom"/>
            <w:tcBorders>
              <w:bottom w:val="single" w:sz="8" w:color="6F2875"/>
            </w:tcBorders>
            <w:shd w:val="clear" w:color="auto" w:fill="F3EDF3"/>
          </w:tcPr>
          <w:p>
            <w:pPr>
              <w:ind w:left="40"/>
              <w:spacing w:after="0"/>
              <w:rPr>
                <w:sz w:val="20"/>
                <w:szCs w:val="20"/>
                <w:color w:val="auto"/>
              </w:rPr>
            </w:pPr>
            <w:r>
              <w:rPr>
                <w:rFonts w:ascii="Arial" w:cs="Arial" w:eastAsia="Arial" w:hAnsi="Arial"/>
                <w:sz w:val="16"/>
                <w:szCs w:val="16"/>
                <w:color w:val="231F20"/>
              </w:rPr>
              <w:t>Alfred Novak</w:t>
            </w:r>
          </w:p>
        </w:tc>
        <w:tc>
          <w:tcPr>
            <w:tcW w:w="4420" w:type="dxa"/>
            <w:vAlign w:val="bottom"/>
            <w:tcBorders>
              <w:bottom w:val="single" w:sz="8" w:color="6F2875"/>
            </w:tcBorders>
            <w:shd w:val="clear" w:color="auto" w:fill="F3EDF3"/>
          </w:tcPr>
          <w:p>
            <w:pPr>
              <w:spacing w:after="0"/>
              <w:rPr>
                <w:sz w:val="16"/>
                <w:szCs w:val="16"/>
                <w:color w:val="auto"/>
              </w:rPr>
            </w:pPr>
          </w:p>
        </w:tc>
      </w:tr>
    </w:tbl>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In determining that director and chairman of the Board, Mr. Moore, did not meet the applicable independence standards, the Nominating and Corporate Governance Committee considered his prior role as CEO of Cyberonics. The committee noted that under Nasdaq rules, Mr. Moore would not become independent until October 19, 2018, the date three years after the merger of Cyberonics and Sorin created LivaNova.</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Board has also determined that all members of the Audit and Compliance Committee meet additional, heightened independence criteria applicable to audit committee members under the Nasdaq listing rules. The Board has further determined that Francesco Bianchi, Hugh Morrison, the chair of the Audit and Compliance Committee and Alfred Novak are “audit committee financial experts,” as defined in Item 407(d)(5) of Regulation S-K.</w:t>
      </w:r>
    </w:p>
    <w:p>
      <w:pPr>
        <w:spacing w:after="0" w:line="2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The Nominating and Corporate Governance Committee has also determined that all members of the Compensation Committee meet independence criteria applicable to compensation committee members under the Nasdaq listing rules as well as certain other requirements set out below.</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Nominating and Corporate Governance Committee’s determinations as to Nasdaq independence, status as a non-employee director for the purposes of Exchange Act Rule 16b-3(b)(1), and an audit committee financial expert for the purposes of Item 407(d)(5)(ii) of Regulation S-K under the Exchange Act are set out in the table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660" w:type="dxa"/>
            <w:vAlign w:val="bottom"/>
            <w:gridSpan w:val="2"/>
          </w:tcPr>
          <w:p>
            <w:pPr>
              <w:jc w:val="center"/>
              <w:ind w:left="299"/>
              <w:spacing w:after="0"/>
              <w:rPr>
                <w:sz w:val="20"/>
                <w:szCs w:val="20"/>
                <w:color w:val="auto"/>
              </w:rPr>
            </w:pPr>
            <w:r>
              <w:rPr>
                <w:rFonts w:ascii="Arial" w:cs="Arial" w:eastAsia="Arial" w:hAnsi="Arial"/>
                <w:sz w:val="16"/>
                <w:szCs w:val="16"/>
                <w:b w:val="1"/>
                <w:bCs w:val="1"/>
                <w:color w:val="6F2875"/>
              </w:rPr>
              <w:t>Nasdaq</w:t>
            </w:r>
          </w:p>
        </w:tc>
        <w:tc>
          <w:tcPr>
            <w:tcW w:w="18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2140" w:type="dxa"/>
            <w:vAlign w:val="bottom"/>
          </w:tcPr>
          <w:p>
            <w:pPr>
              <w:jc w:val="center"/>
              <w:ind w:left="259"/>
              <w:spacing w:after="0"/>
              <w:rPr>
                <w:sz w:val="20"/>
                <w:szCs w:val="20"/>
                <w:color w:val="auto"/>
              </w:rPr>
            </w:pPr>
            <w:r>
              <w:rPr>
                <w:rFonts w:ascii="Arial" w:cs="Arial" w:eastAsia="Arial" w:hAnsi="Arial"/>
                <w:sz w:val="16"/>
                <w:szCs w:val="16"/>
                <w:b w:val="1"/>
                <w:bCs w:val="1"/>
                <w:color w:val="6F2875"/>
              </w:rPr>
              <w:t>Nasdaq</w:t>
            </w:r>
          </w:p>
        </w:tc>
        <w:tc>
          <w:tcPr>
            <w:tcW w:w="3660" w:type="dxa"/>
            <w:vAlign w:val="bottom"/>
            <w:gridSpan w:val="2"/>
          </w:tcPr>
          <w:p>
            <w:pPr>
              <w:jc w:val="center"/>
              <w:ind w:left="299"/>
              <w:spacing w:after="0"/>
              <w:rPr>
                <w:sz w:val="20"/>
                <w:szCs w:val="20"/>
                <w:color w:val="auto"/>
              </w:rPr>
            </w:pPr>
            <w:r>
              <w:rPr>
                <w:rFonts w:ascii="Arial" w:cs="Arial" w:eastAsia="Arial" w:hAnsi="Arial"/>
                <w:sz w:val="16"/>
                <w:szCs w:val="16"/>
                <w:b w:val="1"/>
                <w:bCs w:val="1"/>
                <w:color w:val="6F2875"/>
              </w:rPr>
              <w:t>Independence for Compensation</w:t>
            </w:r>
          </w:p>
        </w:tc>
        <w:tc>
          <w:tcPr>
            <w:tcW w:w="1860" w:type="dxa"/>
            <w:vAlign w:val="bottom"/>
          </w:tcPr>
          <w:p>
            <w:pPr>
              <w:jc w:val="center"/>
              <w:ind w:left="19"/>
              <w:spacing w:after="0"/>
              <w:rPr>
                <w:sz w:val="20"/>
                <w:szCs w:val="20"/>
                <w:color w:val="auto"/>
              </w:rPr>
            </w:pPr>
            <w:r>
              <w:rPr>
                <w:rFonts w:ascii="Arial" w:cs="Arial" w:eastAsia="Arial" w:hAnsi="Arial"/>
                <w:sz w:val="16"/>
                <w:szCs w:val="16"/>
                <w:b w:val="1"/>
                <w:bCs w:val="1"/>
                <w:color w:val="6F2875"/>
                <w:w w:val="99"/>
              </w:rPr>
              <w:t>“Non-Employee</w:t>
            </w:r>
          </w:p>
        </w:tc>
        <w:tc>
          <w:tcPr>
            <w:tcW w:w="1900" w:type="dxa"/>
            <w:vAlign w:val="bottom"/>
            <w:gridSpan w:val="2"/>
          </w:tcPr>
          <w:p>
            <w:pPr>
              <w:ind w:left="260"/>
              <w:spacing w:after="0"/>
              <w:rPr>
                <w:sz w:val="20"/>
                <w:szCs w:val="20"/>
                <w:color w:val="auto"/>
              </w:rPr>
            </w:pPr>
            <w:r>
              <w:rPr>
                <w:rFonts w:ascii="Arial" w:cs="Arial" w:eastAsia="Arial" w:hAnsi="Arial"/>
                <w:sz w:val="16"/>
                <w:szCs w:val="16"/>
                <w:b w:val="1"/>
                <w:bCs w:val="1"/>
                <w:color w:val="6F2875"/>
              </w:rPr>
              <w:t>Audit Committee</w:t>
            </w:r>
          </w:p>
        </w:tc>
        <w:tc>
          <w:tcPr>
            <w:tcW w:w="0" w:type="dxa"/>
            <w:vAlign w:val="bottom"/>
          </w:tcPr>
          <w:p>
            <w:pPr>
              <w:spacing w:after="0"/>
              <w:rPr>
                <w:sz w:val="1"/>
                <w:szCs w:val="1"/>
                <w:color w:val="auto"/>
              </w:rPr>
            </w:pPr>
          </w:p>
        </w:tc>
      </w:tr>
      <w:tr>
        <w:trPr>
          <w:trHeight w:val="228"/>
        </w:trPr>
        <w:tc>
          <w:tcPr>
            <w:tcW w:w="1860" w:type="dxa"/>
            <w:vAlign w:val="bottom"/>
            <w:tcBorders>
              <w:bottom w:val="single" w:sz="8" w:color="6F2875"/>
            </w:tcBorders>
          </w:tcPr>
          <w:p>
            <w:pPr>
              <w:ind w:left="60"/>
              <w:spacing w:after="0"/>
              <w:rPr>
                <w:sz w:val="20"/>
                <w:szCs w:val="20"/>
                <w:color w:val="auto"/>
              </w:rPr>
            </w:pPr>
            <w:r>
              <w:rPr>
                <w:rFonts w:ascii="Arial" w:cs="Arial" w:eastAsia="Arial" w:hAnsi="Arial"/>
                <w:sz w:val="16"/>
                <w:szCs w:val="16"/>
                <w:b w:val="1"/>
                <w:bCs w:val="1"/>
                <w:color w:val="6F2875"/>
              </w:rPr>
              <w:t>Directors</w:t>
            </w:r>
          </w:p>
        </w:tc>
        <w:tc>
          <w:tcPr>
            <w:tcW w:w="2140" w:type="dxa"/>
            <w:vAlign w:val="bottom"/>
            <w:tcBorders>
              <w:bottom w:val="single" w:sz="8" w:color="6F2875"/>
            </w:tcBorders>
          </w:tcPr>
          <w:p>
            <w:pPr>
              <w:jc w:val="center"/>
              <w:ind w:left="259"/>
              <w:spacing w:after="0"/>
              <w:rPr>
                <w:sz w:val="20"/>
                <w:szCs w:val="20"/>
                <w:color w:val="auto"/>
              </w:rPr>
            </w:pPr>
            <w:r>
              <w:rPr>
                <w:rFonts w:ascii="Arial" w:cs="Arial" w:eastAsia="Arial" w:hAnsi="Arial"/>
                <w:sz w:val="16"/>
                <w:szCs w:val="16"/>
                <w:b w:val="1"/>
                <w:bCs w:val="1"/>
                <w:color w:val="6F2875"/>
              </w:rPr>
              <w:t>“Independent Director”</w:t>
            </w:r>
          </w:p>
        </w:tc>
        <w:tc>
          <w:tcPr>
            <w:tcW w:w="3660" w:type="dxa"/>
            <w:vAlign w:val="bottom"/>
            <w:tcBorders>
              <w:bottom w:val="single" w:sz="8" w:color="6F2875"/>
            </w:tcBorders>
            <w:gridSpan w:val="2"/>
          </w:tcPr>
          <w:p>
            <w:pPr>
              <w:jc w:val="center"/>
              <w:ind w:left="279"/>
              <w:spacing w:after="0"/>
              <w:rPr>
                <w:sz w:val="20"/>
                <w:szCs w:val="20"/>
                <w:color w:val="auto"/>
              </w:rPr>
            </w:pPr>
            <w:r>
              <w:rPr>
                <w:rFonts w:ascii="Arial" w:cs="Arial" w:eastAsia="Arial" w:hAnsi="Arial"/>
                <w:sz w:val="16"/>
                <w:szCs w:val="16"/>
                <w:b w:val="1"/>
                <w:bCs w:val="1"/>
                <w:color w:val="6F2875"/>
              </w:rPr>
              <w:t>Committee Purposes</w:t>
            </w:r>
          </w:p>
        </w:tc>
        <w:tc>
          <w:tcPr>
            <w:tcW w:w="1860" w:type="dxa"/>
            <w:vAlign w:val="bottom"/>
            <w:tcBorders>
              <w:bottom w:val="single" w:sz="8" w:color="6F2875"/>
            </w:tcBorders>
          </w:tcPr>
          <w:p>
            <w:pPr>
              <w:jc w:val="center"/>
              <w:spacing w:after="0"/>
              <w:rPr>
                <w:sz w:val="20"/>
                <w:szCs w:val="20"/>
                <w:color w:val="auto"/>
              </w:rPr>
            </w:pPr>
            <w:r>
              <w:rPr>
                <w:rFonts w:ascii="Arial" w:cs="Arial" w:eastAsia="Arial" w:hAnsi="Arial"/>
                <w:sz w:val="16"/>
                <w:szCs w:val="16"/>
                <w:b w:val="1"/>
                <w:bCs w:val="1"/>
                <w:color w:val="6F2875"/>
              </w:rPr>
              <w:t>Director”</w:t>
            </w:r>
          </w:p>
        </w:tc>
        <w:tc>
          <w:tcPr>
            <w:tcW w:w="1900" w:type="dxa"/>
            <w:vAlign w:val="bottom"/>
            <w:tcBorders>
              <w:bottom w:val="single" w:sz="8" w:color="6F2875"/>
            </w:tcBorders>
            <w:gridSpan w:val="2"/>
          </w:tcPr>
          <w:p>
            <w:pPr>
              <w:ind w:left="280"/>
              <w:spacing w:after="0"/>
              <w:rPr>
                <w:sz w:val="20"/>
                <w:szCs w:val="20"/>
                <w:color w:val="auto"/>
              </w:rPr>
            </w:pPr>
            <w:r>
              <w:rPr>
                <w:rFonts w:ascii="Arial" w:cs="Arial" w:eastAsia="Arial" w:hAnsi="Arial"/>
                <w:sz w:val="16"/>
                <w:szCs w:val="16"/>
                <w:b w:val="1"/>
                <w:bCs w:val="1"/>
                <w:color w:val="6F2875"/>
              </w:rPr>
              <w:t>Financial Expert</w:t>
            </w:r>
          </w:p>
        </w:tc>
        <w:tc>
          <w:tcPr>
            <w:tcW w:w="0" w:type="dxa"/>
            <w:vAlign w:val="bottom"/>
          </w:tcPr>
          <w:p>
            <w:pPr>
              <w:spacing w:after="0"/>
              <w:rPr>
                <w:sz w:val="1"/>
                <w:szCs w:val="1"/>
                <w:color w:val="auto"/>
              </w:rPr>
            </w:pPr>
          </w:p>
        </w:tc>
      </w:tr>
      <w:tr>
        <w:trPr>
          <w:trHeight w:val="189"/>
        </w:trPr>
        <w:tc>
          <w:tcPr>
            <w:tcW w:w="1860" w:type="dxa"/>
            <w:vAlign w:val="bottom"/>
          </w:tcPr>
          <w:p>
            <w:pPr>
              <w:ind w:left="60"/>
              <w:spacing w:after="0"/>
              <w:rPr>
                <w:sz w:val="20"/>
                <w:szCs w:val="20"/>
                <w:color w:val="auto"/>
              </w:rPr>
            </w:pPr>
            <w:r>
              <w:rPr>
                <w:rFonts w:ascii="Arial" w:cs="Arial" w:eastAsia="Arial" w:hAnsi="Arial"/>
                <w:sz w:val="16"/>
                <w:szCs w:val="16"/>
                <w:b w:val="1"/>
                <w:bCs w:val="1"/>
                <w:color w:val="231F20"/>
              </w:rPr>
              <w:t>Francesco Bianchi</w:t>
            </w:r>
          </w:p>
        </w:tc>
        <w:tc>
          <w:tcPr>
            <w:tcW w:w="21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F3EDF3"/>
          </w:tcPr>
          <w:p>
            <w:pPr>
              <w:ind w:left="60"/>
              <w:spacing w:after="0"/>
              <w:rPr>
                <w:sz w:val="20"/>
                <w:szCs w:val="20"/>
                <w:color w:val="auto"/>
              </w:rPr>
            </w:pPr>
            <w:r>
              <w:rPr>
                <w:rFonts w:ascii="Arial" w:cs="Arial" w:eastAsia="Arial" w:hAnsi="Arial"/>
                <w:sz w:val="16"/>
                <w:szCs w:val="16"/>
                <w:b w:val="1"/>
                <w:bCs w:val="1"/>
                <w:color w:val="231F20"/>
              </w:rPr>
              <w:t>William Kozy</w:t>
            </w:r>
          </w:p>
        </w:tc>
        <w:tc>
          <w:tcPr>
            <w:tcW w:w="2140" w:type="dxa"/>
            <w:vAlign w:val="bottom"/>
            <w:shd w:val="clear" w:color="auto" w:fill="F3EDF3"/>
          </w:tcPr>
          <w:p>
            <w:pPr>
              <w:spacing w:after="0"/>
              <w:rPr>
                <w:sz w:val="16"/>
                <w:szCs w:val="16"/>
                <w:color w:val="auto"/>
              </w:rPr>
            </w:pPr>
          </w:p>
        </w:tc>
        <w:tc>
          <w:tcPr>
            <w:tcW w:w="3100" w:type="dxa"/>
            <w:vAlign w:val="bottom"/>
            <w:shd w:val="clear" w:color="auto" w:fill="F3EDF3"/>
          </w:tcPr>
          <w:p>
            <w:pPr>
              <w:spacing w:after="0"/>
              <w:rPr>
                <w:sz w:val="16"/>
                <w:szCs w:val="16"/>
                <w:color w:val="auto"/>
              </w:rPr>
            </w:pPr>
          </w:p>
        </w:tc>
        <w:tc>
          <w:tcPr>
            <w:tcW w:w="560" w:type="dxa"/>
            <w:vAlign w:val="bottom"/>
            <w:shd w:val="clear" w:color="auto" w:fill="F3EDF3"/>
          </w:tcPr>
          <w:p>
            <w:pPr>
              <w:spacing w:after="0"/>
              <w:rPr>
                <w:sz w:val="16"/>
                <w:szCs w:val="16"/>
                <w:color w:val="auto"/>
              </w:rPr>
            </w:pPr>
          </w:p>
        </w:tc>
        <w:tc>
          <w:tcPr>
            <w:tcW w:w="1860" w:type="dxa"/>
            <w:vAlign w:val="bottom"/>
            <w:shd w:val="clear" w:color="auto" w:fill="F3EDF3"/>
          </w:tcPr>
          <w:p>
            <w:pPr>
              <w:spacing w:after="0"/>
              <w:rPr>
                <w:sz w:val="16"/>
                <w:szCs w:val="16"/>
                <w:color w:val="auto"/>
              </w:rPr>
            </w:pPr>
          </w:p>
        </w:tc>
        <w:tc>
          <w:tcPr>
            <w:tcW w:w="1560" w:type="dxa"/>
            <w:vAlign w:val="bottom"/>
            <w:shd w:val="clear" w:color="auto" w:fill="F3EDF3"/>
          </w:tcPr>
          <w:p>
            <w:pPr>
              <w:spacing w:after="0"/>
              <w:rPr>
                <w:sz w:val="16"/>
                <w:szCs w:val="16"/>
                <w:color w:val="auto"/>
              </w:rPr>
            </w:pPr>
          </w:p>
        </w:tc>
        <w:tc>
          <w:tcPr>
            <w:tcW w:w="340" w:type="dxa"/>
            <w:vAlign w:val="bottom"/>
            <w:shd w:val="clear" w:color="auto" w:fill="F3EDF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Pr>
          <w:p>
            <w:pPr>
              <w:ind w:left="60"/>
              <w:spacing w:after="0"/>
              <w:rPr>
                <w:sz w:val="20"/>
                <w:szCs w:val="20"/>
                <w:color w:val="auto"/>
              </w:rPr>
            </w:pPr>
            <w:r>
              <w:rPr>
                <w:rFonts w:ascii="Arial" w:cs="Arial" w:eastAsia="Arial" w:hAnsi="Arial"/>
                <w:sz w:val="16"/>
                <w:szCs w:val="16"/>
                <w:b w:val="1"/>
                <w:bCs w:val="1"/>
                <w:color w:val="231F20"/>
              </w:rPr>
              <w:t>Damien McDonald</w:t>
            </w:r>
          </w:p>
        </w:tc>
        <w:tc>
          <w:tcPr>
            <w:tcW w:w="21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F3EDF3"/>
          </w:tcPr>
          <w:p>
            <w:pPr>
              <w:ind w:left="60"/>
              <w:spacing w:after="0"/>
              <w:rPr>
                <w:sz w:val="20"/>
                <w:szCs w:val="20"/>
                <w:color w:val="auto"/>
              </w:rPr>
            </w:pPr>
            <w:r>
              <w:rPr>
                <w:rFonts w:ascii="Arial" w:cs="Arial" w:eastAsia="Arial" w:hAnsi="Arial"/>
                <w:sz w:val="16"/>
                <w:szCs w:val="16"/>
                <w:b w:val="1"/>
                <w:bCs w:val="1"/>
                <w:color w:val="231F20"/>
              </w:rPr>
              <w:t>Daniel Moore</w:t>
            </w:r>
          </w:p>
        </w:tc>
        <w:tc>
          <w:tcPr>
            <w:tcW w:w="2140" w:type="dxa"/>
            <w:vAlign w:val="bottom"/>
            <w:shd w:val="clear" w:color="auto" w:fill="F3EDF3"/>
          </w:tcPr>
          <w:p>
            <w:pPr>
              <w:spacing w:after="0"/>
              <w:rPr>
                <w:sz w:val="16"/>
                <w:szCs w:val="16"/>
                <w:color w:val="auto"/>
              </w:rPr>
            </w:pPr>
          </w:p>
        </w:tc>
        <w:tc>
          <w:tcPr>
            <w:tcW w:w="3100" w:type="dxa"/>
            <w:vAlign w:val="bottom"/>
            <w:shd w:val="clear" w:color="auto" w:fill="F3EDF3"/>
          </w:tcPr>
          <w:p>
            <w:pPr>
              <w:spacing w:after="0"/>
              <w:rPr>
                <w:sz w:val="16"/>
                <w:szCs w:val="16"/>
                <w:color w:val="auto"/>
              </w:rPr>
            </w:pPr>
          </w:p>
        </w:tc>
        <w:tc>
          <w:tcPr>
            <w:tcW w:w="560" w:type="dxa"/>
            <w:vAlign w:val="bottom"/>
            <w:shd w:val="clear" w:color="auto" w:fill="F3EDF3"/>
          </w:tcPr>
          <w:p>
            <w:pPr>
              <w:spacing w:after="0"/>
              <w:rPr>
                <w:sz w:val="16"/>
                <w:szCs w:val="16"/>
                <w:color w:val="auto"/>
              </w:rPr>
            </w:pPr>
          </w:p>
        </w:tc>
        <w:tc>
          <w:tcPr>
            <w:tcW w:w="1860" w:type="dxa"/>
            <w:vAlign w:val="bottom"/>
            <w:shd w:val="clear" w:color="auto" w:fill="F3EDF3"/>
          </w:tcPr>
          <w:p>
            <w:pPr>
              <w:spacing w:after="0"/>
              <w:rPr>
                <w:sz w:val="16"/>
                <w:szCs w:val="16"/>
                <w:color w:val="auto"/>
              </w:rPr>
            </w:pPr>
          </w:p>
        </w:tc>
        <w:tc>
          <w:tcPr>
            <w:tcW w:w="1560" w:type="dxa"/>
            <w:vAlign w:val="bottom"/>
            <w:shd w:val="clear" w:color="auto" w:fill="F3EDF3"/>
          </w:tcPr>
          <w:p>
            <w:pPr>
              <w:spacing w:after="0"/>
              <w:rPr>
                <w:sz w:val="16"/>
                <w:szCs w:val="16"/>
                <w:color w:val="auto"/>
              </w:rPr>
            </w:pPr>
          </w:p>
        </w:tc>
        <w:tc>
          <w:tcPr>
            <w:tcW w:w="340" w:type="dxa"/>
            <w:vAlign w:val="bottom"/>
            <w:shd w:val="clear" w:color="auto" w:fill="F3EDF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Pr>
          <w:p>
            <w:pPr>
              <w:ind w:left="60"/>
              <w:spacing w:after="0"/>
              <w:rPr>
                <w:sz w:val="20"/>
                <w:szCs w:val="20"/>
                <w:color w:val="auto"/>
              </w:rPr>
            </w:pPr>
            <w:r>
              <w:rPr>
                <w:rFonts w:ascii="Arial" w:cs="Arial" w:eastAsia="Arial" w:hAnsi="Arial"/>
                <w:sz w:val="16"/>
                <w:szCs w:val="16"/>
                <w:b w:val="1"/>
                <w:bCs w:val="1"/>
                <w:color w:val="231F20"/>
              </w:rPr>
              <w:t>Hugh Morrison</w:t>
            </w:r>
          </w:p>
        </w:tc>
        <w:tc>
          <w:tcPr>
            <w:tcW w:w="21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F3EDF3"/>
          </w:tcPr>
          <w:p>
            <w:pPr>
              <w:ind w:left="60"/>
              <w:spacing w:after="0"/>
              <w:rPr>
                <w:sz w:val="20"/>
                <w:szCs w:val="20"/>
                <w:color w:val="auto"/>
              </w:rPr>
            </w:pPr>
            <w:r>
              <w:rPr>
                <w:rFonts w:ascii="Arial" w:cs="Arial" w:eastAsia="Arial" w:hAnsi="Arial"/>
                <w:sz w:val="16"/>
                <w:szCs w:val="16"/>
                <w:b w:val="1"/>
                <w:bCs w:val="1"/>
                <w:color w:val="231F20"/>
              </w:rPr>
              <w:t>Alfred Novak</w:t>
            </w:r>
          </w:p>
        </w:tc>
        <w:tc>
          <w:tcPr>
            <w:tcW w:w="2140" w:type="dxa"/>
            <w:vAlign w:val="bottom"/>
            <w:shd w:val="clear" w:color="auto" w:fill="F3EDF3"/>
          </w:tcPr>
          <w:p>
            <w:pPr>
              <w:spacing w:after="0"/>
              <w:rPr>
                <w:sz w:val="16"/>
                <w:szCs w:val="16"/>
                <w:color w:val="auto"/>
              </w:rPr>
            </w:pPr>
          </w:p>
        </w:tc>
        <w:tc>
          <w:tcPr>
            <w:tcW w:w="3100" w:type="dxa"/>
            <w:vAlign w:val="bottom"/>
            <w:shd w:val="clear" w:color="auto" w:fill="F3EDF3"/>
          </w:tcPr>
          <w:p>
            <w:pPr>
              <w:spacing w:after="0"/>
              <w:rPr>
                <w:sz w:val="16"/>
                <w:szCs w:val="16"/>
                <w:color w:val="auto"/>
              </w:rPr>
            </w:pPr>
          </w:p>
        </w:tc>
        <w:tc>
          <w:tcPr>
            <w:tcW w:w="560" w:type="dxa"/>
            <w:vAlign w:val="bottom"/>
            <w:shd w:val="clear" w:color="auto" w:fill="F3EDF3"/>
          </w:tcPr>
          <w:p>
            <w:pPr>
              <w:spacing w:after="0"/>
              <w:rPr>
                <w:sz w:val="16"/>
                <w:szCs w:val="16"/>
                <w:color w:val="auto"/>
              </w:rPr>
            </w:pPr>
          </w:p>
        </w:tc>
        <w:tc>
          <w:tcPr>
            <w:tcW w:w="1860" w:type="dxa"/>
            <w:vAlign w:val="bottom"/>
            <w:shd w:val="clear" w:color="auto" w:fill="F3EDF3"/>
          </w:tcPr>
          <w:p>
            <w:pPr>
              <w:spacing w:after="0"/>
              <w:rPr>
                <w:sz w:val="16"/>
                <w:szCs w:val="16"/>
                <w:color w:val="auto"/>
              </w:rPr>
            </w:pPr>
          </w:p>
        </w:tc>
        <w:tc>
          <w:tcPr>
            <w:tcW w:w="1560" w:type="dxa"/>
            <w:vAlign w:val="bottom"/>
            <w:shd w:val="clear" w:color="auto" w:fill="F3EDF3"/>
          </w:tcPr>
          <w:p>
            <w:pPr>
              <w:spacing w:after="0"/>
              <w:rPr>
                <w:sz w:val="16"/>
                <w:szCs w:val="16"/>
                <w:color w:val="auto"/>
              </w:rPr>
            </w:pPr>
          </w:p>
        </w:tc>
        <w:tc>
          <w:tcPr>
            <w:tcW w:w="340" w:type="dxa"/>
            <w:vAlign w:val="bottom"/>
            <w:shd w:val="clear" w:color="auto" w:fill="F3EDF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Pr>
          <w:p>
            <w:pPr>
              <w:ind w:left="60"/>
              <w:spacing w:after="0"/>
              <w:rPr>
                <w:sz w:val="20"/>
                <w:szCs w:val="20"/>
                <w:color w:val="auto"/>
              </w:rPr>
            </w:pPr>
            <w:r>
              <w:rPr>
                <w:rFonts w:ascii="Arial" w:cs="Arial" w:eastAsia="Arial" w:hAnsi="Arial"/>
                <w:sz w:val="16"/>
                <w:szCs w:val="16"/>
                <w:b w:val="1"/>
                <w:bCs w:val="1"/>
                <w:color w:val="231F20"/>
              </w:rPr>
              <w:t>Sharon O’Kane</w:t>
            </w:r>
          </w:p>
        </w:tc>
        <w:tc>
          <w:tcPr>
            <w:tcW w:w="21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F3EDF3"/>
          </w:tcPr>
          <w:p>
            <w:pPr>
              <w:ind w:left="60"/>
              <w:spacing w:after="0"/>
              <w:rPr>
                <w:sz w:val="20"/>
                <w:szCs w:val="20"/>
                <w:color w:val="auto"/>
              </w:rPr>
            </w:pPr>
            <w:r>
              <w:rPr>
                <w:rFonts w:ascii="Arial" w:cs="Arial" w:eastAsia="Arial" w:hAnsi="Arial"/>
                <w:sz w:val="16"/>
                <w:szCs w:val="16"/>
                <w:b w:val="1"/>
                <w:bCs w:val="1"/>
                <w:color w:val="231F20"/>
              </w:rPr>
              <w:t>Arthur Rosenthal</w:t>
            </w:r>
          </w:p>
        </w:tc>
        <w:tc>
          <w:tcPr>
            <w:tcW w:w="2140" w:type="dxa"/>
            <w:vAlign w:val="bottom"/>
            <w:shd w:val="clear" w:color="auto" w:fill="F3EDF3"/>
          </w:tcPr>
          <w:p>
            <w:pPr>
              <w:spacing w:after="0"/>
              <w:rPr>
                <w:sz w:val="16"/>
                <w:szCs w:val="16"/>
                <w:color w:val="auto"/>
              </w:rPr>
            </w:pPr>
          </w:p>
        </w:tc>
        <w:tc>
          <w:tcPr>
            <w:tcW w:w="3100" w:type="dxa"/>
            <w:vAlign w:val="bottom"/>
            <w:shd w:val="clear" w:color="auto" w:fill="F3EDF3"/>
          </w:tcPr>
          <w:p>
            <w:pPr>
              <w:spacing w:after="0"/>
              <w:rPr>
                <w:sz w:val="16"/>
                <w:szCs w:val="16"/>
                <w:color w:val="auto"/>
              </w:rPr>
            </w:pPr>
          </w:p>
        </w:tc>
        <w:tc>
          <w:tcPr>
            <w:tcW w:w="560" w:type="dxa"/>
            <w:vAlign w:val="bottom"/>
            <w:shd w:val="clear" w:color="auto" w:fill="F3EDF3"/>
          </w:tcPr>
          <w:p>
            <w:pPr>
              <w:spacing w:after="0"/>
              <w:rPr>
                <w:sz w:val="16"/>
                <w:szCs w:val="16"/>
                <w:color w:val="auto"/>
              </w:rPr>
            </w:pPr>
          </w:p>
        </w:tc>
        <w:tc>
          <w:tcPr>
            <w:tcW w:w="1860" w:type="dxa"/>
            <w:vAlign w:val="bottom"/>
            <w:shd w:val="clear" w:color="auto" w:fill="F3EDF3"/>
          </w:tcPr>
          <w:p>
            <w:pPr>
              <w:spacing w:after="0"/>
              <w:rPr>
                <w:sz w:val="16"/>
                <w:szCs w:val="16"/>
                <w:color w:val="auto"/>
              </w:rPr>
            </w:pPr>
          </w:p>
        </w:tc>
        <w:tc>
          <w:tcPr>
            <w:tcW w:w="1560" w:type="dxa"/>
            <w:vAlign w:val="bottom"/>
            <w:shd w:val="clear" w:color="auto" w:fill="F3EDF3"/>
          </w:tcPr>
          <w:p>
            <w:pPr>
              <w:spacing w:after="0"/>
              <w:rPr>
                <w:sz w:val="16"/>
                <w:szCs w:val="16"/>
                <w:color w:val="auto"/>
              </w:rPr>
            </w:pPr>
          </w:p>
        </w:tc>
        <w:tc>
          <w:tcPr>
            <w:tcW w:w="340" w:type="dxa"/>
            <w:vAlign w:val="bottom"/>
            <w:shd w:val="clear" w:color="auto" w:fill="F3EDF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Borders>
              <w:bottom w:val="single" w:sz="8" w:color="6F2875"/>
            </w:tcBorders>
          </w:tcPr>
          <w:p>
            <w:pPr>
              <w:ind w:left="60"/>
              <w:spacing w:after="0"/>
              <w:rPr>
                <w:sz w:val="20"/>
                <w:szCs w:val="20"/>
                <w:color w:val="auto"/>
              </w:rPr>
            </w:pPr>
            <w:r>
              <w:rPr>
                <w:rFonts w:ascii="Arial" w:cs="Arial" w:eastAsia="Arial" w:hAnsi="Arial"/>
                <w:sz w:val="16"/>
                <w:szCs w:val="16"/>
                <w:b w:val="1"/>
                <w:bCs w:val="1"/>
                <w:color w:val="231F20"/>
              </w:rPr>
              <w:t>Andrea Saia</w:t>
            </w:r>
          </w:p>
        </w:tc>
        <w:tc>
          <w:tcPr>
            <w:tcW w:w="2140" w:type="dxa"/>
            <w:vAlign w:val="bottom"/>
            <w:tcBorders>
              <w:bottom w:val="single" w:sz="8" w:color="6F2875"/>
            </w:tcBorders>
          </w:tcPr>
          <w:p>
            <w:pPr>
              <w:spacing w:after="0"/>
              <w:rPr>
                <w:sz w:val="16"/>
                <w:szCs w:val="16"/>
                <w:color w:val="auto"/>
              </w:rPr>
            </w:pPr>
          </w:p>
        </w:tc>
        <w:tc>
          <w:tcPr>
            <w:tcW w:w="3100" w:type="dxa"/>
            <w:vAlign w:val="bottom"/>
            <w:tcBorders>
              <w:bottom w:val="single" w:sz="8" w:color="6F2875"/>
            </w:tcBorders>
          </w:tcPr>
          <w:p>
            <w:pPr>
              <w:spacing w:after="0"/>
              <w:rPr>
                <w:sz w:val="16"/>
                <w:szCs w:val="16"/>
                <w:color w:val="auto"/>
              </w:rPr>
            </w:pPr>
          </w:p>
        </w:tc>
        <w:tc>
          <w:tcPr>
            <w:tcW w:w="560" w:type="dxa"/>
            <w:vAlign w:val="bottom"/>
            <w:tcBorders>
              <w:bottom w:val="single" w:sz="8" w:color="6F2875"/>
            </w:tcBorders>
          </w:tcPr>
          <w:p>
            <w:pPr>
              <w:spacing w:after="0"/>
              <w:rPr>
                <w:sz w:val="16"/>
                <w:szCs w:val="16"/>
                <w:color w:val="auto"/>
              </w:rPr>
            </w:pPr>
          </w:p>
        </w:tc>
        <w:tc>
          <w:tcPr>
            <w:tcW w:w="1860" w:type="dxa"/>
            <w:vAlign w:val="bottom"/>
            <w:tcBorders>
              <w:bottom w:val="single" w:sz="8" w:color="6F2875"/>
            </w:tcBorders>
          </w:tcPr>
          <w:p>
            <w:pPr>
              <w:spacing w:after="0"/>
              <w:rPr>
                <w:sz w:val="16"/>
                <w:szCs w:val="16"/>
                <w:color w:val="auto"/>
              </w:rPr>
            </w:pPr>
          </w:p>
        </w:tc>
        <w:tc>
          <w:tcPr>
            <w:tcW w:w="1560" w:type="dxa"/>
            <w:vAlign w:val="bottom"/>
            <w:tcBorders>
              <w:bottom w:val="single" w:sz="8" w:color="6F2875"/>
            </w:tcBorders>
          </w:tcPr>
          <w:p>
            <w:pPr>
              <w:spacing w:after="0"/>
              <w:rPr>
                <w:sz w:val="16"/>
                <w:szCs w:val="16"/>
                <w:color w:val="auto"/>
              </w:rPr>
            </w:pPr>
          </w:p>
        </w:tc>
        <w:tc>
          <w:tcPr>
            <w:tcW w:w="340" w:type="dxa"/>
            <w:vAlign w:val="bottom"/>
            <w:tcBorders>
              <w:bottom w:val="single" w:sz="8" w:color="6F2875"/>
            </w:tcBorders>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18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5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69"/>
        </w:trPr>
        <w:tc>
          <w:tcPr>
            <w:tcW w:w="1860" w:type="dxa"/>
            <w:vAlign w:val="bottom"/>
          </w:tcPr>
          <w:p>
            <w:pPr>
              <w:spacing w:after="0"/>
              <w:rPr>
                <w:sz w:val="5"/>
                <w:szCs w:val="5"/>
                <w:color w:val="auto"/>
              </w:rPr>
            </w:pPr>
          </w:p>
        </w:tc>
        <w:tc>
          <w:tcPr>
            <w:tcW w:w="214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860" w:type="dxa"/>
            <w:vAlign w:val="bottom"/>
            <w:tcBorders>
              <w:bottom w:val="single" w:sz="8" w:color="C0C0C0"/>
            </w:tcBorders>
          </w:tcPr>
          <w:p>
            <w:pPr>
              <w:spacing w:after="0"/>
              <w:rPr>
                <w:sz w:val="24"/>
                <w:szCs w:val="24"/>
                <w:color w:val="auto"/>
              </w:rPr>
            </w:pPr>
          </w:p>
        </w:tc>
        <w:tc>
          <w:tcPr>
            <w:tcW w:w="214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560" w:type="dxa"/>
            <w:vAlign w:val="bottom"/>
            <w:tcBorders>
              <w:bottom w:val="single" w:sz="8" w:color="C0C0C0"/>
            </w:tcBorders>
          </w:tcPr>
          <w:p>
            <w:pPr>
              <w:spacing w:after="0"/>
              <w:rPr>
                <w:sz w:val="24"/>
                <w:szCs w:val="24"/>
                <w:color w:val="auto"/>
              </w:rPr>
            </w:pPr>
          </w:p>
        </w:tc>
        <w:tc>
          <w:tcPr>
            <w:tcW w:w="1860" w:type="dxa"/>
            <w:vAlign w:val="bottom"/>
            <w:tcBorders>
              <w:bottom w:val="single" w:sz="8" w:color="C0C0C0"/>
            </w:tcBorders>
          </w:tcPr>
          <w:p>
            <w:pPr>
              <w:spacing w:after="0"/>
              <w:rPr>
                <w:sz w:val="24"/>
                <w:szCs w:val="24"/>
                <w:color w:val="auto"/>
              </w:rPr>
            </w:pPr>
          </w:p>
        </w:tc>
        <w:tc>
          <w:tcPr>
            <w:tcW w:w="156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-1568450</wp:posOffset>
            </wp:positionV>
            <wp:extent cx="128905" cy="1117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-1568450</wp:posOffset>
            </wp:positionV>
            <wp:extent cx="128905" cy="1117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-1568450</wp:posOffset>
            </wp:positionV>
            <wp:extent cx="128905" cy="1117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-1568450</wp:posOffset>
            </wp:positionV>
            <wp:extent cx="128905" cy="1117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-1431290</wp:posOffset>
            </wp:positionV>
            <wp:extent cx="102870" cy="946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9461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-1431290</wp:posOffset>
            </wp:positionV>
            <wp:extent cx="102870" cy="946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870" cy="9461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-1431290</wp:posOffset>
            </wp:positionV>
            <wp:extent cx="102870" cy="946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94615"/>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-1431290</wp:posOffset>
            </wp:positionV>
            <wp:extent cx="102870" cy="946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9461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-1088390</wp:posOffset>
            </wp:positionV>
            <wp:extent cx="128905" cy="1117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-1088390</wp:posOffset>
            </wp:positionV>
            <wp:extent cx="128905" cy="1117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-1088390</wp:posOffset>
            </wp:positionV>
            <wp:extent cx="128905" cy="1117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-1088390</wp:posOffset>
            </wp:positionV>
            <wp:extent cx="128905" cy="1117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-951230</wp:posOffset>
            </wp:positionV>
            <wp:extent cx="4768215" cy="4546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768215" cy="45466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Board Leadership Structure</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231F20"/>
        </w:rPr>
        <w:t>The Board is led by our chairman, Mr. Moore, who is not independent by reason of his role as chief executive of Cyberonics prior to its merger with Sorin.</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Our Corporate Governance Guidelines provide that the Nominating and Corporate Governance Committee shall recommend to the Board, as necessary, a member who shall serve as chairman of the Board. Our guidelines also stipulate that the offices of the chairman and the CEO be separate and that the chairman shall not be an executive officer of the Company. The chairman establishes the agenda for each Board meeting in consultation with the CEO. Each Board member is free to suggest the inclusion of items on the agenda and is also free to raise at any Board meeting subjects that are not on the agenda for that meeting.</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The non-management directors meet in private sessions at least quarterly and the chairman is responsible for conducting the meeting of the non-management directors in these executive sessions. The independent directors also meet separately on a regular basis.</w:t>
      </w:r>
    </w:p>
    <w:p>
      <w:pPr>
        <w:spacing w:after="0" w:line="320"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Board Role in Risk Management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Oversight</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Our Board retains overall responsibility for risk management. In exercising its overall responsibility to oversee the management of our business, it considers risks when reviewing our strategic plan, financial results, merger and acquisition-related activities, legal and regulatory matters and its public filings with the SEC. The Board’s oversight of risk management includes full and open communications with management to review the adequacy and functionality of the risk management processes used by management as well as to review the risks presented by the Company’s annual strategic plan. In addition, the Board uses its committees to assist in its risk oversight responsibility as follows:</w:t>
      </w:r>
    </w:p>
    <w:p>
      <w:pPr>
        <w:spacing w:after="0" w:line="230" w:lineRule="exact"/>
        <w:rPr>
          <w:sz w:val="20"/>
          <w:szCs w:val="20"/>
          <w:color w:val="auto"/>
        </w:rPr>
      </w:pPr>
    </w:p>
    <w:p>
      <w:pPr>
        <w:jc w:val="both"/>
        <w:ind w:left="180" w:hanging="172"/>
        <w:spacing w:after="0" w:line="250" w:lineRule="auto"/>
        <w:tabs>
          <w:tab w:leader="none" w:pos="180" w:val="left"/>
        </w:tabs>
        <w:numPr>
          <w:ilvl w:val="0"/>
          <w:numId w:val="11"/>
        </w:numPr>
        <w:rPr>
          <w:rFonts w:ascii="Arial" w:cs="Arial" w:eastAsia="Arial" w:hAnsi="Arial"/>
          <w:sz w:val="16"/>
          <w:szCs w:val="16"/>
          <w:b w:val="1"/>
          <w:bCs w:val="1"/>
          <w:color w:val="6F2875"/>
        </w:rPr>
      </w:pPr>
      <w:r>
        <w:rPr>
          <w:rFonts w:ascii="Arial" w:cs="Arial" w:eastAsia="Arial" w:hAnsi="Arial"/>
          <w:sz w:val="16"/>
          <w:szCs w:val="16"/>
          <w:color w:val="231F20"/>
        </w:rPr>
        <w:t>Audit and Compliance Committee: assists the Board in its oversight of the integrity of the financial reporting of the Company and its compliance with applicable legal and regulatory requirements. It also oversees our internal controls and compliance activities. The committee periodically discusses our major financial and business risk exposures and certain contingent liabilities and the steps management has undertaken to monitor and control such exposures. It also meets privately with representatives from our independent registered public accounting firm as well as with the head of internal audit and the chief compliance officer. The committee also has responsibility for the oversight of the management of cybersecurity risks.</w:t>
      </w:r>
    </w:p>
    <w:p>
      <w:pPr>
        <w:spacing w:after="0" w:line="41" w:lineRule="exact"/>
        <w:rPr>
          <w:rFonts w:ascii="Arial" w:cs="Arial" w:eastAsia="Arial" w:hAnsi="Arial"/>
          <w:sz w:val="16"/>
          <w:szCs w:val="16"/>
          <w:b w:val="1"/>
          <w:bCs w:val="1"/>
          <w:color w:val="6F2875"/>
        </w:rPr>
      </w:pPr>
    </w:p>
    <w:p>
      <w:pPr>
        <w:ind w:left="180" w:hanging="172"/>
        <w:spacing w:after="0"/>
        <w:tabs>
          <w:tab w:leader="none" w:pos="180" w:val="left"/>
        </w:tabs>
        <w:numPr>
          <w:ilvl w:val="0"/>
          <w:numId w:val="11"/>
        </w:numPr>
        <w:rPr>
          <w:rFonts w:ascii="Arial" w:cs="Arial" w:eastAsia="Arial" w:hAnsi="Arial"/>
          <w:sz w:val="16"/>
          <w:szCs w:val="16"/>
          <w:b w:val="1"/>
          <w:bCs w:val="1"/>
          <w:color w:val="6F2875"/>
        </w:rPr>
      </w:pPr>
      <w:r>
        <w:rPr>
          <w:rFonts w:ascii="Arial" w:cs="Arial" w:eastAsia="Arial" w:hAnsi="Arial"/>
          <w:sz w:val="16"/>
          <w:szCs w:val="16"/>
          <w:color w:val="231F20"/>
        </w:rPr>
        <w:t>Compensation Committee: assists the Board in its oversight of risk relating to our assessment of our compensation policies and practices.</w:t>
      </w:r>
    </w:p>
    <w:p>
      <w:pPr>
        <w:spacing w:after="0" w:line="59" w:lineRule="exact"/>
        <w:rPr>
          <w:rFonts w:ascii="Arial" w:cs="Arial" w:eastAsia="Arial" w:hAnsi="Arial"/>
          <w:sz w:val="16"/>
          <w:szCs w:val="16"/>
          <w:b w:val="1"/>
          <w:bCs w:val="1"/>
          <w:color w:val="6F2875"/>
        </w:rPr>
      </w:pPr>
    </w:p>
    <w:p>
      <w:pPr>
        <w:ind w:left="180" w:hanging="172"/>
        <w:spacing w:after="0"/>
        <w:tabs>
          <w:tab w:leader="none" w:pos="180" w:val="left"/>
        </w:tabs>
        <w:numPr>
          <w:ilvl w:val="0"/>
          <w:numId w:val="11"/>
        </w:numPr>
        <w:rPr>
          <w:rFonts w:ascii="Arial" w:cs="Arial" w:eastAsia="Arial" w:hAnsi="Arial"/>
          <w:sz w:val="16"/>
          <w:szCs w:val="16"/>
          <w:b w:val="1"/>
          <w:bCs w:val="1"/>
          <w:color w:val="6F2875"/>
        </w:rPr>
      </w:pPr>
      <w:r>
        <w:rPr>
          <w:rFonts w:ascii="Arial" w:cs="Arial" w:eastAsia="Arial" w:hAnsi="Arial"/>
          <w:sz w:val="16"/>
          <w:szCs w:val="16"/>
          <w:color w:val="231F20"/>
        </w:rPr>
        <w:t>Nominating and Corporate Governance Committee: assists the Board in its oversight of risk relating to succession planning and governance structures.</w:t>
      </w:r>
    </w:p>
    <w:p>
      <w:pPr>
        <w:spacing w:after="0" w:line="162"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Compensation Risk Management</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Our executive compensation program is designed to motivate and reward our executive officers for their performance during the fiscal year and over the long term and for taking appropriate risks toward achieving our long-term financial and strategic growth objectives. The following characteristics of our executive compensation program are designed to reduce the possibility our executive officers, either individually or as a group, make excessively risky business decisions that could maximize short-term results at the expense of long-term value:</w:t>
      </w:r>
    </w:p>
    <w:p>
      <w:pPr>
        <w:spacing w:after="0" w:line="214" w:lineRule="exact"/>
        <w:rPr>
          <w:sz w:val="20"/>
          <w:szCs w:val="20"/>
          <w:color w:val="auto"/>
        </w:rPr>
      </w:pPr>
    </w:p>
    <w:p>
      <w:pPr>
        <w:jc w:val="both"/>
        <w:ind w:left="180" w:hanging="172"/>
        <w:spacing w:after="0" w:line="264" w:lineRule="auto"/>
        <w:tabs>
          <w:tab w:leader="none" w:pos="180" w:val="left"/>
        </w:tabs>
        <w:numPr>
          <w:ilvl w:val="0"/>
          <w:numId w:val="12"/>
        </w:numPr>
        <w:rPr>
          <w:rFonts w:ascii="Arial" w:cs="Arial" w:eastAsia="Arial" w:hAnsi="Arial"/>
          <w:sz w:val="16"/>
          <w:szCs w:val="16"/>
          <w:b w:val="1"/>
          <w:bCs w:val="1"/>
          <w:color w:val="6F2875"/>
        </w:rPr>
      </w:pPr>
      <w:r>
        <w:rPr>
          <w:rFonts w:ascii="Arial" w:cs="Arial" w:eastAsia="Arial" w:hAnsi="Arial"/>
          <w:sz w:val="16"/>
          <w:szCs w:val="16"/>
          <w:i w:val="1"/>
          <w:iCs w:val="1"/>
          <w:color w:val="231F20"/>
        </w:rPr>
        <w:t xml:space="preserve">Balanced Mix of Pay Components. </w:t>
      </w:r>
      <w:r>
        <w:rPr>
          <w:rFonts w:ascii="Arial" w:cs="Arial" w:eastAsia="Arial" w:hAnsi="Arial"/>
          <w:sz w:val="16"/>
          <w:szCs w:val="16"/>
          <w:color w:val="231F20"/>
        </w:rPr>
        <w:t>The target compensation mix is not overly weighted toward annual incentive awards and represents a balance of base</w:t>
      </w:r>
      <w:r>
        <w:rPr>
          <w:rFonts w:ascii="Arial" w:cs="Arial" w:eastAsia="Arial" w:hAnsi="Arial"/>
          <w:sz w:val="16"/>
          <w:szCs w:val="16"/>
          <w:i w:val="1"/>
          <w:iCs w:val="1"/>
          <w:color w:val="231F20"/>
        </w:rPr>
        <w:t xml:space="preserve"> </w:t>
      </w:r>
      <w:r>
        <w:rPr>
          <w:rFonts w:ascii="Arial" w:cs="Arial" w:eastAsia="Arial" w:hAnsi="Arial"/>
          <w:sz w:val="16"/>
          <w:szCs w:val="16"/>
          <w:color w:val="231F20"/>
        </w:rPr>
        <w:t>salary, annual short-term incentive compensation in the form of a cash bonus, and long-term equity-based compensation vesting over four years or based on long-term performance objectives.</w:t>
      </w:r>
    </w:p>
    <w:p>
      <w:pPr>
        <w:spacing w:after="0" w:line="14" w:lineRule="exact"/>
        <w:rPr>
          <w:rFonts w:ascii="Arial" w:cs="Arial" w:eastAsia="Arial" w:hAnsi="Arial"/>
          <w:sz w:val="16"/>
          <w:szCs w:val="16"/>
          <w:b w:val="1"/>
          <w:bCs w:val="1"/>
          <w:color w:val="6F2875"/>
        </w:rPr>
      </w:pPr>
    </w:p>
    <w:p>
      <w:pPr>
        <w:ind w:left="180" w:hanging="172"/>
        <w:spacing w:after="0"/>
        <w:tabs>
          <w:tab w:leader="none" w:pos="180" w:val="left"/>
        </w:tabs>
        <w:numPr>
          <w:ilvl w:val="0"/>
          <w:numId w:val="12"/>
        </w:numPr>
        <w:rPr>
          <w:rFonts w:ascii="Arial" w:cs="Arial" w:eastAsia="Arial" w:hAnsi="Arial"/>
          <w:sz w:val="16"/>
          <w:szCs w:val="16"/>
          <w:b w:val="1"/>
          <w:bCs w:val="1"/>
          <w:color w:val="6F2875"/>
        </w:rPr>
      </w:pPr>
      <w:r>
        <w:rPr>
          <w:rFonts w:ascii="Arial" w:cs="Arial" w:eastAsia="Arial" w:hAnsi="Arial"/>
          <w:sz w:val="16"/>
          <w:szCs w:val="16"/>
          <w:i w:val="1"/>
          <w:iCs w:val="1"/>
          <w:color w:val="231F20"/>
        </w:rPr>
        <w:t xml:space="preserve">Bracketed Incentive Awards. </w:t>
      </w:r>
      <w:r>
        <w:rPr>
          <w:rFonts w:ascii="Arial" w:cs="Arial" w:eastAsia="Arial" w:hAnsi="Arial"/>
          <w:sz w:val="16"/>
          <w:szCs w:val="16"/>
          <w:color w:val="231F20"/>
        </w:rPr>
        <w:t>Annual cash bonuses can be as little as 0%, but no more than 175%, of target.</w:t>
      </w:r>
    </w:p>
    <w:p>
      <w:pPr>
        <w:spacing w:after="0" w:line="59" w:lineRule="exact"/>
        <w:rPr>
          <w:rFonts w:ascii="Arial" w:cs="Arial" w:eastAsia="Arial" w:hAnsi="Arial"/>
          <w:sz w:val="16"/>
          <w:szCs w:val="16"/>
          <w:b w:val="1"/>
          <w:bCs w:val="1"/>
          <w:color w:val="6F2875"/>
        </w:rPr>
      </w:pPr>
    </w:p>
    <w:p>
      <w:pPr>
        <w:ind w:left="180" w:hanging="172"/>
        <w:spacing w:after="0" w:line="279" w:lineRule="auto"/>
        <w:tabs>
          <w:tab w:leader="none" w:pos="180" w:val="left"/>
        </w:tabs>
        <w:numPr>
          <w:ilvl w:val="0"/>
          <w:numId w:val="12"/>
        </w:numPr>
        <w:rPr>
          <w:rFonts w:ascii="Arial" w:cs="Arial" w:eastAsia="Arial" w:hAnsi="Arial"/>
          <w:sz w:val="16"/>
          <w:szCs w:val="16"/>
          <w:b w:val="1"/>
          <w:bCs w:val="1"/>
          <w:color w:val="6F2875"/>
        </w:rPr>
      </w:pPr>
      <w:r>
        <w:rPr>
          <w:rFonts w:ascii="Arial" w:cs="Arial" w:eastAsia="Arial" w:hAnsi="Arial"/>
          <w:sz w:val="16"/>
          <w:szCs w:val="16"/>
          <w:i w:val="1"/>
          <w:iCs w:val="1"/>
          <w:color w:val="231F20"/>
        </w:rPr>
        <w:t xml:space="preserve">Stock Ownership Guidelines. </w:t>
      </w:r>
      <w:r>
        <w:rPr>
          <w:rFonts w:ascii="Arial" w:cs="Arial" w:eastAsia="Arial" w:hAnsi="Arial"/>
          <w:sz w:val="16"/>
          <w:szCs w:val="16"/>
          <w:color w:val="231F20"/>
        </w:rPr>
        <w:t>Our executive officers and directors are encouraged to comply with guidelines suggesting the ownership of substantial equity</w:t>
      </w:r>
      <w:r>
        <w:rPr>
          <w:rFonts w:ascii="Arial" w:cs="Arial" w:eastAsia="Arial" w:hAnsi="Arial"/>
          <w:sz w:val="16"/>
          <w:szCs w:val="16"/>
          <w:i w:val="1"/>
          <w:iCs w:val="1"/>
          <w:color w:val="231F20"/>
        </w:rPr>
        <w:t xml:space="preserve"> </w:t>
      </w:r>
      <w:r>
        <w:rPr>
          <w:rFonts w:ascii="Arial" w:cs="Arial" w:eastAsia="Arial" w:hAnsi="Arial"/>
          <w:sz w:val="16"/>
          <w:szCs w:val="16"/>
          <w:color w:val="231F20"/>
        </w:rPr>
        <w:t>positions in our stock.</w:t>
      </w:r>
    </w:p>
    <w:p>
      <w:pPr>
        <w:spacing w:after="0" w:line="4" w:lineRule="exact"/>
        <w:rPr>
          <w:rFonts w:ascii="Arial" w:cs="Arial" w:eastAsia="Arial" w:hAnsi="Arial"/>
          <w:sz w:val="16"/>
          <w:szCs w:val="16"/>
          <w:b w:val="1"/>
          <w:bCs w:val="1"/>
          <w:color w:val="6F2875"/>
        </w:rPr>
      </w:pPr>
    </w:p>
    <w:p>
      <w:pPr>
        <w:ind w:left="180" w:hanging="172"/>
        <w:spacing w:after="0"/>
        <w:tabs>
          <w:tab w:leader="none" w:pos="180" w:val="left"/>
        </w:tabs>
        <w:numPr>
          <w:ilvl w:val="0"/>
          <w:numId w:val="12"/>
        </w:numPr>
        <w:rPr>
          <w:rFonts w:ascii="Arial" w:cs="Arial" w:eastAsia="Arial" w:hAnsi="Arial"/>
          <w:sz w:val="16"/>
          <w:szCs w:val="16"/>
          <w:b w:val="1"/>
          <w:bCs w:val="1"/>
          <w:color w:val="6F2875"/>
        </w:rPr>
      </w:pPr>
      <w:r>
        <w:rPr>
          <w:rFonts w:ascii="Arial" w:cs="Arial" w:eastAsia="Arial" w:hAnsi="Arial"/>
          <w:sz w:val="16"/>
          <w:szCs w:val="16"/>
          <w:i w:val="1"/>
          <w:iCs w:val="1"/>
          <w:color w:val="231F20"/>
        </w:rPr>
        <w:t xml:space="preserve">Performance Assessments. </w:t>
      </w:r>
      <w:r>
        <w:rPr>
          <w:rFonts w:ascii="Arial" w:cs="Arial" w:eastAsia="Arial" w:hAnsi="Arial"/>
          <w:sz w:val="16"/>
          <w:szCs w:val="16"/>
          <w:color w:val="231F20"/>
        </w:rPr>
        <w:t>Compliance and ethical behaviors are integral factors considered in all performance assessments.</w:t>
      </w: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Management conducted a risk assessment of our compensation plans and practices and concluded that our compensation programs do not create risks that are reasonably likely to have a material adverse effect on the Company. The objective of the assessment was to identify any compensation plans or practices that may encourage employees to take unnecessary risk that could threaten the Company. No such plans or practices were identified. The Compensation Committee has reviewed and agrees with management’s conclusion.</w:t>
      </w:r>
    </w:p>
    <w:p>
      <w:pPr>
        <w:spacing w:after="0" w:line="183" w:lineRule="exact"/>
        <w:rPr>
          <w:sz w:val="20"/>
          <w:szCs w:val="20"/>
          <w:color w:val="auto"/>
        </w:rPr>
      </w:pPr>
    </w:p>
    <w:p>
      <w:pPr>
        <w:spacing w:after="0"/>
        <w:tabs>
          <w:tab w:leader="none" w:pos="4220" w:val="left"/>
          <w:tab w:leader="none" w:pos="9960" w:val="left"/>
        </w:tabs>
        <w:rPr>
          <w:sz w:val="20"/>
          <w:szCs w:val="20"/>
          <w:color w:val="auto"/>
        </w:rPr>
      </w:pPr>
      <w:r>
        <w:rPr>
          <w:rFonts w:ascii="Arial" w:cs="Arial" w:eastAsia="Arial" w:hAnsi="Arial"/>
          <w:sz w:val="16"/>
          <w:szCs w:val="16"/>
          <w:b w:val="1"/>
          <w:bCs w:val="1"/>
          <w:color w:val="auto"/>
        </w:rPr>
        <w:t>14</w:t>
      </w:r>
      <w:r>
        <w:rPr>
          <w:sz w:val="20"/>
          <w:szCs w:val="20"/>
          <w:color w:val="auto"/>
        </w:rPr>
        <w:tab/>
      </w: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r>
        <w:rPr>
          <w:sz w:val="20"/>
          <w:szCs w:val="20"/>
          <w:color w:val="auto"/>
        </w:rPr>
        <w:tab/>
      </w:r>
      <w:r>
        <w:rPr>
          <w:rFonts w:ascii="Arial" w:cs="Arial" w:eastAsia="Arial" w:hAnsi="Arial"/>
          <w:sz w:val="16"/>
          <w:szCs w:val="16"/>
          <w:b w:val="1"/>
          <w:bCs w:val="1"/>
          <w:color w:val="6F2875"/>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-36195</wp:posOffset>
            </wp:positionV>
            <wp:extent cx="1663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-36195</wp:posOffset>
            </wp:positionV>
            <wp:extent cx="23241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Board, Committee and Shareholder Meetings</w:t>
      </w:r>
    </w:p>
    <w:p>
      <w:pPr>
        <w:spacing w:after="0" w:line="35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 xml:space="preserve">Our Board has three standing committees: an Audit and Compliance Committee, a Compensation Committee and a Nominating and Corporate Governance Committee. Each committee is comprised entirely of independent directors, as currently required under the SEC’s rules and regulations and Nasdaq listing standards, and each committee is governed by a written charter approved by the Board. These charters form an integral part of our corporate governance policies, and a copy of each charter is available on our website at </w:t>
      </w:r>
      <w:r>
        <w:rPr>
          <w:rFonts w:ascii="Arial" w:cs="Arial" w:eastAsia="Arial" w:hAnsi="Arial"/>
          <w:sz w:val="16"/>
          <w:szCs w:val="16"/>
          <w:i w:val="1"/>
          <w:iCs w:val="1"/>
          <w:color w:val="231F20"/>
        </w:rPr>
        <w:t>www.livanova.com</w:t>
      </w:r>
      <w:r>
        <w:rPr>
          <w:rFonts w:ascii="Arial" w:cs="Arial" w:eastAsia="Arial" w:hAnsi="Arial"/>
          <w:sz w:val="16"/>
          <w:szCs w:val="16"/>
          <w:color w:val="231F20"/>
        </w:rPr>
        <w:t>.</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The Board held ten meetings in 2017, of which six were regularly scheduled and four were additional meetings. Each of the directors attended at least 75% of the Board meetings and the meetings of the committees of which they were members. We do not have a formal policy on director attendance at our AGM. Only our chairman attended our 2017 AGM in London. For our 2018 AGM, which will be a hybrid virtual meeting, we expect our chairman to attend in person and all other directors to attend virtually.</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The following table summarizes (i) the membership of the Board as of December 31, 2017, (ii) the members of each of the Board’s standing committees as of December 31, 2017, and (iii) the number of times each committee met during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20" w:type="dxa"/>
            <w:vAlign w:val="bottom"/>
          </w:tcPr>
          <w:p>
            <w:pPr>
              <w:jc w:val="center"/>
              <w:ind w:right="39"/>
              <w:spacing w:after="0"/>
              <w:rPr>
                <w:sz w:val="20"/>
                <w:szCs w:val="20"/>
                <w:color w:val="auto"/>
              </w:rPr>
            </w:pPr>
            <w:r>
              <w:rPr>
                <w:rFonts w:ascii="Arial" w:cs="Arial" w:eastAsia="Arial" w:hAnsi="Arial"/>
                <w:sz w:val="16"/>
                <w:szCs w:val="16"/>
                <w:b w:val="1"/>
                <w:bCs w:val="1"/>
                <w:color w:val="6F2875"/>
              </w:rPr>
              <w:t>Nominating and</w:t>
            </w:r>
          </w:p>
        </w:tc>
      </w:tr>
      <w:tr>
        <w:trPr>
          <w:trHeight w:val="189"/>
        </w:trPr>
        <w:tc>
          <w:tcPr>
            <w:tcW w:w="4700" w:type="dxa"/>
            <w:vAlign w:val="bottom"/>
          </w:tcPr>
          <w:p>
            <w:pPr>
              <w:spacing w:after="0"/>
              <w:rPr>
                <w:sz w:val="16"/>
                <w:szCs w:val="16"/>
                <w:color w:val="auto"/>
              </w:rPr>
            </w:pPr>
          </w:p>
        </w:tc>
        <w:tc>
          <w:tcPr>
            <w:tcW w:w="2800" w:type="dxa"/>
            <w:vAlign w:val="bottom"/>
          </w:tcPr>
          <w:p>
            <w:pPr>
              <w:jc w:val="center"/>
              <w:ind w:left="419"/>
              <w:spacing w:after="0"/>
              <w:rPr>
                <w:sz w:val="20"/>
                <w:szCs w:val="20"/>
                <w:color w:val="auto"/>
              </w:rPr>
            </w:pPr>
            <w:r>
              <w:rPr>
                <w:rFonts w:ascii="Arial" w:cs="Arial" w:eastAsia="Arial" w:hAnsi="Arial"/>
                <w:sz w:val="16"/>
                <w:szCs w:val="16"/>
                <w:b w:val="1"/>
                <w:bCs w:val="1"/>
                <w:color w:val="6F2875"/>
              </w:rPr>
              <w:t>Audit and</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6F2875"/>
              </w:rPr>
              <w:t>Compensation</w:t>
            </w:r>
          </w:p>
        </w:tc>
        <w:tc>
          <w:tcPr>
            <w:tcW w:w="2320" w:type="dxa"/>
            <w:vAlign w:val="bottom"/>
          </w:tcPr>
          <w:p>
            <w:pPr>
              <w:jc w:val="center"/>
              <w:spacing w:after="0"/>
              <w:rPr>
                <w:sz w:val="20"/>
                <w:szCs w:val="20"/>
                <w:color w:val="auto"/>
              </w:rPr>
            </w:pPr>
            <w:r>
              <w:rPr>
                <w:rFonts w:ascii="Arial" w:cs="Arial" w:eastAsia="Arial" w:hAnsi="Arial"/>
                <w:sz w:val="16"/>
                <w:szCs w:val="16"/>
                <w:b w:val="1"/>
                <w:bCs w:val="1"/>
                <w:color w:val="6F2875"/>
              </w:rPr>
              <w:t>Corporate Governance</w:t>
            </w:r>
          </w:p>
        </w:tc>
      </w:tr>
      <w:tr>
        <w:trPr>
          <w:trHeight w:val="207"/>
        </w:trPr>
        <w:tc>
          <w:tcPr>
            <w:tcW w:w="4700" w:type="dxa"/>
            <w:vAlign w:val="bottom"/>
            <w:tcBorders>
              <w:bottom w:val="single" w:sz="8" w:color="6F2875"/>
            </w:tcBorders>
          </w:tcPr>
          <w:p>
            <w:pPr>
              <w:ind w:left="60"/>
              <w:spacing w:after="0"/>
              <w:rPr>
                <w:sz w:val="20"/>
                <w:szCs w:val="20"/>
                <w:color w:val="auto"/>
              </w:rPr>
            </w:pPr>
            <w:r>
              <w:rPr>
                <w:rFonts w:ascii="Arial" w:cs="Arial" w:eastAsia="Arial" w:hAnsi="Arial"/>
                <w:sz w:val="16"/>
                <w:szCs w:val="16"/>
                <w:b w:val="1"/>
                <w:bCs w:val="1"/>
                <w:color w:val="6F2875"/>
              </w:rPr>
              <w:t>Board as of December 31, 2017</w:t>
            </w:r>
          </w:p>
        </w:tc>
        <w:tc>
          <w:tcPr>
            <w:tcW w:w="2800" w:type="dxa"/>
            <w:vAlign w:val="bottom"/>
            <w:tcBorders>
              <w:bottom w:val="single" w:sz="8" w:color="6F2875"/>
            </w:tcBorders>
          </w:tcPr>
          <w:p>
            <w:pPr>
              <w:jc w:val="center"/>
              <w:ind w:left="479"/>
              <w:spacing w:after="0"/>
              <w:rPr>
                <w:sz w:val="20"/>
                <w:szCs w:val="20"/>
                <w:color w:val="auto"/>
              </w:rPr>
            </w:pPr>
            <w:r>
              <w:rPr>
                <w:rFonts w:ascii="Arial" w:cs="Arial" w:eastAsia="Arial" w:hAnsi="Arial"/>
                <w:sz w:val="16"/>
                <w:szCs w:val="16"/>
                <w:b w:val="1"/>
                <w:bCs w:val="1"/>
                <w:color w:val="6F2875"/>
              </w:rPr>
              <w:t>Compliance Committee</w:t>
            </w:r>
          </w:p>
        </w:tc>
        <w:tc>
          <w:tcPr>
            <w:tcW w:w="1600" w:type="dxa"/>
            <w:vAlign w:val="bottom"/>
            <w:tcBorders>
              <w:bottom w:val="single" w:sz="8" w:color="6F2875"/>
            </w:tcBorders>
          </w:tcPr>
          <w:p>
            <w:pPr>
              <w:jc w:val="center"/>
              <w:spacing w:after="0"/>
              <w:rPr>
                <w:sz w:val="20"/>
                <w:szCs w:val="20"/>
                <w:color w:val="auto"/>
              </w:rPr>
            </w:pPr>
            <w:r>
              <w:rPr>
                <w:rFonts w:ascii="Arial" w:cs="Arial" w:eastAsia="Arial" w:hAnsi="Arial"/>
                <w:sz w:val="16"/>
                <w:szCs w:val="16"/>
                <w:b w:val="1"/>
                <w:bCs w:val="1"/>
                <w:color w:val="6F2875"/>
              </w:rPr>
              <w:t>Committee</w:t>
            </w:r>
          </w:p>
        </w:tc>
        <w:tc>
          <w:tcPr>
            <w:tcW w:w="2320" w:type="dxa"/>
            <w:vAlign w:val="bottom"/>
            <w:tcBorders>
              <w:bottom w:val="single" w:sz="8" w:color="6F2875"/>
            </w:tcBorders>
          </w:tcPr>
          <w:p>
            <w:pPr>
              <w:jc w:val="center"/>
              <w:spacing w:after="0"/>
              <w:rPr>
                <w:sz w:val="20"/>
                <w:szCs w:val="20"/>
                <w:color w:val="auto"/>
              </w:rPr>
            </w:pPr>
            <w:r>
              <w:rPr>
                <w:rFonts w:ascii="Arial" w:cs="Arial" w:eastAsia="Arial" w:hAnsi="Arial"/>
                <w:sz w:val="16"/>
                <w:szCs w:val="16"/>
                <w:b w:val="1"/>
                <w:bCs w:val="1"/>
                <w:color w:val="6F2875"/>
              </w:rPr>
              <w:t>Committee</w:t>
            </w:r>
          </w:p>
        </w:tc>
      </w:tr>
      <w:tr>
        <w:trPr>
          <w:trHeight w:val="184"/>
        </w:trPr>
        <w:tc>
          <w:tcPr>
            <w:tcW w:w="4700" w:type="dxa"/>
            <w:vAlign w:val="bottom"/>
          </w:tcPr>
          <w:p>
            <w:pPr>
              <w:ind w:left="60"/>
              <w:spacing w:after="0"/>
              <w:rPr>
                <w:sz w:val="20"/>
                <w:szCs w:val="20"/>
                <w:color w:val="auto"/>
              </w:rPr>
            </w:pPr>
            <w:r>
              <w:rPr>
                <w:rFonts w:ascii="Arial" w:cs="Arial" w:eastAsia="Arial" w:hAnsi="Arial"/>
                <w:sz w:val="16"/>
                <w:szCs w:val="16"/>
                <w:b w:val="1"/>
                <w:bCs w:val="1"/>
                <w:color w:val="231F20"/>
              </w:rPr>
              <w:t>Daniel Moore</w:t>
            </w:r>
          </w:p>
        </w:tc>
        <w:tc>
          <w:tcPr>
            <w:tcW w:w="28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187"/>
        </w:trPr>
        <w:tc>
          <w:tcPr>
            <w:tcW w:w="4700" w:type="dxa"/>
            <w:vAlign w:val="bottom"/>
          </w:tcPr>
          <w:p>
            <w:pPr>
              <w:ind w:left="180"/>
              <w:spacing w:after="0"/>
              <w:rPr>
                <w:sz w:val="20"/>
                <w:szCs w:val="20"/>
                <w:color w:val="auto"/>
              </w:rPr>
            </w:pPr>
            <w:r>
              <w:rPr>
                <w:rFonts w:ascii="Arial" w:cs="Arial" w:eastAsia="Arial" w:hAnsi="Arial"/>
                <w:sz w:val="16"/>
                <w:szCs w:val="16"/>
                <w:color w:val="231F20"/>
              </w:rPr>
              <w:t>(Chairman of the Board)</w:t>
            </w:r>
          </w:p>
        </w:tc>
        <w:tc>
          <w:tcPr>
            <w:tcW w:w="28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243"/>
        </w:trPr>
        <w:tc>
          <w:tcPr>
            <w:tcW w:w="4700" w:type="dxa"/>
            <w:vAlign w:val="bottom"/>
            <w:shd w:val="clear" w:color="auto" w:fill="F3EDF3"/>
          </w:tcPr>
          <w:p>
            <w:pPr>
              <w:ind w:left="60"/>
              <w:spacing w:after="0"/>
              <w:rPr>
                <w:sz w:val="20"/>
                <w:szCs w:val="20"/>
                <w:color w:val="auto"/>
              </w:rPr>
            </w:pPr>
            <w:r>
              <w:rPr>
                <w:rFonts w:ascii="Arial" w:cs="Arial" w:eastAsia="Arial" w:hAnsi="Arial"/>
                <w:sz w:val="16"/>
                <w:szCs w:val="16"/>
                <w:b w:val="1"/>
                <w:bCs w:val="1"/>
                <w:color w:val="231F20"/>
              </w:rPr>
              <w:t>Hugh Morrison</w:t>
            </w:r>
          </w:p>
        </w:tc>
        <w:tc>
          <w:tcPr>
            <w:tcW w:w="2800" w:type="dxa"/>
            <w:vAlign w:val="bottom"/>
            <w:shd w:val="clear" w:color="auto" w:fill="F3EDF3"/>
          </w:tcPr>
          <w:p>
            <w:pPr>
              <w:spacing w:after="0"/>
              <w:rPr>
                <w:sz w:val="21"/>
                <w:szCs w:val="21"/>
                <w:color w:val="auto"/>
              </w:rPr>
            </w:pPr>
          </w:p>
        </w:tc>
        <w:tc>
          <w:tcPr>
            <w:tcW w:w="1600" w:type="dxa"/>
            <w:vAlign w:val="bottom"/>
            <w:shd w:val="clear" w:color="auto" w:fill="F3EDF3"/>
          </w:tcPr>
          <w:p>
            <w:pPr>
              <w:spacing w:after="0"/>
              <w:rPr>
                <w:sz w:val="21"/>
                <w:szCs w:val="21"/>
                <w:color w:val="auto"/>
              </w:rPr>
            </w:pPr>
          </w:p>
        </w:tc>
        <w:tc>
          <w:tcPr>
            <w:tcW w:w="2320" w:type="dxa"/>
            <w:vAlign w:val="bottom"/>
            <w:shd w:val="clear" w:color="auto" w:fill="F3EDF3"/>
          </w:tcPr>
          <w:p>
            <w:pPr>
              <w:spacing w:after="0"/>
              <w:rPr>
                <w:sz w:val="21"/>
                <w:szCs w:val="21"/>
                <w:color w:val="auto"/>
              </w:rPr>
            </w:pPr>
          </w:p>
        </w:tc>
      </w:tr>
      <w:tr>
        <w:trPr>
          <w:trHeight w:val="243"/>
        </w:trPr>
        <w:tc>
          <w:tcPr>
            <w:tcW w:w="4700" w:type="dxa"/>
            <w:vAlign w:val="bottom"/>
          </w:tcPr>
          <w:p>
            <w:pPr>
              <w:ind w:left="60"/>
              <w:spacing w:after="0"/>
              <w:rPr>
                <w:sz w:val="20"/>
                <w:szCs w:val="20"/>
                <w:color w:val="auto"/>
              </w:rPr>
            </w:pPr>
            <w:r>
              <w:rPr>
                <w:rFonts w:ascii="Arial" w:cs="Arial" w:eastAsia="Arial" w:hAnsi="Arial"/>
                <w:sz w:val="16"/>
                <w:szCs w:val="16"/>
                <w:b w:val="1"/>
                <w:bCs w:val="1"/>
                <w:color w:val="231F20"/>
              </w:rPr>
              <w:t>Arthur Rosenthal</w:t>
            </w: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203"/>
        </w:trPr>
        <w:tc>
          <w:tcPr>
            <w:tcW w:w="4700" w:type="dxa"/>
            <w:vAlign w:val="bottom"/>
            <w:shd w:val="clear" w:color="auto" w:fill="F3EDF3"/>
          </w:tcPr>
          <w:p>
            <w:pPr>
              <w:ind w:left="60"/>
              <w:spacing w:after="0"/>
              <w:rPr>
                <w:sz w:val="20"/>
                <w:szCs w:val="20"/>
                <w:color w:val="auto"/>
              </w:rPr>
            </w:pPr>
            <w:r>
              <w:rPr>
                <w:rFonts w:ascii="Arial" w:cs="Arial" w:eastAsia="Arial" w:hAnsi="Arial"/>
                <w:sz w:val="16"/>
                <w:szCs w:val="16"/>
                <w:b w:val="1"/>
                <w:bCs w:val="1"/>
                <w:color w:val="231F20"/>
              </w:rPr>
              <w:t>Alfred Novak</w:t>
            </w:r>
          </w:p>
        </w:tc>
        <w:tc>
          <w:tcPr>
            <w:tcW w:w="2800" w:type="dxa"/>
            <w:vAlign w:val="bottom"/>
            <w:shd w:val="clear" w:color="auto" w:fill="F3EDF3"/>
          </w:tcPr>
          <w:p>
            <w:pPr>
              <w:spacing w:after="0"/>
              <w:rPr>
                <w:sz w:val="17"/>
                <w:szCs w:val="17"/>
                <w:color w:val="auto"/>
              </w:rPr>
            </w:pPr>
          </w:p>
        </w:tc>
        <w:tc>
          <w:tcPr>
            <w:tcW w:w="1600" w:type="dxa"/>
            <w:vAlign w:val="bottom"/>
            <w:shd w:val="clear" w:color="auto" w:fill="F3EDF3"/>
          </w:tcPr>
          <w:p>
            <w:pPr>
              <w:spacing w:after="0"/>
              <w:rPr>
                <w:sz w:val="17"/>
                <w:szCs w:val="17"/>
                <w:color w:val="auto"/>
              </w:rPr>
            </w:pPr>
          </w:p>
        </w:tc>
        <w:tc>
          <w:tcPr>
            <w:tcW w:w="2320" w:type="dxa"/>
            <w:vAlign w:val="bottom"/>
            <w:shd w:val="clear" w:color="auto" w:fill="F3EDF3"/>
          </w:tcPr>
          <w:p>
            <w:pPr>
              <w:spacing w:after="0"/>
              <w:rPr>
                <w:sz w:val="17"/>
                <w:szCs w:val="17"/>
                <w:color w:val="auto"/>
              </w:rPr>
            </w:pPr>
          </w:p>
        </w:tc>
      </w:tr>
      <w:tr>
        <w:trPr>
          <w:trHeight w:val="216"/>
        </w:trPr>
        <w:tc>
          <w:tcPr>
            <w:tcW w:w="4700" w:type="dxa"/>
            <w:vAlign w:val="bottom"/>
          </w:tcPr>
          <w:p>
            <w:pPr>
              <w:ind w:left="60"/>
              <w:spacing w:after="0"/>
              <w:rPr>
                <w:sz w:val="20"/>
                <w:szCs w:val="20"/>
                <w:color w:val="auto"/>
              </w:rPr>
            </w:pPr>
            <w:r>
              <w:rPr>
                <w:rFonts w:ascii="Arial" w:cs="Arial" w:eastAsia="Arial" w:hAnsi="Arial"/>
                <w:sz w:val="16"/>
                <w:szCs w:val="16"/>
                <w:b w:val="1"/>
                <w:bCs w:val="1"/>
                <w:color w:val="231F20"/>
              </w:rPr>
              <w:t>Francesco Bianchi</w:t>
            </w:r>
          </w:p>
        </w:tc>
        <w:tc>
          <w:tcPr>
            <w:tcW w:w="2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30"/>
        </w:trPr>
        <w:tc>
          <w:tcPr>
            <w:tcW w:w="4700" w:type="dxa"/>
            <w:vAlign w:val="bottom"/>
            <w:shd w:val="clear" w:color="auto" w:fill="F3EDF3"/>
          </w:tcPr>
          <w:p>
            <w:pPr>
              <w:ind w:left="60"/>
              <w:spacing w:after="0" w:line="230" w:lineRule="exact"/>
              <w:rPr>
                <w:sz w:val="20"/>
                <w:szCs w:val="20"/>
                <w:color w:val="auto"/>
              </w:rPr>
            </w:pPr>
            <w:r>
              <w:rPr>
                <w:rFonts w:ascii="Arial" w:cs="Arial" w:eastAsia="Arial" w:hAnsi="Arial"/>
                <w:sz w:val="16"/>
                <w:szCs w:val="16"/>
                <w:b w:val="1"/>
                <w:bCs w:val="1"/>
                <w:color w:val="231F20"/>
              </w:rPr>
              <w:t>Stefano Gianotti</w:t>
            </w:r>
            <w:r>
              <w:rPr>
                <w:rFonts w:ascii="Arial" w:cs="Arial" w:eastAsia="Arial" w:hAnsi="Arial"/>
                <w:sz w:val="26"/>
                <w:szCs w:val="26"/>
                <w:b w:val="1"/>
                <w:bCs w:val="1"/>
                <w:color w:val="231F20"/>
                <w:vertAlign w:val="superscript"/>
              </w:rPr>
              <w:t>(1)</w:t>
            </w:r>
          </w:p>
        </w:tc>
        <w:tc>
          <w:tcPr>
            <w:tcW w:w="2800" w:type="dxa"/>
            <w:vAlign w:val="bottom"/>
            <w:shd w:val="clear" w:color="auto" w:fill="F3EDF3"/>
          </w:tcPr>
          <w:p>
            <w:pPr>
              <w:spacing w:after="0"/>
              <w:rPr>
                <w:sz w:val="19"/>
                <w:szCs w:val="19"/>
                <w:color w:val="auto"/>
              </w:rPr>
            </w:pPr>
          </w:p>
        </w:tc>
        <w:tc>
          <w:tcPr>
            <w:tcW w:w="1600" w:type="dxa"/>
            <w:vAlign w:val="bottom"/>
            <w:shd w:val="clear" w:color="auto" w:fill="F3EDF3"/>
          </w:tcPr>
          <w:p>
            <w:pPr>
              <w:spacing w:after="0"/>
              <w:rPr>
                <w:sz w:val="19"/>
                <w:szCs w:val="19"/>
                <w:color w:val="auto"/>
              </w:rPr>
            </w:pPr>
          </w:p>
        </w:tc>
        <w:tc>
          <w:tcPr>
            <w:tcW w:w="2320" w:type="dxa"/>
            <w:vAlign w:val="bottom"/>
            <w:shd w:val="clear" w:color="auto" w:fill="F3EDF3"/>
          </w:tcPr>
          <w:p>
            <w:pPr>
              <w:spacing w:after="0"/>
              <w:rPr>
                <w:sz w:val="19"/>
                <w:szCs w:val="19"/>
                <w:color w:val="auto"/>
              </w:rPr>
            </w:pPr>
          </w:p>
        </w:tc>
      </w:tr>
      <w:tr>
        <w:trPr>
          <w:trHeight w:val="243"/>
        </w:trPr>
        <w:tc>
          <w:tcPr>
            <w:tcW w:w="4700" w:type="dxa"/>
            <w:vAlign w:val="bottom"/>
          </w:tcPr>
          <w:p>
            <w:pPr>
              <w:ind w:left="60"/>
              <w:spacing w:after="0"/>
              <w:rPr>
                <w:sz w:val="20"/>
                <w:szCs w:val="20"/>
                <w:color w:val="auto"/>
              </w:rPr>
            </w:pPr>
            <w:r>
              <w:rPr>
                <w:rFonts w:ascii="Arial" w:cs="Arial" w:eastAsia="Arial" w:hAnsi="Arial"/>
                <w:sz w:val="16"/>
                <w:szCs w:val="16"/>
                <w:b w:val="1"/>
                <w:bCs w:val="1"/>
                <w:color w:val="231F20"/>
              </w:rPr>
              <w:t>Sharon O’Kane</w:t>
            </w: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203"/>
        </w:trPr>
        <w:tc>
          <w:tcPr>
            <w:tcW w:w="4700" w:type="dxa"/>
            <w:vAlign w:val="bottom"/>
            <w:shd w:val="clear" w:color="auto" w:fill="F3EDF3"/>
          </w:tcPr>
          <w:p>
            <w:pPr>
              <w:ind w:left="60"/>
              <w:spacing w:after="0"/>
              <w:rPr>
                <w:sz w:val="20"/>
                <w:szCs w:val="20"/>
                <w:color w:val="auto"/>
              </w:rPr>
            </w:pPr>
            <w:r>
              <w:rPr>
                <w:rFonts w:ascii="Arial" w:cs="Arial" w:eastAsia="Arial" w:hAnsi="Arial"/>
                <w:sz w:val="16"/>
                <w:szCs w:val="16"/>
                <w:b w:val="1"/>
                <w:bCs w:val="1"/>
                <w:color w:val="231F20"/>
              </w:rPr>
              <w:t>Andrea Saia</w:t>
            </w:r>
          </w:p>
        </w:tc>
        <w:tc>
          <w:tcPr>
            <w:tcW w:w="2800" w:type="dxa"/>
            <w:vAlign w:val="bottom"/>
            <w:shd w:val="clear" w:color="auto" w:fill="F3EDF3"/>
          </w:tcPr>
          <w:p>
            <w:pPr>
              <w:spacing w:after="0"/>
              <w:rPr>
                <w:sz w:val="17"/>
                <w:szCs w:val="17"/>
                <w:color w:val="auto"/>
              </w:rPr>
            </w:pPr>
          </w:p>
        </w:tc>
        <w:tc>
          <w:tcPr>
            <w:tcW w:w="1600" w:type="dxa"/>
            <w:vAlign w:val="bottom"/>
            <w:shd w:val="clear" w:color="auto" w:fill="F3EDF3"/>
          </w:tcPr>
          <w:p>
            <w:pPr>
              <w:spacing w:after="0"/>
              <w:rPr>
                <w:sz w:val="17"/>
                <w:szCs w:val="17"/>
                <w:color w:val="auto"/>
              </w:rPr>
            </w:pPr>
          </w:p>
        </w:tc>
        <w:tc>
          <w:tcPr>
            <w:tcW w:w="2320" w:type="dxa"/>
            <w:vAlign w:val="bottom"/>
            <w:shd w:val="clear" w:color="auto" w:fill="F3EDF3"/>
          </w:tcPr>
          <w:p>
            <w:pPr>
              <w:spacing w:after="0"/>
              <w:rPr>
                <w:sz w:val="17"/>
                <w:szCs w:val="17"/>
                <w:color w:val="auto"/>
              </w:rPr>
            </w:pPr>
          </w:p>
        </w:tc>
      </w:tr>
      <w:tr>
        <w:trPr>
          <w:trHeight w:val="189"/>
        </w:trPr>
        <w:tc>
          <w:tcPr>
            <w:tcW w:w="4700" w:type="dxa"/>
            <w:vAlign w:val="bottom"/>
            <w:tcBorders>
              <w:bottom w:val="single" w:sz="8" w:color="6F2875"/>
            </w:tcBorders>
          </w:tcPr>
          <w:p>
            <w:pPr>
              <w:ind w:left="60"/>
              <w:spacing w:after="0"/>
              <w:rPr>
                <w:sz w:val="20"/>
                <w:szCs w:val="20"/>
                <w:color w:val="auto"/>
              </w:rPr>
            </w:pPr>
            <w:r>
              <w:rPr>
                <w:rFonts w:ascii="Arial" w:cs="Arial" w:eastAsia="Arial" w:hAnsi="Arial"/>
                <w:sz w:val="16"/>
                <w:szCs w:val="16"/>
                <w:b w:val="1"/>
                <w:bCs w:val="1"/>
                <w:color w:val="231F20"/>
              </w:rPr>
              <w:t>Damien McDonald</w:t>
            </w:r>
          </w:p>
        </w:tc>
        <w:tc>
          <w:tcPr>
            <w:tcW w:w="2800" w:type="dxa"/>
            <w:vAlign w:val="bottom"/>
            <w:tcBorders>
              <w:bottom w:val="single" w:sz="8" w:color="6F2875"/>
            </w:tcBorders>
          </w:tcPr>
          <w:p>
            <w:pPr>
              <w:spacing w:after="0"/>
              <w:rPr>
                <w:sz w:val="16"/>
                <w:szCs w:val="16"/>
                <w:color w:val="auto"/>
              </w:rPr>
            </w:pPr>
          </w:p>
        </w:tc>
        <w:tc>
          <w:tcPr>
            <w:tcW w:w="1600" w:type="dxa"/>
            <w:vAlign w:val="bottom"/>
            <w:tcBorders>
              <w:bottom w:val="single" w:sz="8" w:color="6F2875"/>
            </w:tcBorders>
          </w:tcPr>
          <w:p>
            <w:pPr>
              <w:spacing w:after="0"/>
              <w:rPr>
                <w:sz w:val="16"/>
                <w:szCs w:val="16"/>
                <w:color w:val="auto"/>
              </w:rPr>
            </w:pPr>
          </w:p>
        </w:tc>
        <w:tc>
          <w:tcPr>
            <w:tcW w:w="2320" w:type="dxa"/>
            <w:vAlign w:val="bottom"/>
            <w:tcBorders>
              <w:bottom w:val="single" w:sz="8" w:color="6F2875"/>
            </w:tcBorders>
          </w:tcPr>
          <w:p>
            <w:pPr>
              <w:spacing w:after="0"/>
              <w:rPr>
                <w:sz w:val="16"/>
                <w:szCs w:val="16"/>
                <w:color w:val="auto"/>
              </w:rPr>
            </w:pPr>
          </w:p>
        </w:tc>
      </w:tr>
      <w:tr>
        <w:trPr>
          <w:trHeight w:val="183"/>
        </w:trPr>
        <w:tc>
          <w:tcPr>
            <w:tcW w:w="4700" w:type="dxa"/>
            <w:vAlign w:val="bottom"/>
            <w:tcBorders>
              <w:bottom w:val="single" w:sz="8" w:color="6F2875"/>
            </w:tcBorders>
          </w:tcPr>
          <w:p>
            <w:pPr>
              <w:ind w:left="60"/>
              <w:spacing w:after="0" w:line="183" w:lineRule="exact"/>
              <w:rPr>
                <w:sz w:val="20"/>
                <w:szCs w:val="20"/>
                <w:color w:val="auto"/>
              </w:rPr>
            </w:pPr>
            <w:r>
              <w:rPr>
                <w:rFonts w:ascii="Arial" w:cs="Arial" w:eastAsia="Arial" w:hAnsi="Arial"/>
                <w:sz w:val="16"/>
                <w:szCs w:val="16"/>
                <w:b w:val="1"/>
                <w:bCs w:val="1"/>
                <w:color w:val="6F2875"/>
              </w:rPr>
              <w:t>Number of times each Committee Met during 2017</w:t>
            </w:r>
          </w:p>
        </w:tc>
        <w:tc>
          <w:tcPr>
            <w:tcW w:w="2800" w:type="dxa"/>
            <w:vAlign w:val="bottom"/>
            <w:tcBorders>
              <w:bottom w:val="single" w:sz="8" w:color="6F2875"/>
            </w:tcBorders>
          </w:tcPr>
          <w:p>
            <w:pPr>
              <w:jc w:val="center"/>
              <w:ind w:left="439"/>
              <w:spacing w:after="0" w:line="183" w:lineRule="exact"/>
              <w:rPr>
                <w:sz w:val="20"/>
                <w:szCs w:val="20"/>
                <w:color w:val="auto"/>
              </w:rPr>
            </w:pPr>
            <w:r>
              <w:rPr>
                <w:rFonts w:ascii="Arial" w:cs="Arial" w:eastAsia="Arial" w:hAnsi="Arial"/>
                <w:sz w:val="16"/>
                <w:szCs w:val="16"/>
                <w:b w:val="1"/>
                <w:bCs w:val="1"/>
                <w:color w:val="6F2875"/>
                <w:w w:val="89"/>
              </w:rPr>
              <w:t>9</w:t>
            </w:r>
          </w:p>
        </w:tc>
        <w:tc>
          <w:tcPr>
            <w:tcW w:w="1600" w:type="dxa"/>
            <w:vAlign w:val="bottom"/>
            <w:tcBorders>
              <w:bottom w:val="single" w:sz="8" w:color="6F2875"/>
            </w:tcBorders>
          </w:tcPr>
          <w:p>
            <w:pPr>
              <w:jc w:val="center"/>
              <w:spacing w:after="0" w:line="183" w:lineRule="exact"/>
              <w:rPr>
                <w:sz w:val="20"/>
                <w:szCs w:val="20"/>
                <w:color w:val="auto"/>
              </w:rPr>
            </w:pPr>
            <w:r>
              <w:rPr>
                <w:rFonts w:ascii="Arial" w:cs="Arial" w:eastAsia="Arial" w:hAnsi="Arial"/>
                <w:sz w:val="16"/>
                <w:szCs w:val="16"/>
                <w:b w:val="1"/>
                <w:bCs w:val="1"/>
                <w:color w:val="6F2875"/>
              </w:rPr>
              <w:t>11</w:t>
            </w:r>
          </w:p>
        </w:tc>
        <w:tc>
          <w:tcPr>
            <w:tcW w:w="2320" w:type="dxa"/>
            <w:vAlign w:val="bottom"/>
            <w:tcBorders>
              <w:bottom w:val="single" w:sz="8" w:color="6F2875"/>
            </w:tcBorders>
          </w:tcPr>
          <w:p>
            <w:pPr>
              <w:jc w:val="center"/>
              <w:ind w:right="39"/>
              <w:spacing w:after="0" w:line="183" w:lineRule="exact"/>
              <w:rPr>
                <w:sz w:val="20"/>
                <w:szCs w:val="20"/>
                <w:color w:val="auto"/>
              </w:rPr>
            </w:pPr>
            <w:r>
              <w:rPr>
                <w:rFonts w:ascii="Arial" w:cs="Arial" w:eastAsia="Arial" w:hAnsi="Arial"/>
                <w:sz w:val="16"/>
                <w:szCs w:val="16"/>
                <w:b w:val="1"/>
                <w:bCs w:val="1"/>
                <w:color w:val="6F2875"/>
                <w:w w:val="89"/>
              </w:rPr>
              <w:t>4</w:t>
            </w:r>
          </w:p>
        </w:tc>
      </w:tr>
      <w:tr>
        <w:trPr>
          <w:trHeight w:val="225"/>
        </w:trPr>
        <w:tc>
          <w:tcPr>
            <w:tcW w:w="4700" w:type="dxa"/>
            <w:vAlign w:val="bottom"/>
          </w:tcPr>
          <w:p>
            <w:pPr>
              <w:ind w:left="340"/>
              <w:spacing w:after="0"/>
              <w:rPr>
                <w:sz w:val="20"/>
                <w:szCs w:val="20"/>
                <w:color w:val="auto"/>
              </w:rPr>
            </w:pPr>
            <w:r>
              <w:rPr>
                <w:rFonts w:ascii="Arial" w:cs="Arial" w:eastAsia="Arial" w:hAnsi="Arial"/>
                <w:sz w:val="14"/>
                <w:szCs w:val="14"/>
                <w:i w:val="1"/>
                <w:iCs w:val="1"/>
                <w:color w:val="231F20"/>
              </w:rPr>
              <w:t>indicates committee chair</w:t>
            </w:r>
          </w:p>
        </w:tc>
        <w:tc>
          <w:tcPr>
            <w:tcW w:w="28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257"/>
        </w:trPr>
        <w:tc>
          <w:tcPr>
            <w:tcW w:w="4700" w:type="dxa"/>
            <w:vAlign w:val="bottom"/>
          </w:tcPr>
          <w:p>
            <w:pPr>
              <w:spacing w:after="0"/>
              <w:rPr>
                <w:sz w:val="20"/>
                <w:szCs w:val="20"/>
                <w:color w:val="auto"/>
              </w:rPr>
            </w:pPr>
            <w:r>
              <w:rPr>
                <w:rFonts w:ascii="Arial" w:cs="Arial" w:eastAsia="Arial" w:hAnsi="Arial"/>
                <w:sz w:val="14"/>
                <w:szCs w:val="14"/>
                <w:i w:val="1"/>
                <w:iCs w:val="1"/>
                <w:color w:val="231F20"/>
              </w:rPr>
              <w:t>(1)  until his resignation on March 23, 2018.</w:t>
            </w:r>
          </w:p>
        </w:tc>
        <w:tc>
          <w:tcPr>
            <w:tcW w:w="28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3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-1569720</wp:posOffset>
            </wp:positionV>
            <wp:extent cx="85725"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-1543685</wp:posOffset>
            </wp:positionV>
            <wp:extent cx="111760" cy="1028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-1415415</wp:posOffset>
            </wp:positionV>
            <wp:extent cx="85725"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-1261110</wp:posOffset>
            </wp:positionV>
            <wp:extent cx="111760" cy="1028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-1261110</wp:posOffset>
            </wp:positionV>
            <wp:extent cx="111760" cy="1028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-1132205</wp:posOffset>
            </wp:positionV>
            <wp:extent cx="128905" cy="1117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-1132205</wp:posOffset>
            </wp:positionV>
            <wp:extent cx="128905" cy="1117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-977900</wp:posOffset>
            </wp:positionV>
            <wp:extent cx="111760" cy="1028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-849630</wp:posOffset>
            </wp:positionV>
            <wp:extent cx="85725"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-694690</wp:posOffset>
            </wp:positionV>
            <wp:extent cx="111760" cy="1028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-274955</wp:posOffset>
            </wp:positionV>
            <wp:extent cx="85725"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128905"/>
                    </a:xfrm>
                    <a:prstGeom prst="rect">
                      <a:avLst/>
                    </a:prstGeom>
                    <a:noFill/>
                  </pic:spPr>
                </pic:pic>
              </a:graphicData>
            </a:graphic>
          </wp:anchor>
        </w:drawing>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Subject to his re-election at the AGM, Mr. Moore will continue in this role. Our standing committees, consisting only of independent members, meet regularly in executive sessions.</w:t>
      </w:r>
    </w:p>
    <w:p>
      <w:pPr>
        <w:spacing w:after="0" w:line="136"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Audit and Compliance Committee</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The Audit and Compliance Committee is comprised entirely of independent directors and is governed by a Board-approved charter setting out its responsibilities. Under its charter, the Audit and Compliance Committee’s key responsibilities include:</w:t>
      </w:r>
    </w:p>
    <w:p>
      <w:pPr>
        <w:spacing w:after="0" w:line="169"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6"/>
          <w:szCs w:val="16"/>
          <w:b w:val="1"/>
          <w:bCs w:val="1"/>
          <w:color w:val="6F2875"/>
        </w:rPr>
      </w:pPr>
      <w:r>
        <w:rPr>
          <w:rFonts w:ascii="Arial" w:cs="Arial" w:eastAsia="Arial" w:hAnsi="Arial"/>
          <w:sz w:val="16"/>
          <w:szCs w:val="16"/>
          <w:color w:val="231F20"/>
        </w:rPr>
        <w:t>reviewing our consolidated financial statements and internal controls with management and the independent auditors;</w:t>
      </w:r>
    </w:p>
    <w:p>
      <w:pPr>
        <w:spacing w:after="0" w:line="59" w:lineRule="exact"/>
        <w:rPr>
          <w:rFonts w:ascii="Arial" w:cs="Arial" w:eastAsia="Arial" w:hAnsi="Arial"/>
          <w:sz w:val="16"/>
          <w:szCs w:val="16"/>
          <w:b w:val="1"/>
          <w:bCs w:val="1"/>
          <w:color w:val="6F2875"/>
        </w:rPr>
      </w:pPr>
    </w:p>
    <w:p>
      <w:pPr>
        <w:ind w:left="180" w:hanging="172"/>
        <w:spacing w:after="0"/>
        <w:tabs>
          <w:tab w:leader="none" w:pos="180" w:val="left"/>
        </w:tabs>
        <w:numPr>
          <w:ilvl w:val="0"/>
          <w:numId w:val="13"/>
        </w:numPr>
        <w:rPr>
          <w:rFonts w:ascii="Arial" w:cs="Arial" w:eastAsia="Arial" w:hAnsi="Arial"/>
          <w:sz w:val="16"/>
          <w:szCs w:val="16"/>
          <w:b w:val="1"/>
          <w:bCs w:val="1"/>
          <w:color w:val="6F2875"/>
        </w:rPr>
      </w:pPr>
      <w:r>
        <w:rPr>
          <w:rFonts w:ascii="Arial" w:cs="Arial" w:eastAsia="Arial" w:hAnsi="Arial"/>
          <w:sz w:val="16"/>
          <w:szCs w:val="16"/>
          <w:color w:val="231F20"/>
        </w:rPr>
        <w:t>monitoring actions we take to comply with our internal accounting and control policies as well as external financial, legal and regulatory requirements;</w:t>
      </w:r>
    </w:p>
    <w:p>
      <w:pPr>
        <w:spacing w:after="0" w:line="59" w:lineRule="exact"/>
        <w:rPr>
          <w:rFonts w:ascii="Arial" w:cs="Arial" w:eastAsia="Arial" w:hAnsi="Arial"/>
          <w:sz w:val="16"/>
          <w:szCs w:val="16"/>
          <w:b w:val="1"/>
          <w:bCs w:val="1"/>
          <w:color w:val="6F2875"/>
        </w:rPr>
      </w:pPr>
    </w:p>
    <w:p>
      <w:pPr>
        <w:ind w:left="180" w:hanging="172"/>
        <w:spacing w:after="0"/>
        <w:tabs>
          <w:tab w:leader="none" w:pos="180" w:val="left"/>
        </w:tabs>
        <w:numPr>
          <w:ilvl w:val="0"/>
          <w:numId w:val="13"/>
        </w:numPr>
        <w:rPr>
          <w:rFonts w:ascii="Arial" w:cs="Arial" w:eastAsia="Arial" w:hAnsi="Arial"/>
          <w:sz w:val="16"/>
          <w:szCs w:val="16"/>
          <w:b w:val="1"/>
          <w:bCs w:val="1"/>
          <w:color w:val="6F2875"/>
        </w:rPr>
      </w:pPr>
      <w:r>
        <w:rPr>
          <w:rFonts w:ascii="Arial" w:cs="Arial" w:eastAsia="Arial" w:hAnsi="Arial"/>
          <w:sz w:val="16"/>
          <w:szCs w:val="16"/>
          <w:color w:val="231F20"/>
        </w:rPr>
        <w:t>monitoring our internal audit functions;</w:t>
      </w:r>
    </w:p>
    <w:p>
      <w:pPr>
        <w:spacing w:after="0" w:line="59" w:lineRule="exact"/>
        <w:rPr>
          <w:rFonts w:ascii="Arial" w:cs="Arial" w:eastAsia="Arial" w:hAnsi="Arial"/>
          <w:sz w:val="16"/>
          <w:szCs w:val="16"/>
          <w:b w:val="1"/>
          <w:bCs w:val="1"/>
          <w:color w:val="6F2875"/>
        </w:rPr>
      </w:pPr>
    </w:p>
    <w:p>
      <w:pPr>
        <w:ind w:left="180" w:right="20" w:hanging="172"/>
        <w:spacing w:after="0" w:line="260" w:lineRule="auto"/>
        <w:tabs>
          <w:tab w:leader="none" w:pos="180" w:val="left"/>
        </w:tabs>
        <w:numPr>
          <w:ilvl w:val="0"/>
          <w:numId w:val="13"/>
        </w:numPr>
        <w:rPr>
          <w:rFonts w:ascii="Arial" w:cs="Arial" w:eastAsia="Arial" w:hAnsi="Arial"/>
          <w:sz w:val="16"/>
          <w:szCs w:val="16"/>
          <w:b w:val="1"/>
          <w:bCs w:val="1"/>
          <w:color w:val="6F2875"/>
        </w:rPr>
      </w:pPr>
      <w:r>
        <w:rPr>
          <w:rFonts w:ascii="Arial" w:cs="Arial" w:eastAsia="Arial" w:hAnsi="Arial"/>
          <w:sz w:val="16"/>
          <w:szCs w:val="16"/>
          <w:color w:val="231F20"/>
        </w:rPr>
        <w:t>reviewing the qualifications and independence of the independent registered public accounting firm (“independent auditors”) engaged for the purpose of auditing our consolidated financial statements and issuing an audit report for inclusion in appropriate regulatory filings; and</w:t>
      </w:r>
    </w:p>
    <w:p>
      <w:pPr>
        <w:spacing w:after="0" w:line="33" w:lineRule="exact"/>
        <w:rPr>
          <w:rFonts w:ascii="Arial" w:cs="Arial" w:eastAsia="Arial" w:hAnsi="Arial"/>
          <w:sz w:val="16"/>
          <w:szCs w:val="16"/>
          <w:b w:val="1"/>
          <w:bCs w:val="1"/>
          <w:color w:val="6F2875"/>
        </w:rPr>
      </w:pPr>
    </w:p>
    <w:p>
      <w:pPr>
        <w:ind w:left="180" w:hanging="172"/>
        <w:spacing w:after="0"/>
        <w:tabs>
          <w:tab w:leader="none" w:pos="180" w:val="left"/>
        </w:tabs>
        <w:numPr>
          <w:ilvl w:val="0"/>
          <w:numId w:val="13"/>
        </w:numPr>
        <w:rPr>
          <w:rFonts w:ascii="Arial" w:cs="Arial" w:eastAsia="Arial" w:hAnsi="Arial"/>
          <w:sz w:val="16"/>
          <w:szCs w:val="16"/>
          <w:b w:val="1"/>
          <w:bCs w:val="1"/>
          <w:color w:val="6F2875"/>
        </w:rPr>
      </w:pPr>
      <w:r>
        <w:rPr>
          <w:rFonts w:ascii="Arial" w:cs="Arial" w:eastAsia="Arial" w:hAnsi="Arial"/>
          <w:sz w:val="16"/>
          <w:szCs w:val="16"/>
          <w:color w:val="231F20"/>
        </w:rPr>
        <w:t>selecting, subject to required shareholder approvals, our independent auditors and evaluating their performance.</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The Audit and Compliance Committee meets at least quarterly with management, the chief compliance officer, internal auditors and the independent auditors in separate executive sessions to discuss any matter that any of these groups believe should be discussed privately. Pursuant to its charter, the committee has the authority, at the Company’s expense, to retain professional advisors, including legal, accounting or other consultants, to advise it in connection with the exercise of its powers and responsibilities. The committee is also responsible for engaging and providing for appropriate compensation of the independent auditors.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Borders>
              <w:bottom w:val="single" w:sz="8" w:color="auto"/>
            </w:tcBorders>
          </w:tcPr>
          <w:p>
            <w:pPr>
              <w:spacing w:after="0"/>
              <w:rPr>
                <w:sz w:val="10"/>
                <w:szCs w:val="10"/>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rPr>
                <w:sz w:val="1"/>
                <w:szCs w:val="1"/>
                <w:color w:val="auto"/>
              </w:rPr>
            </w:pPr>
          </w:p>
        </w:tc>
      </w:tr>
      <w:tr>
        <w:trPr>
          <w:trHeight w:val="69"/>
        </w:trPr>
        <w:tc>
          <w:tcPr>
            <w:tcW w:w="40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 xml:space="preserve">In 2017, the Nominating and Corporate Governance Committee assessed the members of the Audit and Compliance Committee and determined that each Audit and Compliance Committee member satisfied the standards of independence required by the SEC’s rules and regulations, Nasdaq listing standards and our Corporate Governance Guidelines and that all members of the committee are financially literate. It further determined that each of Messrs. Morrison, Novak and Bianchi qualified as an “audit committee financial expert” within the meaning of the SEC’s rules and regulations. A copy of the Audit and Compliance Committee Charter is available on our website at </w:t>
      </w:r>
      <w:r>
        <w:rPr>
          <w:rFonts w:ascii="Arial" w:cs="Arial" w:eastAsia="Arial" w:hAnsi="Arial"/>
          <w:sz w:val="16"/>
          <w:szCs w:val="16"/>
          <w:i w:val="1"/>
          <w:iCs w:val="1"/>
          <w:color w:val="231F20"/>
        </w:rPr>
        <w:t>www.livanova.com.</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231F20"/>
        </w:rPr>
        <w:t>The Audit and Compliance Committee held nine meetings and never acted by unanimous written consent in the year ended December 31, 2017.</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Compensation Committee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231F20"/>
        </w:rPr>
        <w:t>The Compensation Committee is comprised entirely of independent directors and is governed by a Board-approved charter setting out its responsibilities.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Under its charter, the committee is responsible for, among other things, the following:</w:t>
      </w:r>
    </w:p>
    <w:p>
      <w:pPr>
        <w:spacing w:after="0" w:line="194"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6"/>
          <w:szCs w:val="16"/>
          <w:b w:val="1"/>
          <w:bCs w:val="1"/>
          <w:color w:val="6F2875"/>
        </w:rPr>
      </w:pPr>
      <w:r>
        <w:rPr>
          <w:rFonts w:ascii="Arial" w:cs="Arial" w:eastAsia="Arial" w:hAnsi="Arial"/>
          <w:sz w:val="16"/>
          <w:szCs w:val="16"/>
          <w:color w:val="231F20"/>
        </w:rPr>
        <w:t>In respect of the CEO:</w:t>
      </w:r>
    </w:p>
    <w:p>
      <w:pPr>
        <w:spacing w:after="0" w:line="59" w:lineRule="exact"/>
        <w:rPr>
          <w:rFonts w:ascii="Arial" w:cs="Arial" w:eastAsia="Arial" w:hAnsi="Arial"/>
          <w:sz w:val="16"/>
          <w:szCs w:val="16"/>
          <w:b w:val="1"/>
          <w:bCs w:val="1"/>
          <w:color w:val="6F2875"/>
        </w:rPr>
      </w:pPr>
    </w:p>
    <w:p>
      <w:pPr>
        <w:ind w:left="360" w:hanging="176"/>
        <w:spacing w:after="0"/>
        <w:tabs>
          <w:tab w:leader="none" w:pos="360" w:val="left"/>
        </w:tabs>
        <w:numPr>
          <w:ilvl w:val="1"/>
          <w:numId w:val="14"/>
        </w:numPr>
        <w:rPr>
          <w:rFonts w:ascii="Arial" w:cs="Arial" w:eastAsia="Arial" w:hAnsi="Arial"/>
          <w:sz w:val="16"/>
          <w:szCs w:val="16"/>
          <w:b w:val="1"/>
          <w:bCs w:val="1"/>
          <w:color w:val="auto"/>
        </w:rPr>
      </w:pPr>
      <w:r>
        <w:rPr>
          <w:rFonts w:ascii="Arial" w:cs="Arial" w:eastAsia="Arial" w:hAnsi="Arial"/>
          <w:sz w:val="16"/>
          <w:szCs w:val="16"/>
          <w:color w:val="231F20"/>
        </w:rPr>
        <w:t>determining and approving his goals related to his compensation</w:t>
      </w:r>
    </w:p>
    <w:p>
      <w:pPr>
        <w:spacing w:after="0" w:line="59" w:lineRule="exact"/>
        <w:rPr>
          <w:rFonts w:ascii="Arial" w:cs="Arial" w:eastAsia="Arial" w:hAnsi="Arial"/>
          <w:sz w:val="16"/>
          <w:szCs w:val="16"/>
          <w:b w:val="1"/>
          <w:bCs w:val="1"/>
          <w:color w:val="auto"/>
        </w:rPr>
      </w:pPr>
    </w:p>
    <w:p>
      <w:pPr>
        <w:ind w:left="360" w:hanging="176"/>
        <w:spacing w:after="0"/>
        <w:tabs>
          <w:tab w:leader="none" w:pos="360" w:val="left"/>
        </w:tabs>
        <w:numPr>
          <w:ilvl w:val="1"/>
          <w:numId w:val="14"/>
        </w:numPr>
        <w:rPr>
          <w:rFonts w:ascii="Arial" w:cs="Arial" w:eastAsia="Arial" w:hAnsi="Arial"/>
          <w:sz w:val="16"/>
          <w:szCs w:val="16"/>
          <w:b w:val="1"/>
          <w:bCs w:val="1"/>
          <w:color w:val="auto"/>
        </w:rPr>
      </w:pPr>
      <w:r>
        <w:rPr>
          <w:rFonts w:ascii="Arial" w:cs="Arial" w:eastAsia="Arial" w:hAnsi="Arial"/>
          <w:sz w:val="16"/>
          <w:szCs w:val="16"/>
          <w:color w:val="231F20"/>
        </w:rPr>
        <w:t>evaluating the CEO in light of those goals</w:t>
      </w:r>
    </w:p>
    <w:p>
      <w:pPr>
        <w:spacing w:after="0" w:line="59" w:lineRule="exact"/>
        <w:rPr>
          <w:rFonts w:ascii="Arial" w:cs="Arial" w:eastAsia="Arial" w:hAnsi="Arial"/>
          <w:sz w:val="16"/>
          <w:szCs w:val="16"/>
          <w:b w:val="1"/>
          <w:bCs w:val="1"/>
          <w:color w:val="auto"/>
        </w:rPr>
      </w:pPr>
    </w:p>
    <w:p>
      <w:pPr>
        <w:ind w:left="360" w:hanging="176"/>
        <w:spacing w:after="0"/>
        <w:tabs>
          <w:tab w:leader="none" w:pos="360" w:val="left"/>
        </w:tabs>
        <w:numPr>
          <w:ilvl w:val="1"/>
          <w:numId w:val="14"/>
        </w:numPr>
        <w:rPr>
          <w:rFonts w:ascii="Arial" w:cs="Arial" w:eastAsia="Arial" w:hAnsi="Arial"/>
          <w:sz w:val="16"/>
          <w:szCs w:val="16"/>
          <w:b w:val="1"/>
          <w:bCs w:val="1"/>
          <w:color w:val="auto"/>
        </w:rPr>
      </w:pPr>
      <w:r>
        <w:rPr>
          <w:rFonts w:ascii="Arial" w:cs="Arial" w:eastAsia="Arial" w:hAnsi="Arial"/>
          <w:sz w:val="16"/>
          <w:szCs w:val="16"/>
          <w:color w:val="231F20"/>
        </w:rPr>
        <w:t>determining and approving the CEO’s compensation level based on his performance;</w:t>
      </w:r>
    </w:p>
    <w:p>
      <w:pPr>
        <w:spacing w:after="0" w:line="59" w:lineRule="exact"/>
        <w:rPr>
          <w:rFonts w:ascii="Arial" w:cs="Arial" w:eastAsia="Arial" w:hAnsi="Arial"/>
          <w:sz w:val="16"/>
          <w:szCs w:val="16"/>
          <w:b w:val="1"/>
          <w:bCs w:val="1"/>
          <w:color w:val="auto"/>
        </w:rPr>
      </w:pPr>
    </w:p>
    <w:p>
      <w:pPr>
        <w:ind w:left="180" w:hanging="172"/>
        <w:spacing w:after="0"/>
        <w:tabs>
          <w:tab w:leader="none" w:pos="180" w:val="left"/>
        </w:tabs>
        <w:numPr>
          <w:ilvl w:val="0"/>
          <w:numId w:val="14"/>
        </w:numPr>
        <w:rPr>
          <w:rFonts w:ascii="Arial" w:cs="Arial" w:eastAsia="Arial" w:hAnsi="Arial"/>
          <w:sz w:val="16"/>
          <w:szCs w:val="16"/>
          <w:b w:val="1"/>
          <w:bCs w:val="1"/>
          <w:color w:val="6F2875"/>
        </w:rPr>
      </w:pPr>
      <w:r>
        <w:rPr>
          <w:rFonts w:ascii="Arial" w:cs="Arial" w:eastAsia="Arial" w:hAnsi="Arial"/>
          <w:sz w:val="16"/>
          <w:szCs w:val="16"/>
          <w:color w:val="231F20"/>
        </w:rPr>
        <w:t>determining and approving the compensation of all other executive officers;</w:t>
      </w:r>
    </w:p>
    <w:p>
      <w:pPr>
        <w:spacing w:after="0" w:line="59" w:lineRule="exact"/>
        <w:rPr>
          <w:rFonts w:ascii="Arial" w:cs="Arial" w:eastAsia="Arial" w:hAnsi="Arial"/>
          <w:sz w:val="16"/>
          <w:szCs w:val="16"/>
          <w:b w:val="1"/>
          <w:bCs w:val="1"/>
          <w:color w:val="6F2875"/>
        </w:rPr>
      </w:pPr>
    </w:p>
    <w:p>
      <w:pPr>
        <w:ind w:left="180" w:hanging="172"/>
        <w:spacing w:after="0"/>
        <w:tabs>
          <w:tab w:leader="none" w:pos="180" w:val="left"/>
        </w:tabs>
        <w:numPr>
          <w:ilvl w:val="0"/>
          <w:numId w:val="14"/>
        </w:numPr>
        <w:rPr>
          <w:rFonts w:ascii="Arial" w:cs="Arial" w:eastAsia="Arial" w:hAnsi="Arial"/>
          <w:sz w:val="16"/>
          <w:szCs w:val="16"/>
          <w:b w:val="1"/>
          <w:bCs w:val="1"/>
          <w:color w:val="6F2875"/>
        </w:rPr>
      </w:pPr>
      <w:r>
        <w:rPr>
          <w:rFonts w:ascii="Arial" w:cs="Arial" w:eastAsia="Arial" w:hAnsi="Arial"/>
          <w:sz w:val="16"/>
          <w:szCs w:val="16"/>
          <w:color w:val="231F20"/>
        </w:rPr>
        <w:t>reviewing and certifying the achievement of any performance goals in respect of long term and short term incentive plans;</w:t>
      </w:r>
    </w:p>
    <w:p>
      <w:pPr>
        <w:spacing w:after="0" w:line="59" w:lineRule="exact"/>
        <w:rPr>
          <w:rFonts w:ascii="Arial" w:cs="Arial" w:eastAsia="Arial" w:hAnsi="Arial"/>
          <w:sz w:val="16"/>
          <w:szCs w:val="16"/>
          <w:b w:val="1"/>
          <w:bCs w:val="1"/>
          <w:color w:val="6F2875"/>
        </w:rPr>
      </w:pPr>
    </w:p>
    <w:p>
      <w:pPr>
        <w:ind w:left="180" w:hanging="172"/>
        <w:spacing w:after="0"/>
        <w:tabs>
          <w:tab w:leader="none" w:pos="180" w:val="left"/>
        </w:tabs>
        <w:numPr>
          <w:ilvl w:val="0"/>
          <w:numId w:val="14"/>
        </w:numPr>
        <w:rPr>
          <w:rFonts w:ascii="Arial" w:cs="Arial" w:eastAsia="Arial" w:hAnsi="Arial"/>
          <w:sz w:val="16"/>
          <w:szCs w:val="16"/>
          <w:b w:val="1"/>
          <w:bCs w:val="1"/>
          <w:color w:val="6F2875"/>
        </w:rPr>
      </w:pPr>
      <w:r>
        <w:rPr>
          <w:rFonts w:ascii="Arial" w:cs="Arial" w:eastAsia="Arial" w:hAnsi="Arial"/>
          <w:sz w:val="16"/>
          <w:szCs w:val="16"/>
          <w:color w:val="231F20"/>
        </w:rPr>
        <w:t>reviewing and approving incentive compensation plans and equity-based plans and, where required, recommending such plans for shareholder approval;</w:t>
      </w:r>
    </w:p>
    <w:p>
      <w:pPr>
        <w:spacing w:after="0" w:line="59" w:lineRule="exact"/>
        <w:rPr>
          <w:rFonts w:ascii="Arial" w:cs="Arial" w:eastAsia="Arial" w:hAnsi="Arial"/>
          <w:sz w:val="16"/>
          <w:szCs w:val="16"/>
          <w:b w:val="1"/>
          <w:bCs w:val="1"/>
          <w:color w:val="6F2875"/>
        </w:rPr>
      </w:pPr>
    </w:p>
    <w:p>
      <w:pPr>
        <w:ind w:left="180" w:hanging="172"/>
        <w:spacing w:after="0"/>
        <w:tabs>
          <w:tab w:leader="none" w:pos="180" w:val="left"/>
        </w:tabs>
        <w:numPr>
          <w:ilvl w:val="0"/>
          <w:numId w:val="14"/>
        </w:numPr>
        <w:rPr>
          <w:rFonts w:ascii="Arial" w:cs="Arial" w:eastAsia="Arial" w:hAnsi="Arial"/>
          <w:sz w:val="16"/>
          <w:szCs w:val="16"/>
          <w:b w:val="1"/>
          <w:bCs w:val="1"/>
          <w:color w:val="6F2875"/>
        </w:rPr>
      </w:pPr>
      <w:r>
        <w:rPr>
          <w:rFonts w:ascii="Arial" w:cs="Arial" w:eastAsia="Arial" w:hAnsi="Arial"/>
          <w:sz w:val="16"/>
          <w:szCs w:val="16"/>
          <w:color w:val="231F20"/>
        </w:rPr>
        <w:t>administering (including adopting, amending and terminating) incentive compensation and equity-based plans</w:t>
      </w:r>
    </w:p>
    <w:p>
      <w:pPr>
        <w:spacing w:after="0" w:line="59" w:lineRule="exact"/>
        <w:rPr>
          <w:rFonts w:ascii="Arial" w:cs="Arial" w:eastAsia="Arial" w:hAnsi="Arial"/>
          <w:sz w:val="16"/>
          <w:szCs w:val="16"/>
          <w:b w:val="1"/>
          <w:bCs w:val="1"/>
          <w:color w:val="6F2875"/>
        </w:rPr>
      </w:pPr>
    </w:p>
    <w:p>
      <w:pPr>
        <w:ind w:left="180" w:hanging="172"/>
        <w:spacing w:after="0" w:line="260" w:lineRule="auto"/>
        <w:tabs>
          <w:tab w:leader="none" w:pos="180" w:val="left"/>
        </w:tabs>
        <w:numPr>
          <w:ilvl w:val="0"/>
          <w:numId w:val="14"/>
        </w:numPr>
        <w:rPr>
          <w:rFonts w:ascii="Arial" w:cs="Arial" w:eastAsia="Arial" w:hAnsi="Arial"/>
          <w:sz w:val="16"/>
          <w:szCs w:val="16"/>
          <w:b w:val="1"/>
          <w:bCs w:val="1"/>
          <w:color w:val="6F2875"/>
        </w:rPr>
      </w:pPr>
      <w:r>
        <w:rPr>
          <w:rFonts w:ascii="Arial" w:cs="Arial" w:eastAsia="Arial" w:hAnsi="Arial"/>
          <w:sz w:val="16"/>
          <w:szCs w:val="16"/>
          <w:color w:val="231F20"/>
        </w:rPr>
        <w:t>reviewing and discussing with management the Compensation Discussion and Analysis to be included in appropriate regulatory filings and determining whether to recommend to the Board that the Compensation Discussion and Analysis be included in such filings;</w:t>
      </w:r>
    </w:p>
    <w:p>
      <w:pPr>
        <w:spacing w:after="0" w:line="33" w:lineRule="exact"/>
        <w:rPr>
          <w:rFonts w:ascii="Arial" w:cs="Arial" w:eastAsia="Arial" w:hAnsi="Arial"/>
          <w:sz w:val="16"/>
          <w:szCs w:val="16"/>
          <w:b w:val="1"/>
          <w:bCs w:val="1"/>
          <w:color w:val="6F2875"/>
        </w:rPr>
      </w:pPr>
    </w:p>
    <w:p>
      <w:pPr>
        <w:ind w:left="180" w:hanging="172"/>
        <w:spacing w:after="0"/>
        <w:tabs>
          <w:tab w:leader="none" w:pos="180" w:val="left"/>
        </w:tabs>
        <w:numPr>
          <w:ilvl w:val="0"/>
          <w:numId w:val="14"/>
        </w:numPr>
        <w:rPr>
          <w:rFonts w:ascii="Arial" w:cs="Arial" w:eastAsia="Arial" w:hAnsi="Arial"/>
          <w:sz w:val="16"/>
          <w:szCs w:val="16"/>
          <w:b w:val="1"/>
          <w:bCs w:val="1"/>
          <w:color w:val="6F2875"/>
        </w:rPr>
      </w:pPr>
      <w:r>
        <w:rPr>
          <w:rFonts w:ascii="Arial" w:cs="Arial" w:eastAsia="Arial" w:hAnsi="Arial"/>
          <w:sz w:val="16"/>
          <w:szCs w:val="16"/>
          <w:color w:val="231F20"/>
        </w:rPr>
        <w:t>submitting to the Board for its approval an annual Remuneration Report to be included in our UK Annual Report;</w:t>
      </w:r>
    </w:p>
    <w:p>
      <w:pPr>
        <w:spacing w:after="0" w:line="59" w:lineRule="exact"/>
        <w:rPr>
          <w:rFonts w:ascii="Arial" w:cs="Arial" w:eastAsia="Arial" w:hAnsi="Arial"/>
          <w:sz w:val="16"/>
          <w:szCs w:val="16"/>
          <w:b w:val="1"/>
          <w:bCs w:val="1"/>
          <w:color w:val="6F2875"/>
        </w:rPr>
      </w:pPr>
    </w:p>
    <w:p>
      <w:pPr>
        <w:ind w:left="180" w:hanging="172"/>
        <w:spacing w:after="0"/>
        <w:tabs>
          <w:tab w:leader="none" w:pos="180" w:val="left"/>
        </w:tabs>
        <w:numPr>
          <w:ilvl w:val="0"/>
          <w:numId w:val="14"/>
        </w:numPr>
        <w:rPr>
          <w:rFonts w:ascii="Arial" w:cs="Arial" w:eastAsia="Arial" w:hAnsi="Arial"/>
          <w:sz w:val="16"/>
          <w:szCs w:val="16"/>
          <w:b w:val="1"/>
          <w:bCs w:val="1"/>
          <w:color w:val="6F2875"/>
        </w:rPr>
      </w:pPr>
      <w:r>
        <w:rPr>
          <w:rFonts w:ascii="Arial" w:cs="Arial" w:eastAsia="Arial" w:hAnsi="Arial"/>
          <w:sz w:val="16"/>
          <w:szCs w:val="16"/>
          <w:color w:val="231F20"/>
        </w:rPr>
        <w:t>producing a report of the Compensation Committee for inclusion in appropriate United States regulatory filings, as well as in the UK Annual Report;</w:t>
      </w:r>
    </w:p>
    <w:p>
      <w:pPr>
        <w:spacing w:after="0" w:line="59" w:lineRule="exact"/>
        <w:rPr>
          <w:rFonts w:ascii="Arial" w:cs="Arial" w:eastAsia="Arial" w:hAnsi="Arial"/>
          <w:sz w:val="16"/>
          <w:szCs w:val="16"/>
          <w:b w:val="1"/>
          <w:bCs w:val="1"/>
          <w:color w:val="6F2875"/>
        </w:rPr>
      </w:pPr>
    </w:p>
    <w:p>
      <w:pPr>
        <w:ind w:left="180" w:hanging="172"/>
        <w:spacing w:after="0"/>
        <w:tabs>
          <w:tab w:leader="none" w:pos="180" w:val="left"/>
        </w:tabs>
        <w:numPr>
          <w:ilvl w:val="0"/>
          <w:numId w:val="14"/>
        </w:numPr>
        <w:rPr>
          <w:rFonts w:ascii="Arial" w:cs="Arial" w:eastAsia="Arial" w:hAnsi="Arial"/>
          <w:sz w:val="16"/>
          <w:szCs w:val="16"/>
          <w:b w:val="1"/>
          <w:bCs w:val="1"/>
          <w:color w:val="6F2875"/>
        </w:rPr>
      </w:pPr>
      <w:r>
        <w:rPr>
          <w:rFonts w:ascii="Arial" w:cs="Arial" w:eastAsia="Arial" w:hAnsi="Arial"/>
          <w:sz w:val="16"/>
          <w:szCs w:val="16"/>
          <w:color w:val="231F20"/>
        </w:rPr>
        <w:t>approving employment agreements and severance arrangements or plans in respect of executive officers.</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The Compensation Committee has the sole authority to retain and terminate a compensation consultant to assist with its responsibilities, as well as the sole authority to approve the consultant’s fees, which are then paid by the Company (within any budgetary constraints imposed by the Board). In 2017, the Compensation Committee re-engaged the services of Pearl Meyer and Partners, LLC (“Pearl Meyer”), an experienced compensation consulting firm, to advise the committee on executive compensation matters. Our officers do not discuss compensation matters with Pearl Meyer, except as needed to respond to questions from the consultant. Pearl Meyer does not provide other services for us or any of our officers.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 xml:space="preserve">The Nominating and Corporate Governance Committee has determined that each Compensation Committee member satisfies the standards of independence required by the SEC’s rules and regulations, Nasdaq listing standards, and our Corporate Governance Guidelines. A copy of the Compensation Committee Charter is available on our website at </w:t>
      </w:r>
      <w:r>
        <w:rPr>
          <w:rFonts w:ascii="Arial" w:cs="Arial" w:eastAsia="Arial" w:hAnsi="Arial"/>
          <w:sz w:val="16"/>
          <w:szCs w:val="16"/>
          <w:i w:val="1"/>
          <w:iCs w:val="1"/>
          <w:color w:val="231F20"/>
        </w:rPr>
        <w:t>www.livanova.com</w:t>
      </w:r>
      <w:r>
        <w:rPr>
          <w:rFonts w:ascii="Arial" w:cs="Arial" w:eastAsia="Arial" w:hAnsi="Arial"/>
          <w:sz w:val="16"/>
          <w:szCs w:val="16"/>
          <w:color w:val="231F20"/>
        </w:rPr>
        <w: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231F20"/>
        </w:rPr>
        <w:t>The Compensation Committee held eleven meetings and acted by unanimous written consent on three occasions in the year ended December 31, 2017.</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Nominating and Corporate Governance Committee</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The Nominating and Corporate Governance Committee is comprised entirely of independent directors and is governed by a Board-approved charter stating its responsibilities. Under the terms of its charter, the committee develops and recommends corporate governance principles and policies to our Board and administers the process for identifying candidates for membership on the Board. This includes developing criteria for Board and committee memberships and recommending and recruiting director nominees.</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The Nominating and Governance Committee evaluates the independence and other standards applicable to service on the Board and its committees, including whether each Audit and Compliance Committee member is financially literate and whether there is at least one “audit committee financial expert” within the meaning of SEC Regulation S-K, Item 407(d)(5)(ii). The committee also evaluates and recommends changes as appropriate to Board and committee size, composition and chairmanship and committee structure and administers the process for regular Board and committee self-evaluations. Finally, the committee prepares and recommends, for Board approval, the Company’s CEO succession planning policies and reviews succession planning activities.</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The Nominating and Corporate Governance Committee has determined that each of the Nominating and Corporate Governance Committee members satisfies the standards of independence required by the SEC’s rules and regulations,</w:t>
      </w:r>
    </w:p>
    <w:p>
      <w:pPr>
        <w:spacing w:after="0" w:line="162" w:lineRule="exact"/>
        <w:rPr>
          <w:sz w:val="20"/>
          <w:szCs w:val="20"/>
          <w:color w:val="auto"/>
        </w:rPr>
      </w:pPr>
    </w:p>
    <w:p>
      <w:pPr>
        <w:spacing w:after="0"/>
        <w:tabs>
          <w:tab w:leader="none" w:pos="4220" w:val="left"/>
          <w:tab w:leader="none" w:pos="9960" w:val="left"/>
        </w:tabs>
        <w:rPr>
          <w:sz w:val="20"/>
          <w:szCs w:val="20"/>
          <w:color w:val="auto"/>
        </w:rPr>
      </w:pPr>
      <w:r>
        <w:rPr>
          <w:rFonts w:ascii="Arial" w:cs="Arial" w:eastAsia="Arial" w:hAnsi="Arial"/>
          <w:sz w:val="16"/>
          <w:szCs w:val="16"/>
          <w:b w:val="1"/>
          <w:bCs w:val="1"/>
          <w:color w:val="auto"/>
        </w:rPr>
        <w:t>16</w:t>
      </w:r>
      <w:r>
        <w:rPr>
          <w:sz w:val="20"/>
          <w:szCs w:val="20"/>
          <w:color w:val="auto"/>
        </w:rPr>
        <w:tab/>
      </w: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r>
        <w:rPr>
          <w:sz w:val="20"/>
          <w:szCs w:val="20"/>
          <w:color w:val="auto"/>
        </w:rPr>
        <w:tab/>
      </w:r>
      <w:r>
        <w:rPr>
          <w:rFonts w:ascii="Arial" w:cs="Arial" w:eastAsia="Arial" w:hAnsi="Arial"/>
          <w:sz w:val="16"/>
          <w:szCs w:val="16"/>
          <w:b w:val="1"/>
          <w:bCs w:val="1"/>
          <w:color w:val="6F2875"/>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-36195</wp:posOffset>
            </wp:positionV>
            <wp:extent cx="1663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-36195</wp:posOffset>
            </wp:positionV>
            <wp:extent cx="23241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 xml:space="preserve">Nasdaq listing standards and our Corporate Governance Guidelines. A copy of the Nominating and Corporate Governance Committee Charter is available on our website at </w:t>
      </w:r>
      <w:r>
        <w:rPr>
          <w:rFonts w:ascii="Arial" w:cs="Arial" w:eastAsia="Arial" w:hAnsi="Arial"/>
          <w:sz w:val="16"/>
          <w:szCs w:val="16"/>
          <w:i w:val="1"/>
          <w:iCs w:val="1"/>
          <w:color w:val="231F20"/>
        </w:rPr>
        <w:t>www.livanova.com.</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231F20"/>
        </w:rPr>
        <w:t>The Nominating and Corporate Governance Committee held four meetings and did not by unanimous written consent in the year ended December 31, 2017.</w:t>
      </w:r>
    </w:p>
    <w:p>
      <w:pPr>
        <w:spacing w:after="0" w:line="386"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Governance Policies and Practices</w:t>
      </w:r>
    </w:p>
    <w:p>
      <w:pPr>
        <w:spacing w:after="0" w:line="327"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Stock Ownership Guidelines</w:t>
      </w:r>
    </w:p>
    <w:p>
      <w:pPr>
        <w:spacing w:after="0" w:line="231"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The Board believes that ownership of our shares by our executive officers and directors will help align their interests with that of our shareholders. On the last day of each year, the market value of our equity held by an executive officer or director is encouraged to be at least:</w:t>
      </w:r>
    </w:p>
    <w:p>
      <w:pPr>
        <w:spacing w:after="0" w:line="169"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6"/>
          <w:szCs w:val="16"/>
          <w:b w:val="1"/>
          <w:bCs w:val="1"/>
          <w:color w:val="6F2875"/>
        </w:rPr>
      </w:pPr>
      <w:r>
        <w:rPr>
          <w:rFonts w:ascii="Arial" w:cs="Arial" w:eastAsia="Arial" w:hAnsi="Arial"/>
          <w:sz w:val="16"/>
          <w:szCs w:val="16"/>
          <w:color w:val="231F20"/>
        </w:rPr>
        <w:t>Five times the base salary for the CEO;</w:t>
      </w:r>
    </w:p>
    <w:p>
      <w:pPr>
        <w:spacing w:after="0" w:line="59" w:lineRule="exact"/>
        <w:rPr>
          <w:rFonts w:ascii="Arial" w:cs="Arial" w:eastAsia="Arial" w:hAnsi="Arial"/>
          <w:sz w:val="16"/>
          <w:szCs w:val="16"/>
          <w:b w:val="1"/>
          <w:bCs w:val="1"/>
          <w:color w:val="6F2875"/>
        </w:rPr>
      </w:pPr>
    </w:p>
    <w:p>
      <w:pPr>
        <w:ind w:left="180" w:hanging="172"/>
        <w:spacing w:after="0"/>
        <w:tabs>
          <w:tab w:leader="none" w:pos="180" w:val="left"/>
        </w:tabs>
        <w:numPr>
          <w:ilvl w:val="0"/>
          <w:numId w:val="15"/>
        </w:numPr>
        <w:rPr>
          <w:rFonts w:ascii="Arial" w:cs="Arial" w:eastAsia="Arial" w:hAnsi="Arial"/>
          <w:sz w:val="16"/>
          <w:szCs w:val="16"/>
          <w:b w:val="1"/>
          <w:bCs w:val="1"/>
          <w:color w:val="6F2875"/>
        </w:rPr>
      </w:pPr>
      <w:r>
        <w:rPr>
          <w:rFonts w:ascii="Arial" w:cs="Arial" w:eastAsia="Arial" w:hAnsi="Arial"/>
          <w:sz w:val="16"/>
          <w:szCs w:val="16"/>
          <w:color w:val="231F20"/>
        </w:rPr>
        <w:t>Three times the base salary for all executive officers, other than the CEO; and</w:t>
      </w:r>
    </w:p>
    <w:p>
      <w:pPr>
        <w:spacing w:after="0" w:line="59" w:lineRule="exact"/>
        <w:rPr>
          <w:rFonts w:ascii="Arial" w:cs="Arial" w:eastAsia="Arial" w:hAnsi="Arial"/>
          <w:sz w:val="16"/>
          <w:szCs w:val="16"/>
          <w:b w:val="1"/>
          <w:bCs w:val="1"/>
          <w:color w:val="6F2875"/>
        </w:rPr>
      </w:pPr>
    </w:p>
    <w:p>
      <w:pPr>
        <w:ind w:left="180" w:hanging="172"/>
        <w:spacing w:after="0"/>
        <w:tabs>
          <w:tab w:leader="none" w:pos="180" w:val="left"/>
        </w:tabs>
        <w:numPr>
          <w:ilvl w:val="0"/>
          <w:numId w:val="15"/>
        </w:numPr>
        <w:rPr>
          <w:rFonts w:ascii="Arial" w:cs="Arial" w:eastAsia="Arial" w:hAnsi="Arial"/>
          <w:sz w:val="16"/>
          <w:szCs w:val="16"/>
          <w:b w:val="1"/>
          <w:bCs w:val="1"/>
          <w:color w:val="6F2875"/>
        </w:rPr>
      </w:pPr>
      <w:r>
        <w:rPr>
          <w:rFonts w:ascii="Arial" w:cs="Arial" w:eastAsia="Arial" w:hAnsi="Arial"/>
          <w:sz w:val="16"/>
          <w:szCs w:val="16"/>
          <w:color w:val="231F20"/>
        </w:rPr>
        <w:t>Five times the annual cash retainer for all non-employee directors.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Equity ownership used to determine the market value includes all Ordinary Shares, all unvested restricted stock units of our Ordinary Shares and all in-the-money, vested, unexercised stock appreciation rights (“SARs”) (calculated as stock market value, minus exercise price, minus estimated tax expense at a 40% tax rate).</w:t>
      </w:r>
    </w:p>
    <w:p>
      <w:pPr>
        <w:spacing w:after="0" w:line="17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231F20"/>
        </w:rPr>
        <w:t>Compliance with our stock ownership guidelines is voluntary; however, an individual’s failure to comply with the guidelines is a factor that is considered by the Compensation Committee in connection with the award of future equity awards to the individual. New directors and officers have five years to acquire an equity position in compliance with the guidelines.</w:t>
      </w:r>
    </w:p>
    <w:p>
      <w:pPr>
        <w:spacing w:after="0" w:line="142"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Communication with Directors</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 xml:space="preserve">Any shareholder or other party interested in communicating with members of the Board, any of its committees, the independent directors as a group or any of the independent directors may send written communications to LivaNova Plc, 20 Eastbourne Terrace, London, England W2 6LG, Attention: Company Secretary or to </w:t>
      </w:r>
      <w:r>
        <w:rPr>
          <w:rFonts w:ascii="Arial" w:cs="Arial" w:eastAsia="Arial" w:hAnsi="Arial"/>
          <w:sz w:val="16"/>
          <w:szCs w:val="16"/>
          <w:i w:val="1"/>
          <w:iCs w:val="1"/>
          <w:color w:val="231F20"/>
        </w:rPr>
        <w:t>company.secretariat@livanova.com</w:t>
      </w:r>
      <w:r>
        <w:rPr>
          <w:rFonts w:ascii="Arial" w:cs="Arial" w:eastAsia="Arial" w:hAnsi="Arial"/>
          <w:sz w:val="16"/>
          <w:szCs w:val="16"/>
          <w:color w:val="231F20"/>
        </w:rPr>
        <w:t xml:space="preserve"> . Communications received in writing are forwarded to the Board, committee or to any individual director or directors to whom the communication is directed, unless the communication is unduly hostile, threatening, illegal, does not reasonably relate to us or our business, or is inappropriate. The Company Secretary has the authority to discard or disregard any inappropriate communications or to take other appropriate actions with respect to any such inappropriate communications. The Board will endeavor to promptly respond to all appropriate communications and encourages all shareholders and interested persons to use the aforementioned email and mailing address to send communications relating to the our business to the Board and its members.</w:t>
      </w:r>
    </w:p>
    <w:p>
      <w:pPr>
        <w:spacing w:after="0" w:line="148"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Code of Business Conduct and Ethics</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 xml:space="preserve">The Board has adopted a Corporate Code of Business Conduct and Ethics for all executive officers and other employees, agents and representatives. This code was designed to deter wrongdoing and to promote honest and ethical conduct, including the ethical handling of actual or apparent conflicts of interest between personal and professional relationships; full fair accurate, timely and understandable disclosure in reports and documents that we file with, or submit to, the SEC and in other public communications made by us; compliance with applicable governmental laws, rules and regulations; the prompt internal reporting of violations of the code to an appropriate person or persons identified in the code; and accountability for adherence to the code. A copy of the code is available on our website at </w:t>
      </w:r>
      <w:r>
        <w:rPr>
          <w:rFonts w:ascii="Arial" w:cs="Arial" w:eastAsia="Arial" w:hAnsi="Arial"/>
          <w:sz w:val="16"/>
          <w:szCs w:val="16"/>
          <w:i w:val="1"/>
          <w:iCs w:val="1"/>
          <w:color w:val="231F20"/>
        </w:rPr>
        <w:t>www.livanova.com.</w:t>
      </w:r>
      <w:r>
        <w:rPr>
          <w:rFonts w:ascii="Arial" w:cs="Arial" w:eastAsia="Arial" w:hAnsi="Arial"/>
          <w:sz w:val="16"/>
          <w:szCs w:val="16"/>
          <w:color w:val="231F20"/>
        </w:rPr>
        <w:t xml:space="preserve"> Any change to, or waiver from, the code will be disclosed as required by applicable securities laws.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Borders>
              <w:bottom w:val="single" w:sz="8" w:color="auto"/>
            </w:tcBorders>
          </w:tcPr>
          <w:p>
            <w:pPr>
              <w:spacing w:after="0"/>
              <w:rPr>
                <w:sz w:val="10"/>
                <w:szCs w:val="10"/>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rPr>
                <w:sz w:val="1"/>
                <w:szCs w:val="1"/>
                <w:color w:val="auto"/>
              </w:rPr>
            </w:pPr>
          </w:p>
        </w:tc>
      </w:tr>
      <w:tr>
        <w:trPr>
          <w:trHeight w:val="69"/>
        </w:trPr>
        <w:tc>
          <w:tcPr>
            <w:tcW w:w="40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Related Party Transactions</w:t>
      </w:r>
    </w:p>
    <w:p>
      <w:pPr>
        <w:spacing w:after="0" w:line="35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231F20"/>
        </w:rPr>
        <w:t>We recognize that related person transactions involving the Company present a heightened risk of conflicts of interest or perception thereof. The Board adopted a formal written process for reviewing, approving and ratifying transactions with related persons in October 2015.</w:t>
      </w:r>
    </w:p>
    <w:p>
      <w:pPr>
        <w:spacing w:after="0" w:line="169"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Under the policy, any “Related Person Transaction” may be consummated or may continue only if the Audit and Compliance Committee approves or ratifies the transaction in accordance with the guidelines set forth in the policy.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231F20"/>
        </w:rPr>
        <w:t>For these purposes, a “Related Person” is:</w:t>
      </w:r>
    </w:p>
    <w:p>
      <w:pPr>
        <w:spacing w:after="0" w:line="194"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6"/>
          <w:szCs w:val="16"/>
          <w:b w:val="1"/>
          <w:bCs w:val="1"/>
          <w:color w:val="6F2875"/>
        </w:rPr>
      </w:pPr>
      <w:r>
        <w:rPr>
          <w:rFonts w:ascii="Arial" w:cs="Arial" w:eastAsia="Arial" w:hAnsi="Arial"/>
          <w:sz w:val="16"/>
          <w:szCs w:val="16"/>
          <w:color w:val="231F20"/>
        </w:rPr>
        <w:t>a senior officer (which shall include, at a minimum, each executive officer, Section 16 officer and persons discharging managerial responsibilities) or director;</w:t>
      </w:r>
    </w:p>
    <w:p>
      <w:pPr>
        <w:spacing w:after="0" w:line="59" w:lineRule="exact"/>
        <w:rPr>
          <w:rFonts w:ascii="Arial" w:cs="Arial" w:eastAsia="Arial" w:hAnsi="Arial"/>
          <w:sz w:val="16"/>
          <w:szCs w:val="16"/>
          <w:b w:val="1"/>
          <w:bCs w:val="1"/>
          <w:color w:val="6F2875"/>
        </w:rPr>
      </w:pPr>
    </w:p>
    <w:p>
      <w:pPr>
        <w:ind w:left="180" w:hanging="172"/>
        <w:spacing w:after="0"/>
        <w:tabs>
          <w:tab w:leader="none" w:pos="180" w:val="left"/>
        </w:tabs>
        <w:numPr>
          <w:ilvl w:val="0"/>
          <w:numId w:val="16"/>
        </w:numPr>
        <w:rPr>
          <w:rFonts w:ascii="Arial" w:cs="Arial" w:eastAsia="Arial" w:hAnsi="Arial"/>
          <w:sz w:val="16"/>
          <w:szCs w:val="16"/>
          <w:b w:val="1"/>
          <w:bCs w:val="1"/>
          <w:color w:val="6F2875"/>
        </w:rPr>
      </w:pPr>
      <w:r>
        <w:rPr>
          <w:rFonts w:ascii="Arial" w:cs="Arial" w:eastAsia="Arial" w:hAnsi="Arial"/>
          <w:sz w:val="16"/>
          <w:szCs w:val="16"/>
          <w:color w:val="231F20"/>
        </w:rPr>
        <w:t>a shareholder owning more than 5% of us (or our controlled affiliates);</w:t>
      </w:r>
    </w:p>
    <w:p>
      <w:pPr>
        <w:spacing w:after="0" w:line="59" w:lineRule="exact"/>
        <w:rPr>
          <w:rFonts w:ascii="Arial" w:cs="Arial" w:eastAsia="Arial" w:hAnsi="Arial"/>
          <w:sz w:val="16"/>
          <w:szCs w:val="16"/>
          <w:b w:val="1"/>
          <w:bCs w:val="1"/>
          <w:color w:val="6F2875"/>
        </w:rPr>
      </w:pPr>
    </w:p>
    <w:p>
      <w:pPr>
        <w:ind w:left="180" w:hanging="172"/>
        <w:spacing w:after="0"/>
        <w:tabs>
          <w:tab w:leader="none" w:pos="180" w:val="left"/>
        </w:tabs>
        <w:numPr>
          <w:ilvl w:val="0"/>
          <w:numId w:val="16"/>
        </w:numPr>
        <w:rPr>
          <w:rFonts w:ascii="Arial" w:cs="Arial" w:eastAsia="Arial" w:hAnsi="Arial"/>
          <w:sz w:val="16"/>
          <w:szCs w:val="16"/>
          <w:b w:val="1"/>
          <w:bCs w:val="1"/>
          <w:color w:val="6F2875"/>
        </w:rPr>
      </w:pPr>
      <w:r>
        <w:rPr>
          <w:rFonts w:ascii="Arial" w:cs="Arial" w:eastAsia="Arial" w:hAnsi="Arial"/>
          <w:sz w:val="16"/>
          <w:szCs w:val="16"/>
          <w:color w:val="231F20"/>
        </w:rPr>
        <w:t>a person who is an immediate family member of a senior officer or director; or</w:t>
      </w:r>
    </w:p>
    <w:p>
      <w:pPr>
        <w:spacing w:after="0" w:line="59" w:lineRule="exact"/>
        <w:rPr>
          <w:rFonts w:ascii="Arial" w:cs="Arial" w:eastAsia="Arial" w:hAnsi="Arial"/>
          <w:sz w:val="16"/>
          <w:szCs w:val="16"/>
          <w:b w:val="1"/>
          <w:bCs w:val="1"/>
          <w:color w:val="6F2875"/>
        </w:rPr>
      </w:pPr>
    </w:p>
    <w:p>
      <w:pPr>
        <w:ind w:left="180" w:hanging="172"/>
        <w:spacing w:after="0" w:line="260" w:lineRule="auto"/>
        <w:tabs>
          <w:tab w:leader="none" w:pos="180" w:val="left"/>
        </w:tabs>
        <w:numPr>
          <w:ilvl w:val="0"/>
          <w:numId w:val="16"/>
        </w:numPr>
        <w:rPr>
          <w:rFonts w:ascii="Arial" w:cs="Arial" w:eastAsia="Arial" w:hAnsi="Arial"/>
          <w:sz w:val="16"/>
          <w:szCs w:val="16"/>
          <w:b w:val="1"/>
          <w:bCs w:val="1"/>
          <w:color w:val="6F2875"/>
        </w:rPr>
      </w:pPr>
      <w:r>
        <w:rPr>
          <w:rFonts w:ascii="Arial" w:cs="Arial" w:eastAsia="Arial" w:hAnsi="Arial"/>
          <w:sz w:val="16"/>
          <w:szCs w:val="16"/>
          <w:color w:val="231F20"/>
        </w:rPr>
        <w:t>an entity that is owned or controlled by someone listed above, or an entity in which someone listed above has a substantial ownership interest or control of that entity.</w:t>
      </w:r>
    </w:p>
    <w:p>
      <w:pPr>
        <w:spacing w:after="0" w:line="169"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For these purposes, a “Related Person Transaction” is a transaction between the Company and any Related Person (including any transactions requiring disclosure under Item 404 of Regulation S-K under the Exchange Act), other than:</w:t>
      </w:r>
    </w:p>
    <w:p>
      <w:pPr>
        <w:spacing w:after="0" w:line="169"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6"/>
          <w:szCs w:val="16"/>
          <w:b w:val="1"/>
          <w:bCs w:val="1"/>
          <w:color w:val="6F2875"/>
        </w:rPr>
      </w:pPr>
      <w:r>
        <w:rPr>
          <w:rFonts w:ascii="Arial" w:cs="Arial" w:eastAsia="Arial" w:hAnsi="Arial"/>
          <w:sz w:val="16"/>
          <w:szCs w:val="16"/>
          <w:color w:val="231F20"/>
        </w:rPr>
        <w:t>transactions involving compensation approved by the Compensation Committee;</w:t>
      </w:r>
    </w:p>
    <w:p>
      <w:pPr>
        <w:spacing w:after="0" w:line="59" w:lineRule="exact"/>
        <w:rPr>
          <w:rFonts w:ascii="Arial" w:cs="Arial" w:eastAsia="Arial" w:hAnsi="Arial"/>
          <w:sz w:val="16"/>
          <w:szCs w:val="16"/>
          <w:b w:val="1"/>
          <w:bCs w:val="1"/>
          <w:color w:val="6F2875"/>
        </w:rPr>
      </w:pPr>
    </w:p>
    <w:p>
      <w:pPr>
        <w:ind w:left="180" w:hanging="172"/>
        <w:spacing w:after="0"/>
        <w:tabs>
          <w:tab w:leader="none" w:pos="180" w:val="left"/>
        </w:tabs>
        <w:numPr>
          <w:ilvl w:val="0"/>
          <w:numId w:val="17"/>
        </w:numPr>
        <w:rPr>
          <w:rFonts w:ascii="Arial" w:cs="Arial" w:eastAsia="Arial" w:hAnsi="Arial"/>
          <w:sz w:val="16"/>
          <w:szCs w:val="16"/>
          <w:b w:val="1"/>
          <w:bCs w:val="1"/>
          <w:color w:val="6F2875"/>
        </w:rPr>
      </w:pPr>
      <w:r>
        <w:rPr>
          <w:rFonts w:ascii="Arial" w:cs="Arial" w:eastAsia="Arial" w:hAnsi="Arial"/>
          <w:sz w:val="16"/>
          <w:szCs w:val="16"/>
          <w:color w:val="231F20"/>
        </w:rPr>
        <w:t>transactions available to all employees generally; and</w:t>
      </w:r>
    </w:p>
    <w:p>
      <w:pPr>
        <w:spacing w:after="0" w:line="59" w:lineRule="exact"/>
        <w:rPr>
          <w:rFonts w:ascii="Arial" w:cs="Arial" w:eastAsia="Arial" w:hAnsi="Arial"/>
          <w:sz w:val="16"/>
          <w:szCs w:val="16"/>
          <w:b w:val="1"/>
          <w:bCs w:val="1"/>
          <w:color w:val="6F2875"/>
        </w:rPr>
      </w:pPr>
    </w:p>
    <w:p>
      <w:pPr>
        <w:ind w:left="180" w:hanging="172"/>
        <w:spacing w:after="0"/>
        <w:tabs>
          <w:tab w:leader="none" w:pos="180" w:val="left"/>
        </w:tabs>
        <w:numPr>
          <w:ilvl w:val="0"/>
          <w:numId w:val="17"/>
        </w:numPr>
        <w:rPr>
          <w:rFonts w:ascii="Arial" w:cs="Arial" w:eastAsia="Arial" w:hAnsi="Arial"/>
          <w:sz w:val="16"/>
          <w:szCs w:val="16"/>
          <w:b w:val="1"/>
          <w:bCs w:val="1"/>
          <w:color w:val="6F2875"/>
        </w:rPr>
      </w:pPr>
      <w:r>
        <w:rPr>
          <w:rFonts w:ascii="Arial" w:cs="Arial" w:eastAsia="Arial" w:hAnsi="Arial"/>
          <w:sz w:val="16"/>
          <w:szCs w:val="16"/>
          <w:color w:val="231F20"/>
        </w:rPr>
        <w:t>transactions involving less than $50,000 when aggregated with all similar transactions.</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The Board has determined that the Audit and Compliance Committee is best suited to review and approve Related Person Transactions. Accordingly, in the event that management recommends a Related Person Transaction, management is required to present the transaction to the Audit and Compliance Committee in advance of entering into the transaction. If management is unable to present the transaction to the Audit and Compliance Committee for approval in advance, management may enter into the transaction preliminarily, subject to ratification by the Audit and Compliance Committee; provided, however, that if the Audit and Compliance Committee does not so approve, management must make all reasonable efforts to cancel or annul the transaction, or if unable to do so, to amend it in a satisfactory manner. The Audit and Compliance Committee may approve or ratify a Related Person Transaction only if the transaction is on terms comparable to those that could be obtained in arm’s-length dealings with an unrelated third party.</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The Board recognizes that a member of our management team or a director may be presented with a significant business opportunity that may equally be available to the Company, either directly or via referral. Before the opportunity may be consummated by a Related Person (other than an otherwise unaffiliated 5% shareholder), the opportunity must be presented to the Audit and Compliance Committee for consideration. The Audit and Compliance Committee, in its discretion, may present the opportunity to the Board for consideration.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231F20"/>
        </w:rPr>
        <w:t>In the year ended December 31, 2017, there were no related party transactions.</w:t>
      </w:r>
    </w:p>
    <w:p>
      <w:pPr>
        <w:spacing w:after="0" w:line="278"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Succession Planning</w:t>
      </w:r>
    </w:p>
    <w:p>
      <w:pPr>
        <w:spacing w:after="0" w:line="35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Succession planning is a top priority for the Board and our management team, with the objective of having a pipeline of leaders for the immediate and long-term future. The Board and management take a proactive approach to achieve this objective. The Board has delegated to the Nominating and Corporate Governance Committee, pursuant to the committee’s charter, the responsibility for CEO and senior management succession planning. The committee is tasked with doing so in the context of the challenges and opportunities facing us, of the skills and expertise likely to be required by us in the future and of the benefits of diversity in its widest sense.</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These processes enable the Board to address both long-term, planned occurrences, such as retirement or change in roles, as well as short-term unexpected events. Similar processes, led by the relevant management team, occur within each of our franchises and functions.</w:t>
      </w:r>
    </w:p>
    <w:p>
      <w:pPr>
        <w:spacing w:after="0" w:line="162" w:lineRule="exact"/>
        <w:rPr>
          <w:sz w:val="20"/>
          <w:szCs w:val="20"/>
          <w:color w:val="auto"/>
        </w:rPr>
      </w:pPr>
    </w:p>
    <w:p>
      <w:pPr>
        <w:spacing w:after="0"/>
        <w:tabs>
          <w:tab w:leader="none" w:pos="4220" w:val="left"/>
          <w:tab w:leader="none" w:pos="9960" w:val="left"/>
        </w:tabs>
        <w:rPr>
          <w:sz w:val="20"/>
          <w:szCs w:val="20"/>
          <w:color w:val="auto"/>
        </w:rPr>
      </w:pPr>
      <w:r>
        <w:rPr>
          <w:rFonts w:ascii="Arial" w:cs="Arial" w:eastAsia="Arial" w:hAnsi="Arial"/>
          <w:sz w:val="16"/>
          <w:szCs w:val="16"/>
          <w:b w:val="1"/>
          <w:bCs w:val="1"/>
          <w:color w:val="auto"/>
        </w:rPr>
        <w:t>18</w:t>
      </w:r>
      <w:r>
        <w:rPr>
          <w:sz w:val="20"/>
          <w:szCs w:val="20"/>
          <w:color w:val="auto"/>
        </w:rPr>
        <w:tab/>
      </w: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r>
        <w:rPr>
          <w:sz w:val="20"/>
          <w:szCs w:val="20"/>
          <w:color w:val="auto"/>
        </w:rPr>
        <w:tab/>
      </w:r>
      <w:r>
        <w:rPr>
          <w:rFonts w:ascii="Arial" w:cs="Arial" w:eastAsia="Arial" w:hAnsi="Arial"/>
          <w:sz w:val="16"/>
          <w:szCs w:val="16"/>
          <w:b w:val="1"/>
          <w:bCs w:val="1"/>
          <w:color w:val="6F2875"/>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-36195</wp:posOffset>
            </wp:positionV>
            <wp:extent cx="1663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-36195</wp:posOffset>
            </wp:positionV>
            <wp:extent cx="23241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Environmental, Sustainability and Corporate Social Responsibility</w:t>
      </w:r>
    </w:p>
    <w:p>
      <w:pPr>
        <w:spacing w:after="0" w:line="35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Corporate responsibility and sustainability are integral to LivaNova and guide our actions as a company. We have always focused on delivering strong financial results, but we are committed to doing so in a way that respects the communities and environments in which we operate. In 2017, we initiated an engagement in a dialogue with investors around their growing interest in environmental, social and governance (“ESG”) performance and the impact on financial results. The Board has increased its own involvement in the ESG arena by enshrining such matters in the revised charter of the Nominating and Corporate Governance Committee which now formally maintains oversight for these issues.</w:t>
      </w:r>
    </w:p>
    <w:p>
      <w:pPr>
        <w:spacing w:after="0" w:line="260"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Availability of Governance Documents</w:t>
      </w:r>
    </w:p>
    <w:p>
      <w:pPr>
        <w:spacing w:after="0" w:line="35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 xml:space="preserve">Our Corporate Governance Guidelines, charters of the committees of the Board and Code of Business Conduct and Ethics are available on our website and in print to any shareholder who requests any of these. To access these documents from our website, go to </w:t>
      </w:r>
      <w:r>
        <w:rPr>
          <w:rFonts w:ascii="Arial" w:cs="Arial" w:eastAsia="Arial" w:hAnsi="Arial"/>
          <w:sz w:val="16"/>
          <w:szCs w:val="16"/>
          <w:i w:val="1"/>
          <w:iCs w:val="1"/>
          <w:color w:val="231F20"/>
        </w:rPr>
        <w:t>www.livanova.com</w:t>
      </w:r>
      <w:r>
        <w:rPr>
          <w:rFonts w:ascii="Arial" w:cs="Arial" w:eastAsia="Arial" w:hAnsi="Arial"/>
          <w:sz w:val="16"/>
          <w:szCs w:val="16"/>
          <w:color w:val="231F20"/>
        </w:rPr>
        <w:t>, select “Investor Relations” from the drop-down menu, then click on the “Corporate Governance” link located in a horizontal list in the middle of the screen. Requests for a printed copy should be addressed to LivaNova Plc, 20 Eastbourne Terrace, London, England W2 6LG, Attention: Company Secretary.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Borders>
              <w:bottom w:val="single" w:sz="8" w:color="auto"/>
            </w:tcBorders>
          </w:tcPr>
          <w:p>
            <w:pPr>
              <w:spacing w:after="0"/>
              <w:rPr>
                <w:sz w:val="10"/>
                <w:szCs w:val="10"/>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69"/>
        </w:trPr>
        <w:tc>
          <w:tcPr>
            <w:tcW w:w="40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ind w:right="180"/>
        <w:spacing w:after="0" w:line="245" w:lineRule="auto"/>
        <w:rPr>
          <w:sz w:val="20"/>
          <w:szCs w:val="20"/>
          <w:color w:val="auto"/>
        </w:rPr>
      </w:pPr>
      <w:r>
        <w:rPr>
          <w:rFonts w:ascii="Arial" w:cs="Arial" w:eastAsia="Arial" w:hAnsi="Arial"/>
          <w:sz w:val="47"/>
          <w:szCs w:val="47"/>
          <w:b w:val="1"/>
          <w:bCs w:val="1"/>
          <w:color w:val="6F2875"/>
        </w:rPr>
        <w:t xml:space="preserve">Proposal 2 </w:t>
      </w:r>
      <w:r>
        <w:rPr>
          <w:rFonts w:ascii="Arial" w:cs="Arial" w:eastAsia="Arial" w:hAnsi="Arial"/>
          <w:sz w:val="47"/>
          <w:szCs w:val="47"/>
          <w:b w:val="1"/>
          <w:bCs w:val="1"/>
          <w:color w:val="818285"/>
        </w:rPr>
        <w:t>Advisory (Non-Binding) Vote on How</w:t>
      </w:r>
      <w:r>
        <w:rPr>
          <w:rFonts w:ascii="Arial" w:cs="Arial" w:eastAsia="Arial" w:hAnsi="Arial"/>
          <w:sz w:val="47"/>
          <w:szCs w:val="47"/>
          <w:b w:val="1"/>
          <w:bCs w:val="1"/>
          <w:color w:val="6F2875"/>
        </w:rPr>
        <w:t xml:space="preserve"> </w:t>
      </w:r>
      <w:r>
        <w:rPr>
          <w:rFonts w:ascii="Arial" w:cs="Arial" w:eastAsia="Arial" w:hAnsi="Arial"/>
          <w:sz w:val="47"/>
          <w:szCs w:val="47"/>
          <w:b w:val="1"/>
          <w:bCs w:val="1"/>
          <w:color w:val="818285"/>
        </w:rPr>
        <w:t>Frequently Shareholders Should Vote to Approve Compensation of the Named Executive Officers (Say on Frequency)</w:t>
      </w:r>
    </w:p>
    <w:p>
      <w:pPr>
        <w:spacing w:after="0" w:line="38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In addition to providing shareholders with the opportunity to cast a “say on pay” advisory vote on the compensation of our Named Executive Officers (“NEOs”) (see Proposal No. 3), in accordance with SEC rules, we are also providing our shareholders with the opportunity to indicate how frequently we should seek an advisory vote on the compensation of our NEOs in the future. This non-binding advisory vote is commonly referred to as a “Say-on-Frequency” vote. Under this proposal, our shareholders may indicate whether they would prefer to have an advisory vote on executive compensation every 1 year, 2 years, or 3 years. The Compensation Committee and the Board believe that the advisory vote on executive compensation should be conducted every year because it will enable our shareholders to vote, on an advisory basis, on the most recent executive compensation information that is presented in our proxy statement, leading to more meaningful and timely communication between us and our shareholders on the compensation of our NEOs. Shareholders are not voting to approve or disapprove the Board’s recommendation. Instead, you may cast your vote on your preferred voting frequency by choosing any of the following four options with respect to this proposal: “1 year,” “2 years,” “3 years,” or “abstain.” The say on frequency vote is advisory, and therefore not binding on us, the Board, or the Compensation Committee. However, the Board and the Compensation Committee value the opinions expressed by shareholders in their vote on this proposal, and will consider the option that receives the most votes in determining the frequency of future advisory votes on compensation of our NEOs.</w:t>
      </w:r>
    </w:p>
    <w:p>
      <w:pPr>
        <w:spacing w:after="0" w:line="261"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Vote Required</w:t>
      </w:r>
    </w:p>
    <w:p>
      <w:pPr>
        <w:spacing w:after="0" w:line="35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The advisory vote regarding the frequency of the shareholder vote described in this proposal shall be determined by the option (every 1 year, 2 years or 3 years) receiving the most votes. If you own shares through a bank, broker or other holder of record, you must instruct your bank, broker or other holder of record how to vote in order for them to vote your shares so that your vote can be counted on this proposal. Broker non-votes will have no effect on this proposal as brokers are not entitled to vote on such proposals in the absence of voting instructions from the beneficial owner.</w:t>
      </w:r>
    </w:p>
    <w:p>
      <w:pPr>
        <w:spacing w:after="0" w:line="259"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Board Recommendation</w:t>
      </w:r>
    </w:p>
    <w:p>
      <w:pPr>
        <w:spacing w:after="0" w:line="323" w:lineRule="exact"/>
        <w:rPr>
          <w:sz w:val="20"/>
          <w:szCs w:val="20"/>
          <w:color w:val="auto"/>
        </w:rPr>
      </w:pPr>
    </w:p>
    <w:p>
      <w:pPr>
        <w:spacing w:after="0"/>
        <w:rPr>
          <w:sz w:val="20"/>
          <w:szCs w:val="20"/>
          <w:color w:val="auto"/>
        </w:rPr>
      </w:pPr>
      <w:r>
        <w:rPr>
          <w:sz w:val="1"/>
          <w:szCs w:val="1"/>
          <w:color w:val="auto"/>
        </w:rPr>
        <w:drawing>
          <wp:inline distT="0" distB="0" distL="0" distR="0">
            <wp:extent cx="197485" cy="18034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7485" cy="180340"/>
                    </a:xfrm>
                    <a:prstGeom prst="rect">
                      <a:avLst/>
                    </a:prstGeom>
                    <a:noFill/>
                    <a:ln>
                      <a:noFill/>
                    </a:ln>
                  </pic:spPr>
                </pic:pic>
              </a:graphicData>
            </a:graphic>
          </wp:inline>
        </w:drawing>
      </w:r>
      <w:r>
        <w:rPr>
          <w:rFonts w:ascii="Arial" w:cs="Arial" w:eastAsia="Arial" w:hAnsi="Arial"/>
          <w:sz w:val="16"/>
          <w:szCs w:val="16"/>
          <w:color w:val="231F20"/>
        </w:rPr>
        <w:t xml:space="preserve">THE BOARD RECOMMENDS SHAREHOLDERS </w:t>
      </w:r>
      <w:r>
        <w:rPr>
          <w:rFonts w:ascii="Arial" w:cs="Arial" w:eastAsia="Arial" w:hAnsi="Arial"/>
          <w:sz w:val="16"/>
          <w:szCs w:val="16"/>
          <w:b w:val="1"/>
          <w:bCs w:val="1"/>
          <w:color w:val="FC5D45"/>
        </w:rPr>
        <w:t>VOTE “FOR”</w:t>
      </w:r>
      <w:r>
        <w:rPr>
          <w:rFonts w:ascii="Arial" w:cs="Arial" w:eastAsia="Arial" w:hAnsi="Arial"/>
          <w:sz w:val="16"/>
          <w:szCs w:val="16"/>
          <w:color w:val="231F20"/>
        </w:rPr>
        <w:t xml:space="preserve"> A FREQUENCY OF EVERY 1 YEAR</w:t>
      </w:r>
    </w:p>
    <w:p>
      <w:pPr>
        <w:spacing w:after="0" w:line="184" w:lineRule="exact"/>
        <w:rPr>
          <w:sz w:val="20"/>
          <w:szCs w:val="20"/>
          <w:color w:val="auto"/>
        </w:rPr>
      </w:pPr>
    </w:p>
    <w:p>
      <w:pPr>
        <w:spacing w:after="0"/>
        <w:tabs>
          <w:tab w:leader="none" w:pos="4220" w:val="left"/>
          <w:tab w:leader="none" w:pos="9960" w:val="left"/>
        </w:tabs>
        <w:rPr>
          <w:sz w:val="20"/>
          <w:szCs w:val="20"/>
          <w:color w:val="auto"/>
        </w:rPr>
      </w:pPr>
      <w:r>
        <w:rPr>
          <w:rFonts w:ascii="Arial" w:cs="Arial" w:eastAsia="Arial" w:hAnsi="Arial"/>
          <w:sz w:val="16"/>
          <w:szCs w:val="16"/>
          <w:b w:val="1"/>
          <w:bCs w:val="1"/>
          <w:color w:val="auto"/>
        </w:rPr>
        <w:t>20</w:t>
      </w:r>
      <w:r>
        <w:rPr>
          <w:sz w:val="20"/>
          <w:szCs w:val="20"/>
          <w:color w:val="auto"/>
        </w:rPr>
        <w:tab/>
      </w: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r>
        <w:rPr>
          <w:sz w:val="20"/>
          <w:szCs w:val="20"/>
          <w:color w:val="auto"/>
        </w:rPr>
        <w:tab/>
      </w:r>
      <w:r>
        <w:rPr>
          <w:rFonts w:ascii="Arial" w:cs="Arial" w:eastAsia="Arial" w:hAnsi="Arial"/>
          <w:sz w:val="16"/>
          <w:szCs w:val="16"/>
          <w:b w:val="1"/>
          <w:bCs w:val="1"/>
          <w:color w:val="6F2875"/>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-36195</wp:posOffset>
            </wp:positionV>
            <wp:extent cx="1663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-36195</wp:posOffset>
            </wp:positionV>
            <wp:extent cx="23241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ind w:right="880"/>
        <w:spacing w:after="0" w:line="281" w:lineRule="auto"/>
        <w:rPr>
          <w:sz w:val="20"/>
          <w:szCs w:val="20"/>
          <w:color w:val="auto"/>
        </w:rPr>
      </w:pPr>
      <w:r>
        <w:rPr>
          <w:rFonts w:ascii="Arial" w:cs="Arial" w:eastAsia="Arial" w:hAnsi="Arial"/>
          <w:sz w:val="46"/>
          <w:szCs w:val="46"/>
          <w:b w:val="1"/>
          <w:bCs w:val="1"/>
          <w:color w:val="6F2875"/>
        </w:rPr>
        <w:t xml:space="preserve">Proposal 3 </w:t>
      </w:r>
      <w:r>
        <w:rPr>
          <w:rFonts w:ascii="Arial" w:cs="Arial" w:eastAsia="Arial" w:hAnsi="Arial"/>
          <w:sz w:val="46"/>
          <w:szCs w:val="46"/>
          <w:b w:val="1"/>
          <w:bCs w:val="1"/>
          <w:color w:val="818285"/>
        </w:rPr>
        <w:t>Advisory (Non-Binding) Vote to</w:t>
      </w:r>
      <w:r>
        <w:rPr>
          <w:rFonts w:ascii="Arial" w:cs="Arial" w:eastAsia="Arial" w:hAnsi="Arial"/>
          <w:sz w:val="46"/>
          <w:szCs w:val="46"/>
          <w:b w:val="1"/>
          <w:bCs w:val="1"/>
          <w:color w:val="6F2875"/>
        </w:rPr>
        <w:t xml:space="preserve"> </w:t>
      </w:r>
      <w:r>
        <w:rPr>
          <w:rFonts w:ascii="Arial" w:cs="Arial" w:eastAsia="Arial" w:hAnsi="Arial"/>
          <w:sz w:val="46"/>
          <w:szCs w:val="46"/>
          <w:b w:val="1"/>
          <w:bCs w:val="1"/>
          <w:color w:val="818285"/>
        </w:rPr>
        <w:t>Approve Executive Compensation (Say on Pay)</w:t>
      </w:r>
    </w:p>
    <w:p>
      <w:pPr>
        <w:spacing w:after="0" w:line="29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Our shareholders are entitled to cast an advisory vote at the AGM to approve the compensation of our NEOs, as disclosed in this proxy statement. The shareholder vote is an advisory vote only and is not binding on us, the Board, or the Compensation Committee.</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Although the vote is non-binding, the Compensation Committee and the Board value your opinions and will consider the outcome of the vote in establishing compensation philosophy and making future compensation decisions. As described more fully in the “Compensation Discussion and Analysis” and in “Executive Compensation” sections of the proxy statement, our NEOs are compensated in a manner consistent with our business strategy, competitive practice, sound compensation governance principles and shareholder interests and concerns. Our compensation policies and decisions are focused on pay-for-performance.</w:t>
      </w:r>
    </w:p>
    <w:p>
      <w:pPr>
        <w:spacing w:after="0" w:line="3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We are requesting your non-binding vote to approve the compensation of our NEOs in 2017 as described in the “Compensation Discussion and Analysis” and “Executive Compensation” sections of the proxy statement.</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Vote Required</w:t>
      </w:r>
    </w:p>
    <w:p>
      <w:pPr>
        <w:spacing w:after="0" w:line="359" w:lineRule="exact"/>
        <w:rPr>
          <w:sz w:val="20"/>
          <w:szCs w:val="20"/>
          <w:color w:val="auto"/>
        </w:rPr>
      </w:pPr>
    </w:p>
    <w:p>
      <w:pPr>
        <w:spacing w:after="0" w:line="253" w:lineRule="auto"/>
        <w:rPr>
          <w:sz w:val="20"/>
          <w:szCs w:val="20"/>
          <w:color w:val="auto"/>
        </w:rPr>
      </w:pPr>
      <w:r>
        <w:rPr>
          <w:rFonts w:ascii="Arial" w:cs="Arial" w:eastAsia="Arial" w:hAnsi="Arial"/>
          <w:sz w:val="16"/>
          <w:szCs w:val="16"/>
          <w:color w:val="231F20"/>
        </w:rPr>
        <w:t>The advisory vote regarding approval of the compensation of our NEOs requires the affirmative vote of a majority of shares present at the AGM, in person or by proxy, and entitled to vote on the proposal. Abstentions will have the same effect as votes against this proposal. Broker non-votes will have no effect on this proposal as brokers are not entitled to vote on such proposals in the absence of voting instructions from the beneficial owner.</w:t>
      </w:r>
    </w:p>
    <w:p>
      <w:pPr>
        <w:spacing w:after="0" w:line="258"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Board recommendation</w:t>
      </w:r>
    </w:p>
    <w:p>
      <w:pPr>
        <w:spacing w:after="0" w:line="339" w:lineRule="exact"/>
        <w:rPr>
          <w:sz w:val="20"/>
          <w:szCs w:val="20"/>
          <w:color w:val="auto"/>
        </w:rPr>
      </w:pPr>
    </w:p>
    <w:p>
      <w:pPr>
        <w:jc w:val="both"/>
        <w:ind w:left="340" w:right="160"/>
        <w:spacing w:after="0" w:line="266" w:lineRule="auto"/>
        <w:rPr>
          <w:sz w:val="20"/>
          <w:szCs w:val="20"/>
          <w:color w:val="auto"/>
        </w:rPr>
      </w:pPr>
      <w:r>
        <w:rPr>
          <w:rFonts w:ascii="Arial" w:cs="Arial" w:eastAsia="Arial" w:hAnsi="Arial"/>
          <w:sz w:val="16"/>
          <w:szCs w:val="16"/>
          <w:color w:val="231F20"/>
        </w:rPr>
        <w:t xml:space="preserve">THE BOARD RECOMMENDS A </w:t>
      </w:r>
      <w:r>
        <w:rPr>
          <w:rFonts w:ascii="Arial" w:cs="Arial" w:eastAsia="Arial" w:hAnsi="Arial"/>
          <w:sz w:val="16"/>
          <w:szCs w:val="16"/>
          <w:b w:val="1"/>
          <w:bCs w:val="1"/>
          <w:color w:val="FC5D45"/>
        </w:rPr>
        <w:t>VOTE “FOR”</w:t>
      </w:r>
      <w:r>
        <w:rPr>
          <w:rFonts w:ascii="Arial" w:cs="Arial" w:eastAsia="Arial" w:hAnsi="Arial"/>
          <w:sz w:val="16"/>
          <w:szCs w:val="16"/>
          <w:color w:val="231F20"/>
        </w:rPr>
        <w:t xml:space="preserve"> THE APPROVAL OF THE COMPENSATION OF OUR NEOS IN 2017 AS DISCLOSED IN THIS PROXY STATEMENT PURSUANT TO ITEM 402 OF REGULATION S-K, INCLUDING THE COMPENSATION DISCUSSION AND ANALYSIS, COMPENSATION TABLES, AND NARRATIVE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197485" cy="1803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7485" cy="18034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Borders>
              <w:bottom w:val="single" w:sz="8" w:color="auto"/>
            </w:tcBorders>
          </w:tcPr>
          <w:p>
            <w:pPr>
              <w:spacing w:after="0"/>
              <w:rPr>
                <w:sz w:val="10"/>
                <w:szCs w:val="10"/>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69"/>
        </w:trPr>
        <w:tc>
          <w:tcPr>
            <w:tcW w:w="40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47"/>
          <w:szCs w:val="47"/>
          <w:b w:val="1"/>
          <w:bCs w:val="1"/>
          <w:color w:val="6F2875"/>
        </w:rPr>
        <w:t xml:space="preserve">Executive </w:t>
      </w:r>
      <w:r>
        <w:rPr>
          <w:rFonts w:ascii="Arial" w:cs="Arial" w:eastAsia="Arial" w:hAnsi="Arial"/>
          <w:sz w:val="47"/>
          <w:szCs w:val="47"/>
          <w:b w:val="1"/>
          <w:bCs w:val="1"/>
          <w:color w:val="818285"/>
        </w:rPr>
        <w:t>Compensation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Compensation Discussion &amp; Analysis</w:t>
      </w:r>
    </w:p>
    <w:p>
      <w:pPr>
        <w:spacing w:after="0" w:line="359"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This Compensation Discussion and Analysis describes our executive compensation programs for the year ended December 31, 2017, which we refer to as 2017 or the reporting period, and explains how the Compensation Committee of the Board made its compensation decisions for our named executive officers.</w:t>
      </w:r>
    </w:p>
    <w:p>
      <w:pPr>
        <w:spacing w:after="0" w:line="136"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Selected Performance Highlights</w:t>
      </w:r>
    </w:p>
    <w:p>
      <w:pPr>
        <w:spacing w:after="0" w:line="231" w:lineRule="exact"/>
        <w:rPr>
          <w:sz w:val="20"/>
          <w:szCs w:val="20"/>
          <w:color w:val="auto"/>
        </w:rPr>
      </w:pPr>
    </w:p>
    <w:p>
      <w:pPr>
        <w:jc w:val="both"/>
        <w:ind w:left="180" w:hanging="172"/>
        <w:spacing w:after="0" w:line="253" w:lineRule="auto"/>
        <w:tabs>
          <w:tab w:leader="none" w:pos="180" w:val="left"/>
        </w:tabs>
        <w:numPr>
          <w:ilvl w:val="0"/>
          <w:numId w:val="18"/>
        </w:numPr>
        <w:rPr>
          <w:rFonts w:ascii="Arial" w:cs="Arial" w:eastAsia="Arial" w:hAnsi="Arial"/>
          <w:sz w:val="16"/>
          <w:szCs w:val="16"/>
          <w:b w:val="1"/>
          <w:bCs w:val="1"/>
          <w:color w:val="6F2875"/>
        </w:rPr>
      </w:pPr>
      <w:r>
        <w:rPr>
          <w:rFonts w:ascii="Arial" w:cs="Arial" w:eastAsia="Arial" w:hAnsi="Arial"/>
          <w:sz w:val="16"/>
          <w:szCs w:val="16"/>
          <w:color w:val="231F20"/>
        </w:rPr>
        <w:t>In May 2017, we acquired the remaining outstanding interests in Caisson Interventional, LLC (“Caisson”), in support of our strategic growth initiatives. Based in Maple Grove, Minnesota, Caisson was a privately held clinical-stage medical device company focused on the design, development and clinical evaluation of a novel TMVR implant with a fully transvenous delivery system.</w:t>
      </w:r>
    </w:p>
    <w:p>
      <w:pPr>
        <w:spacing w:after="0" w:line="39" w:lineRule="exact"/>
        <w:rPr>
          <w:rFonts w:ascii="Arial" w:cs="Arial" w:eastAsia="Arial" w:hAnsi="Arial"/>
          <w:sz w:val="16"/>
          <w:szCs w:val="16"/>
          <w:b w:val="1"/>
          <w:bCs w:val="1"/>
          <w:color w:val="6F2875"/>
        </w:rPr>
      </w:pPr>
    </w:p>
    <w:p>
      <w:pPr>
        <w:ind w:left="180" w:hanging="172"/>
        <w:spacing w:after="0"/>
        <w:tabs>
          <w:tab w:leader="none" w:pos="180" w:val="left"/>
        </w:tabs>
        <w:numPr>
          <w:ilvl w:val="0"/>
          <w:numId w:val="18"/>
        </w:numPr>
        <w:rPr>
          <w:rFonts w:ascii="Arial" w:cs="Arial" w:eastAsia="Arial" w:hAnsi="Arial"/>
          <w:sz w:val="16"/>
          <w:szCs w:val="16"/>
          <w:b w:val="1"/>
          <w:bCs w:val="1"/>
          <w:color w:val="6F2875"/>
        </w:rPr>
      </w:pPr>
      <w:r>
        <w:rPr>
          <w:rFonts w:ascii="Arial" w:cs="Arial" w:eastAsia="Arial" w:hAnsi="Arial"/>
          <w:sz w:val="16"/>
          <w:szCs w:val="16"/>
          <w:color w:val="231F20"/>
        </w:rPr>
        <w:t>In June 2017, the FDA approved our VNS Therapy system for Drug-Resistant Epilepsy in children as young as four years old.</w:t>
      </w:r>
    </w:p>
    <w:p>
      <w:pPr>
        <w:spacing w:after="0" w:line="59" w:lineRule="exact"/>
        <w:rPr>
          <w:rFonts w:ascii="Arial" w:cs="Arial" w:eastAsia="Arial" w:hAnsi="Arial"/>
          <w:sz w:val="16"/>
          <w:szCs w:val="16"/>
          <w:b w:val="1"/>
          <w:bCs w:val="1"/>
          <w:color w:val="6F2875"/>
        </w:rPr>
      </w:pPr>
    </w:p>
    <w:p>
      <w:pPr>
        <w:jc w:val="both"/>
        <w:ind w:left="180" w:hanging="172"/>
        <w:spacing w:after="0" w:line="253" w:lineRule="auto"/>
        <w:tabs>
          <w:tab w:leader="none" w:pos="180" w:val="left"/>
        </w:tabs>
        <w:numPr>
          <w:ilvl w:val="0"/>
          <w:numId w:val="18"/>
        </w:numPr>
        <w:rPr>
          <w:rFonts w:ascii="Arial" w:cs="Arial" w:eastAsia="Arial" w:hAnsi="Arial"/>
          <w:sz w:val="16"/>
          <w:szCs w:val="16"/>
          <w:b w:val="1"/>
          <w:bCs w:val="1"/>
          <w:color w:val="6F2875"/>
        </w:rPr>
      </w:pPr>
      <w:r>
        <w:rPr>
          <w:rFonts w:ascii="Arial" w:cs="Arial" w:eastAsia="Arial" w:hAnsi="Arial"/>
          <w:sz w:val="16"/>
          <w:szCs w:val="16"/>
          <w:color w:val="231F20"/>
        </w:rPr>
        <w:t>In September 2017, we received FDA 510(k) clearance for the US market launch of our Optiflow arterial cannulae family of products. Optiflow aortic arch cannulae provide improved hydrodynamics with a novel dispersive tip design that improves blood flow characteristics resulting in reduced wall shear stress (WSS) profiles.</w:t>
      </w:r>
    </w:p>
    <w:p>
      <w:pPr>
        <w:spacing w:after="0" w:line="39" w:lineRule="exact"/>
        <w:rPr>
          <w:rFonts w:ascii="Arial" w:cs="Arial" w:eastAsia="Arial" w:hAnsi="Arial"/>
          <w:sz w:val="16"/>
          <w:szCs w:val="16"/>
          <w:b w:val="1"/>
          <w:bCs w:val="1"/>
          <w:color w:val="6F2875"/>
        </w:rPr>
      </w:pPr>
    </w:p>
    <w:p>
      <w:pPr>
        <w:jc w:val="both"/>
        <w:ind w:left="180" w:hanging="172"/>
        <w:spacing w:after="0" w:line="250" w:lineRule="auto"/>
        <w:tabs>
          <w:tab w:leader="none" w:pos="180" w:val="left"/>
        </w:tabs>
        <w:numPr>
          <w:ilvl w:val="0"/>
          <w:numId w:val="18"/>
        </w:numPr>
        <w:rPr>
          <w:rFonts w:ascii="Arial" w:cs="Arial" w:eastAsia="Arial" w:hAnsi="Arial"/>
          <w:sz w:val="16"/>
          <w:szCs w:val="16"/>
          <w:b w:val="1"/>
          <w:bCs w:val="1"/>
          <w:color w:val="6F2875"/>
        </w:rPr>
      </w:pPr>
      <w:r>
        <w:rPr>
          <w:rFonts w:ascii="Arial" w:cs="Arial" w:eastAsia="Arial" w:hAnsi="Arial"/>
          <w:sz w:val="16"/>
          <w:szCs w:val="16"/>
          <w:color w:val="231F20"/>
        </w:rPr>
        <w:t>In October, 2017, we received FDA approvals for the latest VNS Therapy System, which consists of the SenTiva™ implantable generator and the next-generation VNS Therapy Programming System for the treatment of patients with drug-resistant epilepsy. SenTiva is the smallest and lightest of our responsive therapies for epilepsy. The new VNS Therapy programming system features a wireless wand and new user interface on a small tablet. Together, the components offer patients with drug-resistant epilepsy a physician-directed customizable therapy with smart technology and proven results to reduce the number of seizures, lessen the duration of seizures and enable a faster recovery.</w:t>
      </w:r>
    </w:p>
    <w:p>
      <w:pPr>
        <w:spacing w:after="0" w:line="41" w:lineRule="exact"/>
        <w:rPr>
          <w:rFonts w:ascii="Arial" w:cs="Arial" w:eastAsia="Arial" w:hAnsi="Arial"/>
          <w:sz w:val="16"/>
          <w:szCs w:val="16"/>
          <w:b w:val="1"/>
          <w:bCs w:val="1"/>
          <w:color w:val="6F2875"/>
        </w:rPr>
      </w:pPr>
    </w:p>
    <w:p>
      <w:pPr>
        <w:ind w:left="180" w:hanging="172"/>
        <w:spacing w:after="0" w:line="260" w:lineRule="auto"/>
        <w:tabs>
          <w:tab w:leader="none" w:pos="180" w:val="left"/>
        </w:tabs>
        <w:numPr>
          <w:ilvl w:val="0"/>
          <w:numId w:val="18"/>
        </w:numPr>
        <w:rPr>
          <w:rFonts w:ascii="Arial" w:cs="Arial" w:eastAsia="Arial" w:hAnsi="Arial"/>
          <w:sz w:val="16"/>
          <w:szCs w:val="16"/>
          <w:b w:val="1"/>
          <w:bCs w:val="1"/>
          <w:color w:val="6F2875"/>
        </w:rPr>
      </w:pPr>
      <w:r>
        <w:rPr>
          <w:rFonts w:ascii="Arial" w:cs="Arial" w:eastAsia="Arial" w:hAnsi="Arial"/>
          <w:sz w:val="16"/>
          <w:szCs w:val="16"/>
          <w:color w:val="231F20"/>
        </w:rPr>
        <w:t>In November 2017, we announced that we had entered into a binding LOI for the sale of our CRM Business Franchise to MicroPort Scientific Corporation for $190 million in cash, a divestiture that we expect to close in the second quarter of 2018.</w:t>
      </w:r>
    </w:p>
    <w:p>
      <w:pPr>
        <w:spacing w:after="0" w:line="33" w:lineRule="exact"/>
        <w:rPr>
          <w:rFonts w:ascii="Arial" w:cs="Arial" w:eastAsia="Arial" w:hAnsi="Arial"/>
          <w:sz w:val="16"/>
          <w:szCs w:val="16"/>
          <w:b w:val="1"/>
          <w:bCs w:val="1"/>
          <w:color w:val="6F2875"/>
        </w:rPr>
      </w:pPr>
    </w:p>
    <w:p>
      <w:pPr>
        <w:ind w:left="180" w:hanging="172"/>
        <w:spacing w:after="0" w:line="260" w:lineRule="auto"/>
        <w:tabs>
          <w:tab w:leader="none" w:pos="180" w:val="left"/>
        </w:tabs>
        <w:numPr>
          <w:ilvl w:val="0"/>
          <w:numId w:val="18"/>
        </w:numPr>
        <w:rPr>
          <w:rFonts w:ascii="Arial" w:cs="Arial" w:eastAsia="Arial" w:hAnsi="Arial"/>
          <w:sz w:val="16"/>
          <w:szCs w:val="16"/>
          <w:b w:val="1"/>
          <w:bCs w:val="1"/>
          <w:color w:val="6F2875"/>
        </w:rPr>
      </w:pPr>
      <w:r>
        <w:rPr>
          <w:rFonts w:ascii="Arial" w:cs="Arial" w:eastAsia="Arial" w:hAnsi="Arial"/>
          <w:sz w:val="16"/>
          <w:szCs w:val="16"/>
          <w:color w:val="231F20"/>
        </w:rPr>
        <w:t>In December 2017, we entered into an agreement to acquire ImThera Medical, Inc., a privately held company focused on neurostimulation for the treatment of OSA. The acquisition closed in January 2018.</w:t>
      </w:r>
    </w:p>
    <w:p>
      <w:pPr>
        <w:spacing w:after="0" w:line="136"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Shareholder Engagement and Consideration of Prior Year’s Say on Pay Vote</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We are committed to engagement with our shareholders on executive compensation and corporate governance matters and are committed to reviewing all shareholders feedback.</w:t>
      </w:r>
    </w:p>
    <w:p>
      <w:pPr>
        <w:spacing w:after="0" w:line="16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Under English company law, we are obliged to adopt a remuneration policy (the “Remuneration Policy”) in respect of our directors, including our CEO, who is also a director. The Remuneration Policy received the support of 87.8% of the shareholders in 2016 and remains in force until the 2019 AGM.</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231F20"/>
        </w:rPr>
        <w:t>Our first “Say on Pay” advisory vote will occur at this year’s AGM, and we will also have an advisory vote in respect of the UK directors’ remuneration report.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The Compensation Committee of the Board will take into account each of these when setting and evaluating executive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Executive Compensation Philosophy</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Working with its compensation advisor, Pearl Meyer, our Compensation Committee developed in 2016 a compensation philosophy that is reflected in the compensation decisions made by the committee in 2017. Our executive compensation program aims to recruit and retain key executive officers responsible for our success and to help motivate these officers to enhance long-term shareholder value. To achieve these ends, the Compensation Committee’s executive compensation decisions are based on the following principal objectives:</w:t>
      </w:r>
    </w:p>
    <w:p>
      <w:pPr>
        <w:spacing w:after="0" w:line="160" w:lineRule="exact"/>
        <w:rPr>
          <w:sz w:val="20"/>
          <w:szCs w:val="20"/>
          <w:color w:val="auto"/>
        </w:rPr>
      </w:pPr>
    </w:p>
    <w:p>
      <w:pPr>
        <w:ind w:left="180" w:hanging="172"/>
        <w:spacing w:after="0" w:line="281" w:lineRule="auto"/>
        <w:tabs>
          <w:tab w:leader="none" w:pos="180" w:val="left"/>
        </w:tabs>
        <w:numPr>
          <w:ilvl w:val="0"/>
          <w:numId w:val="19"/>
        </w:numPr>
        <w:rPr>
          <w:rFonts w:ascii="Arial" w:cs="Arial" w:eastAsia="Arial" w:hAnsi="Arial"/>
          <w:sz w:val="16"/>
          <w:szCs w:val="16"/>
          <w:b w:val="1"/>
          <w:bCs w:val="1"/>
          <w:color w:val="6F2875"/>
        </w:rPr>
      </w:pPr>
      <w:r>
        <w:rPr>
          <w:rFonts w:ascii="Arial" w:cs="Arial" w:eastAsia="Arial" w:hAnsi="Arial"/>
          <w:sz w:val="16"/>
          <w:szCs w:val="16"/>
          <w:i w:val="1"/>
          <w:iCs w:val="1"/>
          <w:color w:val="231F20"/>
        </w:rPr>
        <w:t>Providing a competitive compensation package that attracts, motivates, and retains talented executive officers with the skills and experience to ensure our long-term success.</w:t>
      </w:r>
    </w:p>
    <w:p>
      <w:pPr>
        <w:spacing w:after="0" w:line="146" w:lineRule="exact"/>
        <w:rPr>
          <w:sz w:val="20"/>
          <w:szCs w:val="20"/>
          <w:color w:val="auto"/>
        </w:rPr>
      </w:pPr>
    </w:p>
    <w:p>
      <w:pPr>
        <w:spacing w:after="0"/>
        <w:tabs>
          <w:tab w:leader="none" w:pos="4220" w:val="left"/>
          <w:tab w:leader="none" w:pos="9960"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r>
        <w:rPr>
          <w:sz w:val="20"/>
          <w:szCs w:val="20"/>
          <w:color w:val="auto"/>
        </w:rPr>
        <w:tab/>
      </w:r>
      <w:r>
        <w:rPr>
          <w:rFonts w:ascii="Arial" w:cs="Arial" w:eastAsia="Arial" w:hAnsi="Arial"/>
          <w:sz w:val="16"/>
          <w:szCs w:val="16"/>
          <w:b w:val="1"/>
          <w:bCs w:val="1"/>
          <w:color w:val="6F2875"/>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-36195</wp:posOffset>
            </wp:positionV>
            <wp:extent cx="1663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-36195</wp:posOffset>
            </wp:positionV>
            <wp:extent cx="23241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180"/>
        <w:spacing w:after="0" w:line="260" w:lineRule="auto"/>
        <w:rPr>
          <w:sz w:val="20"/>
          <w:szCs w:val="20"/>
          <w:color w:val="auto"/>
        </w:rPr>
      </w:pPr>
      <w:r>
        <w:rPr>
          <w:rFonts w:ascii="Arial" w:cs="Arial" w:eastAsia="Arial" w:hAnsi="Arial"/>
          <w:sz w:val="16"/>
          <w:szCs w:val="16"/>
          <w:color w:val="231F20"/>
        </w:rPr>
        <w:t>We have included multiple pay and reward vehicles that work together to achieve our overall compensation objectives. These vehicles deliver a competitive package that focuses on rewarding performance and retaining talent, while maintaining alignment with shareholder interests.</w:t>
      </w:r>
    </w:p>
    <w:p>
      <w:pPr>
        <w:spacing w:after="0" w:line="18" w:lineRule="exact"/>
        <w:rPr>
          <w:sz w:val="20"/>
          <w:szCs w:val="20"/>
          <w:color w:val="auto"/>
        </w:rPr>
      </w:pPr>
    </w:p>
    <w:p>
      <w:pPr>
        <w:jc w:val="both"/>
        <w:ind w:left="180" w:hanging="172"/>
        <w:spacing w:after="0" w:line="258" w:lineRule="auto"/>
        <w:tabs>
          <w:tab w:leader="none" w:pos="180" w:val="left"/>
        </w:tabs>
        <w:numPr>
          <w:ilvl w:val="0"/>
          <w:numId w:val="20"/>
        </w:numPr>
        <w:rPr>
          <w:rFonts w:ascii="Arial" w:cs="Arial" w:eastAsia="Arial" w:hAnsi="Arial"/>
          <w:sz w:val="16"/>
          <w:szCs w:val="16"/>
          <w:b w:val="1"/>
          <w:bCs w:val="1"/>
          <w:color w:val="6F2875"/>
        </w:rPr>
      </w:pPr>
      <w:r>
        <w:rPr>
          <w:rFonts w:ascii="Arial" w:cs="Arial" w:eastAsia="Arial" w:hAnsi="Arial"/>
          <w:sz w:val="16"/>
          <w:szCs w:val="16"/>
          <w:i w:val="1"/>
          <w:iCs w:val="1"/>
          <w:color w:val="231F20"/>
        </w:rPr>
        <w:t xml:space="preserve">Rewarding individual performance while ensuring a meaningful link to our operational performance and shareholder interests. </w:t>
      </w:r>
      <w:r>
        <w:rPr>
          <w:rFonts w:ascii="Arial" w:cs="Arial" w:eastAsia="Arial" w:hAnsi="Arial"/>
          <w:sz w:val="16"/>
          <w:szCs w:val="16"/>
          <w:color w:val="231F20"/>
        </w:rPr>
        <w:t>A substantial portion of each</w:t>
      </w:r>
      <w:r>
        <w:rPr>
          <w:rFonts w:ascii="Arial" w:cs="Arial" w:eastAsia="Arial" w:hAnsi="Arial"/>
          <w:sz w:val="16"/>
          <w:szCs w:val="16"/>
          <w:i w:val="1"/>
          <w:iCs w:val="1"/>
          <w:color w:val="231F20"/>
        </w:rPr>
        <w:t xml:space="preserve"> </w:t>
      </w:r>
      <w:r>
        <w:rPr>
          <w:rFonts w:ascii="Arial" w:cs="Arial" w:eastAsia="Arial" w:hAnsi="Arial"/>
          <w:sz w:val="16"/>
          <w:szCs w:val="16"/>
          <w:color w:val="231F20"/>
        </w:rPr>
        <w:t>executive officer’s compensation is based on the collective performance of our management team, as measured by the achievement of specific, key company objectives. The emphasis on overall performance is designed to focus our executive officers, working as a team,on a common purpose, using shared performance standards aligned with shareholder interests.</w:t>
      </w:r>
    </w:p>
    <w:p>
      <w:pPr>
        <w:spacing w:after="0" w:line="19" w:lineRule="exact"/>
        <w:rPr>
          <w:rFonts w:ascii="Arial" w:cs="Arial" w:eastAsia="Arial" w:hAnsi="Arial"/>
          <w:sz w:val="16"/>
          <w:szCs w:val="16"/>
          <w:b w:val="1"/>
          <w:bCs w:val="1"/>
          <w:color w:val="6F2875"/>
        </w:rPr>
      </w:pPr>
    </w:p>
    <w:p>
      <w:pPr>
        <w:jc w:val="both"/>
        <w:ind w:left="180" w:hanging="172"/>
        <w:spacing w:after="0" w:line="255" w:lineRule="auto"/>
        <w:tabs>
          <w:tab w:leader="none" w:pos="180" w:val="left"/>
        </w:tabs>
        <w:numPr>
          <w:ilvl w:val="0"/>
          <w:numId w:val="20"/>
        </w:numPr>
        <w:rPr>
          <w:rFonts w:ascii="Arial" w:cs="Arial" w:eastAsia="Arial" w:hAnsi="Arial"/>
          <w:sz w:val="16"/>
          <w:szCs w:val="16"/>
          <w:b w:val="1"/>
          <w:bCs w:val="1"/>
          <w:color w:val="6F2875"/>
        </w:rPr>
      </w:pPr>
      <w:r>
        <w:rPr>
          <w:rFonts w:ascii="Arial" w:cs="Arial" w:eastAsia="Arial" w:hAnsi="Arial"/>
          <w:sz w:val="16"/>
          <w:szCs w:val="16"/>
          <w:i w:val="1"/>
          <w:iCs w:val="1"/>
          <w:color w:val="231F20"/>
        </w:rPr>
        <w:t xml:space="preserve">Balancing the components of compensation so that short-term (annual) and long-term performance objectives are recognized. </w:t>
      </w:r>
      <w:r>
        <w:rPr>
          <w:rFonts w:ascii="Arial" w:cs="Arial" w:eastAsia="Arial" w:hAnsi="Arial"/>
          <w:sz w:val="16"/>
          <w:szCs w:val="16"/>
          <w:color w:val="231F20"/>
        </w:rPr>
        <w:t>Our success depends on our</w:t>
      </w:r>
      <w:r>
        <w:rPr>
          <w:rFonts w:ascii="Arial" w:cs="Arial" w:eastAsia="Arial" w:hAnsi="Arial"/>
          <w:sz w:val="16"/>
          <w:szCs w:val="16"/>
          <w:i w:val="1"/>
          <w:iCs w:val="1"/>
          <w:color w:val="231F20"/>
        </w:rPr>
        <w:t xml:space="preserve"> </w:t>
      </w:r>
      <w:r>
        <w:rPr>
          <w:rFonts w:ascii="Arial" w:cs="Arial" w:eastAsia="Arial" w:hAnsi="Arial"/>
          <w:sz w:val="16"/>
          <w:szCs w:val="16"/>
          <w:color w:val="231F20"/>
        </w:rPr>
        <w:t>executive officers being focused on the critical strategic and tactical objectives, both short-term and long-term, that lead to our success as a company. The components of our compensation package, coupled with the performance objectives, align our executive compensation with our business objectives. The design of the program, the selected performance objectives, and the timing of awards and payouts are all intended to drive business performance and increase shareholder returns.</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Participants in Executive Compensation Design and Decision-Making Process</w:t>
      </w: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b w:val="1"/>
          <w:bCs w:val="1"/>
          <w:color w:val="FC5D45"/>
        </w:rPr>
        <w:t>Role of the Compensation Committee</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Compensation Committee has authority to determine and approve the corporate goals and objectives applicable to the compensation of the CEO and to assess the CEO’s performance annually in light of these goals and objectives and then to determine and approve the CEO’s compensation level based on this evaluation. The CEO is not present during discussions about his own compensation.</w:t>
      </w:r>
    </w:p>
    <w:p>
      <w:pPr>
        <w:spacing w:after="0" w:line="17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231F20"/>
        </w:rPr>
        <w:t>The Compensation Committee also has authority to determine and approve the compensation of all other executive officers. The committee is also entrusted with reviewing and approving incentive plans and equity-based plans that apply on a broader basis but which could also apply to the CEO and other executive officers.</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FC5D45"/>
        </w:rPr>
        <w:t>Role of Compensation Consultant</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The Compensation Committee has the sole authority to retain and terminate a compensation consultant to assist with its responsibilities, as well as the sole authority to approve the consultant’s fees, which we then pay. Our executive officers do not discuss compensation matters with the Compensation Committee’s consultant, except as needed to respond to questions from the consultant or to understand the data underlying the consultant’s reports. The Compensation Committee’s consultant does not provide other services for us or any of our executive officers or other employees. When making compensation decisions in 2017, our Compensation Committee considered advice and data provided by Pearl Meyer.</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FC5D45"/>
        </w:rPr>
        <w:t>Role of Executive Officers</w:t>
      </w:r>
    </w:p>
    <w:p>
      <w:pPr>
        <w:spacing w:after="0" w:line="21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Our Compensation Committee works with our executive management team, including our CEO and our chief administrative officer, to oversee our executive compensation programs.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231F20"/>
        </w:rPr>
        <w:t>Our CEO plays a key role in the process by:</w:t>
      </w:r>
    </w:p>
    <w:p>
      <w:pPr>
        <w:spacing w:after="0" w:line="194"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6"/>
          <w:szCs w:val="16"/>
          <w:b w:val="1"/>
          <w:bCs w:val="1"/>
          <w:color w:val="6F2875"/>
        </w:rPr>
      </w:pPr>
      <w:r>
        <w:rPr>
          <w:rFonts w:ascii="Arial" w:cs="Arial" w:eastAsia="Arial" w:hAnsi="Arial"/>
          <w:sz w:val="16"/>
          <w:szCs w:val="16"/>
          <w:color w:val="231F20"/>
        </w:rPr>
        <w:t>recommending, at the beginning of the year, the performance objectives for our annual Short-Term Incentive Plan (“STIP”);</w:t>
      </w:r>
    </w:p>
    <w:p>
      <w:pPr>
        <w:spacing w:after="0" w:line="59" w:lineRule="exact"/>
        <w:rPr>
          <w:rFonts w:ascii="Arial" w:cs="Arial" w:eastAsia="Arial" w:hAnsi="Arial"/>
          <w:sz w:val="16"/>
          <w:szCs w:val="16"/>
          <w:b w:val="1"/>
          <w:bCs w:val="1"/>
          <w:color w:val="6F2875"/>
        </w:rPr>
      </w:pPr>
    </w:p>
    <w:p>
      <w:pPr>
        <w:ind w:left="180" w:hanging="172"/>
        <w:spacing w:after="0"/>
        <w:tabs>
          <w:tab w:leader="none" w:pos="180" w:val="left"/>
        </w:tabs>
        <w:numPr>
          <w:ilvl w:val="0"/>
          <w:numId w:val="21"/>
        </w:numPr>
        <w:rPr>
          <w:rFonts w:ascii="Arial" w:cs="Arial" w:eastAsia="Arial" w:hAnsi="Arial"/>
          <w:sz w:val="16"/>
          <w:szCs w:val="16"/>
          <w:b w:val="1"/>
          <w:bCs w:val="1"/>
          <w:color w:val="6F2875"/>
        </w:rPr>
      </w:pPr>
      <w:r>
        <w:rPr>
          <w:rFonts w:ascii="Arial" w:cs="Arial" w:eastAsia="Arial" w:hAnsi="Arial"/>
          <w:sz w:val="16"/>
          <w:szCs w:val="16"/>
          <w:color w:val="231F20"/>
        </w:rPr>
        <w:t>recommending adjustments to annual base salaries and the target amount under our STIP for our executive officers;</w:t>
      </w:r>
    </w:p>
    <w:p>
      <w:pPr>
        <w:spacing w:after="0" w:line="59" w:lineRule="exact"/>
        <w:rPr>
          <w:rFonts w:ascii="Arial" w:cs="Arial" w:eastAsia="Arial" w:hAnsi="Arial"/>
          <w:sz w:val="16"/>
          <w:szCs w:val="16"/>
          <w:b w:val="1"/>
          <w:bCs w:val="1"/>
          <w:color w:val="6F2875"/>
        </w:rPr>
      </w:pPr>
    </w:p>
    <w:p>
      <w:pPr>
        <w:ind w:left="180" w:hanging="172"/>
        <w:spacing w:after="0"/>
        <w:tabs>
          <w:tab w:leader="none" w:pos="180" w:val="left"/>
        </w:tabs>
        <w:numPr>
          <w:ilvl w:val="0"/>
          <w:numId w:val="21"/>
        </w:numPr>
        <w:rPr>
          <w:rFonts w:ascii="Arial" w:cs="Arial" w:eastAsia="Arial" w:hAnsi="Arial"/>
          <w:sz w:val="16"/>
          <w:szCs w:val="16"/>
          <w:b w:val="1"/>
          <w:bCs w:val="1"/>
          <w:color w:val="6F2875"/>
        </w:rPr>
      </w:pPr>
      <w:r>
        <w:rPr>
          <w:rFonts w:ascii="Arial" w:cs="Arial" w:eastAsia="Arial" w:hAnsi="Arial"/>
          <w:sz w:val="16"/>
          <w:szCs w:val="16"/>
          <w:color w:val="231F20"/>
        </w:rPr>
        <w:t>recommending, at the beginning of the year, equity incentive awards for our executive officers;</w:t>
      </w:r>
    </w:p>
    <w:p>
      <w:pPr>
        <w:spacing w:after="0" w:line="59" w:lineRule="exact"/>
        <w:rPr>
          <w:rFonts w:ascii="Arial" w:cs="Arial" w:eastAsia="Arial" w:hAnsi="Arial"/>
          <w:sz w:val="16"/>
          <w:szCs w:val="16"/>
          <w:b w:val="1"/>
          <w:bCs w:val="1"/>
          <w:color w:val="6F2875"/>
        </w:rPr>
      </w:pPr>
    </w:p>
    <w:p>
      <w:pPr>
        <w:ind w:left="180" w:hanging="172"/>
        <w:spacing w:after="0"/>
        <w:tabs>
          <w:tab w:leader="none" w:pos="180" w:val="left"/>
        </w:tabs>
        <w:numPr>
          <w:ilvl w:val="0"/>
          <w:numId w:val="21"/>
        </w:numPr>
        <w:rPr>
          <w:rFonts w:ascii="Arial" w:cs="Arial" w:eastAsia="Arial" w:hAnsi="Arial"/>
          <w:sz w:val="16"/>
          <w:szCs w:val="16"/>
          <w:b w:val="1"/>
          <w:bCs w:val="1"/>
          <w:color w:val="6F2875"/>
        </w:rPr>
      </w:pPr>
      <w:r>
        <w:rPr>
          <w:rFonts w:ascii="Arial" w:cs="Arial" w:eastAsia="Arial" w:hAnsi="Arial"/>
          <w:sz w:val="16"/>
          <w:szCs w:val="16"/>
          <w:color w:val="231F20"/>
        </w:rPr>
        <w:t>preparing, at the end of the year, an evaluation of each executive officer and a self-evaluation; and</w:t>
      </w:r>
    </w:p>
    <w:p>
      <w:pPr>
        <w:spacing w:after="0" w:line="59" w:lineRule="exact"/>
        <w:rPr>
          <w:rFonts w:ascii="Arial" w:cs="Arial" w:eastAsia="Arial" w:hAnsi="Arial"/>
          <w:sz w:val="16"/>
          <w:szCs w:val="16"/>
          <w:b w:val="1"/>
          <w:bCs w:val="1"/>
          <w:color w:val="6F2875"/>
        </w:rPr>
      </w:pPr>
    </w:p>
    <w:p>
      <w:pPr>
        <w:ind w:left="180" w:hanging="172"/>
        <w:spacing w:after="0"/>
        <w:tabs>
          <w:tab w:leader="none" w:pos="180" w:val="left"/>
        </w:tabs>
        <w:numPr>
          <w:ilvl w:val="0"/>
          <w:numId w:val="21"/>
        </w:numPr>
        <w:rPr>
          <w:rFonts w:ascii="Arial" w:cs="Arial" w:eastAsia="Arial" w:hAnsi="Arial"/>
          <w:sz w:val="16"/>
          <w:szCs w:val="16"/>
          <w:b w:val="1"/>
          <w:bCs w:val="1"/>
          <w:color w:val="6F2875"/>
        </w:rPr>
      </w:pPr>
      <w:r>
        <w:rPr>
          <w:rFonts w:ascii="Arial" w:cs="Arial" w:eastAsia="Arial" w:hAnsi="Arial"/>
          <w:sz w:val="16"/>
          <w:szCs w:val="16"/>
          <w:color w:val="231F20"/>
        </w:rPr>
        <w:t>preparing, at the end of the year, an analysis of performance objective achievements and recommending annual bonus amounts for each executive officer.</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Our chief administrative officer assists the CEO and the Compensation Committee by analyzing the compensation benchmark report prepared by the Compensation Committee’s consultant and by recommending to the CEO compensation adjustments for our executive officers, assembling financial and other data in respect of performance objectives, and by negotiating compensation for new and newly promoted executive officers (subject to Compensation Committee approval), as well as separation arrangements in respect of departing executive officers.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Borders>
              <w:bottom w:val="single" w:sz="8" w:color="auto"/>
            </w:tcBorders>
          </w:tcPr>
          <w:p>
            <w:pPr>
              <w:spacing w:after="0"/>
              <w:rPr>
                <w:sz w:val="10"/>
                <w:szCs w:val="10"/>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23</w:t>
            </w:r>
          </w:p>
        </w:tc>
        <w:tc>
          <w:tcPr>
            <w:tcW w:w="0" w:type="dxa"/>
            <w:vAlign w:val="bottom"/>
          </w:tcPr>
          <w:p>
            <w:pPr>
              <w:spacing w:after="0"/>
              <w:rPr>
                <w:sz w:val="1"/>
                <w:szCs w:val="1"/>
                <w:color w:val="auto"/>
              </w:rPr>
            </w:pPr>
          </w:p>
        </w:tc>
      </w:tr>
      <w:tr>
        <w:trPr>
          <w:trHeight w:val="69"/>
        </w:trPr>
        <w:tc>
          <w:tcPr>
            <w:tcW w:w="40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Executive Compensation Program Design</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In this Compensation Discussion and Analysis, we provide an overview and analysis of the compensation awarded to or earned by our NEOs identified in the Summary Compensation Table in respect of the year ended December 31, 2017. Our NEOs for the year ended December 31, 2017 consist of our principal executive officer, our principal financial officer as of December 31, 2017, our former principal financial officer, who served until May 31, 2017 and our other three executive officers on December 31, 2017, as well as an additional person who served as an executive officer during 2017, but whose employment was terminated prior to December 31, 2017 (collectively “NEOs”). Our named executive officers in respect of the year ended December 31, 2017 are:</w:t>
      </w:r>
    </w:p>
    <w:p>
      <w:pPr>
        <w:spacing w:after="0" w:line="15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2480" w:type="dxa"/>
            <w:vAlign w:val="bottom"/>
            <w:tcBorders>
              <w:top w:val="single" w:sz="8" w:color="231F20"/>
            </w:tcBorders>
          </w:tcPr>
          <w:p>
            <w:pPr>
              <w:ind w:left="60"/>
              <w:spacing w:after="0"/>
              <w:rPr>
                <w:sz w:val="20"/>
                <w:szCs w:val="20"/>
                <w:color w:val="auto"/>
              </w:rPr>
            </w:pPr>
            <w:r>
              <w:rPr>
                <w:rFonts w:ascii="Arial" w:cs="Arial" w:eastAsia="Arial" w:hAnsi="Arial"/>
                <w:sz w:val="16"/>
                <w:szCs w:val="16"/>
                <w:b w:val="1"/>
                <w:bCs w:val="1"/>
                <w:color w:val="6F2875"/>
              </w:rPr>
              <w:t>DAMIEN MCDONALD</w:t>
            </w:r>
          </w:p>
        </w:tc>
        <w:tc>
          <w:tcPr>
            <w:tcW w:w="7800" w:type="dxa"/>
            <w:vAlign w:val="bottom"/>
            <w:tcBorders>
              <w:top w:val="single" w:sz="8" w:color="231F20"/>
            </w:tcBorders>
          </w:tcPr>
          <w:p>
            <w:pPr>
              <w:ind w:left="660"/>
              <w:spacing w:after="0"/>
              <w:rPr>
                <w:sz w:val="20"/>
                <w:szCs w:val="20"/>
                <w:color w:val="auto"/>
              </w:rPr>
            </w:pPr>
            <w:r>
              <w:rPr>
                <w:rFonts w:ascii="Arial" w:cs="Arial" w:eastAsia="Arial" w:hAnsi="Arial"/>
                <w:sz w:val="16"/>
                <w:szCs w:val="16"/>
                <w:color w:val="231F20"/>
              </w:rPr>
              <w:t>Chief Executive Officer (CEO) and Director</w:t>
            </w:r>
          </w:p>
        </w:tc>
        <w:tc>
          <w:tcPr>
            <w:tcW w:w="0" w:type="dxa"/>
            <w:vAlign w:val="bottom"/>
          </w:tcPr>
          <w:p>
            <w:pPr>
              <w:spacing w:after="0"/>
              <w:rPr>
                <w:sz w:val="1"/>
                <w:szCs w:val="1"/>
                <w:color w:val="auto"/>
              </w:rPr>
            </w:pPr>
          </w:p>
        </w:tc>
      </w:tr>
      <w:tr>
        <w:trPr>
          <w:trHeight w:val="189"/>
        </w:trPr>
        <w:tc>
          <w:tcPr>
            <w:tcW w:w="2480" w:type="dxa"/>
            <w:vAlign w:val="bottom"/>
          </w:tcPr>
          <w:p>
            <w:pPr>
              <w:ind w:left="60"/>
              <w:spacing w:after="0"/>
              <w:rPr>
                <w:sz w:val="20"/>
                <w:szCs w:val="20"/>
                <w:color w:val="auto"/>
              </w:rPr>
            </w:pPr>
            <w:r>
              <w:rPr>
                <w:rFonts w:ascii="Arial" w:cs="Arial" w:eastAsia="Arial" w:hAnsi="Arial"/>
                <w:sz w:val="16"/>
                <w:szCs w:val="16"/>
                <w:b w:val="1"/>
                <w:bCs w:val="1"/>
                <w:color w:val="6F2875"/>
              </w:rPr>
              <w:t>THAD HUSTON</w:t>
            </w:r>
          </w:p>
        </w:tc>
        <w:tc>
          <w:tcPr>
            <w:tcW w:w="7800" w:type="dxa"/>
            <w:vAlign w:val="bottom"/>
          </w:tcPr>
          <w:p>
            <w:pPr>
              <w:ind w:left="660"/>
              <w:spacing w:after="0"/>
              <w:rPr>
                <w:sz w:val="20"/>
                <w:szCs w:val="20"/>
                <w:color w:val="auto"/>
              </w:rPr>
            </w:pPr>
            <w:r>
              <w:rPr>
                <w:rFonts w:ascii="Arial" w:cs="Arial" w:eastAsia="Arial" w:hAnsi="Arial"/>
                <w:sz w:val="16"/>
                <w:szCs w:val="16"/>
                <w:color w:val="231F20"/>
              </w:rPr>
              <w:t>Chief Financial Officer (CFO) (Effective May 20, 2017)</w:t>
            </w:r>
          </w:p>
        </w:tc>
        <w:tc>
          <w:tcPr>
            <w:tcW w:w="0" w:type="dxa"/>
            <w:vAlign w:val="bottom"/>
          </w:tcPr>
          <w:p>
            <w:pPr>
              <w:spacing w:after="0"/>
              <w:rPr>
                <w:sz w:val="1"/>
                <w:szCs w:val="1"/>
                <w:color w:val="auto"/>
              </w:rPr>
            </w:pPr>
          </w:p>
        </w:tc>
      </w:tr>
      <w:tr>
        <w:trPr>
          <w:trHeight w:val="189"/>
        </w:trPr>
        <w:tc>
          <w:tcPr>
            <w:tcW w:w="2480" w:type="dxa"/>
            <w:vAlign w:val="bottom"/>
          </w:tcPr>
          <w:p>
            <w:pPr>
              <w:ind w:left="60"/>
              <w:spacing w:after="0"/>
              <w:rPr>
                <w:sz w:val="20"/>
                <w:szCs w:val="20"/>
                <w:color w:val="auto"/>
              </w:rPr>
            </w:pPr>
            <w:r>
              <w:rPr>
                <w:rFonts w:ascii="Arial" w:cs="Arial" w:eastAsia="Arial" w:hAnsi="Arial"/>
                <w:sz w:val="16"/>
                <w:szCs w:val="16"/>
                <w:b w:val="1"/>
                <w:bCs w:val="1"/>
                <w:color w:val="6F2875"/>
              </w:rPr>
              <w:t>VIVID SEHGAL</w:t>
            </w:r>
          </w:p>
        </w:tc>
        <w:tc>
          <w:tcPr>
            <w:tcW w:w="7800" w:type="dxa"/>
            <w:vAlign w:val="bottom"/>
          </w:tcPr>
          <w:p>
            <w:pPr>
              <w:ind w:left="660"/>
              <w:spacing w:after="0"/>
              <w:rPr>
                <w:sz w:val="20"/>
                <w:szCs w:val="20"/>
                <w:color w:val="auto"/>
              </w:rPr>
            </w:pPr>
            <w:r>
              <w:rPr>
                <w:rFonts w:ascii="Arial" w:cs="Arial" w:eastAsia="Arial" w:hAnsi="Arial"/>
                <w:sz w:val="16"/>
                <w:szCs w:val="16"/>
                <w:color w:val="231F20"/>
              </w:rPr>
              <w:t>Chief Financial Officer (CFO) until May 19, 2017 and then left the organization on May 31, 2017</w:t>
            </w:r>
          </w:p>
        </w:tc>
        <w:tc>
          <w:tcPr>
            <w:tcW w:w="0" w:type="dxa"/>
            <w:vAlign w:val="bottom"/>
          </w:tcPr>
          <w:p>
            <w:pPr>
              <w:spacing w:after="0"/>
              <w:rPr>
                <w:sz w:val="1"/>
                <w:szCs w:val="1"/>
                <w:color w:val="auto"/>
              </w:rPr>
            </w:pPr>
          </w:p>
        </w:tc>
      </w:tr>
      <w:tr>
        <w:trPr>
          <w:trHeight w:val="209"/>
        </w:trPr>
        <w:tc>
          <w:tcPr>
            <w:tcW w:w="2480" w:type="dxa"/>
            <w:vAlign w:val="bottom"/>
          </w:tcPr>
          <w:p>
            <w:pPr>
              <w:ind w:left="60"/>
              <w:spacing w:after="0"/>
              <w:rPr>
                <w:sz w:val="20"/>
                <w:szCs w:val="20"/>
                <w:color w:val="auto"/>
              </w:rPr>
            </w:pPr>
            <w:r>
              <w:rPr>
                <w:rFonts w:ascii="Arial" w:cs="Arial" w:eastAsia="Arial" w:hAnsi="Arial"/>
                <w:sz w:val="16"/>
                <w:szCs w:val="16"/>
                <w:b w:val="1"/>
                <w:bCs w:val="1"/>
                <w:color w:val="6F2875"/>
              </w:rPr>
              <w:t>DAVID WISE</w:t>
            </w:r>
          </w:p>
        </w:tc>
        <w:tc>
          <w:tcPr>
            <w:tcW w:w="7800" w:type="dxa"/>
            <w:vAlign w:val="bottom"/>
          </w:tcPr>
          <w:p>
            <w:pPr>
              <w:ind w:left="660"/>
              <w:spacing w:after="0"/>
              <w:rPr>
                <w:sz w:val="20"/>
                <w:szCs w:val="20"/>
                <w:color w:val="auto"/>
              </w:rPr>
            </w:pPr>
            <w:r>
              <w:rPr>
                <w:rFonts w:ascii="Arial" w:cs="Arial" w:eastAsia="Arial" w:hAnsi="Arial"/>
                <w:sz w:val="16"/>
                <w:szCs w:val="16"/>
                <w:color w:val="231F20"/>
              </w:rPr>
              <w:t>Chief Administrative Officer from February 9, 2017 and prior to that Senior Vice President, Human</w:t>
            </w:r>
          </w:p>
        </w:tc>
        <w:tc>
          <w:tcPr>
            <w:tcW w:w="0" w:type="dxa"/>
            <w:vAlign w:val="bottom"/>
          </w:tcPr>
          <w:p>
            <w:pPr>
              <w:spacing w:after="0"/>
              <w:rPr>
                <w:sz w:val="1"/>
                <w:szCs w:val="1"/>
                <w:color w:val="auto"/>
              </w:rPr>
            </w:pPr>
          </w:p>
        </w:tc>
      </w:tr>
      <w:tr>
        <w:trPr>
          <w:trHeight w:val="189"/>
        </w:trPr>
        <w:tc>
          <w:tcPr>
            <w:tcW w:w="2480" w:type="dxa"/>
            <w:vAlign w:val="bottom"/>
            <w:vMerge w:val="restart"/>
          </w:tcPr>
          <w:p>
            <w:pPr>
              <w:ind w:left="60"/>
              <w:spacing w:after="0"/>
              <w:rPr>
                <w:sz w:val="20"/>
                <w:szCs w:val="20"/>
                <w:color w:val="auto"/>
              </w:rPr>
            </w:pPr>
            <w:r>
              <w:rPr>
                <w:rFonts w:ascii="Arial" w:cs="Arial" w:eastAsia="Arial" w:hAnsi="Arial"/>
                <w:sz w:val="16"/>
                <w:szCs w:val="16"/>
                <w:b w:val="1"/>
                <w:bCs w:val="1"/>
                <w:color w:val="6F2875"/>
              </w:rPr>
              <w:t>KEYNA SKEFFINGTON</w:t>
            </w:r>
          </w:p>
        </w:tc>
        <w:tc>
          <w:tcPr>
            <w:tcW w:w="7800" w:type="dxa"/>
            <w:vAlign w:val="bottom"/>
          </w:tcPr>
          <w:p>
            <w:pPr>
              <w:ind w:left="660"/>
              <w:spacing w:after="0"/>
              <w:rPr>
                <w:sz w:val="20"/>
                <w:szCs w:val="20"/>
                <w:color w:val="auto"/>
              </w:rPr>
            </w:pPr>
            <w:r>
              <w:rPr>
                <w:rFonts w:ascii="Arial" w:cs="Arial" w:eastAsia="Arial" w:hAnsi="Arial"/>
                <w:sz w:val="16"/>
                <w:szCs w:val="16"/>
                <w:color w:val="231F20"/>
              </w:rPr>
              <w:t>Resources and Information Technology</w:t>
            </w:r>
          </w:p>
        </w:tc>
        <w:tc>
          <w:tcPr>
            <w:tcW w:w="0" w:type="dxa"/>
            <w:vAlign w:val="bottom"/>
          </w:tcPr>
          <w:p>
            <w:pPr>
              <w:spacing w:after="0"/>
              <w:rPr>
                <w:sz w:val="1"/>
                <w:szCs w:val="1"/>
                <w:color w:val="auto"/>
              </w:rPr>
            </w:pPr>
          </w:p>
        </w:tc>
      </w:tr>
      <w:tr>
        <w:trPr>
          <w:trHeight w:val="169"/>
        </w:trPr>
        <w:tc>
          <w:tcPr>
            <w:tcW w:w="2480" w:type="dxa"/>
            <w:vAlign w:val="bottom"/>
            <w:vMerge w:val="continue"/>
          </w:tcPr>
          <w:p>
            <w:pPr>
              <w:spacing w:after="0"/>
              <w:rPr>
                <w:sz w:val="14"/>
                <w:szCs w:val="14"/>
                <w:color w:val="auto"/>
              </w:rPr>
            </w:pPr>
          </w:p>
        </w:tc>
        <w:tc>
          <w:tcPr>
            <w:tcW w:w="7800" w:type="dxa"/>
            <w:vAlign w:val="bottom"/>
          </w:tcPr>
          <w:p>
            <w:pPr>
              <w:ind w:left="660"/>
              <w:spacing w:after="0" w:line="169" w:lineRule="exact"/>
              <w:rPr>
                <w:sz w:val="20"/>
                <w:szCs w:val="20"/>
                <w:color w:val="auto"/>
              </w:rPr>
            </w:pPr>
            <w:r>
              <w:rPr>
                <w:rFonts w:ascii="Arial" w:cs="Arial" w:eastAsia="Arial" w:hAnsi="Arial"/>
                <w:sz w:val="16"/>
                <w:szCs w:val="16"/>
                <w:color w:val="231F20"/>
              </w:rPr>
              <w:t>Senior Vice President and General Counsel (Effective June 12, 2017)</w:t>
            </w:r>
          </w:p>
        </w:tc>
        <w:tc>
          <w:tcPr>
            <w:tcW w:w="0" w:type="dxa"/>
            <w:vAlign w:val="bottom"/>
          </w:tcPr>
          <w:p>
            <w:pPr>
              <w:spacing w:after="0"/>
              <w:rPr>
                <w:sz w:val="1"/>
                <w:szCs w:val="1"/>
                <w:color w:val="auto"/>
              </w:rPr>
            </w:pPr>
          </w:p>
        </w:tc>
      </w:tr>
      <w:tr>
        <w:trPr>
          <w:trHeight w:val="189"/>
        </w:trPr>
        <w:tc>
          <w:tcPr>
            <w:tcW w:w="2480" w:type="dxa"/>
            <w:vAlign w:val="bottom"/>
          </w:tcPr>
          <w:p>
            <w:pPr>
              <w:ind w:left="60"/>
              <w:spacing w:after="0"/>
              <w:rPr>
                <w:sz w:val="20"/>
                <w:szCs w:val="20"/>
                <w:color w:val="auto"/>
              </w:rPr>
            </w:pPr>
            <w:r>
              <w:rPr>
                <w:rFonts w:ascii="Arial" w:cs="Arial" w:eastAsia="Arial" w:hAnsi="Arial"/>
                <w:sz w:val="16"/>
                <w:szCs w:val="16"/>
                <w:b w:val="1"/>
                <w:bCs w:val="1"/>
                <w:color w:val="6F2875"/>
              </w:rPr>
              <w:t>DOUGLAS MANKO</w:t>
            </w:r>
          </w:p>
        </w:tc>
        <w:tc>
          <w:tcPr>
            <w:tcW w:w="7800" w:type="dxa"/>
            <w:vAlign w:val="bottom"/>
          </w:tcPr>
          <w:p>
            <w:pPr>
              <w:ind w:left="660"/>
              <w:spacing w:after="0"/>
              <w:rPr>
                <w:sz w:val="20"/>
                <w:szCs w:val="20"/>
                <w:color w:val="auto"/>
              </w:rPr>
            </w:pPr>
            <w:r>
              <w:rPr>
                <w:rFonts w:ascii="Arial" w:cs="Arial" w:eastAsia="Arial" w:hAnsi="Arial"/>
                <w:sz w:val="16"/>
                <w:szCs w:val="16"/>
                <w:color w:val="231F20"/>
              </w:rPr>
              <w:t>Chief Accounting Officer</w:t>
            </w:r>
          </w:p>
        </w:tc>
        <w:tc>
          <w:tcPr>
            <w:tcW w:w="0" w:type="dxa"/>
            <w:vAlign w:val="bottom"/>
          </w:tcPr>
          <w:p>
            <w:pPr>
              <w:spacing w:after="0"/>
              <w:rPr>
                <w:sz w:val="1"/>
                <w:szCs w:val="1"/>
                <w:color w:val="auto"/>
              </w:rPr>
            </w:pPr>
          </w:p>
        </w:tc>
      </w:tr>
      <w:tr>
        <w:trPr>
          <w:trHeight w:val="209"/>
        </w:trPr>
        <w:tc>
          <w:tcPr>
            <w:tcW w:w="2480" w:type="dxa"/>
            <w:vAlign w:val="bottom"/>
          </w:tcPr>
          <w:p>
            <w:pPr>
              <w:ind w:left="60"/>
              <w:spacing w:after="0"/>
              <w:rPr>
                <w:sz w:val="20"/>
                <w:szCs w:val="20"/>
                <w:color w:val="auto"/>
              </w:rPr>
            </w:pPr>
            <w:r>
              <w:rPr>
                <w:rFonts w:ascii="Arial" w:cs="Arial" w:eastAsia="Arial" w:hAnsi="Arial"/>
                <w:sz w:val="16"/>
                <w:szCs w:val="16"/>
                <w:b w:val="1"/>
                <w:bCs w:val="1"/>
                <w:color w:val="6F2875"/>
              </w:rPr>
              <w:t>BRIAN SHERIDAN</w:t>
            </w:r>
          </w:p>
        </w:tc>
        <w:tc>
          <w:tcPr>
            <w:tcW w:w="7800" w:type="dxa"/>
            <w:vAlign w:val="bottom"/>
          </w:tcPr>
          <w:p>
            <w:pPr>
              <w:ind w:left="660"/>
              <w:spacing w:after="0"/>
              <w:rPr>
                <w:sz w:val="20"/>
                <w:szCs w:val="20"/>
                <w:color w:val="auto"/>
              </w:rPr>
            </w:pPr>
            <w:r>
              <w:rPr>
                <w:rFonts w:ascii="Arial" w:cs="Arial" w:eastAsia="Arial" w:hAnsi="Arial"/>
                <w:sz w:val="16"/>
                <w:szCs w:val="16"/>
                <w:color w:val="231F20"/>
              </w:rPr>
              <w:t>Senior Vice President, General Counsel and Company Secretary until February 8, 2017; his</w:t>
            </w:r>
          </w:p>
        </w:tc>
        <w:tc>
          <w:tcPr>
            <w:tcW w:w="0" w:type="dxa"/>
            <w:vAlign w:val="bottom"/>
          </w:tcPr>
          <w:p>
            <w:pPr>
              <w:spacing w:after="0"/>
              <w:rPr>
                <w:sz w:val="1"/>
                <w:szCs w:val="1"/>
                <w:color w:val="auto"/>
              </w:rPr>
            </w:pPr>
          </w:p>
        </w:tc>
      </w:tr>
      <w:tr>
        <w:trPr>
          <w:trHeight w:val="189"/>
        </w:trPr>
        <w:tc>
          <w:tcPr>
            <w:tcW w:w="2480" w:type="dxa"/>
            <w:vAlign w:val="bottom"/>
          </w:tcPr>
          <w:p>
            <w:pPr>
              <w:spacing w:after="0"/>
              <w:rPr>
                <w:sz w:val="16"/>
                <w:szCs w:val="16"/>
                <w:color w:val="auto"/>
              </w:rPr>
            </w:pPr>
          </w:p>
        </w:tc>
        <w:tc>
          <w:tcPr>
            <w:tcW w:w="7800" w:type="dxa"/>
            <w:vAlign w:val="bottom"/>
          </w:tcPr>
          <w:p>
            <w:pPr>
              <w:ind w:left="660"/>
              <w:spacing w:after="0"/>
              <w:rPr>
                <w:sz w:val="20"/>
                <w:szCs w:val="20"/>
                <w:color w:val="auto"/>
              </w:rPr>
            </w:pPr>
            <w:r>
              <w:rPr>
                <w:rFonts w:ascii="Arial" w:cs="Arial" w:eastAsia="Arial" w:hAnsi="Arial"/>
                <w:sz w:val="16"/>
                <w:szCs w:val="16"/>
                <w:color w:val="231F20"/>
              </w:rPr>
              <w:t>employment relationship with us was terminated on June 30, 2017, and he began to serve in a</w:t>
            </w:r>
          </w:p>
        </w:tc>
        <w:tc>
          <w:tcPr>
            <w:tcW w:w="0" w:type="dxa"/>
            <w:vAlign w:val="bottom"/>
          </w:tcPr>
          <w:p>
            <w:pPr>
              <w:spacing w:after="0"/>
              <w:rPr>
                <w:sz w:val="1"/>
                <w:szCs w:val="1"/>
                <w:color w:val="auto"/>
              </w:rPr>
            </w:pPr>
          </w:p>
        </w:tc>
      </w:tr>
      <w:tr>
        <w:trPr>
          <w:trHeight w:val="187"/>
        </w:trPr>
        <w:tc>
          <w:tcPr>
            <w:tcW w:w="2480" w:type="dxa"/>
            <w:vAlign w:val="bottom"/>
            <w:tcBorders>
              <w:bottom w:val="single" w:sz="8" w:color="231F20"/>
            </w:tcBorders>
          </w:tcPr>
          <w:p>
            <w:pPr>
              <w:spacing w:after="0"/>
              <w:rPr>
                <w:sz w:val="16"/>
                <w:szCs w:val="16"/>
                <w:color w:val="auto"/>
              </w:rPr>
            </w:pPr>
          </w:p>
        </w:tc>
        <w:tc>
          <w:tcPr>
            <w:tcW w:w="7800" w:type="dxa"/>
            <w:vAlign w:val="bottom"/>
            <w:tcBorders>
              <w:bottom w:val="single" w:sz="8" w:color="231F20"/>
            </w:tcBorders>
          </w:tcPr>
          <w:p>
            <w:pPr>
              <w:ind w:left="660"/>
              <w:spacing w:after="0"/>
              <w:rPr>
                <w:sz w:val="20"/>
                <w:szCs w:val="20"/>
                <w:color w:val="auto"/>
              </w:rPr>
            </w:pPr>
            <w:r>
              <w:rPr>
                <w:rFonts w:ascii="Arial" w:cs="Arial" w:eastAsia="Arial" w:hAnsi="Arial"/>
                <w:sz w:val="16"/>
                <w:szCs w:val="16"/>
                <w:color w:val="231F20"/>
              </w:rPr>
              <w:t>self-employed consultant capacity thereafter.</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In 2017, our executive compensation program consisted of the following elements, each established as part of our program in order to achieve the compensation objective described further below.</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We do not currently have, and we do not expect to have, formal policies relating to the allocation of total compensation among the various elements of our compensation program (other than for our CEO who, as a director, is subject to the shareholder-approved Remuneration Policy). We intend to continue to evaluate the mix of base salary, STIP compensation and Long-Term Incentive Plan (“LTIP”) compensation to appropriately align the interests of our NEOs with those of our shareholders.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FC5D45"/>
        </w:rPr>
        <w:t>Base Salary</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The annual base salaries of our NEOs are an important part of their total compensation package and are intended to reflect their respective positions, duties and responsibilities. Base salaries help balance the incentive portions of the compensation program and thereby provide stability and reduce the incentive for excessive risk-taking. The Compensation Committee reviews base salaries at the beginning of the year. In establishing base salaries, it considers the following factors:</w:t>
      </w:r>
    </w:p>
    <w:p>
      <w:pPr>
        <w:spacing w:after="0" w:line="176"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6"/>
          <w:szCs w:val="16"/>
          <w:color w:val="6F2875"/>
        </w:rPr>
      </w:pPr>
      <w:r>
        <w:rPr>
          <w:rFonts w:ascii="Arial" w:cs="Arial" w:eastAsia="Arial" w:hAnsi="Arial"/>
          <w:sz w:val="16"/>
          <w:szCs w:val="16"/>
          <w:color w:val="231F20"/>
        </w:rPr>
        <w:t>individual performance during the recently concluded financial year and potential future contribution;</w:t>
      </w:r>
    </w:p>
    <w:p>
      <w:pPr>
        <w:spacing w:after="0" w:line="59" w:lineRule="exact"/>
        <w:rPr>
          <w:rFonts w:ascii="Arial" w:cs="Arial" w:eastAsia="Arial" w:hAnsi="Arial"/>
          <w:sz w:val="16"/>
          <w:szCs w:val="16"/>
          <w:color w:val="6F2875"/>
        </w:rPr>
      </w:pPr>
    </w:p>
    <w:p>
      <w:pPr>
        <w:ind w:left="180" w:hanging="172"/>
        <w:spacing w:after="0"/>
        <w:tabs>
          <w:tab w:leader="none" w:pos="180" w:val="left"/>
        </w:tabs>
        <w:numPr>
          <w:ilvl w:val="0"/>
          <w:numId w:val="22"/>
        </w:numPr>
        <w:rPr>
          <w:rFonts w:ascii="Arial" w:cs="Arial" w:eastAsia="Arial" w:hAnsi="Arial"/>
          <w:sz w:val="16"/>
          <w:szCs w:val="16"/>
          <w:color w:val="6F2875"/>
        </w:rPr>
      </w:pPr>
      <w:r>
        <w:rPr>
          <w:rFonts w:ascii="Arial" w:cs="Arial" w:eastAsia="Arial" w:hAnsi="Arial"/>
          <w:sz w:val="16"/>
          <w:szCs w:val="16"/>
          <w:color w:val="231F20"/>
        </w:rPr>
        <w:t>responsibilities, including any recent changes in those responsibilities;</w:t>
      </w:r>
    </w:p>
    <w:p>
      <w:pPr>
        <w:spacing w:after="0" w:line="59" w:lineRule="exact"/>
        <w:rPr>
          <w:rFonts w:ascii="Arial" w:cs="Arial" w:eastAsia="Arial" w:hAnsi="Arial"/>
          <w:sz w:val="16"/>
          <w:szCs w:val="16"/>
          <w:color w:val="6F2875"/>
        </w:rPr>
      </w:pPr>
    </w:p>
    <w:p>
      <w:pPr>
        <w:ind w:left="180" w:hanging="172"/>
        <w:spacing w:after="0"/>
        <w:tabs>
          <w:tab w:leader="none" w:pos="180" w:val="left"/>
        </w:tabs>
        <w:numPr>
          <w:ilvl w:val="0"/>
          <w:numId w:val="22"/>
        </w:numPr>
        <w:rPr>
          <w:rFonts w:ascii="Arial" w:cs="Arial" w:eastAsia="Arial" w:hAnsi="Arial"/>
          <w:sz w:val="16"/>
          <w:szCs w:val="16"/>
          <w:color w:val="6F2875"/>
        </w:rPr>
      </w:pPr>
      <w:r>
        <w:rPr>
          <w:rFonts w:ascii="Arial" w:cs="Arial" w:eastAsia="Arial" w:hAnsi="Arial"/>
          <w:sz w:val="16"/>
          <w:szCs w:val="16"/>
          <w:color w:val="231F20"/>
        </w:rPr>
        <w:t>level of expertise and experience of the NEO compared to that required for a position;</w:t>
      </w:r>
    </w:p>
    <w:p>
      <w:pPr>
        <w:spacing w:after="0" w:line="59" w:lineRule="exact"/>
        <w:rPr>
          <w:rFonts w:ascii="Arial" w:cs="Arial" w:eastAsia="Arial" w:hAnsi="Arial"/>
          <w:sz w:val="16"/>
          <w:szCs w:val="16"/>
          <w:color w:val="6F2875"/>
        </w:rPr>
      </w:pPr>
    </w:p>
    <w:p>
      <w:pPr>
        <w:ind w:left="180" w:hanging="172"/>
        <w:spacing w:after="0"/>
        <w:tabs>
          <w:tab w:leader="none" w:pos="180" w:val="left"/>
        </w:tabs>
        <w:numPr>
          <w:ilvl w:val="0"/>
          <w:numId w:val="22"/>
        </w:numPr>
        <w:rPr>
          <w:rFonts w:ascii="Arial" w:cs="Arial" w:eastAsia="Arial" w:hAnsi="Arial"/>
          <w:sz w:val="16"/>
          <w:szCs w:val="16"/>
          <w:color w:val="6F2875"/>
        </w:rPr>
      </w:pPr>
      <w:r>
        <w:rPr>
          <w:rFonts w:ascii="Arial" w:cs="Arial" w:eastAsia="Arial" w:hAnsi="Arial"/>
          <w:sz w:val="16"/>
          <w:szCs w:val="16"/>
          <w:color w:val="231F20"/>
        </w:rPr>
        <w:t>strategic importance of a position;</w:t>
      </w:r>
    </w:p>
    <w:p>
      <w:pPr>
        <w:spacing w:after="0" w:line="59" w:lineRule="exact"/>
        <w:rPr>
          <w:rFonts w:ascii="Arial" w:cs="Arial" w:eastAsia="Arial" w:hAnsi="Arial"/>
          <w:sz w:val="16"/>
          <w:szCs w:val="16"/>
          <w:color w:val="6F2875"/>
        </w:rPr>
      </w:pPr>
    </w:p>
    <w:p>
      <w:pPr>
        <w:ind w:left="180" w:hanging="172"/>
        <w:spacing w:after="0"/>
        <w:tabs>
          <w:tab w:leader="none" w:pos="180" w:val="left"/>
        </w:tabs>
        <w:numPr>
          <w:ilvl w:val="0"/>
          <w:numId w:val="22"/>
        </w:numPr>
        <w:rPr>
          <w:rFonts w:ascii="Arial" w:cs="Arial" w:eastAsia="Arial" w:hAnsi="Arial"/>
          <w:sz w:val="16"/>
          <w:szCs w:val="16"/>
          <w:color w:val="6F2875"/>
        </w:rPr>
      </w:pPr>
      <w:r>
        <w:rPr>
          <w:rFonts w:ascii="Arial" w:cs="Arial" w:eastAsia="Arial" w:hAnsi="Arial"/>
          <w:sz w:val="16"/>
          <w:szCs w:val="16"/>
          <w:color w:val="231F20"/>
        </w:rPr>
        <w:t>internal pay equity among positions; and</w:t>
      </w:r>
    </w:p>
    <w:p>
      <w:pPr>
        <w:spacing w:after="0" w:line="59" w:lineRule="exact"/>
        <w:rPr>
          <w:rFonts w:ascii="Arial" w:cs="Arial" w:eastAsia="Arial" w:hAnsi="Arial"/>
          <w:sz w:val="16"/>
          <w:szCs w:val="16"/>
          <w:color w:val="6F2875"/>
        </w:rPr>
      </w:pPr>
    </w:p>
    <w:p>
      <w:pPr>
        <w:ind w:left="180" w:hanging="172"/>
        <w:spacing w:after="0"/>
        <w:tabs>
          <w:tab w:leader="none" w:pos="180" w:val="left"/>
        </w:tabs>
        <w:numPr>
          <w:ilvl w:val="0"/>
          <w:numId w:val="22"/>
        </w:numPr>
        <w:rPr>
          <w:rFonts w:ascii="Arial" w:cs="Arial" w:eastAsia="Arial" w:hAnsi="Arial"/>
          <w:sz w:val="16"/>
          <w:szCs w:val="16"/>
          <w:color w:val="6F2875"/>
        </w:rPr>
      </w:pPr>
      <w:r>
        <w:rPr>
          <w:rFonts w:ascii="Arial" w:cs="Arial" w:eastAsia="Arial" w:hAnsi="Arial"/>
          <w:sz w:val="16"/>
          <w:szCs w:val="16"/>
          <w:color w:val="231F20"/>
        </w:rPr>
        <w:t>competitive benchmarking data.</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Each of the NEOs, other than Messrs. Wise and Manko, is or was party to an employment agreement that provides for a specified base salary. That base salary is generally reviewed annually and serves as the baseline from which the calculations of certain other elements of compensation are made (e.g. under the STIP, pension, and in some instances, LTIP). The cash paid as base salary in 2017 for each of the NEOs is disclosed in the Summary Compensation Table.</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FC5D45"/>
        </w:rPr>
        <w:t>Short-Term Incentive Plan</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Our STIP is an annual cash-based incentive bonus plan, which is an important component of our total compensation program. It provides incentives that compensate our executive officers for achieving objectives intended to enhance shareholder value. It also promotes retention of our NEOs.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Under the Remuneration Policy, our CEO can (subject to the Compensation Committee’s approval) earn a maximum of 200% of his base salary in bonuses, if he achieves at least 150% of the relevant performance objectives. Bonuses are based on performance over the calendar year, which is also our financial year, and are generally paid in April of the following year after completion of the audit of our annual financial statements.</w:t>
      </w:r>
    </w:p>
    <w:p>
      <w:pPr>
        <w:spacing w:after="0" w:line="168" w:lineRule="exact"/>
        <w:rPr>
          <w:sz w:val="20"/>
          <w:szCs w:val="20"/>
          <w:color w:val="auto"/>
        </w:rPr>
      </w:pPr>
    </w:p>
    <w:p>
      <w:pPr>
        <w:spacing w:after="0"/>
        <w:tabs>
          <w:tab w:leader="none" w:pos="4220" w:val="left"/>
          <w:tab w:leader="none" w:pos="9960" w:val="left"/>
        </w:tabs>
        <w:rPr>
          <w:sz w:val="20"/>
          <w:szCs w:val="20"/>
          <w:color w:val="auto"/>
        </w:rPr>
      </w:pPr>
      <w:r>
        <w:rPr>
          <w:rFonts w:ascii="Arial" w:cs="Arial" w:eastAsia="Arial" w:hAnsi="Arial"/>
          <w:sz w:val="16"/>
          <w:szCs w:val="16"/>
          <w:b w:val="1"/>
          <w:bCs w:val="1"/>
          <w:color w:val="auto"/>
        </w:rPr>
        <w:t>24</w:t>
      </w:r>
      <w:r>
        <w:rPr>
          <w:sz w:val="20"/>
          <w:szCs w:val="20"/>
          <w:color w:val="auto"/>
        </w:rPr>
        <w:tab/>
      </w: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r>
        <w:rPr>
          <w:sz w:val="20"/>
          <w:szCs w:val="20"/>
          <w:color w:val="auto"/>
        </w:rPr>
        <w:tab/>
      </w:r>
      <w:r>
        <w:rPr>
          <w:rFonts w:ascii="Arial" w:cs="Arial" w:eastAsia="Arial" w:hAnsi="Arial"/>
          <w:sz w:val="16"/>
          <w:szCs w:val="16"/>
          <w:b w:val="1"/>
          <w:bCs w:val="1"/>
          <w:color w:val="6F2875"/>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-36195</wp:posOffset>
            </wp:positionV>
            <wp:extent cx="1663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-36195</wp:posOffset>
            </wp:positionV>
            <wp:extent cx="23241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FC5D45"/>
        </w:rPr>
        <w:t>Long-Term Incentive Plan</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The purpose of our LTIP is to promote the success and enhance our value by linking the individual interests of our NEOs to those of our shareholders by providing such individuals with an incentive for outstanding performance to generate superior returns to our shareholders. The plan also provides flexibility as we seek to motivate, attract and retain the services of the NEOs upon whose judgment, interest and special effort the successful conduct of our operations is largely dependent.</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FC5D45"/>
        </w:rPr>
        <w:t>Health and Welfare</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In order to attract and retain executive officers with the capability of driving and executing our corporate strategy, we need to provide a range of benefits competitive to the benefits they would receive if they were to work for one of our competitors.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231F20"/>
        </w:rPr>
        <w:t>Benefits may vary, depending on the personal choices, country of residence and situation of the executive officer.</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How We Establish Executive Compensation Levels</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In making executive compensation determinations, we rely on several factors to set compensation elements and compensation targets consistent with our executive compensation program objectives. We applied these factors, to the extent available, in 2017. These factors include: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Assessment of Individual Performance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31F20"/>
        </w:rPr>
        <w:t>Individual performance has a strong impact on compensation.</w:t>
      </w:r>
    </w:p>
    <w:p>
      <w:pPr>
        <w:spacing w:after="0" w:line="100" w:lineRule="exact"/>
        <w:rPr>
          <w:sz w:val="20"/>
          <w:szCs w:val="20"/>
          <w:color w:val="auto"/>
        </w:rPr>
      </w:pPr>
    </w:p>
    <w:p>
      <w:pPr>
        <w:jc w:val="both"/>
        <w:ind w:left="180" w:hanging="172"/>
        <w:spacing w:after="0" w:line="253" w:lineRule="auto"/>
        <w:tabs>
          <w:tab w:leader="none" w:pos="180" w:val="left"/>
        </w:tabs>
        <w:numPr>
          <w:ilvl w:val="0"/>
          <w:numId w:val="23"/>
        </w:numPr>
        <w:rPr>
          <w:rFonts w:ascii="Arial" w:cs="Arial" w:eastAsia="Arial" w:hAnsi="Arial"/>
          <w:sz w:val="16"/>
          <w:szCs w:val="16"/>
          <w:color w:val="6F2875"/>
        </w:rPr>
      </w:pPr>
      <w:r>
        <w:rPr>
          <w:rFonts w:ascii="Arial" w:cs="Arial" w:eastAsia="Arial" w:hAnsi="Arial"/>
          <w:sz w:val="16"/>
          <w:szCs w:val="16"/>
          <w:color w:val="231F20"/>
        </w:rPr>
        <w:t>CEO. The Compensation Committee meets with our CEO at the beginning of the year to agree on the CEO’s performance objectives for the year. At the end of the year, the Compensation Committee and the chairman of the Board meet in executive session to assess the CEO’s performance against his performance objectives, his contribution to our company’s performance, his ethics and integrity and other leadership attributes.</w:t>
      </w:r>
    </w:p>
    <w:p>
      <w:pPr>
        <w:spacing w:after="0" w:line="39" w:lineRule="exact"/>
        <w:rPr>
          <w:rFonts w:ascii="Arial" w:cs="Arial" w:eastAsia="Arial" w:hAnsi="Arial"/>
          <w:sz w:val="16"/>
          <w:szCs w:val="16"/>
          <w:color w:val="6F2875"/>
        </w:rPr>
      </w:pPr>
    </w:p>
    <w:p>
      <w:pPr>
        <w:jc w:val="both"/>
        <w:ind w:left="180" w:hanging="172"/>
        <w:spacing w:after="0" w:line="251" w:lineRule="auto"/>
        <w:tabs>
          <w:tab w:leader="none" w:pos="180" w:val="left"/>
        </w:tabs>
        <w:numPr>
          <w:ilvl w:val="0"/>
          <w:numId w:val="23"/>
        </w:numPr>
        <w:rPr>
          <w:rFonts w:ascii="Arial" w:cs="Arial" w:eastAsia="Arial" w:hAnsi="Arial"/>
          <w:sz w:val="16"/>
          <w:szCs w:val="16"/>
          <w:color w:val="6F2875"/>
        </w:rPr>
      </w:pPr>
      <w:r>
        <w:rPr>
          <w:rFonts w:ascii="Arial" w:cs="Arial" w:eastAsia="Arial" w:hAnsi="Arial"/>
          <w:sz w:val="16"/>
          <w:szCs w:val="16"/>
          <w:color w:val="231F20"/>
        </w:rPr>
        <w:t>Other Executive Officers. For all other executive officers, the Compensation Committee receives performance assessments and compensation recommendations from the CEO and also exercises its judgment based on the Board’s interactions with the executive officers. As with the CEO, an executive officer’s performance assessment is based on individual achievements and contributions, contribution to our company’s performance, ethics and integrity and other leadership accomplishments.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Assessment of Company Performance</w:t>
      </w:r>
    </w:p>
    <w:p>
      <w:pPr>
        <w:spacing w:after="0" w:line="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Compensation Committee establishes specific, objectively-measurable company performance objectives that the Board, the Compensation Committee and management believe will help drive shareholder value. Achievement or not of the performance objectives determines substantially all of the payouts under the short-term incentive plan and the lapsing or not of forfeiture restrictions on performance-based equity incentive awards.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Benchmarking Analysis</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The Compensation Committee reviews peer-group data as a market check for compensation decisions, but does not base compensation targets on peer-group data alone.</w:t>
      </w:r>
    </w:p>
    <w:p>
      <w:pPr>
        <w:spacing w:after="0" w:line="74" w:lineRule="exact"/>
        <w:rPr>
          <w:sz w:val="20"/>
          <w:szCs w:val="20"/>
          <w:color w:val="auto"/>
        </w:rPr>
      </w:pPr>
    </w:p>
    <w:p>
      <w:pPr>
        <w:jc w:val="both"/>
        <w:ind w:left="180" w:hanging="172"/>
        <w:spacing w:after="0" w:line="227" w:lineRule="auto"/>
        <w:tabs>
          <w:tab w:leader="none" w:pos="180" w:val="left"/>
        </w:tabs>
        <w:numPr>
          <w:ilvl w:val="0"/>
          <w:numId w:val="24"/>
        </w:numPr>
        <w:rPr>
          <w:rFonts w:ascii="Arial" w:cs="Arial" w:eastAsia="Arial" w:hAnsi="Arial"/>
          <w:sz w:val="16"/>
          <w:szCs w:val="16"/>
          <w:color w:val="6F2875"/>
        </w:rPr>
      </w:pPr>
      <w:r>
        <w:rPr>
          <w:rFonts w:ascii="Arial" w:cs="Arial" w:eastAsia="Arial" w:hAnsi="Arial"/>
          <w:sz w:val="16"/>
          <w:szCs w:val="16"/>
          <w:color w:val="231F20"/>
        </w:rPr>
        <w:t>Individual Competitiveness. The Compensation Committee compares the overall pay of individual executives to the most relevant benchmarking data available from its independent advisor, Pearl Meyer. The executive’s pay is driven primarily by individual and company performance, as well as internal pay equity. The peer group data is used as a market check to compare individual pay to the broad middle range (25</w:t>
      </w:r>
      <w:r>
        <w:rPr>
          <w:rFonts w:ascii="Arial" w:cs="Arial" w:eastAsia="Arial" w:hAnsi="Arial"/>
          <w:sz w:val="27"/>
          <w:szCs w:val="27"/>
          <w:color w:val="231F20"/>
          <w:vertAlign w:val="superscript"/>
        </w:rPr>
        <w:t>th</w:t>
      </w:r>
      <w:r>
        <w:rPr>
          <w:rFonts w:ascii="Arial" w:cs="Arial" w:eastAsia="Arial" w:hAnsi="Arial"/>
          <w:sz w:val="16"/>
          <w:szCs w:val="16"/>
          <w:color w:val="231F20"/>
        </w:rPr>
        <w:t xml:space="preserve"> to 75</w:t>
      </w:r>
      <w:r>
        <w:rPr>
          <w:rFonts w:ascii="Arial" w:cs="Arial" w:eastAsia="Arial" w:hAnsi="Arial"/>
          <w:sz w:val="27"/>
          <w:szCs w:val="27"/>
          <w:color w:val="231F20"/>
          <w:vertAlign w:val="superscript"/>
        </w:rPr>
        <w:t>th</w:t>
      </w:r>
      <w:r>
        <w:rPr>
          <w:rFonts w:ascii="Arial" w:cs="Arial" w:eastAsia="Arial" w:hAnsi="Arial"/>
          <w:sz w:val="16"/>
          <w:szCs w:val="16"/>
          <w:color w:val="231F20"/>
        </w:rPr>
        <w:t xml:space="preserve"> percentile) of peer group pay. The Compensation Committee typically seeks to maintain base salary toward the middle of peer group pay, but will permit annual bonuses and long-term equity incentive awards to approach the upper end of the broad middle range when justified by individual and company performance.</w:t>
      </w:r>
    </w:p>
    <w:p>
      <w:pPr>
        <w:spacing w:after="0" w:line="50" w:lineRule="exact"/>
        <w:rPr>
          <w:rFonts w:ascii="Arial" w:cs="Arial" w:eastAsia="Arial" w:hAnsi="Arial"/>
          <w:sz w:val="16"/>
          <w:szCs w:val="16"/>
          <w:color w:val="6F2875"/>
        </w:rPr>
      </w:pPr>
    </w:p>
    <w:p>
      <w:pPr>
        <w:jc w:val="both"/>
        <w:ind w:left="180" w:hanging="172"/>
        <w:spacing w:after="0" w:line="253" w:lineRule="auto"/>
        <w:tabs>
          <w:tab w:leader="none" w:pos="180" w:val="left"/>
        </w:tabs>
        <w:numPr>
          <w:ilvl w:val="0"/>
          <w:numId w:val="24"/>
        </w:numPr>
        <w:rPr>
          <w:rFonts w:ascii="Arial" w:cs="Arial" w:eastAsia="Arial" w:hAnsi="Arial"/>
          <w:sz w:val="16"/>
          <w:szCs w:val="16"/>
          <w:color w:val="6F2875"/>
        </w:rPr>
      </w:pPr>
      <w:r>
        <w:rPr>
          <w:rFonts w:ascii="Arial" w:cs="Arial" w:eastAsia="Arial" w:hAnsi="Arial"/>
          <w:sz w:val="16"/>
          <w:szCs w:val="16"/>
          <w:color w:val="231F20"/>
        </w:rPr>
        <w:t>Peer Group. The Compensation Committee used the survey data from a peer group of companies, as well as proprietary custom survey data, to benchmark its compensation decisions in 2017. The Peer Group consisted of 17 companies (the “2017 Peer Group”) recommended by the Compensation Committee’s independent compensation consultant, Pearl Meyer, as follows:</w:t>
      </w:r>
    </w:p>
    <w:p>
      <w:pPr>
        <w:spacing w:after="0" w:line="166" w:lineRule="exact"/>
        <w:rPr>
          <w:sz w:val="20"/>
          <w:szCs w:val="20"/>
          <w:color w:val="auto"/>
        </w:rPr>
      </w:pPr>
    </w:p>
    <w:tbl>
      <w:tblPr>
        <w:tblLayout w:type="fixed"/>
        <w:tblInd w:w="1160" w:type="dxa"/>
        <w:tblCellMar>
          <w:top w:w="0" w:type="dxa"/>
          <w:left w:w="0" w:type="dxa"/>
          <w:bottom w:w="0" w:type="dxa"/>
          <w:right w:w="0" w:type="dxa"/>
        </w:tblCellMar>
      </w:tblPr>
      <w:tr>
        <w:trPr>
          <w:trHeight w:val="203"/>
        </w:trPr>
        <w:tc>
          <w:tcPr>
            <w:tcW w:w="3820" w:type="dxa"/>
            <w:vAlign w:val="bottom"/>
            <w:tcBorders>
              <w:top w:val="single" w:sz="8" w:color="6F2875"/>
            </w:tcBorders>
          </w:tcPr>
          <w:p>
            <w:pPr>
              <w:ind w:left="40"/>
              <w:spacing w:after="0"/>
              <w:rPr>
                <w:sz w:val="20"/>
                <w:szCs w:val="20"/>
                <w:color w:val="auto"/>
              </w:rPr>
            </w:pPr>
            <w:r>
              <w:rPr>
                <w:rFonts w:ascii="Arial" w:cs="Arial" w:eastAsia="Arial" w:hAnsi="Arial"/>
                <w:sz w:val="16"/>
                <w:szCs w:val="16"/>
                <w:color w:val="231F20"/>
              </w:rPr>
              <w:t>Alere Inc.</w:t>
            </w:r>
          </w:p>
        </w:tc>
        <w:tc>
          <w:tcPr>
            <w:tcW w:w="5300" w:type="dxa"/>
            <w:vAlign w:val="bottom"/>
            <w:tcBorders>
              <w:top w:val="single" w:sz="8" w:color="6F2875"/>
            </w:tcBorders>
          </w:tcPr>
          <w:p>
            <w:pPr>
              <w:ind w:left="740"/>
              <w:spacing w:after="0"/>
              <w:rPr>
                <w:sz w:val="20"/>
                <w:szCs w:val="20"/>
                <w:color w:val="auto"/>
              </w:rPr>
            </w:pPr>
            <w:r>
              <w:rPr>
                <w:rFonts w:ascii="Arial" w:cs="Arial" w:eastAsia="Arial" w:hAnsi="Arial"/>
                <w:sz w:val="16"/>
                <w:szCs w:val="16"/>
                <w:color w:val="231F20"/>
              </w:rPr>
              <w:t>Intuitive Surgical, Inc.</w:t>
            </w:r>
          </w:p>
        </w:tc>
      </w:tr>
      <w:tr>
        <w:trPr>
          <w:trHeight w:val="189"/>
        </w:trPr>
        <w:tc>
          <w:tcPr>
            <w:tcW w:w="3820" w:type="dxa"/>
            <w:vAlign w:val="bottom"/>
            <w:shd w:val="clear" w:color="auto" w:fill="F3EDF3"/>
          </w:tcPr>
          <w:p>
            <w:pPr>
              <w:ind w:left="40"/>
              <w:spacing w:after="0"/>
              <w:rPr>
                <w:sz w:val="20"/>
                <w:szCs w:val="20"/>
                <w:color w:val="auto"/>
              </w:rPr>
            </w:pPr>
            <w:r>
              <w:rPr>
                <w:rFonts w:ascii="Arial" w:cs="Arial" w:eastAsia="Arial" w:hAnsi="Arial"/>
                <w:sz w:val="16"/>
                <w:szCs w:val="16"/>
                <w:color w:val="231F20"/>
              </w:rPr>
              <w:t>Align Technology, Inc.</w:t>
            </w:r>
          </w:p>
        </w:tc>
        <w:tc>
          <w:tcPr>
            <w:tcW w:w="5300" w:type="dxa"/>
            <w:vAlign w:val="bottom"/>
            <w:shd w:val="clear" w:color="auto" w:fill="F3EDF3"/>
          </w:tcPr>
          <w:p>
            <w:pPr>
              <w:ind w:left="740"/>
              <w:spacing w:after="0"/>
              <w:rPr>
                <w:sz w:val="20"/>
                <w:szCs w:val="20"/>
                <w:color w:val="auto"/>
              </w:rPr>
            </w:pPr>
            <w:r>
              <w:rPr>
                <w:rFonts w:ascii="Arial" w:cs="Arial" w:eastAsia="Arial" w:hAnsi="Arial"/>
                <w:sz w:val="16"/>
                <w:szCs w:val="16"/>
                <w:color w:val="231F20"/>
              </w:rPr>
              <w:t>Masimo Corporation</w:t>
            </w:r>
          </w:p>
        </w:tc>
      </w:tr>
      <w:tr>
        <w:trPr>
          <w:trHeight w:val="189"/>
        </w:trPr>
        <w:tc>
          <w:tcPr>
            <w:tcW w:w="3820" w:type="dxa"/>
            <w:vAlign w:val="bottom"/>
          </w:tcPr>
          <w:p>
            <w:pPr>
              <w:ind w:left="40"/>
              <w:spacing w:after="0"/>
              <w:rPr>
                <w:sz w:val="20"/>
                <w:szCs w:val="20"/>
                <w:color w:val="auto"/>
              </w:rPr>
            </w:pPr>
            <w:r>
              <w:rPr>
                <w:rFonts w:ascii="Arial" w:cs="Arial" w:eastAsia="Arial" w:hAnsi="Arial"/>
                <w:sz w:val="16"/>
                <w:szCs w:val="16"/>
                <w:color w:val="231F20"/>
              </w:rPr>
              <w:t>CONMED Corporation</w:t>
            </w:r>
          </w:p>
        </w:tc>
        <w:tc>
          <w:tcPr>
            <w:tcW w:w="5300" w:type="dxa"/>
            <w:vAlign w:val="bottom"/>
          </w:tcPr>
          <w:p>
            <w:pPr>
              <w:ind w:left="740"/>
              <w:spacing w:after="0"/>
              <w:rPr>
                <w:sz w:val="20"/>
                <w:szCs w:val="20"/>
                <w:color w:val="auto"/>
              </w:rPr>
            </w:pPr>
            <w:r>
              <w:rPr>
                <w:rFonts w:ascii="Arial" w:cs="Arial" w:eastAsia="Arial" w:hAnsi="Arial"/>
                <w:sz w:val="16"/>
                <w:szCs w:val="16"/>
                <w:color w:val="231F20"/>
              </w:rPr>
              <w:t>Merit Medical Systems, Inc.</w:t>
            </w:r>
          </w:p>
        </w:tc>
      </w:tr>
      <w:tr>
        <w:trPr>
          <w:trHeight w:val="189"/>
        </w:trPr>
        <w:tc>
          <w:tcPr>
            <w:tcW w:w="3820" w:type="dxa"/>
            <w:vAlign w:val="bottom"/>
            <w:shd w:val="clear" w:color="auto" w:fill="F3EDF3"/>
          </w:tcPr>
          <w:p>
            <w:pPr>
              <w:ind w:left="40"/>
              <w:spacing w:after="0"/>
              <w:rPr>
                <w:sz w:val="20"/>
                <w:szCs w:val="20"/>
                <w:color w:val="auto"/>
              </w:rPr>
            </w:pPr>
            <w:r>
              <w:rPr>
                <w:rFonts w:ascii="Arial" w:cs="Arial" w:eastAsia="Arial" w:hAnsi="Arial"/>
                <w:sz w:val="16"/>
                <w:szCs w:val="16"/>
                <w:color w:val="231F20"/>
              </w:rPr>
              <w:t>Edwards Lifesciences Corporation</w:t>
            </w:r>
          </w:p>
        </w:tc>
        <w:tc>
          <w:tcPr>
            <w:tcW w:w="5300" w:type="dxa"/>
            <w:vAlign w:val="bottom"/>
            <w:shd w:val="clear" w:color="auto" w:fill="F3EDF3"/>
          </w:tcPr>
          <w:p>
            <w:pPr>
              <w:ind w:left="740"/>
              <w:spacing w:after="0"/>
              <w:rPr>
                <w:sz w:val="20"/>
                <w:szCs w:val="20"/>
                <w:color w:val="auto"/>
              </w:rPr>
            </w:pPr>
            <w:r>
              <w:rPr>
                <w:rFonts w:ascii="Arial" w:cs="Arial" w:eastAsia="Arial" w:hAnsi="Arial"/>
                <w:sz w:val="16"/>
                <w:szCs w:val="16"/>
                <w:color w:val="231F20"/>
              </w:rPr>
              <w:t>Nuvasive, Inc.</w:t>
            </w:r>
          </w:p>
        </w:tc>
      </w:tr>
      <w:tr>
        <w:trPr>
          <w:trHeight w:val="189"/>
        </w:trPr>
        <w:tc>
          <w:tcPr>
            <w:tcW w:w="3820" w:type="dxa"/>
            <w:vAlign w:val="bottom"/>
          </w:tcPr>
          <w:p>
            <w:pPr>
              <w:ind w:left="40"/>
              <w:spacing w:after="0"/>
              <w:rPr>
                <w:sz w:val="20"/>
                <w:szCs w:val="20"/>
                <w:color w:val="auto"/>
              </w:rPr>
            </w:pPr>
            <w:r>
              <w:rPr>
                <w:rFonts w:ascii="Arial" w:cs="Arial" w:eastAsia="Arial" w:hAnsi="Arial"/>
                <w:sz w:val="16"/>
                <w:szCs w:val="16"/>
                <w:color w:val="231F20"/>
              </w:rPr>
              <w:t>Globus Medical, Inc.</w:t>
            </w:r>
          </w:p>
        </w:tc>
        <w:tc>
          <w:tcPr>
            <w:tcW w:w="5300" w:type="dxa"/>
            <w:vAlign w:val="bottom"/>
          </w:tcPr>
          <w:p>
            <w:pPr>
              <w:ind w:left="740"/>
              <w:spacing w:after="0"/>
              <w:rPr>
                <w:sz w:val="20"/>
                <w:szCs w:val="20"/>
                <w:color w:val="auto"/>
              </w:rPr>
            </w:pPr>
            <w:r>
              <w:rPr>
                <w:rFonts w:ascii="Arial" w:cs="Arial" w:eastAsia="Arial" w:hAnsi="Arial"/>
                <w:sz w:val="16"/>
                <w:szCs w:val="16"/>
                <w:color w:val="231F20"/>
              </w:rPr>
              <w:t>ResMed Inc.</w:t>
            </w:r>
          </w:p>
        </w:tc>
      </w:tr>
      <w:tr>
        <w:trPr>
          <w:trHeight w:val="189"/>
        </w:trPr>
        <w:tc>
          <w:tcPr>
            <w:tcW w:w="3820" w:type="dxa"/>
            <w:vAlign w:val="bottom"/>
            <w:shd w:val="clear" w:color="auto" w:fill="F3EDF3"/>
          </w:tcPr>
          <w:p>
            <w:pPr>
              <w:ind w:left="40"/>
              <w:spacing w:after="0"/>
              <w:rPr>
                <w:sz w:val="20"/>
                <w:szCs w:val="20"/>
                <w:color w:val="auto"/>
              </w:rPr>
            </w:pPr>
            <w:r>
              <w:rPr>
                <w:rFonts w:ascii="Arial" w:cs="Arial" w:eastAsia="Arial" w:hAnsi="Arial"/>
                <w:sz w:val="16"/>
                <w:szCs w:val="16"/>
                <w:color w:val="231F20"/>
              </w:rPr>
              <w:t>Greatbatch, Inc.</w:t>
            </w:r>
          </w:p>
        </w:tc>
        <w:tc>
          <w:tcPr>
            <w:tcW w:w="5300" w:type="dxa"/>
            <w:vAlign w:val="bottom"/>
            <w:shd w:val="clear" w:color="auto" w:fill="F3EDF3"/>
          </w:tcPr>
          <w:p>
            <w:pPr>
              <w:ind w:left="740"/>
              <w:spacing w:after="0"/>
              <w:rPr>
                <w:sz w:val="20"/>
                <w:szCs w:val="20"/>
                <w:color w:val="auto"/>
              </w:rPr>
            </w:pPr>
            <w:r>
              <w:rPr>
                <w:rFonts w:ascii="Arial" w:cs="Arial" w:eastAsia="Arial" w:hAnsi="Arial"/>
                <w:sz w:val="16"/>
                <w:szCs w:val="16"/>
                <w:color w:val="231F20"/>
              </w:rPr>
              <w:t>Teleflex Incorporated</w:t>
            </w:r>
          </w:p>
        </w:tc>
      </w:tr>
      <w:tr>
        <w:trPr>
          <w:trHeight w:val="189"/>
        </w:trPr>
        <w:tc>
          <w:tcPr>
            <w:tcW w:w="3820" w:type="dxa"/>
            <w:vAlign w:val="bottom"/>
          </w:tcPr>
          <w:p>
            <w:pPr>
              <w:ind w:left="40"/>
              <w:spacing w:after="0"/>
              <w:rPr>
                <w:sz w:val="20"/>
                <w:szCs w:val="20"/>
                <w:color w:val="auto"/>
              </w:rPr>
            </w:pPr>
            <w:r>
              <w:rPr>
                <w:rFonts w:ascii="Arial" w:cs="Arial" w:eastAsia="Arial" w:hAnsi="Arial"/>
                <w:sz w:val="16"/>
                <w:szCs w:val="16"/>
                <w:color w:val="231F20"/>
              </w:rPr>
              <w:t>Hill-Rom Holdings, Inc.</w:t>
            </w:r>
          </w:p>
        </w:tc>
        <w:tc>
          <w:tcPr>
            <w:tcW w:w="5300" w:type="dxa"/>
            <w:vAlign w:val="bottom"/>
          </w:tcPr>
          <w:p>
            <w:pPr>
              <w:ind w:left="740"/>
              <w:spacing w:after="0"/>
              <w:rPr>
                <w:sz w:val="20"/>
                <w:szCs w:val="20"/>
                <w:color w:val="auto"/>
              </w:rPr>
            </w:pPr>
            <w:r>
              <w:rPr>
                <w:rFonts w:ascii="Arial" w:cs="Arial" w:eastAsia="Arial" w:hAnsi="Arial"/>
                <w:sz w:val="16"/>
                <w:szCs w:val="16"/>
                <w:color w:val="231F20"/>
              </w:rPr>
              <w:t>The Cooper Companies, Inc.</w:t>
            </w:r>
          </w:p>
        </w:tc>
      </w:tr>
      <w:tr>
        <w:trPr>
          <w:trHeight w:val="189"/>
        </w:trPr>
        <w:tc>
          <w:tcPr>
            <w:tcW w:w="3820" w:type="dxa"/>
            <w:vAlign w:val="bottom"/>
            <w:shd w:val="clear" w:color="auto" w:fill="F3EDF3"/>
          </w:tcPr>
          <w:p>
            <w:pPr>
              <w:ind w:left="40"/>
              <w:spacing w:after="0"/>
              <w:rPr>
                <w:sz w:val="20"/>
                <w:szCs w:val="20"/>
                <w:color w:val="auto"/>
              </w:rPr>
            </w:pPr>
            <w:r>
              <w:rPr>
                <w:rFonts w:ascii="Arial" w:cs="Arial" w:eastAsia="Arial" w:hAnsi="Arial"/>
                <w:sz w:val="16"/>
                <w:szCs w:val="16"/>
                <w:color w:val="231F20"/>
              </w:rPr>
              <w:t>Hologic, Inc.</w:t>
            </w:r>
          </w:p>
        </w:tc>
        <w:tc>
          <w:tcPr>
            <w:tcW w:w="5300" w:type="dxa"/>
            <w:vAlign w:val="bottom"/>
            <w:shd w:val="clear" w:color="auto" w:fill="F3EDF3"/>
          </w:tcPr>
          <w:p>
            <w:pPr>
              <w:ind w:left="740"/>
              <w:spacing w:after="0"/>
              <w:rPr>
                <w:sz w:val="20"/>
                <w:szCs w:val="20"/>
                <w:color w:val="auto"/>
              </w:rPr>
            </w:pPr>
            <w:r>
              <w:rPr>
                <w:rFonts w:ascii="Arial" w:cs="Arial" w:eastAsia="Arial" w:hAnsi="Arial"/>
                <w:sz w:val="16"/>
                <w:szCs w:val="16"/>
                <w:color w:val="231F20"/>
              </w:rPr>
              <w:t>Varian Medical Systems, Inc.</w:t>
            </w:r>
          </w:p>
        </w:tc>
      </w:tr>
      <w:tr>
        <w:trPr>
          <w:trHeight w:val="189"/>
        </w:trPr>
        <w:tc>
          <w:tcPr>
            <w:tcW w:w="3820" w:type="dxa"/>
            <w:vAlign w:val="bottom"/>
            <w:tcBorders>
              <w:bottom w:val="single" w:sz="8" w:color="6F2875"/>
            </w:tcBorders>
          </w:tcPr>
          <w:p>
            <w:pPr>
              <w:ind w:left="40"/>
              <w:spacing w:after="0"/>
              <w:rPr>
                <w:sz w:val="20"/>
                <w:szCs w:val="20"/>
                <w:color w:val="auto"/>
              </w:rPr>
            </w:pPr>
            <w:r>
              <w:rPr>
                <w:rFonts w:ascii="Arial" w:cs="Arial" w:eastAsia="Arial" w:hAnsi="Arial"/>
                <w:sz w:val="16"/>
                <w:szCs w:val="16"/>
                <w:color w:val="231F20"/>
              </w:rPr>
              <w:t>Integra LifeSciences Holdings Corporation</w:t>
            </w:r>
          </w:p>
        </w:tc>
        <w:tc>
          <w:tcPr>
            <w:tcW w:w="5300" w:type="dxa"/>
            <w:vAlign w:val="bottom"/>
            <w:tcBorders>
              <w:bottom w:val="single" w:sz="8" w:color="6F2875"/>
            </w:tcBorders>
          </w:tcPr>
          <w:p>
            <w:pPr>
              <w:spacing w:after="0"/>
              <w:rPr>
                <w:sz w:val="16"/>
                <w:szCs w:val="16"/>
                <w:color w:val="auto"/>
              </w:rPr>
            </w:pPr>
          </w:p>
        </w:tc>
      </w:tr>
    </w:tbl>
    <w:p>
      <w:pPr>
        <w:spacing w:after="0" w:line="96" w:lineRule="exact"/>
        <w:rPr>
          <w:sz w:val="20"/>
          <w:szCs w:val="20"/>
          <w:color w:val="auto"/>
        </w:rPr>
      </w:pPr>
    </w:p>
    <w:p>
      <w:pPr>
        <w:ind w:left="180" w:right="400" w:hanging="172"/>
        <w:spacing w:after="0" w:line="260" w:lineRule="auto"/>
        <w:tabs>
          <w:tab w:leader="none" w:pos="180" w:val="left"/>
        </w:tabs>
        <w:numPr>
          <w:ilvl w:val="0"/>
          <w:numId w:val="25"/>
        </w:numPr>
        <w:rPr>
          <w:rFonts w:ascii="Arial" w:cs="Arial" w:eastAsia="Arial" w:hAnsi="Arial"/>
          <w:sz w:val="16"/>
          <w:szCs w:val="16"/>
          <w:color w:val="6F2875"/>
        </w:rPr>
      </w:pPr>
      <w:r>
        <w:rPr>
          <w:rFonts w:ascii="Arial" w:cs="Arial" w:eastAsia="Arial" w:hAnsi="Arial"/>
          <w:sz w:val="16"/>
          <w:szCs w:val="16"/>
          <w:color w:val="231F20"/>
        </w:rPr>
        <w:t>Overall Competitiveness. The Compensation Committee uses aggregated market data as a reference point to ensure that executive compensation falls within the broad middle range of comparable pay at peer companies.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UK Remuneration Policy</w:t>
      </w:r>
    </w:p>
    <w:p>
      <w:pPr>
        <w:spacing w:after="0" w:line="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For our CEO, who is also a director, the Compensation Committee must ensure that any compensation plan it approves for our CEO is consistent with our shareholder-approved UK Remuneration Policy, which continues to have effect until our 2019 AGM, when a new Remuneration Policy will be presented to shareholders for their approval.</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Borders>
              <w:bottom w:val="single" w:sz="8" w:color="auto"/>
            </w:tcBorders>
          </w:tcPr>
          <w:p>
            <w:pPr>
              <w:spacing w:after="0"/>
              <w:rPr>
                <w:sz w:val="10"/>
                <w:szCs w:val="10"/>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25</w:t>
            </w:r>
          </w:p>
        </w:tc>
        <w:tc>
          <w:tcPr>
            <w:tcW w:w="0" w:type="dxa"/>
            <w:vAlign w:val="bottom"/>
          </w:tcPr>
          <w:p>
            <w:pPr>
              <w:spacing w:after="0"/>
              <w:rPr>
                <w:sz w:val="1"/>
                <w:szCs w:val="1"/>
                <w:color w:val="auto"/>
              </w:rPr>
            </w:pPr>
          </w:p>
        </w:tc>
      </w:tr>
      <w:tr>
        <w:trPr>
          <w:trHeight w:val="69"/>
        </w:trPr>
        <w:tc>
          <w:tcPr>
            <w:tcW w:w="40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2017 Compensation Decisions</w:t>
      </w:r>
    </w:p>
    <w:p>
      <w:pPr>
        <w:spacing w:after="0" w:line="231" w:lineRule="exact"/>
        <w:rPr>
          <w:sz w:val="20"/>
          <w:szCs w:val="20"/>
          <w:color w:val="auto"/>
        </w:rPr>
      </w:pPr>
    </w:p>
    <w:p>
      <w:pPr>
        <w:jc w:val="both"/>
        <w:ind w:left="180" w:hanging="172"/>
        <w:spacing w:after="0" w:line="253" w:lineRule="auto"/>
        <w:tabs>
          <w:tab w:leader="none" w:pos="180" w:val="left"/>
        </w:tabs>
        <w:numPr>
          <w:ilvl w:val="0"/>
          <w:numId w:val="26"/>
        </w:numPr>
        <w:rPr>
          <w:rFonts w:ascii="Arial" w:cs="Arial" w:eastAsia="Arial" w:hAnsi="Arial"/>
          <w:sz w:val="16"/>
          <w:szCs w:val="16"/>
          <w:color w:val="6F2875"/>
        </w:rPr>
      </w:pPr>
      <w:r>
        <w:rPr>
          <w:rFonts w:ascii="Arial" w:cs="Arial" w:eastAsia="Arial" w:hAnsi="Arial"/>
          <w:sz w:val="16"/>
          <w:szCs w:val="16"/>
          <w:color w:val="231F20"/>
        </w:rPr>
        <w:t>In February, the Compensation Committee approved the performance goals and compensation package for Damien McDonald, our only executive director. The Compensation Committee also approved the 2017 short-term incentive plan applicable to our executives, including Mr. McDonald and appointed Pearl Meyer as compensation advisor to the Committee for the 2017 financial reporting year.</w:t>
      </w:r>
    </w:p>
    <w:p>
      <w:pPr>
        <w:spacing w:after="0" w:line="39" w:lineRule="exact"/>
        <w:rPr>
          <w:rFonts w:ascii="Arial" w:cs="Arial" w:eastAsia="Arial" w:hAnsi="Arial"/>
          <w:sz w:val="16"/>
          <w:szCs w:val="16"/>
          <w:color w:val="6F2875"/>
        </w:rPr>
      </w:pPr>
    </w:p>
    <w:p>
      <w:pPr>
        <w:ind w:left="180" w:hanging="172"/>
        <w:spacing w:after="0" w:line="260" w:lineRule="auto"/>
        <w:tabs>
          <w:tab w:leader="none" w:pos="180" w:val="left"/>
        </w:tabs>
        <w:numPr>
          <w:ilvl w:val="0"/>
          <w:numId w:val="26"/>
        </w:numPr>
        <w:rPr>
          <w:rFonts w:ascii="Arial" w:cs="Arial" w:eastAsia="Arial" w:hAnsi="Arial"/>
          <w:sz w:val="16"/>
          <w:szCs w:val="16"/>
          <w:color w:val="6F2875"/>
        </w:rPr>
      </w:pPr>
      <w:r>
        <w:rPr>
          <w:rFonts w:ascii="Arial" w:cs="Arial" w:eastAsia="Arial" w:hAnsi="Arial"/>
          <w:sz w:val="16"/>
          <w:szCs w:val="16"/>
          <w:color w:val="231F20"/>
        </w:rPr>
        <w:t>In April, the Compensation Committee approved the bonuses payable under the 2016 STIP for the Company’s executive officers, which included the Company’s former CEO, Mr. André-Michel Ballester.</w:t>
      </w:r>
    </w:p>
    <w:p>
      <w:pPr>
        <w:spacing w:after="0" w:line="33" w:lineRule="exact"/>
        <w:rPr>
          <w:rFonts w:ascii="Arial" w:cs="Arial" w:eastAsia="Arial" w:hAnsi="Arial"/>
          <w:sz w:val="16"/>
          <w:szCs w:val="16"/>
          <w:color w:val="6F2875"/>
        </w:rPr>
      </w:pPr>
    </w:p>
    <w:p>
      <w:pPr>
        <w:ind w:left="180" w:hanging="172"/>
        <w:spacing w:after="0" w:line="260" w:lineRule="auto"/>
        <w:tabs>
          <w:tab w:leader="none" w:pos="180" w:val="left"/>
        </w:tabs>
        <w:numPr>
          <w:ilvl w:val="0"/>
          <w:numId w:val="26"/>
        </w:numPr>
        <w:rPr>
          <w:rFonts w:ascii="Arial" w:cs="Arial" w:eastAsia="Arial" w:hAnsi="Arial"/>
          <w:sz w:val="16"/>
          <w:szCs w:val="16"/>
          <w:color w:val="6F2875"/>
        </w:rPr>
      </w:pPr>
      <w:r>
        <w:rPr>
          <w:rFonts w:ascii="Arial" w:cs="Arial" w:eastAsia="Arial" w:hAnsi="Arial"/>
          <w:sz w:val="16"/>
          <w:szCs w:val="16"/>
          <w:color w:val="231F20"/>
        </w:rPr>
        <w:t>In May, the Compensation Committee approved annual equity awards under our long-term incentive plan to our executives and employees, including Mr. McDonald.</w:t>
      </w:r>
    </w:p>
    <w:p>
      <w:pPr>
        <w:spacing w:after="0" w:line="33" w:lineRule="exact"/>
        <w:rPr>
          <w:rFonts w:ascii="Arial" w:cs="Arial" w:eastAsia="Arial" w:hAnsi="Arial"/>
          <w:sz w:val="16"/>
          <w:szCs w:val="16"/>
          <w:color w:val="6F2875"/>
        </w:rPr>
      </w:pPr>
    </w:p>
    <w:p>
      <w:pPr>
        <w:ind w:left="180" w:hanging="172"/>
        <w:spacing w:after="0" w:line="260" w:lineRule="auto"/>
        <w:tabs>
          <w:tab w:leader="none" w:pos="180" w:val="left"/>
        </w:tabs>
        <w:numPr>
          <w:ilvl w:val="0"/>
          <w:numId w:val="26"/>
        </w:numPr>
        <w:rPr>
          <w:rFonts w:ascii="Arial" w:cs="Arial" w:eastAsia="Arial" w:hAnsi="Arial"/>
          <w:sz w:val="16"/>
          <w:szCs w:val="16"/>
          <w:color w:val="6F2875"/>
        </w:rPr>
      </w:pPr>
      <w:r>
        <w:rPr>
          <w:rFonts w:ascii="Arial" w:cs="Arial" w:eastAsia="Arial" w:hAnsi="Arial"/>
          <w:sz w:val="16"/>
          <w:szCs w:val="16"/>
          <w:color w:val="231F20"/>
        </w:rPr>
        <w:t>In July, the Compensation Committee approved a procedure to verify the achievement of equity award objectives based on Company or market performance. The verification procedure will apply going forward to all awards made to our executive officers and other employees and consultants.</w:t>
      </w:r>
    </w:p>
    <w:p>
      <w:pPr>
        <w:spacing w:after="0" w:line="33" w:lineRule="exact"/>
        <w:rPr>
          <w:rFonts w:ascii="Arial" w:cs="Arial" w:eastAsia="Arial" w:hAnsi="Arial"/>
          <w:sz w:val="16"/>
          <w:szCs w:val="16"/>
          <w:color w:val="6F2875"/>
        </w:rPr>
      </w:pPr>
    </w:p>
    <w:p>
      <w:pPr>
        <w:ind w:left="180" w:hanging="172"/>
        <w:spacing w:after="0" w:line="260" w:lineRule="auto"/>
        <w:tabs>
          <w:tab w:leader="none" w:pos="180" w:val="left"/>
        </w:tabs>
        <w:numPr>
          <w:ilvl w:val="0"/>
          <w:numId w:val="26"/>
        </w:numPr>
        <w:rPr>
          <w:rFonts w:ascii="Arial" w:cs="Arial" w:eastAsia="Arial" w:hAnsi="Arial"/>
          <w:sz w:val="16"/>
          <w:szCs w:val="16"/>
          <w:color w:val="6F2875"/>
        </w:rPr>
      </w:pPr>
      <w:r>
        <w:rPr>
          <w:rFonts w:ascii="Arial" w:cs="Arial" w:eastAsia="Arial" w:hAnsi="Arial"/>
          <w:sz w:val="16"/>
          <w:szCs w:val="16"/>
          <w:color w:val="231F20"/>
        </w:rPr>
        <w:t>In October, the Compensation Committee approved a policy to standardize the dates on which it grants equity awards to executive officers by limiting the grant dates to March 15, June 15, September 15 and December 15 of each year.</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2017 Short-Term Incentive Plan (the “2017 STIP”)</w:t>
      </w: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b w:val="1"/>
          <w:bCs w:val="1"/>
          <w:color w:val="FC5D45"/>
        </w:rPr>
        <w:t>2017 Short-Term Incentive Plan Design</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Each NEO with the exception of Mr. Sheridan was eligible for a cash award under the 2017 STIP at a target percentage of his or her base salary. These are set out below:</w:t>
      </w:r>
    </w:p>
    <w:p>
      <w:pPr>
        <w:spacing w:after="0" w:line="149"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3660" w:type="dxa"/>
            <w:vAlign w:val="bottom"/>
            <w:tcBorders>
              <w:bottom w:val="single" w:sz="8" w:color="6F2875"/>
            </w:tcBorders>
          </w:tcPr>
          <w:p>
            <w:pPr>
              <w:ind w:left="40"/>
              <w:spacing w:after="0"/>
              <w:rPr>
                <w:sz w:val="20"/>
                <w:szCs w:val="20"/>
                <w:color w:val="auto"/>
              </w:rPr>
            </w:pPr>
            <w:r>
              <w:rPr>
                <w:rFonts w:ascii="Arial" w:cs="Arial" w:eastAsia="Arial" w:hAnsi="Arial"/>
                <w:sz w:val="16"/>
                <w:szCs w:val="16"/>
                <w:b w:val="1"/>
                <w:bCs w:val="1"/>
                <w:color w:val="6F2875"/>
              </w:rPr>
              <w:t>Named Executive Officer</w:t>
            </w:r>
          </w:p>
        </w:tc>
        <w:tc>
          <w:tcPr>
            <w:tcW w:w="3180" w:type="dxa"/>
            <w:vAlign w:val="bottom"/>
            <w:tcBorders>
              <w:bottom w:val="single" w:sz="8" w:color="6F2875"/>
            </w:tcBorders>
          </w:tcPr>
          <w:p>
            <w:pPr>
              <w:jc w:val="right"/>
              <w:spacing w:after="0"/>
              <w:rPr>
                <w:sz w:val="20"/>
                <w:szCs w:val="20"/>
                <w:color w:val="auto"/>
              </w:rPr>
            </w:pPr>
            <w:r>
              <w:rPr>
                <w:rFonts w:ascii="Arial" w:cs="Arial" w:eastAsia="Arial" w:hAnsi="Arial"/>
                <w:sz w:val="16"/>
                <w:szCs w:val="16"/>
                <w:b w:val="1"/>
                <w:bCs w:val="1"/>
                <w:color w:val="6F2875"/>
              </w:rPr>
              <w:t>Target Percentage</w:t>
            </w:r>
          </w:p>
        </w:tc>
      </w:tr>
      <w:tr>
        <w:trPr>
          <w:trHeight w:val="183"/>
        </w:trPr>
        <w:tc>
          <w:tcPr>
            <w:tcW w:w="3660" w:type="dxa"/>
            <w:vAlign w:val="bottom"/>
          </w:tcPr>
          <w:p>
            <w:pPr>
              <w:ind w:left="40"/>
              <w:spacing w:after="0" w:line="183" w:lineRule="exact"/>
              <w:rPr>
                <w:sz w:val="20"/>
                <w:szCs w:val="20"/>
                <w:color w:val="auto"/>
              </w:rPr>
            </w:pPr>
            <w:r>
              <w:rPr>
                <w:rFonts w:ascii="Arial" w:cs="Arial" w:eastAsia="Arial" w:hAnsi="Arial"/>
                <w:sz w:val="16"/>
                <w:szCs w:val="16"/>
                <w:b w:val="1"/>
                <w:bCs w:val="1"/>
                <w:color w:val="231F20"/>
              </w:rPr>
              <w:t>Damien McDonald</w:t>
            </w:r>
          </w:p>
        </w:tc>
        <w:tc>
          <w:tcPr>
            <w:tcW w:w="3180" w:type="dxa"/>
            <w:vAlign w:val="bottom"/>
          </w:tcPr>
          <w:p>
            <w:pPr>
              <w:jc w:val="right"/>
              <w:spacing w:after="0" w:line="183" w:lineRule="exact"/>
              <w:rPr>
                <w:sz w:val="20"/>
                <w:szCs w:val="20"/>
                <w:color w:val="auto"/>
              </w:rPr>
            </w:pPr>
            <w:r>
              <w:rPr>
                <w:rFonts w:ascii="Arial" w:cs="Arial" w:eastAsia="Arial" w:hAnsi="Arial"/>
                <w:sz w:val="16"/>
                <w:szCs w:val="16"/>
                <w:color w:val="231F20"/>
              </w:rPr>
              <w:t>100%</w:t>
            </w:r>
          </w:p>
        </w:tc>
      </w:tr>
      <w:tr>
        <w:trPr>
          <w:trHeight w:val="189"/>
        </w:trPr>
        <w:tc>
          <w:tcPr>
            <w:tcW w:w="3660" w:type="dxa"/>
            <w:vAlign w:val="bottom"/>
            <w:shd w:val="clear" w:color="auto" w:fill="F3EDF3"/>
          </w:tcPr>
          <w:p>
            <w:pPr>
              <w:ind w:left="40"/>
              <w:spacing w:after="0"/>
              <w:rPr>
                <w:sz w:val="20"/>
                <w:szCs w:val="20"/>
                <w:color w:val="auto"/>
              </w:rPr>
            </w:pPr>
            <w:r>
              <w:rPr>
                <w:rFonts w:ascii="Arial" w:cs="Arial" w:eastAsia="Arial" w:hAnsi="Arial"/>
                <w:sz w:val="16"/>
                <w:szCs w:val="16"/>
                <w:b w:val="1"/>
                <w:bCs w:val="1"/>
                <w:color w:val="231F20"/>
              </w:rPr>
              <w:t>Thad Huston</w:t>
            </w:r>
          </w:p>
        </w:tc>
        <w:tc>
          <w:tcPr>
            <w:tcW w:w="318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90%</w:t>
            </w:r>
          </w:p>
        </w:tc>
      </w:tr>
      <w:tr>
        <w:trPr>
          <w:trHeight w:val="189"/>
        </w:trPr>
        <w:tc>
          <w:tcPr>
            <w:tcW w:w="3660" w:type="dxa"/>
            <w:vAlign w:val="bottom"/>
          </w:tcPr>
          <w:p>
            <w:pPr>
              <w:ind w:left="40"/>
              <w:spacing w:after="0"/>
              <w:rPr>
                <w:sz w:val="20"/>
                <w:szCs w:val="20"/>
                <w:color w:val="auto"/>
              </w:rPr>
            </w:pPr>
            <w:r>
              <w:rPr>
                <w:rFonts w:ascii="Arial" w:cs="Arial" w:eastAsia="Arial" w:hAnsi="Arial"/>
                <w:sz w:val="16"/>
                <w:szCs w:val="16"/>
                <w:b w:val="1"/>
                <w:bCs w:val="1"/>
                <w:color w:val="231F20"/>
              </w:rPr>
              <w:t>Vivid Sehgal</w:t>
            </w:r>
          </w:p>
        </w:tc>
        <w:tc>
          <w:tcPr>
            <w:tcW w:w="3180" w:type="dxa"/>
            <w:vAlign w:val="bottom"/>
          </w:tcPr>
          <w:p>
            <w:pPr>
              <w:jc w:val="right"/>
              <w:spacing w:after="0"/>
              <w:rPr>
                <w:sz w:val="20"/>
                <w:szCs w:val="20"/>
                <w:color w:val="auto"/>
              </w:rPr>
            </w:pPr>
            <w:r>
              <w:rPr>
                <w:rFonts w:ascii="Arial" w:cs="Arial" w:eastAsia="Arial" w:hAnsi="Arial"/>
                <w:sz w:val="16"/>
                <w:szCs w:val="16"/>
                <w:color w:val="231F20"/>
              </w:rPr>
              <w:t>75%</w:t>
            </w:r>
          </w:p>
        </w:tc>
      </w:tr>
      <w:tr>
        <w:trPr>
          <w:trHeight w:val="189"/>
        </w:trPr>
        <w:tc>
          <w:tcPr>
            <w:tcW w:w="3660" w:type="dxa"/>
            <w:vAlign w:val="bottom"/>
            <w:shd w:val="clear" w:color="auto" w:fill="F3EDF3"/>
          </w:tcPr>
          <w:p>
            <w:pPr>
              <w:ind w:left="40"/>
              <w:spacing w:after="0"/>
              <w:rPr>
                <w:sz w:val="20"/>
                <w:szCs w:val="20"/>
                <w:color w:val="auto"/>
              </w:rPr>
            </w:pPr>
            <w:r>
              <w:rPr>
                <w:rFonts w:ascii="Arial" w:cs="Arial" w:eastAsia="Arial" w:hAnsi="Arial"/>
                <w:sz w:val="16"/>
                <w:szCs w:val="16"/>
                <w:b w:val="1"/>
                <w:bCs w:val="1"/>
                <w:color w:val="231F20"/>
              </w:rPr>
              <w:t>David Wise</w:t>
            </w:r>
          </w:p>
        </w:tc>
        <w:tc>
          <w:tcPr>
            <w:tcW w:w="318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70%</w:t>
            </w:r>
          </w:p>
        </w:tc>
      </w:tr>
      <w:tr>
        <w:trPr>
          <w:trHeight w:val="189"/>
        </w:trPr>
        <w:tc>
          <w:tcPr>
            <w:tcW w:w="3660" w:type="dxa"/>
            <w:vAlign w:val="bottom"/>
          </w:tcPr>
          <w:p>
            <w:pPr>
              <w:ind w:left="40"/>
              <w:spacing w:after="0"/>
              <w:rPr>
                <w:sz w:val="20"/>
                <w:szCs w:val="20"/>
                <w:color w:val="auto"/>
              </w:rPr>
            </w:pPr>
            <w:r>
              <w:rPr>
                <w:rFonts w:ascii="Arial" w:cs="Arial" w:eastAsia="Arial" w:hAnsi="Arial"/>
                <w:sz w:val="16"/>
                <w:szCs w:val="16"/>
                <w:b w:val="1"/>
                <w:bCs w:val="1"/>
                <w:color w:val="231F20"/>
              </w:rPr>
              <w:t>Keyna Skeffington</w:t>
            </w:r>
          </w:p>
        </w:tc>
        <w:tc>
          <w:tcPr>
            <w:tcW w:w="3180" w:type="dxa"/>
            <w:vAlign w:val="bottom"/>
          </w:tcPr>
          <w:p>
            <w:pPr>
              <w:jc w:val="right"/>
              <w:spacing w:after="0"/>
              <w:rPr>
                <w:sz w:val="20"/>
                <w:szCs w:val="20"/>
                <w:color w:val="auto"/>
              </w:rPr>
            </w:pPr>
            <w:r>
              <w:rPr>
                <w:rFonts w:ascii="Arial" w:cs="Arial" w:eastAsia="Arial" w:hAnsi="Arial"/>
                <w:sz w:val="16"/>
                <w:szCs w:val="16"/>
                <w:color w:val="231F20"/>
              </w:rPr>
              <w:t>55%</w:t>
            </w:r>
          </w:p>
        </w:tc>
      </w:tr>
      <w:tr>
        <w:trPr>
          <w:trHeight w:val="189"/>
        </w:trPr>
        <w:tc>
          <w:tcPr>
            <w:tcW w:w="3660" w:type="dxa"/>
            <w:vAlign w:val="bottom"/>
            <w:tcBorders>
              <w:bottom w:val="single" w:sz="8" w:color="6F2875"/>
            </w:tcBorders>
            <w:shd w:val="clear" w:color="auto" w:fill="F3EDF3"/>
          </w:tcPr>
          <w:p>
            <w:pPr>
              <w:ind w:left="40"/>
              <w:spacing w:after="0"/>
              <w:rPr>
                <w:sz w:val="20"/>
                <w:szCs w:val="20"/>
                <w:color w:val="auto"/>
              </w:rPr>
            </w:pPr>
            <w:r>
              <w:rPr>
                <w:rFonts w:ascii="Arial" w:cs="Arial" w:eastAsia="Arial" w:hAnsi="Arial"/>
                <w:sz w:val="16"/>
                <w:szCs w:val="16"/>
                <w:b w:val="1"/>
                <w:bCs w:val="1"/>
                <w:color w:val="231F20"/>
              </w:rPr>
              <w:t>Doug Manko</w:t>
            </w:r>
          </w:p>
        </w:tc>
        <w:tc>
          <w:tcPr>
            <w:tcW w:w="3180" w:type="dxa"/>
            <w:vAlign w:val="bottom"/>
            <w:tcBorders>
              <w:bottom w:val="single" w:sz="8" w:color="6F2875"/>
            </w:tcBorders>
            <w:shd w:val="clear" w:color="auto" w:fill="F3EDF3"/>
          </w:tcPr>
          <w:p>
            <w:pPr>
              <w:jc w:val="right"/>
              <w:spacing w:after="0"/>
              <w:rPr>
                <w:sz w:val="20"/>
                <w:szCs w:val="20"/>
                <w:color w:val="auto"/>
              </w:rPr>
            </w:pPr>
            <w:r>
              <w:rPr>
                <w:rFonts w:ascii="Arial" w:cs="Arial" w:eastAsia="Arial" w:hAnsi="Arial"/>
                <w:sz w:val="16"/>
                <w:szCs w:val="16"/>
                <w:color w:val="231F20"/>
              </w:rPr>
              <w:t>40%</w:t>
            </w:r>
          </w:p>
        </w:tc>
      </w:tr>
    </w:tbl>
    <w:p>
      <w:pPr>
        <w:spacing w:after="0" w:line="19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Payments under the 2017 STIP were made to the NEOs in April 2018, with the exception of Mr. Sehgal, who received a prorated amount of his 2017 bonus in the month following the termination of his employment relationship and Mr. Sheridan.</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2017 STIP included the following objectives, each weighted at the percentages in the table below. Payment of the target bonus amount to each of our NEOs was subject to our achievement of certain financial objectives and, with the exception of our CEO, each NEO’s achievement of one or more talent or other individual objectives,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80" w:type="dxa"/>
            <w:vAlign w:val="bottom"/>
            <w:tcBorders>
              <w:bottom w:val="single" w:sz="8" w:color="6F2875"/>
            </w:tcBorders>
            <w:gridSpan w:val="3"/>
          </w:tcPr>
          <w:p>
            <w:pPr>
              <w:jc w:val="right"/>
              <w:ind w:right="19"/>
              <w:spacing w:after="0"/>
              <w:rPr>
                <w:sz w:val="20"/>
                <w:szCs w:val="20"/>
                <w:color w:val="auto"/>
              </w:rPr>
            </w:pPr>
            <w:r>
              <w:rPr>
                <w:rFonts w:ascii="Arial" w:cs="Arial" w:eastAsia="Arial" w:hAnsi="Arial"/>
                <w:sz w:val="16"/>
                <w:szCs w:val="16"/>
                <w:b w:val="1"/>
                <w:bCs w:val="1"/>
                <w:color w:val="6F2875"/>
              </w:rPr>
              <w:t>Group Financial Objectives</w:t>
            </w:r>
          </w:p>
        </w:tc>
        <w:tc>
          <w:tcPr>
            <w:tcW w:w="114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6F2875"/>
              </w:rPr>
              <w:t>Talent</w:t>
            </w:r>
          </w:p>
        </w:tc>
        <w:tc>
          <w:tcPr>
            <w:tcW w:w="1460" w:type="dxa"/>
            <w:vAlign w:val="bottom"/>
            <w:vMerge w:val="restart"/>
          </w:tcPr>
          <w:p>
            <w:pPr>
              <w:jc w:val="right"/>
              <w:spacing w:after="0"/>
              <w:rPr>
                <w:sz w:val="20"/>
                <w:szCs w:val="20"/>
                <w:color w:val="auto"/>
              </w:rPr>
            </w:pPr>
            <w:r>
              <w:rPr>
                <w:rFonts w:ascii="Arial" w:cs="Arial" w:eastAsia="Arial" w:hAnsi="Arial"/>
                <w:sz w:val="16"/>
                <w:szCs w:val="16"/>
                <w:b w:val="1"/>
                <w:bCs w:val="1"/>
                <w:color w:val="6F2875"/>
              </w:rPr>
              <w:t>Individual</w:t>
            </w:r>
          </w:p>
        </w:tc>
        <w:tc>
          <w:tcPr>
            <w:tcW w:w="0" w:type="dxa"/>
            <w:vAlign w:val="bottom"/>
          </w:tcPr>
          <w:p>
            <w:pPr>
              <w:spacing w:after="0"/>
              <w:rPr>
                <w:sz w:val="1"/>
                <w:szCs w:val="1"/>
                <w:color w:val="auto"/>
              </w:rPr>
            </w:pPr>
          </w:p>
        </w:tc>
      </w:tr>
      <w:tr>
        <w:trPr>
          <w:trHeight w:val="164"/>
        </w:trPr>
        <w:tc>
          <w:tcPr>
            <w:tcW w:w="3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40" w:type="dxa"/>
            <w:vAlign w:val="bottom"/>
            <w:gridSpan w:val="2"/>
          </w:tcPr>
          <w:p>
            <w:pPr>
              <w:jc w:val="right"/>
              <w:ind w:right="240"/>
              <w:spacing w:after="0" w:line="165" w:lineRule="exact"/>
              <w:rPr>
                <w:sz w:val="20"/>
                <w:szCs w:val="20"/>
                <w:color w:val="auto"/>
              </w:rPr>
            </w:pPr>
            <w:r>
              <w:rPr>
                <w:rFonts w:ascii="Arial" w:cs="Arial" w:eastAsia="Arial" w:hAnsi="Arial"/>
                <w:sz w:val="16"/>
                <w:szCs w:val="16"/>
                <w:b w:val="1"/>
                <w:bCs w:val="1"/>
                <w:color w:val="6F2875"/>
              </w:rPr>
              <w:t>Adjusted</w:t>
            </w:r>
          </w:p>
        </w:tc>
        <w:tc>
          <w:tcPr>
            <w:tcW w:w="1240" w:type="dxa"/>
            <w:vAlign w:val="bottom"/>
          </w:tcPr>
          <w:p>
            <w:pPr>
              <w:jc w:val="right"/>
              <w:ind w:right="39"/>
              <w:spacing w:after="0" w:line="165" w:lineRule="exact"/>
              <w:rPr>
                <w:sz w:val="20"/>
                <w:szCs w:val="20"/>
                <w:color w:val="auto"/>
              </w:rPr>
            </w:pPr>
            <w:r>
              <w:rPr>
                <w:rFonts w:ascii="Arial" w:cs="Arial" w:eastAsia="Arial" w:hAnsi="Arial"/>
                <w:sz w:val="16"/>
                <w:szCs w:val="16"/>
                <w:b w:val="1"/>
                <w:bCs w:val="1"/>
                <w:color w:val="6F2875"/>
              </w:rPr>
              <w:t>Adjusted</w:t>
            </w:r>
          </w:p>
        </w:tc>
        <w:tc>
          <w:tcPr>
            <w:tcW w:w="114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60" w:type="dxa"/>
            <w:vAlign w:val="bottom"/>
            <w:tcBorders>
              <w:bottom w:val="single" w:sz="8" w:color="6F2875"/>
            </w:tcBorders>
          </w:tcPr>
          <w:p>
            <w:pPr>
              <w:spacing w:after="0"/>
              <w:rPr>
                <w:sz w:val="18"/>
                <w:szCs w:val="18"/>
                <w:color w:val="auto"/>
              </w:rPr>
            </w:pPr>
          </w:p>
        </w:tc>
        <w:tc>
          <w:tcPr>
            <w:tcW w:w="3660" w:type="dxa"/>
            <w:vAlign w:val="bottom"/>
            <w:tcBorders>
              <w:bottom w:val="single" w:sz="8" w:color="6F2875"/>
            </w:tcBorders>
          </w:tcPr>
          <w:p>
            <w:pPr>
              <w:spacing w:after="0"/>
              <w:rPr>
                <w:sz w:val="18"/>
                <w:szCs w:val="18"/>
                <w:color w:val="auto"/>
              </w:rPr>
            </w:pPr>
          </w:p>
        </w:tc>
        <w:tc>
          <w:tcPr>
            <w:tcW w:w="2520" w:type="dxa"/>
            <w:vAlign w:val="bottom"/>
            <w:tcBorders>
              <w:bottom w:val="single" w:sz="8" w:color="6F2875"/>
            </w:tcBorders>
          </w:tcPr>
          <w:p>
            <w:pPr>
              <w:spacing w:after="0"/>
              <w:rPr>
                <w:sz w:val="18"/>
                <w:szCs w:val="18"/>
                <w:color w:val="auto"/>
              </w:rPr>
            </w:pPr>
          </w:p>
        </w:tc>
        <w:tc>
          <w:tcPr>
            <w:tcW w:w="1040" w:type="dxa"/>
            <w:vAlign w:val="bottom"/>
            <w:tcBorders>
              <w:bottom w:val="single" w:sz="8" w:color="6F2875"/>
            </w:tcBorders>
            <w:gridSpan w:val="2"/>
          </w:tcPr>
          <w:p>
            <w:pPr>
              <w:jc w:val="right"/>
              <w:ind w:right="240"/>
              <w:spacing w:after="0"/>
              <w:rPr>
                <w:sz w:val="20"/>
                <w:szCs w:val="20"/>
                <w:color w:val="auto"/>
              </w:rPr>
            </w:pPr>
            <w:r>
              <w:rPr>
                <w:rFonts w:ascii="Arial" w:cs="Arial" w:eastAsia="Arial" w:hAnsi="Arial"/>
                <w:sz w:val="16"/>
                <w:szCs w:val="16"/>
                <w:b w:val="1"/>
                <w:bCs w:val="1"/>
                <w:color w:val="6F2875"/>
              </w:rPr>
              <w:t>Net Sales</w:t>
            </w:r>
          </w:p>
        </w:tc>
        <w:tc>
          <w:tcPr>
            <w:tcW w:w="1240" w:type="dxa"/>
            <w:vAlign w:val="bottom"/>
            <w:tcBorders>
              <w:bottom w:val="single" w:sz="8" w:color="6F2875"/>
            </w:tcBorders>
          </w:tcPr>
          <w:p>
            <w:pPr>
              <w:jc w:val="right"/>
              <w:ind w:right="39"/>
              <w:spacing w:after="0"/>
              <w:rPr>
                <w:sz w:val="20"/>
                <w:szCs w:val="20"/>
                <w:color w:val="auto"/>
              </w:rPr>
            </w:pPr>
            <w:r>
              <w:rPr>
                <w:rFonts w:ascii="Arial" w:cs="Arial" w:eastAsia="Arial" w:hAnsi="Arial"/>
                <w:sz w:val="16"/>
                <w:szCs w:val="16"/>
                <w:b w:val="1"/>
                <w:bCs w:val="1"/>
                <w:color w:val="6F2875"/>
              </w:rPr>
              <w:t>Net Income</w:t>
            </w:r>
          </w:p>
        </w:tc>
        <w:tc>
          <w:tcPr>
            <w:tcW w:w="1140" w:type="dxa"/>
            <w:vAlign w:val="bottom"/>
            <w:tcBorders>
              <w:bottom w:val="single" w:sz="8" w:color="6F2875"/>
            </w:tcBorders>
            <w:gridSpan w:val="2"/>
          </w:tcPr>
          <w:p>
            <w:pPr>
              <w:jc w:val="right"/>
              <w:ind w:right="20"/>
              <w:spacing w:after="0"/>
              <w:rPr>
                <w:sz w:val="20"/>
                <w:szCs w:val="20"/>
                <w:color w:val="auto"/>
              </w:rPr>
            </w:pPr>
            <w:r>
              <w:rPr>
                <w:rFonts w:ascii="Arial" w:cs="Arial" w:eastAsia="Arial" w:hAnsi="Arial"/>
                <w:sz w:val="16"/>
                <w:szCs w:val="16"/>
                <w:b w:val="1"/>
                <w:bCs w:val="1"/>
                <w:color w:val="6F2875"/>
              </w:rPr>
              <w:t>Objective</w:t>
            </w:r>
          </w:p>
        </w:tc>
        <w:tc>
          <w:tcPr>
            <w:tcW w:w="1460" w:type="dxa"/>
            <w:vAlign w:val="bottom"/>
            <w:tcBorders>
              <w:bottom w:val="single" w:sz="8" w:color="6F2875"/>
            </w:tcBorders>
          </w:tcPr>
          <w:p>
            <w:pPr>
              <w:jc w:val="right"/>
              <w:spacing w:after="0"/>
              <w:rPr>
                <w:sz w:val="20"/>
                <w:szCs w:val="20"/>
                <w:color w:val="auto"/>
              </w:rPr>
            </w:pPr>
            <w:r>
              <w:rPr>
                <w:rFonts w:ascii="Arial" w:cs="Arial" w:eastAsia="Arial" w:hAnsi="Arial"/>
                <w:sz w:val="16"/>
                <w:szCs w:val="16"/>
                <w:b w:val="1"/>
                <w:bCs w:val="1"/>
                <w:color w:val="6F2875"/>
              </w:rPr>
              <w:t>Objectives</w:t>
            </w:r>
          </w:p>
        </w:tc>
        <w:tc>
          <w:tcPr>
            <w:tcW w:w="0" w:type="dxa"/>
            <w:vAlign w:val="bottom"/>
          </w:tcPr>
          <w:p>
            <w:pPr>
              <w:spacing w:after="0"/>
              <w:rPr>
                <w:sz w:val="1"/>
                <w:szCs w:val="1"/>
                <w:color w:val="auto"/>
              </w:rPr>
            </w:pPr>
          </w:p>
        </w:tc>
      </w:tr>
      <w:tr>
        <w:trPr>
          <w:trHeight w:val="183"/>
        </w:trPr>
        <w:tc>
          <w:tcPr>
            <w:tcW w:w="4020" w:type="dxa"/>
            <w:vAlign w:val="bottom"/>
            <w:gridSpan w:val="2"/>
          </w:tcPr>
          <w:p>
            <w:pPr>
              <w:ind w:left="60"/>
              <w:spacing w:after="0" w:line="183" w:lineRule="exact"/>
              <w:rPr>
                <w:sz w:val="20"/>
                <w:szCs w:val="20"/>
                <w:color w:val="auto"/>
              </w:rPr>
            </w:pPr>
            <w:r>
              <w:rPr>
                <w:rFonts w:ascii="Arial" w:cs="Arial" w:eastAsia="Arial" w:hAnsi="Arial"/>
                <w:sz w:val="16"/>
                <w:szCs w:val="16"/>
                <w:b w:val="1"/>
                <w:bCs w:val="1"/>
                <w:color w:val="231F20"/>
              </w:rPr>
              <w:t>Damien McDonald</w:t>
            </w:r>
          </w:p>
        </w:tc>
        <w:tc>
          <w:tcPr>
            <w:tcW w:w="3560" w:type="dxa"/>
            <w:vAlign w:val="bottom"/>
            <w:gridSpan w:val="3"/>
          </w:tcPr>
          <w:p>
            <w:pPr>
              <w:jc w:val="right"/>
              <w:ind w:right="240"/>
              <w:spacing w:after="0" w:line="183" w:lineRule="exact"/>
              <w:rPr>
                <w:sz w:val="20"/>
                <w:szCs w:val="20"/>
                <w:color w:val="auto"/>
              </w:rPr>
            </w:pPr>
            <w:r>
              <w:rPr>
                <w:rFonts w:ascii="Arial" w:cs="Arial" w:eastAsia="Arial" w:hAnsi="Arial"/>
                <w:sz w:val="16"/>
                <w:szCs w:val="16"/>
                <w:color w:val="231F20"/>
              </w:rPr>
              <w:t>60%</w:t>
            </w:r>
          </w:p>
        </w:tc>
        <w:tc>
          <w:tcPr>
            <w:tcW w:w="1240" w:type="dxa"/>
            <w:vAlign w:val="bottom"/>
          </w:tcPr>
          <w:p>
            <w:pPr>
              <w:jc w:val="right"/>
              <w:ind w:right="39"/>
              <w:spacing w:after="0" w:line="183" w:lineRule="exact"/>
              <w:rPr>
                <w:sz w:val="20"/>
                <w:szCs w:val="20"/>
                <w:color w:val="auto"/>
              </w:rPr>
            </w:pPr>
            <w:r>
              <w:rPr>
                <w:rFonts w:ascii="Arial" w:cs="Arial" w:eastAsia="Arial" w:hAnsi="Arial"/>
                <w:sz w:val="16"/>
                <w:szCs w:val="16"/>
                <w:color w:val="231F20"/>
              </w:rPr>
              <w:t>40%</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20" w:type="dxa"/>
            <w:vAlign w:val="bottom"/>
            <w:gridSpan w:val="2"/>
            <w:shd w:val="clear" w:color="auto" w:fill="F3EDF3"/>
          </w:tcPr>
          <w:p>
            <w:pPr>
              <w:ind w:left="60"/>
              <w:spacing w:after="0"/>
              <w:rPr>
                <w:sz w:val="20"/>
                <w:szCs w:val="20"/>
                <w:color w:val="auto"/>
              </w:rPr>
            </w:pPr>
            <w:r>
              <w:rPr>
                <w:rFonts w:ascii="Arial" w:cs="Arial" w:eastAsia="Arial" w:hAnsi="Arial"/>
                <w:sz w:val="16"/>
                <w:szCs w:val="16"/>
                <w:b w:val="1"/>
                <w:bCs w:val="1"/>
                <w:color w:val="231F20"/>
              </w:rPr>
              <w:t>Thad Huston</w:t>
            </w:r>
          </w:p>
        </w:tc>
        <w:tc>
          <w:tcPr>
            <w:tcW w:w="3560" w:type="dxa"/>
            <w:vAlign w:val="bottom"/>
            <w:gridSpan w:val="3"/>
            <w:shd w:val="clear" w:color="auto" w:fill="F3EDF3"/>
          </w:tcPr>
          <w:p>
            <w:pPr>
              <w:jc w:val="right"/>
              <w:ind w:right="240"/>
              <w:spacing w:after="0"/>
              <w:rPr>
                <w:sz w:val="20"/>
                <w:szCs w:val="20"/>
                <w:color w:val="auto"/>
              </w:rPr>
            </w:pPr>
            <w:r>
              <w:rPr>
                <w:rFonts w:ascii="Arial" w:cs="Arial" w:eastAsia="Arial" w:hAnsi="Arial"/>
                <w:sz w:val="16"/>
                <w:szCs w:val="16"/>
                <w:color w:val="231F20"/>
              </w:rPr>
              <w:t>45%</w:t>
            </w:r>
          </w:p>
        </w:tc>
        <w:tc>
          <w:tcPr>
            <w:tcW w:w="1240" w:type="dxa"/>
            <w:vAlign w:val="bottom"/>
            <w:shd w:val="clear" w:color="auto" w:fill="F3EDF3"/>
          </w:tcPr>
          <w:p>
            <w:pPr>
              <w:jc w:val="right"/>
              <w:ind w:right="39"/>
              <w:spacing w:after="0"/>
              <w:rPr>
                <w:sz w:val="20"/>
                <w:szCs w:val="20"/>
                <w:color w:val="auto"/>
              </w:rPr>
            </w:pPr>
            <w:r>
              <w:rPr>
                <w:rFonts w:ascii="Arial" w:cs="Arial" w:eastAsia="Arial" w:hAnsi="Arial"/>
                <w:sz w:val="16"/>
                <w:szCs w:val="16"/>
                <w:color w:val="231F20"/>
              </w:rPr>
              <w:t>35%</w:t>
            </w:r>
          </w:p>
        </w:tc>
        <w:tc>
          <w:tcPr>
            <w:tcW w:w="1140" w:type="dxa"/>
            <w:vAlign w:val="bottom"/>
            <w:gridSpan w:val="2"/>
            <w:shd w:val="clear" w:color="auto" w:fill="F3EDF3"/>
          </w:tcPr>
          <w:p>
            <w:pPr>
              <w:jc w:val="right"/>
              <w:ind w:right="20"/>
              <w:spacing w:after="0"/>
              <w:rPr>
                <w:sz w:val="20"/>
                <w:szCs w:val="20"/>
                <w:color w:val="auto"/>
              </w:rPr>
            </w:pPr>
            <w:r>
              <w:rPr>
                <w:rFonts w:ascii="Arial" w:cs="Arial" w:eastAsia="Arial" w:hAnsi="Arial"/>
                <w:sz w:val="16"/>
                <w:szCs w:val="16"/>
                <w:color w:val="231F20"/>
              </w:rPr>
              <w:t>20%</w:t>
            </w:r>
          </w:p>
        </w:tc>
        <w:tc>
          <w:tcPr>
            <w:tcW w:w="1460" w:type="dxa"/>
            <w:vAlign w:val="bottom"/>
            <w:shd w:val="clear" w:color="auto" w:fill="F3EDF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20" w:type="dxa"/>
            <w:vAlign w:val="bottom"/>
            <w:gridSpan w:val="2"/>
          </w:tcPr>
          <w:p>
            <w:pPr>
              <w:ind w:left="60"/>
              <w:spacing w:after="0"/>
              <w:rPr>
                <w:sz w:val="20"/>
                <w:szCs w:val="20"/>
                <w:color w:val="auto"/>
              </w:rPr>
            </w:pPr>
            <w:r>
              <w:rPr>
                <w:rFonts w:ascii="Arial" w:cs="Arial" w:eastAsia="Arial" w:hAnsi="Arial"/>
                <w:sz w:val="16"/>
                <w:szCs w:val="16"/>
                <w:b w:val="1"/>
                <w:bCs w:val="1"/>
                <w:color w:val="231F20"/>
              </w:rPr>
              <w:t>David Wise</w:t>
            </w:r>
          </w:p>
        </w:tc>
        <w:tc>
          <w:tcPr>
            <w:tcW w:w="3560" w:type="dxa"/>
            <w:vAlign w:val="bottom"/>
            <w:gridSpan w:val="3"/>
          </w:tcPr>
          <w:p>
            <w:pPr>
              <w:jc w:val="right"/>
              <w:ind w:right="240"/>
              <w:spacing w:after="0"/>
              <w:rPr>
                <w:sz w:val="20"/>
                <w:szCs w:val="20"/>
                <w:color w:val="auto"/>
              </w:rPr>
            </w:pPr>
            <w:r>
              <w:rPr>
                <w:rFonts w:ascii="Arial" w:cs="Arial" w:eastAsia="Arial" w:hAnsi="Arial"/>
                <w:sz w:val="16"/>
                <w:szCs w:val="16"/>
                <w:color w:val="231F20"/>
              </w:rPr>
              <w:t>45%</w:t>
            </w:r>
          </w:p>
        </w:tc>
        <w:tc>
          <w:tcPr>
            <w:tcW w:w="1240" w:type="dxa"/>
            <w:vAlign w:val="bottom"/>
          </w:tcPr>
          <w:p>
            <w:pPr>
              <w:jc w:val="right"/>
              <w:ind w:right="39"/>
              <w:spacing w:after="0"/>
              <w:rPr>
                <w:sz w:val="20"/>
                <w:szCs w:val="20"/>
                <w:color w:val="auto"/>
              </w:rPr>
            </w:pPr>
            <w:r>
              <w:rPr>
                <w:rFonts w:ascii="Arial" w:cs="Arial" w:eastAsia="Arial" w:hAnsi="Arial"/>
                <w:sz w:val="16"/>
                <w:szCs w:val="16"/>
                <w:color w:val="231F20"/>
              </w:rPr>
              <w:t>35%</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231F20"/>
              </w:rPr>
              <w:t>20%</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20" w:type="dxa"/>
            <w:vAlign w:val="bottom"/>
            <w:gridSpan w:val="2"/>
            <w:shd w:val="clear" w:color="auto" w:fill="F3EDF3"/>
          </w:tcPr>
          <w:p>
            <w:pPr>
              <w:ind w:left="60"/>
              <w:spacing w:after="0"/>
              <w:rPr>
                <w:sz w:val="20"/>
                <w:szCs w:val="20"/>
                <w:color w:val="auto"/>
              </w:rPr>
            </w:pPr>
            <w:r>
              <w:rPr>
                <w:rFonts w:ascii="Arial" w:cs="Arial" w:eastAsia="Arial" w:hAnsi="Arial"/>
                <w:sz w:val="16"/>
                <w:szCs w:val="16"/>
                <w:b w:val="1"/>
                <w:bCs w:val="1"/>
                <w:color w:val="231F20"/>
              </w:rPr>
              <w:t>Keyna Skeffington</w:t>
            </w:r>
          </w:p>
        </w:tc>
        <w:tc>
          <w:tcPr>
            <w:tcW w:w="3560" w:type="dxa"/>
            <w:vAlign w:val="bottom"/>
            <w:gridSpan w:val="3"/>
            <w:shd w:val="clear" w:color="auto" w:fill="F3EDF3"/>
          </w:tcPr>
          <w:p>
            <w:pPr>
              <w:jc w:val="right"/>
              <w:ind w:right="240"/>
              <w:spacing w:after="0"/>
              <w:rPr>
                <w:sz w:val="20"/>
                <w:szCs w:val="20"/>
                <w:color w:val="auto"/>
              </w:rPr>
            </w:pPr>
            <w:r>
              <w:rPr>
                <w:rFonts w:ascii="Arial" w:cs="Arial" w:eastAsia="Arial" w:hAnsi="Arial"/>
                <w:sz w:val="16"/>
                <w:szCs w:val="16"/>
                <w:color w:val="231F20"/>
              </w:rPr>
              <w:t>45%</w:t>
            </w:r>
          </w:p>
        </w:tc>
        <w:tc>
          <w:tcPr>
            <w:tcW w:w="1240" w:type="dxa"/>
            <w:vAlign w:val="bottom"/>
            <w:shd w:val="clear" w:color="auto" w:fill="F3EDF3"/>
          </w:tcPr>
          <w:p>
            <w:pPr>
              <w:jc w:val="right"/>
              <w:ind w:right="39"/>
              <w:spacing w:after="0"/>
              <w:rPr>
                <w:sz w:val="20"/>
                <w:szCs w:val="20"/>
                <w:color w:val="auto"/>
              </w:rPr>
            </w:pPr>
            <w:r>
              <w:rPr>
                <w:rFonts w:ascii="Arial" w:cs="Arial" w:eastAsia="Arial" w:hAnsi="Arial"/>
                <w:sz w:val="16"/>
                <w:szCs w:val="16"/>
                <w:color w:val="231F20"/>
              </w:rPr>
              <w:t>35%</w:t>
            </w:r>
          </w:p>
        </w:tc>
        <w:tc>
          <w:tcPr>
            <w:tcW w:w="1140" w:type="dxa"/>
            <w:vAlign w:val="bottom"/>
            <w:gridSpan w:val="2"/>
            <w:shd w:val="clear" w:color="auto" w:fill="F3EDF3"/>
          </w:tcPr>
          <w:p>
            <w:pPr>
              <w:jc w:val="right"/>
              <w:ind w:right="20"/>
              <w:spacing w:after="0"/>
              <w:rPr>
                <w:sz w:val="20"/>
                <w:szCs w:val="20"/>
                <w:color w:val="auto"/>
              </w:rPr>
            </w:pPr>
            <w:r>
              <w:rPr>
                <w:rFonts w:ascii="Arial" w:cs="Arial" w:eastAsia="Arial" w:hAnsi="Arial"/>
                <w:sz w:val="16"/>
                <w:szCs w:val="16"/>
                <w:color w:val="231F20"/>
              </w:rPr>
              <w:t>20%</w:t>
            </w:r>
          </w:p>
        </w:tc>
        <w:tc>
          <w:tcPr>
            <w:tcW w:w="1460" w:type="dxa"/>
            <w:vAlign w:val="bottom"/>
            <w:shd w:val="clear" w:color="auto" w:fill="F3EDF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20" w:type="dxa"/>
            <w:vAlign w:val="bottom"/>
            <w:tcBorders>
              <w:bottom w:val="single" w:sz="8" w:color="6F2875"/>
            </w:tcBorders>
            <w:gridSpan w:val="2"/>
          </w:tcPr>
          <w:p>
            <w:pPr>
              <w:ind w:left="60"/>
              <w:spacing w:after="0"/>
              <w:rPr>
                <w:sz w:val="20"/>
                <w:szCs w:val="20"/>
                <w:color w:val="auto"/>
              </w:rPr>
            </w:pPr>
            <w:r>
              <w:rPr>
                <w:rFonts w:ascii="Arial" w:cs="Arial" w:eastAsia="Arial" w:hAnsi="Arial"/>
                <w:sz w:val="16"/>
                <w:szCs w:val="16"/>
                <w:b w:val="1"/>
                <w:bCs w:val="1"/>
                <w:color w:val="231F20"/>
              </w:rPr>
              <w:t>Doug Manko</w:t>
            </w:r>
          </w:p>
        </w:tc>
        <w:tc>
          <w:tcPr>
            <w:tcW w:w="3560" w:type="dxa"/>
            <w:vAlign w:val="bottom"/>
            <w:tcBorders>
              <w:bottom w:val="single" w:sz="8" w:color="6F2875"/>
            </w:tcBorders>
            <w:gridSpan w:val="3"/>
          </w:tcPr>
          <w:p>
            <w:pPr>
              <w:jc w:val="right"/>
              <w:ind w:right="240"/>
              <w:spacing w:after="0"/>
              <w:rPr>
                <w:sz w:val="20"/>
                <w:szCs w:val="20"/>
                <w:color w:val="auto"/>
              </w:rPr>
            </w:pPr>
            <w:r>
              <w:rPr>
                <w:rFonts w:ascii="Arial" w:cs="Arial" w:eastAsia="Arial" w:hAnsi="Arial"/>
                <w:sz w:val="16"/>
                <w:szCs w:val="16"/>
                <w:color w:val="231F20"/>
              </w:rPr>
              <w:t>15%</w:t>
            </w:r>
          </w:p>
        </w:tc>
        <w:tc>
          <w:tcPr>
            <w:tcW w:w="1240" w:type="dxa"/>
            <w:vAlign w:val="bottom"/>
            <w:tcBorders>
              <w:bottom w:val="single" w:sz="8" w:color="6F2875"/>
            </w:tcBorders>
          </w:tcPr>
          <w:p>
            <w:pPr>
              <w:jc w:val="right"/>
              <w:ind w:right="39"/>
              <w:spacing w:after="0"/>
              <w:rPr>
                <w:sz w:val="20"/>
                <w:szCs w:val="20"/>
                <w:color w:val="auto"/>
              </w:rPr>
            </w:pPr>
            <w:r>
              <w:rPr>
                <w:rFonts w:ascii="Arial" w:cs="Arial" w:eastAsia="Arial" w:hAnsi="Arial"/>
                <w:sz w:val="16"/>
                <w:szCs w:val="16"/>
                <w:color w:val="231F20"/>
              </w:rPr>
              <w:t>25%</w:t>
            </w:r>
          </w:p>
        </w:tc>
        <w:tc>
          <w:tcPr>
            <w:tcW w:w="1140" w:type="dxa"/>
            <w:vAlign w:val="bottom"/>
            <w:tcBorders>
              <w:bottom w:val="single" w:sz="8" w:color="6F2875"/>
            </w:tcBorders>
            <w:gridSpan w:val="2"/>
          </w:tcPr>
          <w:p>
            <w:pPr>
              <w:jc w:val="right"/>
              <w:ind w:right="20"/>
              <w:spacing w:after="0"/>
              <w:rPr>
                <w:sz w:val="20"/>
                <w:szCs w:val="20"/>
                <w:color w:val="auto"/>
              </w:rPr>
            </w:pPr>
            <w:r>
              <w:rPr>
                <w:rFonts w:ascii="Arial" w:cs="Arial" w:eastAsia="Arial" w:hAnsi="Arial"/>
                <w:sz w:val="16"/>
                <w:szCs w:val="16"/>
                <w:color w:val="231F20"/>
              </w:rPr>
              <w:t>9%</w:t>
            </w:r>
          </w:p>
        </w:tc>
        <w:tc>
          <w:tcPr>
            <w:tcW w:w="1460" w:type="dxa"/>
            <w:vAlign w:val="bottom"/>
            <w:tcBorders>
              <w:bottom w:val="single" w:sz="8" w:color="6F2875"/>
            </w:tcBorders>
          </w:tcPr>
          <w:p>
            <w:pPr>
              <w:jc w:val="right"/>
              <w:spacing w:after="0"/>
              <w:rPr>
                <w:sz w:val="20"/>
                <w:szCs w:val="20"/>
                <w:color w:val="auto"/>
              </w:rPr>
            </w:pPr>
            <w:r>
              <w:rPr>
                <w:rFonts w:ascii="Arial" w:cs="Arial" w:eastAsia="Arial" w:hAnsi="Arial"/>
                <w:sz w:val="16"/>
                <w:szCs w:val="16"/>
                <w:color w:val="231F20"/>
              </w:rPr>
              <w:t>51%</w:t>
            </w:r>
          </w:p>
        </w:tc>
        <w:tc>
          <w:tcPr>
            <w:tcW w:w="0" w:type="dxa"/>
            <w:vAlign w:val="bottom"/>
          </w:tcPr>
          <w:p>
            <w:pPr>
              <w:spacing w:after="0"/>
              <w:rPr>
                <w:sz w:val="1"/>
                <w:szCs w:val="1"/>
                <w:color w:val="auto"/>
              </w:rPr>
            </w:pPr>
          </w:p>
        </w:tc>
      </w:tr>
      <w:tr>
        <w:trPr>
          <w:trHeight w:val="304"/>
        </w:trPr>
        <w:tc>
          <w:tcPr>
            <w:tcW w:w="360" w:type="dxa"/>
            <w:vAlign w:val="bottom"/>
            <w:vMerge w:val="restart"/>
          </w:tcPr>
          <w:p>
            <w:pPr>
              <w:spacing w:after="0"/>
              <w:rPr>
                <w:sz w:val="20"/>
                <w:szCs w:val="20"/>
                <w:color w:val="auto"/>
              </w:rPr>
            </w:pPr>
            <w:r>
              <w:rPr>
                <w:rFonts w:ascii="Arial" w:cs="Arial" w:eastAsia="Arial" w:hAnsi="Arial"/>
                <w:sz w:val="16"/>
                <w:szCs w:val="16"/>
                <w:b w:val="1"/>
                <w:bCs w:val="1"/>
                <w:color w:val="auto"/>
              </w:rPr>
              <w:t>26</w:t>
            </w:r>
          </w:p>
        </w:tc>
        <w:tc>
          <w:tcPr>
            <w:tcW w:w="3660" w:type="dxa"/>
            <w:vAlign w:val="bottom"/>
            <w:tcBorders>
              <w:bottom w:val="single" w:sz="8" w:color="auto"/>
            </w:tcBorders>
          </w:tcPr>
          <w:p>
            <w:pPr>
              <w:spacing w:after="0"/>
              <w:rPr>
                <w:sz w:val="24"/>
                <w:szCs w:val="24"/>
                <w:color w:val="auto"/>
              </w:rPr>
            </w:pPr>
          </w:p>
        </w:tc>
        <w:tc>
          <w:tcPr>
            <w:tcW w:w="30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4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b w:val="1"/>
                <w:bCs w:val="1"/>
                <w:color w:val="6F2875"/>
              </w:rPr>
              <w:t>www.livanova.com</w:t>
            </w:r>
          </w:p>
        </w:tc>
        <w:tc>
          <w:tcPr>
            <w:tcW w:w="0" w:type="dxa"/>
            <w:vAlign w:val="bottom"/>
          </w:tcPr>
          <w:p>
            <w:pPr>
              <w:spacing w:after="0"/>
              <w:rPr>
                <w:sz w:val="1"/>
                <w:szCs w:val="1"/>
                <w:color w:val="auto"/>
              </w:rPr>
            </w:pPr>
          </w:p>
        </w:tc>
      </w:tr>
      <w:tr>
        <w:trPr>
          <w:trHeight w:val="69"/>
        </w:trPr>
        <w:tc>
          <w:tcPr>
            <w:tcW w:w="360" w:type="dxa"/>
            <w:vAlign w:val="bottom"/>
            <w:vMerge w:val="continue"/>
          </w:tcPr>
          <w:p>
            <w:pPr>
              <w:spacing w:after="0"/>
              <w:rPr>
                <w:sz w:val="5"/>
                <w:szCs w:val="5"/>
                <w:color w:val="auto"/>
              </w:rPr>
            </w:pPr>
          </w:p>
        </w:tc>
        <w:tc>
          <w:tcPr>
            <w:tcW w:w="3660" w:type="dxa"/>
            <w:vAlign w:val="bottom"/>
          </w:tcPr>
          <w:p>
            <w:pPr>
              <w:spacing w:after="0"/>
              <w:rPr>
                <w:sz w:val="5"/>
                <w:szCs w:val="5"/>
                <w:color w:val="auto"/>
              </w:rPr>
            </w:pPr>
          </w:p>
        </w:tc>
        <w:tc>
          <w:tcPr>
            <w:tcW w:w="308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360" w:type="dxa"/>
            <w:vAlign w:val="bottom"/>
            <w:tcBorders>
              <w:bottom w:val="single" w:sz="8" w:color="C0C0C0"/>
            </w:tcBorders>
          </w:tcPr>
          <w:p>
            <w:pPr>
              <w:spacing w:after="0"/>
              <w:rPr>
                <w:sz w:val="24"/>
                <w:szCs w:val="24"/>
                <w:color w:val="auto"/>
              </w:rPr>
            </w:pPr>
          </w:p>
        </w:tc>
        <w:tc>
          <w:tcPr>
            <w:tcW w:w="3660" w:type="dxa"/>
            <w:vAlign w:val="bottom"/>
            <w:tcBorders>
              <w:bottom w:val="single" w:sz="8" w:color="C0C0C0"/>
            </w:tcBorders>
          </w:tcPr>
          <w:p>
            <w:pPr>
              <w:spacing w:after="0"/>
              <w:rPr>
                <w:sz w:val="24"/>
                <w:szCs w:val="24"/>
                <w:color w:val="auto"/>
              </w:rPr>
            </w:pPr>
          </w:p>
        </w:tc>
        <w:tc>
          <w:tcPr>
            <w:tcW w:w="2520" w:type="dxa"/>
            <w:vAlign w:val="bottom"/>
            <w:tcBorders>
              <w:bottom w:val="single" w:sz="8" w:color="C0C0C0"/>
            </w:tcBorders>
          </w:tcPr>
          <w:p>
            <w:pPr>
              <w:spacing w:after="0"/>
              <w:rPr>
                <w:sz w:val="24"/>
                <w:szCs w:val="24"/>
                <w:color w:val="auto"/>
              </w:rPr>
            </w:pPr>
          </w:p>
        </w:tc>
        <w:tc>
          <w:tcPr>
            <w:tcW w:w="560" w:type="dxa"/>
            <w:vAlign w:val="bottom"/>
            <w:tcBorders>
              <w:bottom w:val="single" w:sz="8" w:color="C0C0C0"/>
            </w:tcBorders>
          </w:tcPr>
          <w:p>
            <w:pPr>
              <w:spacing w:after="0"/>
              <w:rPr>
                <w:sz w:val="24"/>
                <w:szCs w:val="24"/>
                <w:color w:val="auto"/>
              </w:rPr>
            </w:pPr>
          </w:p>
        </w:tc>
        <w:tc>
          <w:tcPr>
            <w:tcW w:w="480" w:type="dxa"/>
            <w:vAlign w:val="bottom"/>
            <w:tcBorders>
              <w:bottom w:val="single" w:sz="8" w:color="C0C0C0"/>
            </w:tcBorders>
          </w:tcPr>
          <w:p>
            <w:pPr>
              <w:spacing w:after="0"/>
              <w:rPr>
                <w:sz w:val="24"/>
                <w:szCs w:val="24"/>
                <w:color w:val="auto"/>
              </w:rPr>
            </w:pPr>
          </w:p>
        </w:tc>
        <w:tc>
          <w:tcPr>
            <w:tcW w:w="124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240" w:type="dxa"/>
            <w:vAlign w:val="bottom"/>
            <w:tcBorders>
              <w:bottom w:val="single" w:sz="8" w:color="C0C0C0"/>
            </w:tcBorders>
          </w:tcPr>
          <w:p>
            <w:pPr>
              <w:spacing w:after="0"/>
              <w:rPr>
                <w:sz w:val="24"/>
                <w:szCs w:val="24"/>
                <w:color w:val="auto"/>
              </w:rPr>
            </w:pPr>
          </w:p>
        </w:tc>
        <w:tc>
          <w:tcPr>
            <w:tcW w:w="146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231F20"/>
        </w:rPr>
        <w:t>The funding for each financial objective is scaled for underachievement and overachievement of the objective,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121920</wp:posOffset>
            </wp:positionV>
            <wp:extent cx="3687445" cy="2701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87445"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In the event that we failed to achieve all Group financial objectives applicable to any participant, that participant was nonetheless eligible to receive a payment for the portion of the participant’s short-term incentive payment based on the Group objectives if shareholder value, as measured by our share price on Nasdaq, increased by at least a threshold amount, as follows:</w:t>
      </w:r>
    </w:p>
    <w:p>
      <w:pPr>
        <w:spacing w:after="0" w:line="174" w:lineRule="exact"/>
        <w:rPr>
          <w:sz w:val="20"/>
          <w:szCs w:val="20"/>
          <w:color w:val="auto"/>
        </w:rPr>
      </w:pPr>
    </w:p>
    <w:p>
      <w:pPr>
        <w:ind w:left="180" w:right="20" w:hanging="172"/>
        <w:spacing w:after="0" w:line="260" w:lineRule="auto"/>
        <w:tabs>
          <w:tab w:leader="none" w:pos="180" w:val="left"/>
        </w:tabs>
        <w:numPr>
          <w:ilvl w:val="0"/>
          <w:numId w:val="27"/>
        </w:numPr>
        <w:rPr>
          <w:rFonts w:ascii="Arial" w:cs="Arial" w:eastAsia="Arial" w:hAnsi="Arial"/>
          <w:sz w:val="16"/>
          <w:szCs w:val="16"/>
          <w:color w:val="6F2875"/>
        </w:rPr>
      </w:pPr>
      <w:r>
        <w:rPr>
          <w:rFonts w:ascii="Arial" w:cs="Arial" w:eastAsia="Arial" w:hAnsi="Arial"/>
          <w:sz w:val="16"/>
          <w:szCs w:val="16"/>
          <w:color w:val="231F20"/>
        </w:rPr>
        <w:t>If the closing share price (the “Measure Price”) on March 1 was at least $57.50, the participant was entitled to receive at least 50% of the portion of the participant’s short-term incentive payment based on Group financial objectives;</w:t>
      </w:r>
    </w:p>
    <w:p>
      <w:pPr>
        <w:spacing w:after="0" w:line="33" w:lineRule="exact"/>
        <w:rPr>
          <w:rFonts w:ascii="Arial" w:cs="Arial" w:eastAsia="Arial" w:hAnsi="Arial"/>
          <w:sz w:val="16"/>
          <w:szCs w:val="16"/>
          <w:color w:val="6F2875"/>
        </w:rPr>
      </w:pPr>
    </w:p>
    <w:p>
      <w:pPr>
        <w:ind w:left="180" w:right="20" w:hanging="172"/>
        <w:spacing w:after="0" w:line="260" w:lineRule="auto"/>
        <w:tabs>
          <w:tab w:leader="none" w:pos="180" w:val="left"/>
        </w:tabs>
        <w:numPr>
          <w:ilvl w:val="0"/>
          <w:numId w:val="27"/>
        </w:numPr>
        <w:rPr>
          <w:rFonts w:ascii="Arial" w:cs="Arial" w:eastAsia="Arial" w:hAnsi="Arial"/>
          <w:sz w:val="16"/>
          <w:szCs w:val="16"/>
          <w:color w:val="6F2875"/>
        </w:rPr>
      </w:pPr>
      <w:r>
        <w:rPr>
          <w:rFonts w:ascii="Arial" w:cs="Arial" w:eastAsia="Arial" w:hAnsi="Arial"/>
          <w:sz w:val="16"/>
          <w:szCs w:val="16"/>
          <w:color w:val="231F20"/>
        </w:rPr>
        <w:t>If the Measure Price was at least $67.50, the participant was entitled to receive 100% of the portion of the participant’s short-term incentive payment based on Group financial objectives; or</w:t>
      </w:r>
    </w:p>
    <w:p>
      <w:pPr>
        <w:spacing w:after="0" w:line="33" w:lineRule="exact"/>
        <w:rPr>
          <w:rFonts w:ascii="Arial" w:cs="Arial" w:eastAsia="Arial" w:hAnsi="Arial"/>
          <w:sz w:val="16"/>
          <w:szCs w:val="16"/>
          <w:color w:val="6F2875"/>
        </w:rPr>
      </w:pPr>
    </w:p>
    <w:p>
      <w:pPr>
        <w:jc w:val="both"/>
        <w:ind w:left="180" w:hanging="172"/>
        <w:spacing w:after="0" w:line="253" w:lineRule="auto"/>
        <w:tabs>
          <w:tab w:leader="none" w:pos="180" w:val="left"/>
        </w:tabs>
        <w:numPr>
          <w:ilvl w:val="0"/>
          <w:numId w:val="27"/>
        </w:numPr>
        <w:rPr>
          <w:rFonts w:ascii="Arial" w:cs="Arial" w:eastAsia="Arial" w:hAnsi="Arial"/>
          <w:sz w:val="16"/>
          <w:szCs w:val="16"/>
          <w:color w:val="6F2875"/>
        </w:rPr>
      </w:pPr>
      <w:r>
        <w:rPr>
          <w:rFonts w:ascii="Arial" w:cs="Arial" w:eastAsia="Arial" w:hAnsi="Arial"/>
          <w:sz w:val="16"/>
          <w:szCs w:val="16"/>
          <w:color w:val="231F20"/>
        </w:rPr>
        <w:t>If the Measure Price fell between $57.50 and $67.50, the participant was entitled to receive a portion of the participant’s short-term incentive payment based on Group financial objectives equal to the sum of 50% and that portion of 50% determined by linear interpolation (the difference between the Measure Price and $57.50, divided by $10.00 and then multiplied by 50%).</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231F20"/>
        </w:rPr>
        <w:t>The table below shows the minimum and maximum achievement of the target short-term incentive payment under the 2017 STIP.</w:t>
      </w:r>
    </w:p>
    <w:p>
      <w:pPr>
        <w:spacing w:after="0" w:line="174"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2940" w:type="dxa"/>
            <w:vAlign w:val="bottom"/>
            <w:tcBorders>
              <w:bottom w:val="single" w:sz="8" w:color="6F2875"/>
            </w:tcBorders>
          </w:tcPr>
          <w:p>
            <w:pPr>
              <w:spacing w:after="0"/>
              <w:rPr>
                <w:sz w:val="18"/>
                <w:szCs w:val="18"/>
                <w:color w:val="auto"/>
              </w:rPr>
            </w:pPr>
          </w:p>
        </w:tc>
        <w:tc>
          <w:tcPr>
            <w:tcW w:w="2640" w:type="dxa"/>
            <w:vAlign w:val="bottom"/>
            <w:tcBorders>
              <w:bottom w:val="single" w:sz="8" w:color="6F2875"/>
            </w:tcBorders>
          </w:tcPr>
          <w:p>
            <w:pPr>
              <w:jc w:val="right"/>
              <w:ind w:right="359"/>
              <w:spacing w:after="0"/>
              <w:rPr>
                <w:sz w:val="20"/>
                <w:szCs w:val="20"/>
                <w:color w:val="auto"/>
              </w:rPr>
            </w:pPr>
            <w:r>
              <w:rPr>
                <w:rFonts w:ascii="Arial" w:cs="Arial" w:eastAsia="Arial" w:hAnsi="Arial"/>
                <w:sz w:val="16"/>
                <w:szCs w:val="16"/>
                <w:b w:val="1"/>
                <w:bCs w:val="1"/>
                <w:color w:val="6F2875"/>
              </w:rPr>
              <w:t>Minimum</w:t>
            </w:r>
          </w:p>
        </w:tc>
        <w:tc>
          <w:tcPr>
            <w:tcW w:w="1260" w:type="dxa"/>
            <w:vAlign w:val="bottom"/>
            <w:tcBorders>
              <w:bottom w:val="single" w:sz="8" w:color="6F2875"/>
            </w:tcBorders>
          </w:tcPr>
          <w:p>
            <w:pPr>
              <w:jc w:val="right"/>
              <w:spacing w:after="0"/>
              <w:rPr>
                <w:sz w:val="20"/>
                <w:szCs w:val="20"/>
                <w:color w:val="auto"/>
              </w:rPr>
            </w:pPr>
            <w:r>
              <w:rPr>
                <w:rFonts w:ascii="Arial" w:cs="Arial" w:eastAsia="Arial" w:hAnsi="Arial"/>
                <w:sz w:val="16"/>
                <w:szCs w:val="16"/>
                <w:b w:val="1"/>
                <w:bCs w:val="1"/>
                <w:color w:val="6F2875"/>
              </w:rPr>
              <w:t>Maximum</w:t>
            </w:r>
          </w:p>
        </w:tc>
      </w:tr>
      <w:tr>
        <w:trPr>
          <w:trHeight w:val="183"/>
        </w:trPr>
        <w:tc>
          <w:tcPr>
            <w:tcW w:w="2940" w:type="dxa"/>
            <w:vAlign w:val="bottom"/>
          </w:tcPr>
          <w:p>
            <w:pPr>
              <w:ind w:left="40"/>
              <w:spacing w:after="0" w:line="183" w:lineRule="exact"/>
              <w:rPr>
                <w:sz w:val="20"/>
                <w:szCs w:val="20"/>
                <w:color w:val="auto"/>
              </w:rPr>
            </w:pPr>
            <w:r>
              <w:rPr>
                <w:rFonts w:ascii="Arial" w:cs="Arial" w:eastAsia="Arial" w:hAnsi="Arial"/>
                <w:sz w:val="16"/>
                <w:szCs w:val="16"/>
                <w:b w:val="1"/>
                <w:bCs w:val="1"/>
                <w:color w:val="231F20"/>
              </w:rPr>
              <w:t>Damien McDonald</w:t>
            </w:r>
          </w:p>
        </w:tc>
        <w:tc>
          <w:tcPr>
            <w:tcW w:w="2640" w:type="dxa"/>
            <w:vAlign w:val="bottom"/>
          </w:tcPr>
          <w:p>
            <w:pPr>
              <w:jc w:val="right"/>
              <w:ind w:right="359"/>
              <w:spacing w:after="0" w:line="183" w:lineRule="exact"/>
              <w:rPr>
                <w:sz w:val="20"/>
                <w:szCs w:val="20"/>
                <w:color w:val="auto"/>
              </w:rPr>
            </w:pPr>
            <w:r>
              <w:rPr>
                <w:rFonts w:ascii="Arial" w:cs="Arial" w:eastAsia="Arial" w:hAnsi="Arial"/>
                <w:sz w:val="16"/>
                <w:szCs w:val="16"/>
                <w:color w:val="231F20"/>
              </w:rPr>
              <w:t>0%</w:t>
            </w:r>
          </w:p>
        </w:tc>
        <w:tc>
          <w:tcPr>
            <w:tcW w:w="1260" w:type="dxa"/>
            <w:vAlign w:val="bottom"/>
          </w:tcPr>
          <w:p>
            <w:pPr>
              <w:jc w:val="right"/>
              <w:spacing w:after="0" w:line="183" w:lineRule="exact"/>
              <w:rPr>
                <w:sz w:val="20"/>
                <w:szCs w:val="20"/>
                <w:color w:val="auto"/>
              </w:rPr>
            </w:pPr>
            <w:r>
              <w:rPr>
                <w:rFonts w:ascii="Arial" w:cs="Arial" w:eastAsia="Arial" w:hAnsi="Arial"/>
                <w:sz w:val="16"/>
                <w:szCs w:val="16"/>
                <w:color w:val="231F20"/>
              </w:rPr>
              <w:t>175%</w:t>
            </w:r>
          </w:p>
        </w:tc>
      </w:tr>
      <w:tr>
        <w:trPr>
          <w:trHeight w:val="189"/>
        </w:trPr>
        <w:tc>
          <w:tcPr>
            <w:tcW w:w="2940" w:type="dxa"/>
            <w:vAlign w:val="bottom"/>
            <w:shd w:val="clear" w:color="auto" w:fill="F3EDF3"/>
          </w:tcPr>
          <w:p>
            <w:pPr>
              <w:ind w:left="40"/>
              <w:spacing w:after="0"/>
              <w:rPr>
                <w:sz w:val="20"/>
                <w:szCs w:val="20"/>
                <w:color w:val="auto"/>
              </w:rPr>
            </w:pPr>
            <w:r>
              <w:rPr>
                <w:rFonts w:ascii="Arial" w:cs="Arial" w:eastAsia="Arial" w:hAnsi="Arial"/>
                <w:sz w:val="16"/>
                <w:szCs w:val="16"/>
                <w:b w:val="1"/>
                <w:bCs w:val="1"/>
                <w:color w:val="231F20"/>
              </w:rPr>
              <w:t>Thad Huston</w:t>
            </w:r>
          </w:p>
        </w:tc>
        <w:tc>
          <w:tcPr>
            <w:tcW w:w="2640" w:type="dxa"/>
            <w:vAlign w:val="bottom"/>
            <w:shd w:val="clear" w:color="auto" w:fill="F3EDF3"/>
          </w:tcPr>
          <w:p>
            <w:pPr>
              <w:jc w:val="right"/>
              <w:ind w:right="359"/>
              <w:spacing w:after="0"/>
              <w:rPr>
                <w:sz w:val="20"/>
                <w:szCs w:val="20"/>
                <w:color w:val="auto"/>
              </w:rPr>
            </w:pPr>
            <w:r>
              <w:rPr>
                <w:rFonts w:ascii="Arial" w:cs="Arial" w:eastAsia="Arial" w:hAnsi="Arial"/>
                <w:sz w:val="16"/>
                <w:szCs w:val="16"/>
                <w:color w:val="231F20"/>
              </w:rPr>
              <w:t>0%</w:t>
            </w:r>
          </w:p>
        </w:tc>
        <w:tc>
          <w:tcPr>
            <w:tcW w:w="126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160%</w:t>
            </w:r>
          </w:p>
        </w:tc>
      </w:tr>
      <w:tr>
        <w:trPr>
          <w:trHeight w:val="189"/>
        </w:trPr>
        <w:tc>
          <w:tcPr>
            <w:tcW w:w="2940" w:type="dxa"/>
            <w:vAlign w:val="bottom"/>
          </w:tcPr>
          <w:p>
            <w:pPr>
              <w:ind w:left="40"/>
              <w:spacing w:after="0"/>
              <w:rPr>
                <w:sz w:val="20"/>
                <w:szCs w:val="20"/>
                <w:color w:val="auto"/>
              </w:rPr>
            </w:pPr>
            <w:r>
              <w:rPr>
                <w:rFonts w:ascii="Arial" w:cs="Arial" w:eastAsia="Arial" w:hAnsi="Arial"/>
                <w:sz w:val="16"/>
                <w:szCs w:val="16"/>
                <w:b w:val="1"/>
                <w:bCs w:val="1"/>
                <w:color w:val="231F20"/>
              </w:rPr>
              <w:t>David Wise</w:t>
            </w:r>
          </w:p>
        </w:tc>
        <w:tc>
          <w:tcPr>
            <w:tcW w:w="2640" w:type="dxa"/>
            <w:vAlign w:val="bottom"/>
          </w:tcPr>
          <w:p>
            <w:pPr>
              <w:jc w:val="right"/>
              <w:ind w:right="359"/>
              <w:spacing w:after="0"/>
              <w:rPr>
                <w:sz w:val="20"/>
                <w:szCs w:val="20"/>
                <w:color w:val="auto"/>
              </w:rPr>
            </w:pPr>
            <w:r>
              <w:rPr>
                <w:rFonts w:ascii="Arial" w:cs="Arial" w:eastAsia="Arial" w:hAnsi="Arial"/>
                <w:sz w:val="16"/>
                <w:szCs w:val="16"/>
                <w:color w:val="231F20"/>
              </w:rPr>
              <w:t>0%</w:t>
            </w:r>
          </w:p>
        </w:tc>
        <w:tc>
          <w:tcPr>
            <w:tcW w:w="1260" w:type="dxa"/>
            <w:vAlign w:val="bottom"/>
          </w:tcPr>
          <w:p>
            <w:pPr>
              <w:jc w:val="right"/>
              <w:spacing w:after="0"/>
              <w:rPr>
                <w:sz w:val="20"/>
                <w:szCs w:val="20"/>
                <w:color w:val="auto"/>
              </w:rPr>
            </w:pPr>
            <w:r>
              <w:rPr>
                <w:rFonts w:ascii="Arial" w:cs="Arial" w:eastAsia="Arial" w:hAnsi="Arial"/>
                <w:sz w:val="16"/>
                <w:szCs w:val="16"/>
                <w:color w:val="231F20"/>
              </w:rPr>
              <w:t>160%</w:t>
            </w:r>
          </w:p>
        </w:tc>
      </w:tr>
      <w:tr>
        <w:trPr>
          <w:trHeight w:val="189"/>
        </w:trPr>
        <w:tc>
          <w:tcPr>
            <w:tcW w:w="2940" w:type="dxa"/>
            <w:vAlign w:val="bottom"/>
            <w:shd w:val="clear" w:color="auto" w:fill="F3EDF3"/>
          </w:tcPr>
          <w:p>
            <w:pPr>
              <w:ind w:left="40"/>
              <w:spacing w:after="0"/>
              <w:rPr>
                <w:sz w:val="20"/>
                <w:szCs w:val="20"/>
                <w:color w:val="auto"/>
              </w:rPr>
            </w:pPr>
            <w:r>
              <w:rPr>
                <w:rFonts w:ascii="Arial" w:cs="Arial" w:eastAsia="Arial" w:hAnsi="Arial"/>
                <w:sz w:val="16"/>
                <w:szCs w:val="16"/>
                <w:b w:val="1"/>
                <w:bCs w:val="1"/>
                <w:color w:val="231F20"/>
              </w:rPr>
              <w:t>Keyna Skeffington</w:t>
            </w:r>
          </w:p>
        </w:tc>
        <w:tc>
          <w:tcPr>
            <w:tcW w:w="2640" w:type="dxa"/>
            <w:vAlign w:val="bottom"/>
            <w:shd w:val="clear" w:color="auto" w:fill="F3EDF3"/>
          </w:tcPr>
          <w:p>
            <w:pPr>
              <w:jc w:val="right"/>
              <w:ind w:right="359"/>
              <w:spacing w:after="0"/>
              <w:rPr>
                <w:sz w:val="20"/>
                <w:szCs w:val="20"/>
                <w:color w:val="auto"/>
              </w:rPr>
            </w:pPr>
            <w:r>
              <w:rPr>
                <w:rFonts w:ascii="Arial" w:cs="Arial" w:eastAsia="Arial" w:hAnsi="Arial"/>
                <w:sz w:val="16"/>
                <w:szCs w:val="16"/>
                <w:color w:val="231F20"/>
              </w:rPr>
              <w:t>0%</w:t>
            </w:r>
          </w:p>
        </w:tc>
        <w:tc>
          <w:tcPr>
            <w:tcW w:w="126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160%</w:t>
            </w:r>
          </w:p>
        </w:tc>
      </w:tr>
      <w:tr>
        <w:trPr>
          <w:trHeight w:val="189"/>
        </w:trPr>
        <w:tc>
          <w:tcPr>
            <w:tcW w:w="2940" w:type="dxa"/>
            <w:vAlign w:val="bottom"/>
            <w:tcBorders>
              <w:bottom w:val="single" w:sz="8" w:color="6F2875"/>
            </w:tcBorders>
          </w:tcPr>
          <w:p>
            <w:pPr>
              <w:ind w:left="40"/>
              <w:spacing w:after="0"/>
              <w:rPr>
                <w:sz w:val="20"/>
                <w:szCs w:val="20"/>
                <w:color w:val="auto"/>
              </w:rPr>
            </w:pPr>
            <w:r>
              <w:rPr>
                <w:rFonts w:ascii="Arial" w:cs="Arial" w:eastAsia="Arial" w:hAnsi="Arial"/>
                <w:sz w:val="16"/>
                <w:szCs w:val="16"/>
                <w:b w:val="1"/>
                <w:bCs w:val="1"/>
                <w:color w:val="231F20"/>
              </w:rPr>
              <w:t>Doug Manko</w:t>
            </w:r>
          </w:p>
        </w:tc>
        <w:tc>
          <w:tcPr>
            <w:tcW w:w="2640" w:type="dxa"/>
            <w:vAlign w:val="bottom"/>
            <w:tcBorders>
              <w:bottom w:val="single" w:sz="8" w:color="6F2875"/>
            </w:tcBorders>
          </w:tcPr>
          <w:p>
            <w:pPr>
              <w:jc w:val="right"/>
              <w:ind w:right="359"/>
              <w:spacing w:after="0"/>
              <w:rPr>
                <w:sz w:val="20"/>
                <w:szCs w:val="20"/>
                <w:color w:val="auto"/>
              </w:rPr>
            </w:pPr>
            <w:r>
              <w:rPr>
                <w:rFonts w:ascii="Arial" w:cs="Arial" w:eastAsia="Arial" w:hAnsi="Arial"/>
                <w:sz w:val="16"/>
                <w:szCs w:val="16"/>
                <w:color w:val="231F20"/>
              </w:rPr>
              <w:t>0%</w:t>
            </w:r>
          </w:p>
        </w:tc>
        <w:tc>
          <w:tcPr>
            <w:tcW w:w="1260" w:type="dxa"/>
            <w:vAlign w:val="bottom"/>
            <w:tcBorders>
              <w:bottom w:val="single" w:sz="8" w:color="6F2875"/>
            </w:tcBorders>
          </w:tcPr>
          <w:p>
            <w:pPr>
              <w:jc w:val="right"/>
              <w:spacing w:after="0"/>
              <w:rPr>
                <w:sz w:val="20"/>
                <w:szCs w:val="20"/>
                <w:color w:val="auto"/>
              </w:rPr>
            </w:pPr>
            <w:r>
              <w:rPr>
                <w:rFonts w:ascii="Arial" w:cs="Arial" w:eastAsia="Arial" w:hAnsi="Arial"/>
                <w:sz w:val="16"/>
                <w:szCs w:val="16"/>
                <w:color w:val="231F20"/>
              </w:rPr>
              <w:t>130%</w:t>
            </w:r>
          </w:p>
        </w:tc>
      </w:tr>
    </w:tbl>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The Compensation Committee selected adjusted net sales and adjusted net income as appropriate performance measures because they are the financial metrics that are most widely used by management, the Board, investors, and analysts to evaluate the performance of our business. In addition, each executive officer’s performance contributes directly or indirectly to the attainment of these objectives, and the majority of the bonuses are paid only to the extent that we meet these objectives.</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Both of these performance measures for the 2017 STIP are non-GAAP financial measures. Adjusted net sales at comparable currency exchange rates is calculated as the consolidated Company net sales in US dollars, adopting the fixed exchange rates used for the budget to translate sales in currencies different from US dollars. Adjusted net income for the 2017 LTIP is calculated as net income, plus or minus non-GAAP adjustments (net of tax impact), which the plan described as adjustments used to determine the adjusted net income reported in our February 28, 2018 press release describing our full-year financial results.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FC5D45"/>
        </w:rPr>
        <w:t>2017 Short-Term Incentive Plan Payout</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Our 2017 adjusted net sales was $1,241.7 million in respect of a target of $1,263.6 (98.3%), and adjusted net income was $171.8 million in respect of a target of $169.4 million (103.1%). Accordingly, the 2017 short-term incentive would have resulted in a 93.3% pay-out under the terms of the plan approved by the Compensation Committee at the outset of 2017.</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Due to the anomalous performance of our Cardiac Rhythm Management franchise (“CRM”) as compared to our overall performance in 2017 and due to the focus in 2017 on the sale of CRM to a third party (a binding letter of intent was announced in November 2017), however, the Compensation Committee exercised its discretion to exclude the financial performance of CRM from the calculations. In light of the extent of management’s achievement and the Company’s overall performance in 2017, the Compensation Committee made an incremental adjustment to payouts under the 2017 STIP as reflected in the table below.</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8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6F2875"/>
              </w:rPr>
              <w:t>2017 Annual Bonus</w:t>
            </w:r>
          </w:p>
        </w:tc>
        <w:tc>
          <w:tcPr>
            <w:tcW w:w="2020" w:type="dxa"/>
            <w:vAlign w:val="bottom"/>
            <w:gridSpan w:val="2"/>
          </w:tcPr>
          <w:p>
            <w:pPr>
              <w:ind w:left="240"/>
              <w:spacing w:after="0"/>
              <w:rPr>
                <w:sz w:val="20"/>
                <w:szCs w:val="20"/>
                <w:color w:val="auto"/>
              </w:rPr>
            </w:pPr>
            <w:r>
              <w:rPr>
                <w:rFonts w:ascii="Arial" w:cs="Arial" w:eastAsia="Arial" w:hAnsi="Arial"/>
                <w:sz w:val="16"/>
                <w:szCs w:val="16"/>
                <w:b w:val="1"/>
                <w:bCs w:val="1"/>
                <w:color w:val="6F2875"/>
              </w:rPr>
              <w:t>2017 Annual Bonus</w:t>
            </w:r>
          </w:p>
        </w:tc>
        <w:tc>
          <w:tcPr>
            <w:tcW w:w="13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880" w:type="dxa"/>
            <w:vAlign w:val="bottom"/>
          </w:tcPr>
          <w:p>
            <w:pPr>
              <w:spacing w:after="0"/>
              <w:rPr>
                <w:sz w:val="16"/>
                <w:szCs w:val="16"/>
                <w:color w:val="auto"/>
              </w:rPr>
            </w:pPr>
          </w:p>
        </w:tc>
        <w:tc>
          <w:tcPr>
            <w:tcW w:w="2120" w:type="dxa"/>
            <w:vAlign w:val="bottom"/>
          </w:tcPr>
          <w:p>
            <w:pPr>
              <w:jc w:val="right"/>
              <w:ind w:right="99"/>
              <w:spacing w:after="0"/>
              <w:rPr>
                <w:sz w:val="20"/>
                <w:szCs w:val="20"/>
                <w:color w:val="auto"/>
              </w:rPr>
            </w:pPr>
            <w:r>
              <w:rPr>
                <w:rFonts w:ascii="Arial" w:cs="Arial" w:eastAsia="Arial" w:hAnsi="Arial"/>
                <w:sz w:val="16"/>
                <w:szCs w:val="16"/>
                <w:b w:val="1"/>
                <w:bCs w:val="1"/>
                <w:color w:val="6F2875"/>
              </w:rPr>
              <w:t>Target Bonus</w:t>
            </w:r>
          </w:p>
        </w:tc>
        <w:tc>
          <w:tcPr>
            <w:tcW w:w="188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6F2875"/>
              </w:rPr>
              <w:t>(Per 2017 STIP)</w:t>
            </w:r>
          </w:p>
        </w:tc>
        <w:tc>
          <w:tcPr>
            <w:tcW w:w="2020" w:type="dxa"/>
            <w:vAlign w:val="bottom"/>
            <w:gridSpan w:val="2"/>
          </w:tcPr>
          <w:p>
            <w:pPr>
              <w:ind w:left="620"/>
              <w:spacing w:after="0"/>
              <w:rPr>
                <w:sz w:val="20"/>
                <w:szCs w:val="20"/>
                <w:color w:val="auto"/>
              </w:rPr>
            </w:pPr>
            <w:r>
              <w:rPr>
                <w:rFonts w:ascii="Arial" w:cs="Arial" w:eastAsia="Arial" w:hAnsi="Arial"/>
                <w:sz w:val="16"/>
                <w:szCs w:val="16"/>
                <w:b w:val="1"/>
                <w:bCs w:val="1"/>
                <w:color w:val="6F2875"/>
              </w:rPr>
              <w:t>(As Approved)</w:t>
            </w:r>
          </w:p>
        </w:tc>
        <w:tc>
          <w:tcPr>
            <w:tcW w:w="1380" w:type="dxa"/>
            <w:vAlign w:val="bottom"/>
          </w:tcPr>
          <w:p>
            <w:pPr>
              <w:jc w:val="right"/>
              <w:ind w:right="139"/>
              <w:spacing w:after="0"/>
              <w:rPr>
                <w:sz w:val="20"/>
                <w:szCs w:val="20"/>
                <w:color w:val="auto"/>
              </w:rPr>
            </w:pPr>
            <w:r>
              <w:rPr>
                <w:rFonts w:ascii="Arial" w:cs="Arial" w:eastAsia="Arial" w:hAnsi="Arial"/>
                <w:sz w:val="16"/>
                <w:szCs w:val="16"/>
                <w:b w:val="1"/>
                <w:bCs w:val="1"/>
                <w:color w:val="6F2875"/>
              </w:rPr>
              <w:t>Percentage</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6F2875"/>
              </w:rPr>
              <w:t>Adjusted</w:t>
            </w:r>
          </w:p>
        </w:tc>
      </w:tr>
      <w:tr>
        <w:trPr>
          <w:trHeight w:val="246"/>
        </w:trPr>
        <w:tc>
          <w:tcPr>
            <w:tcW w:w="2880" w:type="dxa"/>
            <w:vAlign w:val="bottom"/>
            <w:tcBorders>
              <w:bottom w:val="single" w:sz="8" w:color="6F2875"/>
            </w:tcBorders>
          </w:tcPr>
          <w:p>
            <w:pPr>
              <w:ind w:left="60"/>
              <w:spacing w:after="0"/>
              <w:rPr>
                <w:sz w:val="20"/>
                <w:szCs w:val="20"/>
                <w:color w:val="auto"/>
              </w:rPr>
            </w:pPr>
            <w:r>
              <w:rPr>
                <w:rFonts w:ascii="Arial" w:cs="Arial" w:eastAsia="Arial" w:hAnsi="Arial"/>
                <w:sz w:val="16"/>
                <w:szCs w:val="16"/>
                <w:b w:val="1"/>
                <w:bCs w:val="1"/>
                <w:color w:val="6F2875"/>
              </w:rPr>
              <w:t>Named Executive Officer</w:t>
            </w:r>
          </w:p>
        </w:tc>
        <w:tc>
          <w:tcPr>
            <w:tcW w:w="2120" w:type="dxa"/>
            <w:vAlign w:val="bottom"/>
            <w:tcBorders>
              <w:bottom w:val="single" w:sz="8" w:color="6F2875"/>
            </w:tcBorders>
          </w:tcPr>
          <w:p>
            <w:pPr>
              <w:jc w:val="right"/>
              <w:ind w:right="99"/>
              <w:spacing w:after="0"/>
              <w:rPr>
                <w:sz w:val="20"/>
                <w:szCs w:val="20"/>
                <w:color w:val="auto"/>
              </w:rPr>
            </w:pPr>
            <w:r>
              <w:rPr>
                <w:rFonts w:ascii="Arial" w:cs="Arial" w:eastAsia="Arial" w:hAnsi="Arial"/>
                <w:sz w:val="16"/>
                <w:szCs w:val="16"/>
                <w:b w:val="1"/>
                <w:bCs w:val="1"/>
                <w:color w:val="6F2875"/>
              </w:rPr>
              <w:t>Percentage</w:t>
            </w:r>
          </w:p>
        </w:tc>
        <w:tc>
          <w:tcPr>
            <w:tcW w:w="860" w:type="dxa"/>
            <w:vAlign w:val="bottom"/>
            <w:tcBorders>
              <w:bottom w:val="single" w:sz="8" w:color="6F2875"/>
            </w:tcBorders>
          </w:tcPr>
          <w:p>
            <w:pPr>
              <w:spacing w:after="0"/>
              <w:rPr>
                <w:sz w:val="21"/>
                <w:szCs w:val="21"/>
                <w:color w:val="auto"/>
              </w:rPr>
            </w:pPr>
          </w:p>
        </w:tc>
        <w:tc>
          <w:tcPr>
            <w:tcW w:w="1020" w:type="dxa"/>
            <w:vAlign w:val="bottom"/>
            <w:tcBorders>
              <w:bottom w:val="single" w:sz="8" w:color="6F2875"/>
            </w:tcBorders>
          </w:tcPr>
          <w:p>
            <w:pPr>
              <w:jc w:val="right"/>
              <w:ind w:right="139"/>
              <w:spacing w:after="0" w:line="246" w:lineRule="exact"/>
              <w:rPr>
                <w:sz w:val="20"/>
                <w:szCs w:val="20"/>
                <w:color w:val="auto"/>
              </w:rPr>
            </w:pPr>
            <w:r>
              <w:rPr>
                <w:rFonts w:ascii="Arial" w:cs="Arial" w:eastAsia="Arial" w:hAnsi="Arial"/>
                <w:sz w:val="16"/>
                <w:szCs w:val="16"/>
                <w:b w:val="1"/>
                <w:bCs w:val="1"/>
                <w:color w:val="6F2875"/>
              </w:rPr>
              <w:t>($)</w:t>
            </w:r>
            <w:r>
              <w:rPr>
                <w:rFonts w:ascii="Arial" w:cs="Arial" w:eastAsia="Arial" w:hAnsi="Arial"/>
                <w:sz w:val="27"/>
                <w:szCs w:val="27"/>
                <w:b w:val="1"/>
                <w:bCs w:val="1"/>
                <w:color w:val="6F2875"/>
                <w:vertAlign w:val="superscript"/>
              </w:rPr>
              <w:t>(1)</w:t>
            </w:r>
          </w:p>
        </w:tc>
        <w:tc>
          <w:tcPr>
            <w:tcW w:w="920" w:type="dxa"/>
            <w:vAlign w:val="bottom"/>
            <w:tcBorders>
              <w:bottom w:val="single" w:sz="8" w:color="6F2875"/>
            </w:tcBorders>
          </w:tcPr>
          <w:p>
            <w:pPr>
              <w:spacing w:after="0"/>
              <w:rPr>
                <w:sz w:val="21"/>
                <w:szCs w:val="21"/>
                <w:color w:val="auto"/>
              </w:rPr>
            </w:pPr>
          </w:p>
        </w:tc>
        <w:tc>
          <w:tcPr>
            <w:tcW w:w="1100" w:type="dxa"/>
            <w:vAlign w:val="bottom"/>
            <w:tcBorders>
              <w:bottom w:val="single" w:sz="8" w:color="6F2875"/>
            </w:tcBorders>
          </w:tcPr>
          <w:p>
            <w:pPr>
              <w:jc w:val="right"/>
              <w:ind w:right="199"/>
              <w:spacing w:after="0" w:line="246" w:lineRule="exact"/>
              <w:rPr>
                <w:sz w:val="20"/>
                <w:szCs w:val="20"/>
                <w:color w:val="auto"/>
              </w:rPr>
            </w:pPr>
            <w:r>
              <w:rPr>
                <w:rFonts w:ascii="Arial" w:cs="Arial" w:eastAsia="Arial" w:hAnsi="Arial"/>
                <w:sz w:val="16"/>
                <w:szCs w:val="16"/>
                <w:b w:val="1"/>
                <w:bCs w:val="1"/>
                <w:color w:val="6F2875"/>
              </w:rPr>
              <w:t>($)</w:t>
            </w:r>
            <w:r>
              <w:rPr>
                <w:rFonts w:ascii="Arial" w:cs="Arial" w:eastAsia="Arial" w:hAnsi="Arial"/>
                <w:sz w:val="27"/>
                <w:szCs w:val="27"/>
                <w:b w:val="1"/>
                <w:bCs w:val="1"/>
                <w:color w:val="6F2875"/>
                <w:vertAlign w:val="superscript"/>
              </w:rPr>
              <w:t>(1)</w:t>
            </w:r>
          </w:p>
        </w:tc>
        <w:tc>
          <w:tcPr>
            <w:tcW w:w="1380" w:type="dxa"/>
            <w:vAlign w:val="bottom"/>
            <w:tcBorders>
              <w:bottom w:val="single" w:sz="8" w:color="6F2875"/>
            </w:tcBorders>
          </w:tcPr>
          <w:p>
            <w:pPr>
              <w:jc w:val="right"/>
              <w:ind w:right="139"/>
              <w:spacing w:after="0"/>
              <w:rPr>
                <w:sz w:val="20"/>
                <w:szCs w:val="20"/>
                <w:color w:val="auto"/>
              </w:rPr>
            </w:pPr>
            <w:r>
              <w:rPr>
                <w:rFonts w:ascii="Arial" w:cs="Arial" w:eastAsia="Arial" w:hAnsi="Arial"/>
                <w:sz w:val="16"/>
                <w:szCs w:val="16"/>
                <w:b w:val="1"/>
                <w:bCs w:val="1"/>
                <w:color w:val="6F2875"/>
              </w:rPr>
              <w:t>Change</w:t>
            </w:r>
          </w:p>
        </w:tc>
        <w:tc>
          <w:tcPr>
            <w:tcW w:w="1140" w:type="dxa"/>
            <w:vAlign w:val="bottom"/>
            <w:tcBorders>
              <w:bottom w:val="single" w:sz="8" w:color="6F2875"/>
            </w:tcBorders>
          </w:tcPr>
          <w:p>
            <w:pPr>
              <w:jc w:val="right"/>
              <w:spacing w:after="0" w:line="246" w:lineRule="exact"/>
              <w:rPr>
                <w:sz w:val="20"/>
                <w:szCs w:val="20"/>
                <w:color w:val="auto"/>
              </w:rPr>
            </w:pPr>
            <w:r>
              <w:rPr>
                <w:rFonts w:ascii="Arial" w:cs="Arial" w:eastAsia="Arial" w:hAnsi="Arial"/>
                <w:sz w:val="16"/>
                <w:szCs w:val="16"/>
                <w:b w:val="1"/>
                <w:bCs w:val="1"/>
                <w:color w:val="6F2875"/>
              </w:rPr>
              <w:t>Payout %</w:t>
            </w:r>
            <w:r>
              <w:rPr>
                <w:rFonts w:ascii="Arial" w:cs="Arial" w:eastAsia="Arial" w:hAnsi="Arial"/>
                <w:sz w:val="27"/>
                <w:szCs w:val="27"/>
                <w:b w:val="1"/>
                <w:bCs w:val="1"/>
                <w:color w:val="6F2875"/>
                <w:vertAlign w:val="superscript"/>
              </w:rPr>
              <w:t>(2)</w:t>
            </w:r>
          </w:p>
        </w:tc>
      </w:tr>
      <w:tr>
        <w:trPr>
          <w:trHeight w:val="183"/>
        </w:trPr>
        <w:tc>
          <w:tcPr>
            <w:tcW w:w="2880" w:type="dxa"/>
            <w:vAlign w:val="bottom"/>
          </w:tcPr>
          <w:p>
            <w:pPr>
              <w:ind w:left="60"/>
              <w:spacing w:after="0" w:line="183" w:lineRule="exact"/>
              <w:rPr>
                <w:sz w:val="20"/>
                <w:szCs w:val="20"/>
                <w:color w:val="auto"/>
              </w:rPr>
            </w:pPr>
            <w:r>
              <w:rPr>
                <w:rFonts w:ascii="Arial" w:cs="Arial" w:eastAsia="Arial" w:hAnsi="Arial"/>
                <w:sz w:val="16"/>
                <w:szCs w:val="16"/>
                <w:b w:val="1"/>
                <w:bCs w:val="1"/>
                <w:color w:val="231F20"/>
              </w:rPr>
              <w:t>Damien McDonald</w:t>
            </w:r>
          </w:p>
        </w:tc>
        <w:tc>
          <w:tcPr>
            <w:tcW w:w="2120" w:type="dxa"/>
            <w:vAlign w:val="bottom"/>
          </w:tcPr>
          <w:p>
            <w:pPr>
              <w:jc w:val="right"/>
              <w:ind w:right="99"/>
              <w:spacing w:after="0" w:line="183" w:lineRule="exact"/>
              <w:rPr>
                <w:sz w:val="20"/>
                <w:szCs w:val="20"/>
                <w:color w:val="auto"/>
              </w:rPr>
            </w:pPr>
            <w:r>
              <w:rPr>
                <w:rFonts w:ascii="Arial" w:cs="Arial" w:eastAsia="Arial" w:hAnsi="Arial"/>
                <w:sz w:val="16"/>
                <w:szCs w:val="16"/>
                <w:color w:val="231F20"/>
              </w:rPr>
              <w:t>100%</w:t>
            </w:r>
          </w:p>
        </w:tc>
        <w:tc>
          <w:tcPr>
            <w:tcW w:w="860" w:type="dxa"/>
            <w:vAlign w:val="bottom"/>
          </w:tcPr>
          <w:p>
            <w:pPr>
              <w:jc w:val="right"/>
              <w:ind w:right="159"/>
              <w:spacing w:after="0" w:line="183" w:lineRule="exact"/>
              <w:rPr>
                <w:sz w:val="20"/>
                <w:szCs w:val="20"/>
                <w:color w:val="auto"/>
              </w:rPr>
            </w:pPr>
            <w:r>
              <w:rPr>
                <w:rFonts w:ascii="Arial" w:cs="Arial" w:eastAsia="Arial" w:hAnsi="Arial"/>
                <w:sz w:val="16"/>
                <w:szCs w:val="16"/>
                <w:color w:val="231F20"/>
              </w:rPr>
              <w:t>$</w:t>
            </w:r>
          </w:p>
        </w:tc>
        <w:tc>
          <w:tcPr>
            <w:tcW w:w="1020" w:type="dxa"/>
            <w:vAlign w:val="bottom"/>
          </w:tcPr>
          <w:p>
            <w:pPr>
              <w:jc w:val="right"/>
              <w:ind w:right="139"/>
              <w:spacing w:after="0" w:line="183" w:lineRule="exact"/>
              <w:rPr>
                <w:sz w:val="20"/>
                <w:szCs w:val="20"/>
                <w:color w:val="auto"/>
              </w:rPr>
            </w:pPr>
            <w:r>
              <w:rPr>
                <w:rFonts w:ascii="Arial" w:cs="Arial" w:eastAsia="Arial" w:hAnsi="Arial"/>
                <w:sz w:val="16"/>
                <w:szCs w:val="16"/>
                <w:color w:val="231F20"/>
              </w:rPr>
              <w:t>791,453</w:t>
            </w:r>
          </w:p>
        </w:tc>
        <w:tc>
          <w:tcPr>
            <w:tcW w:w="920" w:type="dxa"/>
            <w:vAlign w:val="bottom"/>
          </w:tcPr>
          <w:p>
            <w:pPr>
              <w:ind w:left="620"/>
              <w:spacing w:after="0" w:line="183" w:lineRule="exact"/>
              <w:rPr>
                <w:sz w:val="20"/>
                <w:szCs w:val="20"/>
                <w:color w:val="auto"/>
              </w:rPr>
            </w:pPr>
            <w:r>
              <w:rPr>
                <w:rFonts w:ascii="Arial" w:cs="Arial" w:eastAsia="Arial" w:hAnsi="Arial"/>
                <w:sz w:val="16"/>
                <w:szCs w:val="16"/>
                <w:color w:val="231F20"/>
              </w:rPr>
              <w:t>$</w:t>
            </w:r>
          </w:p>
        </w:tc>
        <w:tc>
          <w:tcPr>
            <w:tcW w:w="1100" w:type="dxa"/>
            <w:vAlign w:val="bottom"/>
          </w:tcPr>
          <w:p>
            <w:pPr>
              <w:jc w:val="right"/>
              <w:ind w:right="199"/>
              <w:spacing w:after="0" w:line="183" w:lineRule="exact"/>
              <w:rPr>
                <w:sz w:val="20"/>
                <w:szCs w:val="20"/>
                <w:color w:val="auto"/>
              </w:rPr>
            </w:pPr>
            <w:r>
              <w:rPr>
                <w:rFonts w:ascii="Arial" w:cs="Arial" w:eastAsia="Arial" w:hAnsi="Arial"/>
                <w:sz w:val="16"/>
                <w:szCs w:val="16"/>
                <w:color w:val="231F20"/>
              </w:rPr>
              <w:t>848,095</w:t>
            </w:r>
          </w:p>
        </w:tc>
        <w:tc>
          <w:tcPr>
            <w:tcW w:w="1380" w:type="dxa"/>
            <w:vAlign w:val="bottom"/>
          </w:tcPr>
          <w:p>
            <w:pPr>
              <w:jc w:val="right"/>
              <w:ind w:right="139"/>
              <w:spacing w:after="0" w:line="183" w:lineRule="exact"/>
              <w:rPr>
                <w:sz w:val="20"/>
                <w:szCs w:val="20"/>
                <w:color w:val="auto"/>
              </w:rPr>
            </w:pPr>
            <w:r>
              <w:rPr>
                <w:rFonts w:ascii="Arial" w:cs="Arial" w:eastAsia="Arial" w:hAnsi="Arial"/>
                <w:sz w:val="16"/>
                <w:szCs w:val="16"/>
                <w:color w:val="231F20"/>
              </w:rPr>
              <w:t>7.2%</w:t>
            </w: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231F20"/>
              </w:rPr>
              <w:t>100%</w:t>
            </w:r>
          </w:p>
        </w:tc>
      </w:tr>
      <w:tr>
        <w:trPr>
          <w:trHeight w:val="189"/>
        </w:trPr>
        <w:tc>
          <w:tcPr>
            <w:tcW w:w="2880" w:type="dxa"/>
            <w:vAlign w:val="bottom"/>
            <w:shd w:val="clear" w:color="auto" w:fill="F3EDF3"/>
          </w:tcPr>
          <w:p>
            <w:pPr>
              <w:ind w:left="60"/>
              <w:spacing w:after="0"/>
              <w:rPr>
                <w:sz w:val="20"/>
                <w:szCs w:val="20"/>
                <w:color w:val="auto"/>
              </w:rPr>
            </w:pPr>
            <w:r>
              <w:rPr>
                <w:rFonts w:ascii="Arial" w:cs="Arial" w:eastAsia="Arial" w:hAnsi="Arial"/>
                <w:sz w:val="16"/>
                <w:szCs w:val="16"/>
                <w:b w:val="1"/>
                <w:bCs w:val="1"/>
                <w:color w:val="231F20"/>
              </w:rPr>
              <w:t>Thad Huston</w:t>
            </w:r>
          </w:p>
        </w:tc>
        <w:tc>
          <w:tcPr>
            <w:tcW w:w="2120" w:type="dxa"/>
            <w:vAlign w:val="bottom"/>
            <w:shd w:val="clear" w:color="auto" w:fill="F3EDF3"/>
          </w:tcPr>
          <w:p>
            <w:pPr>
              <w:jc w:val="right"/>
              <w:ind w:right="99"/>
              <w:spacing w:after="0"/>
              <w:rPr>
                <w:sz w:val="20"/>
                <w:szCs w:val="20"/>
                <w:color w:val="auto"/>
              </w:rPr>
            </w:pPr>
            <w:r>
              <w:rPr>
                <w:rFonts w:ascii="Arial" w:cs="Arial" w:eastAsia="Arial" w:hAnsi="Arial"/>
                <w:sz w:val="16"/>
                <w:szCs w:val="16"/>
                <w:color w:val="231F20"/>
              </w:rPr>
              <w:t>90%</w:t>
            </w:r>
          </w:p>
        </w:tc>
        <w:tc>
          <w:tcPr>
            <w:tcW w:w="860" w:type="dxa"/>
            <w:vAlign w:val="bottom"/>
            <w:shd w:val="clear" w:color="auto" w:fill="F3EDF3"/>
          </w:tcPr>
          <w:p>
            <w:pPr>
              <w:jc w:val="right"/>
              <w:ind w:right="159"/>
              <w:spacing w:after="0"/>
              <w:rPr>
                <w:sz w:val="20"/>
                <w:szCs w:val="20"/>
                <w:color w:val="auto"/>
              </w:rPr>
            </w:pPr>
            <w:r>
              <w:rPr>
                <w:rFonts w:ascii="Arial" w:cs="Arial" w:eastAsia="Arial" w:hAnsi="Arial"/>
                <w:sz w:val="16"/>
                <w:szCs w:val="16"/>
                <w:i w:val="1"/>
                <w:iCs w:val="1"/>
                <w:color w:val="231F20"/>
              </w:rPr>
              <w:t>$</w:t>
            </w:r>
          </w:p>
        </w:tc>
        <w:tc>
          <w:tcPr>
            <w:tcW w:w="1020" w:type="dxa"/>
            <w:vAlign w:val="bottom"/>
            <w:shd w:val="clear" w:color="auto" w:fill="F3EDF3"/>
          </w:tcPr>
          <w:p>
            <w:pPr>
              <w:jc w:val="right"/>
              <w:ind w:right="139"/>
              <w:spacing w:after="0"/>
              <w:rPr>
                <w:sz w:val="20"/>
                <w:szCs w:val="20"/>
                <w:color w:val="auto"/>
              </w:rPr>
            </w:pPr>
            <w:r>
              <w:rPr>
                <w:rFonts w:ascii="Arial" w:cs="Arial" w:eastAsia="Arial" w:hAnsi="Arial"/>
                <w:sz w:val="16"/>
                <w:szCs w:val="16"/>
                <w:color w:val="231F20"/>
              </w:rPr>
              <w:t>257,091</w:t>
            </w:r>
          </w:p>
        </w:tc>
        <w:tc>
          <w:tcPr>
            <w:tcW w:w="920" w:type="dxa"/>
            <w:vAlign w:val="bottom"/>
            <w:shd w:val="clear" w:color="auto" w:fill="F3EDF3"/>
          </w:tcPr>
          <w:p>
            <w:pPr>
              <w:ind w:left="620"/>
              <w:spacing w:after="0"/>
              <w:rPr>
                <w:sz w:val="20"/>
                <w:szCs w:val="20"/>
                <w:color w:val="auto"/>
              </w:rPr>
            </w:pPr>
            <w:r>
              <w:rPr>
                <w:rFonts w:ascii="Arial" w:cs="Arial" w:eastAsia="Arial" w:hAnsi="Arial"/>
                <w:sz w:val="16"/>
                <w:szCs w:val="16"/>
                <w:i w:val="1"/>
                <w:iCs w:val="1"/>
                <w:color w:val="231F20"/>
              </w:rPr>
              <w:t>$</w:t>
            </w:r>
          </w:p>
        </w:tc>
        <w:tc>
          <w:tcPr>
            <w:tcW w:w="1100" w:type="dxa"/>
            <w:vAlign w:val="bottom"/>
            <w:shd w:val="clear" w:color="auto" w:fill="F3EDF3"/>
          </w:tcPr>
          <w:p>
            <w:pPr>
              <w:jc w:val="right"/>
              <w:ind w:right="199"/>
              <w:spacing w:after="0"/>
              <w:rPr>
                <w:sz w:val="20"/>
                <w:szCs w:val="20"/>
                <w:color w:val="auto"/>
              </w:rPr>
            </w:pPr>
            <w:r>
              <w:rPr>
                <w:rFonts w:ascii="Arial" w:cs="Arial" w:eastAsia="Arial" w:hAnsi="Arial"/>
                <w:sz w:val="16"/>
                <w:szCs w:val="16"/>
                <w:color w:val="231F20"/>
              </w:rPr>
              <w:t>269,641</w:t>
            </w:r>
          </w:p>
        </w:tc>
        <w:tc>
          <w:tcPr>
            <w:tcW w:w="1380" w:type="dxa"/>
            <w:vAlign w:val="bottom"/>
            <w:shd w:val="clear" w:color="auto" w:fill="F3EDF3"/>
          </w:tcPr>
          <w:p>
            <w:pPr>
              <w:jc w:val="right"/>
              <w:ind w:right="139"/>
              <w:spacing w:after="0"/>
              <w:rPr>
                <w:sz w:val="20"/>
                <w:szCs w:val="20"/>
                <w:color w:val="auto"/>
              </w:rPr>
            </w:pPr>
            <w:r>
              <w:rPr>
                <w:rFonts w:ascii="Arial" w:cs="Arial" w:eastAsia="Arial" w:hAnsi="Arial"/>
                <w:sz w:val="16"/>
                <w:szCs w:val="16"/>
                <w:color w:val="231F20"/>
              </w:rPr>
              <w:t>4.9%</w:t>
            </w:r>
          </w:p>
        </w:tc>
        <w:tc>
          <w:tcPr>
            <w:tcW w:w="114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100.1%</w:t>
            </w:r>
          </w:p>
        </w:tc>
      </w:tr>
      <w:tr>
        <w:trPr>
          <w:trHeight w:val="189"/>
        </w:trPr>
        <w:tc>
          <w:tcPr>
            <w:tcW w:w="2880" w:type="dxa"/>
            <w:vAlign w:val="bottom"/>
          </w:tcPr>
          <w:p>
            <w:pPr>
              <w:ind w:left="60"/>
              <w:spacing w:after="0"/>
              <w:rPr>
                <w:sz w:val="20"/>
                <w:szCs w:val="20"/>
                <w:color w:val="auto"/>
              </w:rPr>
            </w:pPr>
            <w:r>
              <w:rPr>
                <w:rFonts w:ascii="Arial" w:cs="Arial" w:eastAsia="Arial" w:hAnsi="Arial"/>
                <w:sz w:val="16"/>
                <w:szCs w:val="16"/>
                <w:b w:val="1"/>
                <w:bCs w:val="1"/>
                <w:color w:val="231F20"/>
              </w:rPr>
              <w:t>David Wise</w:t>
            </w:r>
          </w:p>
        </w:tc>
        <w:tc>
          <w:tcPr>
            <w:tcW w:w="2120" w:type="dxa"/>
            <w:vAlign w:val="bottom"/>
          </w:tcPr>
          <w:p>
            <w:pPr>
              <w:jc w:val="right"/>
              <w:ind w:right="99"/>
              <w:spacing w:after="0"/>
              <w:rPr>
                <w:sz w:val="20"/>
                <w:szCs w:val="20"/>
                <w:color w:val="auto"/>
              </w:rPr>
            </w:pPr>
            <w:r>
              <w:rPr>
                <w:rFonts w:ascii="Arial" w:cs="Arial" w:eastAsia="Arial" w:hAnsi="Arial"/>
                <w:sz w:val="16"/>
                <w:szCs w:val="16"/>
                <w:color w:val="231F20"/>
              </w:rPr>
              <w:t>70%</w:t>
            </w:r>
          </w:p>
        </w:tc>
        <w:tc>
          <w:tcPr>
            <w:tcW w:w="860" w:type="dxa"/>
            <w:vAlign w:val="bottom"/>
          </w:tcPr>
          <w:p>
            <w:pPr>
              <w:jc w:val="right"/>
              <w:ind w:right="159"/>
              <w:spacing w:after="0"/>
              <w:rPr>
                <w:sz w:val="20"/>
                <w:szCs w:val="20"/>
                <w:color w:val="auto"/>
              </w:rPr>
            </w:pPr>
            <w:r>
              <w:rPr>
                <w:rFonts w:ascii="Arial" w:cs="Arial" w:eastAsia="Arial" w:hAnsi="Arial"/>
                <w:sz w:val="16"/>
                <w:szCs w:val="16"/>
                <w:color w:val="231F20"/>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231F20"/>
              </w:rPr>
              <w:t>290,802</w:t>
            </w:r>
          </w:p>
        </w:tc>
        <w:tc>
          <w:tcPr>
            <w:tcW w:w="920" w:type="dxa"/>
            <w:vAlign w:val="bottom"/>
          </w:tcPr>
          <w:p>
            <w:pPr>
              <w:ind w:left="620"/>
              <w:spacing w:after="0"/>
              <w:rPr>
                <w:sz w:val="20"/>
                <w:szCs w:val="20"/>
                <w:color w:val="auto"/>
              </w:rPr>
            </w:pPr>
            <w:r>
              <w:rPr>
                <w:rFonts w:ascii="Arial" w:cs="Arial" w:eastAsia="Arial" w:hAnsi="Arial"/>
                <w:sz w:val="16"/>
                <w:szCs w:val="16"/>
                <w:color w:val="231F20"/>
              </w:rPr>
              <w:t>$</w:t>
            </w:r>
          </w:p>
        </w:tc>
        <w:tc>
          <w:tcPr>
            <w:tcW w:w="1100" w:type="dxa"/>
            <w:vAlign w:val="bottom"/>
          </w:tcPr>
          <w:p>
            <w:pPr>
              <w:jc w:val="right"/>
              <w:ind w:right="199"/>
              <w:spacing w:after="0"/>
              <w:rPr>
                <w:sz w:val="20"/>
                <w:szCs w:val="20"/>
                <w:color w:val="auto"/>
              </w:rPr>
            </w:pPr>
            <w:r>
              <w:rPr>
                <w:rFonts w:ascii="Arial" w:cs="Arial" w:eastAsia="Arial" w:hAnsi="Arial"/>
                <w:sz w:val="16"/>
                <w:szCs w:val="16"/>
                <w:color w:val="231F20"/>
              </w:rPr>
              <w:t>304,996</w:t>
            </w:r>
          </w:p>
        </w:tc>
        <w:tc>
          <w:tcPr>
            <w:tcW w:w="1380" w:type="dxa"/>
            <w:vAlign w:val="bottom"/>
          </w:tcPr>
          <w:p>
            <w:pPr>
              <w:jc w:val="right"/>
              <w:ind w:right="139"/>
              <w:spacing w:after="0"/>
              <w:rPr>
                <w:sz w:val="20"/>
                <w:szCs w:val="20"/>
                <w:color w:val="auto"/>
              </w:rPr>
            </w:pPr>
            <w:r>
              <w:rPr>
                <w:rFonts w:ascii="Arial" w:cs="Arial" w:eastAsia="Arial" w:hAnsi="Arial"/>
                <w:sz w:val="16"/>
                <w:szCs w:val="16"/>
                <w:color w:val="231F20"/>
              </w:rPr>
              <w:t>2.3%</w:t>
            </w:r>
          </w:p>
        </w:tc>
        <w:tc>
          <w:tcPr>
            <w:tcW w:w="1140" w:type="dxa"/>
            <w:vAlign w:val="bottom"/>
          </w:tcPr>
          <w:p>
            <w:pPr>
              <w:jc w:val="right"/>
              <w:spacing w:after="0"/>
              <w:rPr>
                <w:sz w:val="20"/>
                <w:szCs w:val="20"/>
                <w:color w:val="auto"/>
              </w:rPr>
            </w:pPr>
            <w:r>
              <w:rPr>
                <w:rFonts w:ascii="Arial" w:cs="Arial" w:eastAsia="Arial" w:hAnsi="Arial"/>
                <w:sz w:val="16"/>
                <w:szCs w:val="16"/>
                <w:color w:val="231F20"/>
              </w:rPr>
              <w:t>100.1%</w:t>
            </w:r>
          </w:p>
        </w:tc>
      </w:tr>
      <w:tr>
        <w:trPr>
          <w:trHeight w:val="189"/>
        </w:trPr>
        <w:tc>
          <w:tcPr>
            <w:tcW w:w="2880" w:type="dxa"/>
            <w:vAlign w:val="bottom"/>
            <w:shd w:val="clear" w:color="auto" w:fill="F3EDF3"/>
          </w:tcPr>
          <w:p>
            <w:pPr>
              <w:ind w:left="60"/>
              <w:spacing w:after="0"/>
              <w:rPr>
                <w:sz w:val="20"/>
                <w:szCs w:val="20"/>
                <w:color w:val="auto"/>
              </w:rPr>
            </w:pPr>
            <w:r>
              <w:rPr>
                <w:rFonts w:ascii="Arial" w:cs="Arial" w:eastAsia="Arial" w:hAnsi="Arial"/>
                <w:sz w:val="16"/>
                <w:szCs w:val="16"/>
                <w:b w:val="1"/>
                <w:bCs w:val="1"/>
                <w:color w:val="231F20"/>
              </w:rPr>
              <w:t>Keyna Skeffington</w:t>
            </w:r>
          </w:p>
        </w:tc>
        <w:tc>
          <w:tcPr>
            <w:tcW w:w="2120" w:type="dxa"/>
            <w:vAlign w:val="bottom"/>
            <w:shd w:val="clear" w:color="auto" w:fill="F3EDF3"/>
          </w:tcPr>
          <w:p>
            <w:pPr>
              <w:jc w:val="right"/>
              <w:ind w:right="99"/>
              <w:spacing w:after="0"/>
              <w:rPr>
                <w:sz w:val="20"/>
                <w:szCs w:val="20"/>
                <w:color w:val="auto"/>
              </w:rPr>
            </w:pPr>
            <w:r>
              <w:rPr>
                <w:rFonts w:ascii="Arial" w:cs="Arial" w:eastAsia="Arial" w:hAnsi="Arial"/>
                <w:sz w:val="16"/>
                <w:szCs w:val="16"/>
                <w:color w:val="231F20"/>
              </w:rPr>
              <w:t>55%</w:t>
            </w:r>
          </w:p>
        </w:tc>
        <w:tc>
          <w:tcPr>
            <w:tcW w:w="860" w:type="dxa"/>
            <w:vAlign w:val="bottom"/>
            <w:shd w:val="clear" w:color="auto" w:fill="F3EDF3"/>
          </w:tcPr>
          <w:p>
            <w:pPr>
              <w:jc w:val="right"/>
              <w:ind w:right="159"/>
              <w:spacing w:after="0"/>
              <w:rPr>
                <w:sz w:val="20"/>
                <w:szCs w:val="20"/>
                <w:color w:val="auto"/>
              </w:rPr>
            </w:pPr>
            <w:r>
              <w:rPr>
                <w:rFonts w:ascii="Arial" w:cs="Arial" w:eastAsia="Arial" w:hAnsi="Arial"/>
                <w:sz w:val="16"/>
                <w:szCs w:val="16"/>
                <w:color w:val="231F20"/>
              </w:rPr>
              <w:t>$</w:t>
            </w:r>
          </w:p>
        </w:tc>
        <w:tc>
          <w:tcPr>
            <w:tcW w:w="1020" w:type="dxa"/>
            <w:vAlign w:val="bottom"/>
            <w:shd w:val="clear" w:color="auto" w:fill="F3EDF3"/>
          </w:tcPr>
          <w:p>
            <w:pPr>
              <w:jc w:val="right"/>
              <w:ind w:right="139"/>
              <w:spacing w:after="0"/>
              <w:rPr>
                <w:sz w:val="20"/>
                <w:szCs w:val="20"/>
                <w:color w:val="auto"/>
              </w:rPr>
            </w:pPr>
            <w:r>
              <w:rPr>
                <w:rFonts w:ascii="Arial" w:cs="Arial" w:eastAsia="Arial" w:hAnsi="Arial"/>
                <w:sz w:val="16"/>
                <w:szCs w:val="16"/>
                <w:color w:val="231F20"/>
              </w:rPr>
              <w:t>112,898</w:t>
            </w:r>
          </w:p>
        </w:tc>
        <w:tc>
          <w:tcPr>
            <w:tcW w:w="920" w:type="dxa"/>
            <w:vAlign w:val="bottom"/>
            <w:shd w:val="clear" w:color="auto" w:fill="F3EDF3"/>
          </w:tcPr>
          <w:p>
            <w:pPr>
              <w:ind w:left="620"/>
              <w:spacing w:after="0"/>
              <w:rPr>
                <w:sz w:val="20"/>
                <w:szCs w:val="20"/>
                <w:color w:val="auto"/>
              </w:rPr>
            </w:pPr>
            <w:r>
              <w:rPr>
                <w:rFonts w:ascii="Arial" w:cs="Arial" w:eastAsia="Arial" w:hAnsi="Arial"/>
                <w:sz w:val="16"/>
                <w:szCs w:val="16"/>
                <w:color w:val="231F20"/>
              </w:rPr>
              <w:t>$</w:t>
            </w:r>
          </w:p>
        </w:tc>
        <w:tc>
          <w:tcPr>
            <w:tcW w:w="1100" w:type="dxa"/>
            <w:vAlign w:val="bottom"/>
            <w:shd w:val="clear" w:color="auto" w:fill="F3EDF3"/>
          </w:tcPr>
          <w:p>
            <w:pPr>
              <w:jc w:val="right"/>
              <w:ind w:right="199"/>
              <w:spacing w:after="0"/>
              <w:rPr>
                <w:sz w:val="20"/>
                <w:szCs w:val="20"/>
                <w:color w:val="auto"/>
              </w:rPr>
            </w:pPr>
            <w:r>
              <w:rPr>
                <w:rFonts w:ascii="Arial" w:cs="Arial" w:eastAsia="Arial" w:hAnsi="Arial"/>
                <w:sz w:val="16"/>
                <w:szCs w:val="16"/>
                <w:color w:val="231F20"/>
              </w:rPr>
              <w:t>118,408</w:t>
            </w:r>
          </w:p>
        </w:tc>
        <w:tc>
          <w:tcPr>
            <w:tcW w:w="1380" w:type="dxa"/>
            <w:vAlign w:val="bottom"/>
            <w:shd w:val="clear" w:color="auto" w:fill="F3EDF3"/>
          </w:tcPr>
          <w:p>
            <w:pPr>
              <w:jc w:val="right"/>
              <w:ind w:right="139"/>
              <w:spacing w:after="0"/>
              <w:rPr>
                <w:sz w:val="20"/>
                <w:szCs w:val="20"/>
                <w:color w:val="auto"/>
              </w:rPr>
            </w:pPr>
            <w:r>
              <w:rPr>
                <w:rFonts w:ascii="Arial" w:cs="Arial" w:eastAsia="Arial" w:hAnsi="Arial"/>
                <w:sz w:val="16"/>
                <w:szCs w:val="16"/>
                <w:color w:val="231F20"/>
              </w:rPr>
              <w:t>4.9%</w:t>
            </w:r>
          </w:p>
        </w:tc>
        <w:tc>
          <w:tcPr>
            <w:tcW w:w="114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100.1%</w:t>
            </w:r>
          </w:p>
        </w:tc>
      </w:tr>
      <w:tr>
        <w:trPr>
          <w:trHeight w:val="189"/>
        </w:trPr>
        <w:tc>
          <w:tcPr>
            <w:tcW w:w="2880" w:type="dxa"/>
            <w:vAlign w:val="bottom"/>
            <w:tcBorders>
              <w:bottom w:val="single" w:sz="8" w:color="6F2875"/>
            </w:tcBorders>
          </w:tcPr>
          <w:p>
            <w:pPr>
              <w:ind w:left="60"/>
              <w:spacing w:after="0"/>
              <w:rPr>
                <w:sz w:val="20"/>
                <w:szCs w:val="20"/>
                <w:color w:val="auto"/>
              </w:rPr>
            </w:pPr>
            <w:r>
              <w:rPr>
                <w:rFonts w:ascii="Arial" w:cs="Arial" w:eastAsia="Arial" w:hAnsi="Arial"/>
                <w:sz w:val="16"/>
                <w:szCs w:val="16"/>
                <w:b w:val="1"/>
                <w:bCs w:val="1"/>
                <w:color w:val="231F20"/>
              </w:rPr>
              <w:t>Doug Manko</w:t>
            </w:r>
          </w:p>
        </w:tc>
        <w:tc>
          <w:tcPr>
            <w:tcW w:w="2120" w:type="dxa"/>
            <w:vAlign w:val="bottom"/>
            <w:tcBorders>
              <w:bottom w:val="single" w:sz="8" w:color="6F2875"/>
            </w:tcBorders>
          </w:tcPr>
          <w:p>
            <w:pPr>
              <w:jc w:val="right"/>
              <w:ind w:right="99"/>
              <w:spacing w:after="0"/>
              <w:rPr>
                <w:sz w:val="20"/>
                <w:szCs w:val="20"/>
                <w:color w:val="auto"/>
              </w:rPr>
            </w:pPr>
            <w:r>
              <w:rPr>
                <w:rFonts w:ascii="Arial" w:cs="Arial" w:eastAsia="Arial" w:hAnsi="Arial"/>
                <w:sz w:val="16"/>
                <w:szCs w:val="16"/>
                <w:color w:val="231F20"/>
              </w:rPr>
              <w:t>40%</w:t>
            </w:r>
          </w:p>
        </w:tc>
        <w:tc>
          <w:tcPr>
            <w:tcW w:w="860" w:type="dxa"/>
            <w:vAlign w:val="bottom"/>
            <w:tcBorders>
              <w:bottom w:val="single" w:sz="8" w:color="6F2875"/>
            </w:tcBorders>
          </w:tcPr>
          <w:p>
            <w:pPr>
              <w:jc w:val="right"/>
              <w:ind w:right="159"/>
              <w:spacing w:after="0"/>
              <w:rPr>
                <w:sz w:val="20"/>
                <w:szCs w:val="20"/>
                <w:color w:val="auto"/>
              </w:rPr>
            </w:pPr>
            <w:r>
              <w:rPr>
                <w:rFonts w:ascii="Arial" w:cs="Arial" w:eastAsia="Arial" w:hAnsi="Arial"/>
                <w:sz w:val="16"/>
                <w:szCs w:val="16"/>
                <w:color w:val="231F20"/>
              </w:rPr>
              <w:t>$</w:t>
            </w:r>
          </w:p>
        </w:tc>
        <w:tc>
          <w:tcPr>
            <w:tcW w:w="1020" w:type="dxa"/>
            <w:vAlign w:val="bottom"/>
            <w:tcBorders>
              <w:bottom w:val="single" w:sz="8" w:color="6F2875"/>
            </w:tcBorders>
          </w:tcPr>
          <w:p>
            <w:pPr>
              <w:jc w:val="right"/>
              <w:ind w:right="139"/>
              <w:spacing w:after="0"/>
              <w:rPr>
                <w:sz w:val="20"/>
                <w:szCs w:val="20"/>
                <w:color w:val="auto"/>
              </w:rPr>
            </w:pPr>
            <w:r>
              <w:rPr>
                <w:rFonts w:ascii="Arial" w:cs="Arial" w:eastAsia="Arial" w:hAnsi="Arial"/>
                <w:sz w:val="16"/>
                <w:szCs w:val="16"/>
                <w:color w:val="231F20"/>
              </w:rPr>
              <w:t>116,721</w:t>
            </w:r>
          </w:p>
        </w:tc>
        <w:tc>
          <w:tcPr>
            <w:tcW w:w="920" w:type="dxa"/>
            <w:vAlign w:val="bottom"/>
            <w:tcBorders>
              <w:bottom w:val="single" w:sz="8" w:color="6F2875"/>
            </w:tcBorders>
          </w:tcPr>
          <w:p>
            <w:pPr>
              <w:ind w:left="620"/>
              <w:spacing w:after="0"/>
              <w:rPr>
                <w:sz w:val="20"/>
                <w:szCs w:val="20"/>
                <w:color w:val="auto"/>
              </w:rPr>
            </w:pPr>
            <w:r>
              <w:rPr>
                <w:rFonts w:ascii="Arial" w:cs="Arial" w:eastAsia="Arial" w:hAnsi="Arial"/>
                <w:sz w:val="16"/>
                <w:szCs w:val="16"/>
                <w:color w:val="231F20"/>
              </w:rPr>
              <w:t>$</w:t>
            </w:r>
          </w:p>
        </w:tc>
        <w:tc>
          <w:tcPr>
            <w:tcW w:w="1100" w:type="dxa"/>
            <w:vAlign w:val="bottom"/>
            <w:tcBorders>
              <w:bottom w:val="single" w:sz="8" w:color="6F2875"/>
            </w:tcBorders>
          </w:tcPr>
          <w:p>
            <w:pPr>
              <w:jc w:val="right"/>
              <w:ind w:right="199"/>
              <w:spacing w:after="0"/>
              <w:rPr>
                <w:sz w:val="20"/>
                <w:szCs w:val="20"/>
                <w:color w:val="auto"/>
              </w:rPr>
            </w:pPr>
            <w:r>
              <w:rPr>
                <w:rFonts w:ascii="Arial" w:cs="Arial" w:eastAsia="Arial" w:hAnsi="Arial"/>
                <w:sz w:val="16"/>
                <w:szCs w:val="16"/>
                <w:color w:val="231F20"/>
              </w:rPr>
              <w:t>119,460</w:t>
            </w:r>
          </w:p>
        </w:tc>
        <w:tc>
          <w:tcPr>
            <w:tcW w:w="1380" w:type="dxa"/>
            <w:vAlign w:val="bottom"/>
            <w:tcBorders>
              <w:bottom w:val="single" w:sz="8" w:color="6F2875"/>
            </w:tcBorders>
          </w:tcPr>
          <w:p>
            <w:pPr>
              <w:jc w:val="right"/>
              <w:ind w:right="139"/>
              <w:spacing w:after="0"/>
              <w:rPr>
                <w:sz w:val="20"/>
                <w:szCs w:val="20"/>
                <w:color w:val="auto"/>
              </w:rPr>
            </w:pPr>
            <w:r>
              <w:rPr>
                <w:rFonts w:ascii="Arial" w:cs="Arial" w:eastAsia="Arial" w:hAnsi="Arial"/>
                <w:sz w:val="16"/>
                <w:szCs w:val="16"/>
                <w:color w:val="231F20"/>
              </w:rPr>
              <w:t>4.9%</w:t>
            </w:r>
          </w:p>
        </w:tc>
        <w:tc>
          <w:tcPr>
            <w:tcW w:w="1140" w:type="dxa"/>
            <w:vAlign w:val="bottom"/>
            <w:tcBorders>
              <w:bottom w:val="single" w:sz="8" w:color="6F2875"/>
            </w:tcBorders>
          </w:tcPr>
          <w:p>
            <w:pPr>
              <w:jc w:val="right"/>
              <w:spacing w:after="0"/>
              <w:rPr>
                <w:sz w:val="20"/>
                <w:szCs w:val="20"/>
                <w:color w:val="auto"/>
              </w:rPr>
            </w:pPr>
            <w:r>
              <w:rPr>
                <w:rFonts w:ascii="Arial" w:cs="Arial" w:eastAsia="Arial" w:hAnsi="Arial"/>
                <w:sz w:val="16"/>
                <w:szCs w:val="16"/>
                <w:color w:val="231F20"/>
              </w:rPr>
              <w:t>99%</w:t>
            </w:r>
          </w:p>
        </w:tc>
      </w:tr>
    </w:tbl>
    <w:p>
      <w:pPr>
        <w:spacing w:after="0" w:line="45" w:lineRule="exact"/>
        <w:rPr>
          <w:sz w:val="20"/>
          <w:szCs w:val="20"/>
          <w:color w:val="auto"/>
        </w:rPr>
      </w:pPr>
    </w:p>
    <w:p>
      <w:pPr>
        <w:ind w:left="340" w:hanging="332"/>
        <w:spacing w:after="0" w:line="279" w:lineRule="auto"/>
        <w:tabs>
          <w:tab w:leader="none" w:pos="340" w:val="left"/>
        </w:tabs>
        <w:numPr>
          <w:ilvl w:val="0"/>
          <w:numId w:val="28"/>
        </w:numPr>
        <w:rPr>
          <w:rFonts w:ascii="Arial" w:cs="Arial" w:eastAsia="Arial" w:hAnsi="Arial"/>
          <w:sz w:val="14"/>
          <w:szCs w:val="14"/>
          <w:i w:val="1"/>
          <w:iCs w:val="1"/>
          <w:color w:val="231F20"/>
        </w:rPr>
      </w:pPr>
      <w:r>
        <w:rPr>
          <w:rFonts w:ascii="Arial" w:cs="Arial" w:eastAsia="Arial" w:hAnsi="Arial"/>
          <w:sz w:val="14"/>
          <w:szCs w:val="14"/>
          <w:i w:val="1"/>
          <w:iCs w:val="1"/>
          <w:color w:val="231F20"/>
        </w:rPr>
        <w:t>For Messrs. McDonald and Huston and Ms. Skeffington, amounts were determined based on an exchange rate of $1.00 =1.28864 per British Pound reflecting the applicable period average published rate from the OANDA Corporation currency database between January 1, 2017 and December 31, 2017.</w:t>
      </w:r>
    </w:p>
    <w:p>
      <w:pPr>
        <w:spacing w:after="0" w:line="3" w:lineRule="exact"/>
        <w:rPr>
          <w:rFonts w:ascii="Arial" w:cs="Arial" w:eastAsia="Arial" w:hAnsi="Arial"/>
          <w:sz w:val="14"/>
          <w:szCs w:val="14"/>
          <w:i w:val="1"/>
          <w:iCs w:val="1"/>
          <w:color w:val="231F20"/>
        </w:rPr>
      </w:pPr>
    </w:p>
    <w:p>
      <w:pPr>
        <w:ind w:left="340" w:hanging="332"/>
        <w:spacing w:after="0"/>
        <w:tabs>
          <w:tab w:leader="none" w:pos="340" w:val="left"/>
        </w:tabs>
        <w:numPr>
          <w:ilvl w:val="0"/>
          <w:numId w:val="28"/>
        </w:numPr>
        <w:rPr>
          <w:rFonts w:ascii="Arial" w:cs="Arial" w:eastAsia="Arial" w:hAnsi="Arial"/>
          <w:sz w:val="14"/>
          <w:szCs w:val="14"/>
          <w:i w:val="1"/>
          <w:iCs w:val="1"/>
          <w:color w:val="231F20"/>
        </w:rPr>
      </w:pPr>
      <w:r>
        <w:rPr>
          <w:rFonts w:ascii="Arial" w:cs="Arial" w:eastAsia="Arial" w:hAnsi="Arial"/>
          <w:sz w:val="14"/>
          <w:szCs w:val="14"/>
          <w:i w:val="1"/>
          <w:iCs w:val="1"/>
          <w:color w:val="231F20"/>
        </w:rPr>
        <w:t>Mr. Sehgal left the Company on May 31, 2017; as part of his settlement agreement, he received 100% of his prorated bonus for 2017.</w:t>
      </w:r>
    </w:p>
    <w:p>
      <w:pPr>
        <w:spacing w:after="0" w:line="195" w:lineRule="exact"/>
        <w:rPr>
          <w:sz w:val="20"/>
          <w:szCs w:val="20"/>
          <w:color w:val="auto"/>
        </w:rPr>
      </w:pPr>
    </w:p>
    <w:tbl>
      <w:tblPr>
        <w:tblLayout w:type="fixed"/>
        <w:tblInd w:w="4240" w:type="dxa"/>
        <w:tblCellMar>
          <w:top w:w="0" w:type="dxa"/>
          <w:left w:w="0" w:type="dxa"/>
          <w:bottom w:w="0" w:type="dxa"/>
          <w:right w:w="0" w:type="dxa"/>
        </w:tblCellMar>
      </w:tblPr>
      <w:tr>
        <w:trPr>
          <w:trHeight w:val="126"/>
        </w:trPr>
        <w:tc>
          <w:tcPr>
            <w:tcW w:w="2860" w:type="dxa"/>
            <w:vAlign w:val="bottom"/>
            <w:vMerge w:val="restart"/>
          </w:tcPr>
          <w:p>
            <w:pPr>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27</w:t>
            </w:r>
          </w:p>
        </w:tc>
        <w:tc>
          <w:tcPr>
            <w:tcW w:w="0" w:type="dxa"/>
            <w:vAlign w:val="bottom"/>
          </w:tcPr>
          <w:p>
            <w:pPr>
              <w:spacing w:after="0"/>
              <w:rPr>
                <w:sz w:val="1"/>
                <w:szCs w:val="1"/>
                <w:color w:val="auto"/>
              </w:rPr>
            </w:pPr>
          </w:p>
        </w:tc>
      </w:tr>
      <w:tr>
        <w:trPr>
          <w:trHeight w:val="69"/>
        </w:trPr>
        <w:tc>
          <w:tcPr>
            <w:tcW w:w="286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25387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38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2017 Long-Term Incentive Plan (the “2017 LTIP”)</w:t>
      </w:r>
    </w:p>
    <w:p>
      <w:pPr>
        <w:spacing w:after="0" w:line="23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We do not currently have a formal policy governing equity-based awards granted to our executive officers, other than the Remuneration Policy applicable to our CEO.</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We typically grant equity awards under the LTIP for our executive officers on the same date we grant annual equity awards for other employees, or, in the event of an executive who joins after approval of the annual awards, on a later date. Prior to October 2017, we always granted awards during one of our open trading windows. On October 24, 2017, our Compensation Committee approved quarterly grant dates (March 15, June 15, September 15 and December 15). All LTIP awards after this date will be made on one of the stated dates.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FC5D45"/>
        </w:rPr>
        <w:t>2017 LTIP Design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231F20"/>
        </w:rPr>
        <w:t>The 2017 LTIP awards were granted to all 2017 NEOs, in 2017 other than Messrs. Sehgal and Sheridan.</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Messrs. McDonald, Wise and Huston received the following equity awards (Award Value at Grant calculated as closing share price on the Nasdaq Stock Market on the grant date multiplied by the number of units granted).</w:t>
      </w:r>
    </w:p>
    <w:p>
      <w:pPr>
        <w:spacing w:after="0" w:line="149" w:lineRule="exact"/>
        <w:rPr>
          <w:sz w:val="20"/>
          <w:szCs w:val="20"/>
          <w:color w:val="auto"/>
        </w:rPr>
      </w:pPr>
    </w:p>
    <w:tbl>
      <w:tblPr>
        <w:tblLayout w:type="fixed"/>
        <w:tblInd w:w="2300" w:type="dxa"/>
        <w:tblCellMar>
          <w:top w:w="0" w:type="dxa"/>
          <w:left w:w="0" w:type="dxa"/>
          <w:bottom w:w="0" w:type="dxa"/>
          <w:right w:w="0" w:type="dxa"/>
        </w:tblCellMar>
      </w:tblPr>
      <w:tr>
        <w:trPr>
          <w:trHeight w:val="189"/>
        </w:trPr>
        <w:tc>
          <w:tcPr>
            <w:tcW w:w="3340" w:type="dxa"/>
            <w:vAlign w:val="bottom"/>
          </w:tcPr>
          <w:p>
            <w:pPr>
              <w:spacing w:after="0"/>
              <w:rPr>
                <w:sz w:val="16"/>
                <w:szCs w:val="16"/>
                <w:color w:val="auto"/>
              </w:rPr>
            </w:pPr>
          </w:p>
        </w:tc>
        <w:tc>
          <w:tcPr>
            <w:tcW w:w="3500" w:type="dxa"/>
            <w:vAlign w:val="bottom"/>
            <w:gridSpan w:val="2"/>
          </w:tcPr>
          <w:p>
            <w:pPr>
              <w:jc w:val="right"/>
              <w:spacing w:after="0"/>
              <w:rPr>
                <w:sz w:val="20"/>
                <w:szCs w:val="20"/>
                <w:color w:val="auto"/>
              </w:rPr>
            </w:pPr>
            <w:r>
              <w:rPr>
                <w:rFonts w:ascii="Arial" w:cs="Arial" w:eastAsia="Arial" w:hAnsi="Arial"/>
                <w:sz w:val="16"/>
                <w:szCs w:val="16"/>
                <w:b w:val="1"/>
                <w:bCs w:val="1"/>
                <w:color w:val="6F2875"/>
              </w:rPr>
              <w:t>2017 Equity Awards</w:t>
            </w:r>
          </w:p>
        </w:tc>
      </w:tr>
      <w:tr>
        <w:trPr>
          <w:trHeight w:val="207"/>
        </w:trPr>
        <w:tc>
          <w:tcPr>
            <w:tcW w:w="3340" w:type="dxa"/>
            <w:vAlign w:val="bottom"/>
            <w:tcBorders>
              <w:bottom w:val="single" w:sz="8" w:color="6F2875"/>
            </w:tcBorders>
          </w:tcPr>
          <w:p>
            <w:pPr>
              <w:spacing w:after="0"/>
              <w:rPr>
                <w:sz w:val="18"/>
                <w:szCs w:val="18"/>
                <w:color w:val="auto"/>
              </w:rPr>
            </w:pPr>
          </w:p>
        </w:tc>
        <w:tc>
          <w:tcPr>
            <w:tcW w:w="3500" w:type="dxa"/>
            <w:vAlign w:val="bottom"/>
            <w:tcBorders>
              <w:bottom w:val="single" w:sz="8" w:color="6F2875"/>
            </w:tcBorders>
            <w:gridSpan w:val="2"/>
          </w:tcPr>
          <w:p>
            <w:pPr>
              <w:jc w:val="right"/>
              <w:spacing w:after="0"/>
              <w:rPr>
                <w:sz w:val="20"/>
                <w:szCs w:val="20"/>
                <w:color w:val="auto"/>
              </w:rPr>
            </w:pPr>
            <w:r>
              <w:rPr>
                <w:rFonts w:ascii="Arial" w:cs="Arial" w:eastAsia="Arial" w:hAnsi="Arial"/>
                <w:sz w:val="16"/>
                <w:szCs w:val="16"/>
                <w:b w:val="1"/>
                <w:bCs w:val="1"/>
                <w:color w:val="6F2875"/>
              </w:rPr>
              <w:t>Value at Grant</w:t>
            </w:r>
          </w:p>
        </w:tc>
      </w:tr>
      <w:tr>
        <w:trPr>
          <w:trHeight w:val="183"/>
        </w:trPr>
        <w:tc>
          <w:tcPr>
            <w:tcW w:w="3340" w:type="dxa"/>
            <w:vAlign w:val="bottom"/>
          </w:tcPr>
          <w:p>
            <w:pPr>
              <w:ind w:left="40"/>
              <w:spacing w:after="0" w:line="183" w:lineRule="exact"/>
              <w:rPr>
                <w:sz w:val="20"/>
                <w:szCs w:val="20"/>
                <w:color w:val="auto"/>
              </w:rPr>
            </w:pPr>
            <w:r>
              <w:rPr>
                <w:rFonts w:ascii="Arial" w:cs="Arial" w:eastAsia="Arial" w:hAnsi="Arial"/>
                <w:sz w:val="16"/>
                <w:szCs w:val="16"/>
                <w:b w:val="1"/>
                <w:bCs w:val="1"/>
                <w:color w:val="231F20"/>
              </w:rPr>
              <w:t>Damien McDonald</w:t>
            </w:r>
          </w:p>
        </w:tc>
        <w:tc>
          <w:tcPr>
            <w:tcW w:w="2560" w:type="dxa"/>
            <w:vAlign w:val="bottom"/>
          </w:tcPr>
          <w:p>
            <w:pPr>
              <w:jc w:val="right"/>
              <w:ind w:right="79"/>
              <w:spacing w:after="0" w:line="183" w:lineRule="exact"/>
              <w:rPr>
                <w:sz w:val="20"/>
                <w:szCs w:val="20"/>
                <w:color w:val="auto"/>
              </w:rPr>
            </w:pPr>
            <w:r>
              <w:rPr>
                <w:rFonts w:ascii="Arial" w:cs="Arial" w:eastAsia="Arial" w:hAnsi="Arial"/>
                <w:sz w:val="16"/>
                <w:szCs w:val="16"/>
                <w:color w:val="231F20"/>
              </w:rPr>
              <w:t>$</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231F20"/>
              </w:rPr>
              <w:t>4,000,000</w:t>
            </w:r>
          </w:p>
        </w:tc>
      </w:tr>
      <w:tr>
        <w:trPr>
          <w:trHeight w:val="189"/>
        </w:trPr>
        <w:tc>
          <w:tcPr>
            <w:tcW w:w="3340" w:type="dxa"/>
            <w:vAlign w:val="bottom"/>
            <w:shd w:val="clear" w:color="auto" w:fill="F3EDF3"/>
          </w:tcPr>
          <w:p>
            <w:pPr>
              <w:ind w:left="40"/>
              <w:spacing w:after="0"/>
              <w:rPr>
                <w:sz w:val="20"/>
                <w:szCs w:val="20"/>
                <w:color w:val="auto"/>
              </w:rPr>
            </w:pPr>
            <w:r>
              <w:rPr>
                <w:rFonts w:ascii="Arial" w:cs="Arial" w:eastAsia="Arial" w:hAnsi="Arial"/>
                <w:sz w:val="16"/>
                <w:szCs w:val="16"/>
                <w:b w:val="1"/>
                <w:bCs w:val="1"/>
                <w:color w:val="231F20"/>
              </w:rPr>
              <w:t>Thad Huston</w:t>
            </w:r>
          </w:p>
        </w:tc>
        <w:tc>
          <w:tcPr>
            <w:tcW w:w="2560" w:type="dxa"/>
            <w:vAlign w:val="bottom"/>
            <w:shd w:val="clear" w:color="auto" w:fill="F3EDF3"/>
          </w:tcPr>
          <w:p>
            <w:pPr>
              <w:jc w:val="right"/>
              <w:ind w:right="79"/>
              <w:spacing w:after="0"/>
              <w:rPr>
                <w:sz w:val="20"/>
                <w:szCs w:val="20"/>
                <w:color w:val="auto"/>
              </w:rPr>
            </w:pPr>
            <w:r>
              <w:rPr>
                <w:rFonts w:ascii="Arial" w:cs="Arial" w:eastAsia="Arial" w:hAnsi="Arial"/>
                <w:sz w:val="16"/>
                <w:szCs w:val="16"/>
                <w:color w:val="231F20"/>
              </w:rPr>
              <w:t>$</w:t>
            </w:r>
          </w:p>
        </w:tc>
        <w:tc>
          <w:tcPr>
            <w:tcW w:w="94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1,500,000</w:t>
            </w:r>
          </w:p>
        </w:tc>
      </w:tr>
      <w:tr>
        <w:trPr>
          <w:trHeight w:val="189"/>
        </w:trPr>
        <w:tc>
          <w:tcPr>
            <w:tcW w:w="3340" w:type="dxa"/>
            <w:vAlign w:val="bottom"/>
            <w:tcBorders>
              <w:bottom w:val="single" w:sz="8" w:color="6F2875"/>
            </w:tcBorders>
          </w:tcPr>
          <w:p>
            <w:pPr>
              <w:ind w:left="40"/>
              <w:spacing w:after="0"/>
              <w:rPr>
                <w:sz w:val="20"/>
                <w:szCs w:val="20"/>
                <w:color w:val="auto"/>
              </w:rPr>
            </w:pPr>
            <w:r>
              <w:rPr>
                <w:rFonts w:ascii="Arial" w:cs="Arial" w:eastAsia="Arial" w:hAnsi="Arial"/>
                <w:sz w:val="16"/>
                <w:szCs w:val="16"/>
                <w:b w:val="1"/>
                <w:bCs w:val="1"/>
                <w:color w:val="231F20"/>
              </w:rPr>
              <w:t>David Wise</w:t>
            </w:r>
          </w:p>
        </w:tc>
        <w:tc>
          <w:tcPr>
            <w:tcW w:w="2560" w:type="dxa"/>
            <w:vAlign w:val="bottom"/>
            <w:tcBorders>
              <w:bottom w:val="single" w:sz="8" w:color="6F2875"/>
            </w:tcBorders>
          </w:tcPr>
          <w:p>
            <w:pPr>
              <w:jc w:val="right"/>
              <w:ind w:right="79"/>
              <w:spacing w:after="0"/>
              <w:rPr>
                <w:sz w:val="20"/>
                <w:szCs w:val="20"/>
                <w:color w:val="auto"/>
              </w:rPr>
            </w:pPr>
            <w:r>
              <w:rPr>
                <w:rFonts w:ascii="Arial" w:cs="Arial" w:eastAsia="Arial" w:hAnsi="Arial"/>
                <w:sz w:val="16"/>
                <w:szCs w:val="16"/>
                <w:color w:val="231F20"/>
              </w:rPr>
              <w:t>$</w:t>
            </w:r>
          </w:p>
        </w:tc>
        <w:tc>
          <w:tcPr>
            <w:tcW w:w="940" w:type="dxa"/>
            <w:vAlign w:val="bottom"/>
            <w:tcBorders>
              <w:bottom w:val="single" w:sz="8" w:color="6F2875"/>
            </w:tcBorders>
          </w:tcPr>
          <w:p>
            <w:pPr>
              <w:jc w:val="right"/>
              <w:spacing w:after="0"/>
              <w:rPr>
                <w:sz w:val="20"/>
                <w:szCs w:val="20"/>
                <w:color w:val="auto"/>
              </w:rPr>
            </w:pPr>
            <w:r>
              <w:rPr>
                <w:rFonts w:ascii="Arial" w:cs="Arial" w:eastAsia="Arial" w:hAnsi="Arial"/>
                <w:sz w:val="16"/>
                <w:szCs w:val="16"/>
                <w:color w:val="231F20"/>
              </w:rPr>
              <w:t>787,500</w:t>
            </w: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20" w:type="dxa"/>
            <w:vAlign w:val="bottom"/>
          </w:tcPr>
          <w:p>
            <w:pPr>
              <w:spacing w:after="0"/>
              <w:rPr>
                <w:sz w:val="20"/>
                <w:szCs w:val="20"/>
                <w:color w:val="auto"/>
              </w:rPr>
            </w:pPr>
            <w:r>
              <w:rPr>
                <w:rFonts w:ascii="Arial" w:cs="Arial" w:eastAsia="Arial" w:hAnsi="Arial"/>
                <w:sz w:val="16"/>
                <w:szCs w:val="16"/>
                <w:color w:val="231F20"/>
              </w:rPr>
              <w:t>Their awards have the following structure:</w:t>
            </w:r>
          </w:p>
        </w:tc>
        <w:tc>
          <w:tcPr>
            <w:tcW w:w="1400" w:type="dxa"/>
            <w:vAlign w:val="bottom"/>
          </w:tcPr>
          <w:p>
            <w:pPr>
              <w:spacing w:after="0"/>
              <w:rPr>
                <w:sz w:val="16"/>
                <w:szCs w:val="16"/>
                <w:color w:val="auto"/>
              </w:rPr>
            </w:pPr>
          </w:p>
        </w:tc>
        <w:tc>
          <w:tcPr>
            <w:tcW w:w="6500" w:type="dxa"/>
            <w:vAlign w:val="bottom"/>
          </w:tcPr>
          <w:p>
            <w:pPr>
              <w:spacing w:after="0"/>
              <w:rPr>
                <w:sz w:val="16"/>
                <w:szCs w:val="16"/>
                <w:color w:val="auto"/>
              </w:rPr>
            </w:pPr>
          </w:p>
        </w:tc>
      </w:tr>
      <w:tr>
        <w:trPr>
          <w:trHeight w:val="371"/>
        </w:trPr>
        <w:tc>
          <w:tcPr>
            <w:tcW w:w="3520" w:type="dxa"/>
            <w:vAlign w:val="bottom"/>
            <w:tcBorders>
              <w:bottom w:val="single" w:sz="8" w:color="6F2875"/>
            </w:tcBorders>
          </w:tcPr>
          <w:p>
            <w:pPr>
              <w:ind w:left="60"/>
              <w:spacing w:after="0"/>
              <w:rPr>
                <w:sz w:val="20"/>
                <w:szCs w:val="20"/>
                <w:color w:val="auto"/>
              </w:rPr>
            </w:pPr>
            <w:r>
              <w:rPr>
                <w:rFonts w:ascii="Arial" w:cs="Arial" w:eastAsia="Arial" w:hAnsi="Arial"/>
                <w:sz w:val="16"/>
                <w:szCs w:val="16"/>
                <w:b w:val="1"/>
                <w:bCs w:val="1"/>
                <w:color w:val="6F2875"/>
              </w:rPr>
              <w:t>Type of Award</w:t>
            </w:r>
          </w:p>
        </w:tc>
        <w:tc>
          <w:tcPr>
            <w:tcW w:w="1400" w:type="dxa"/>
            <w:vAlign w:val="bottom"/>
            <w:tcBorders>
              <w:bottom w:val="single" w:sz="8" w:color="6F2875"/>
            </w:tcBorders>
          </w:tcPr>
          <w:p>
            <w:pPr>
              <w:jc w:val="right"/>
              <w:ind w:right="39"/>
              <w:spacing w:after="0"/>
              <w:rPr>
                <w:sz w:val="20"/>
                <w:szCs w:val="20"/>
                <w:color w:val="auto"/>
              </w:rPr>
            </w:pPr>
            <w:r>
              <w:rPr>
                <w:rFonts w:ascii="Arial" w:cs="Arial" w:eastAsia="Arial" w:hAnsi="Arial"/>
                <w:sz w:val="16"/>
                <w:szCs w:val="16"/>
                <w:b w:val="1"/>
                <w:bCs w:val="1"/>
                <w:color w:val="6F2875"/>
              </w:rPr>
              <w:t>Weighting</w:t>
            </w:r>
          </w:p>
        </w:tc>
        <w:tc>
          <w:tcPr>
            <w:tcW w:w="6500" w:type="dxa"/>
            <w:vAlign w:val="bottom"/>
            <w:tcBorders>
              <w:bottom w:val="single" w:sz="8" w:color="6F2875"/>
            </w:tcBorders>
          </w:tcPr>
          <w:p>
            <w:pPr>
              <w:ind w:left="120"/>
              <w:spacing w:after="0"/>
              <w:rPr>
                <w:sz w:val="20"/>
                <w:szCs w:val="20"/>
                <w:color w:val="auto"/>
              </w:rPr>
            </w:pPr>
            <w:r>
              <w:rPr>
                <w:rFonts w:ascii="Arial" w:cs="Arial" w:eastAsia="Arial" w:hAnsi="Arial"/>
                <w:sz w:val="16"/>
                <w:szCs w:val="16"/>
                <w:b w:val="1"/>
                <w:bCs w:val="1"/>
                <w:color w:val="6F2875"/>
              </w:rPr>
              <w:t>Vesting Schedule</w:t>
            </w:r>
          </w:p>
        </w:tc>
      </w:tr>
      <w:tr>
        <w:trPr>
          <w:trHeight w:val="208"/>
        </w:trPr>
        <w:tc>
          <w:tcPr>
            <w:tcW w:w="3520" w:type="dxa"/>
            <w:vAlign w:val="bottom"/>
          </w:tcPr>
          <w:p>
            <w:pPr>
              <w:ind w:left="60"/>
              <w:spacing w:after="0"/>
              <w:rPr>
                <w:sz w:val="20"/>
                <w:szCs w:val="20"/>
                <w:color w:val="auto"/>
              </w:rPr>
            </w:pPr>
            <w:r>
              <w:rPr>
                <w:rFonts w:ascii="Arial" w:cs="Arial" w:eastAsia="Arial" w:hAnsi="Arial"/>
                <w:sz w:val="16"/>
                <w:szCs w:val="16"/>
                <w:b w:val="1"/>
                <w:bCs w:val="1"/>
                <w:color w:val="6F2875"/>
              </w:rPr>
              <w:t>Restricted Stock Units (“RSUs”)</w:t>
            </w:r>
          </w:p>
        </w:tc>
        <w:tc>
          <w:tcPr>
            <w:tcW w:w="1400" w:type="dxa"/>
            <w:vAlign w:val="bottom"/>
          </w:tcPr>
          <w:p>
            <w:pPr>
              <w:jc w:val="right"/>
              <w:ind w:right="39"/>
              <w:spacing w:after="0"/>
              <w:rPr>
                <w:sz w:val="20"/>
                <w:szCs w:val="20"/>
                <w:color w:val="auto"/>
              </w:rPr>
            </w:pPr>
            <w:r>
              <w:rPr>
                <w:rFonts w:ascii="Arial" w:cs="Arial" w:eastAsia="Arial" w:hAnsi="Arial"/>
                <w:sz w:val="16"/>
                <w:szCs w:val="16"/>
                <w:color w:val="231F20"/>
              </w:rPr>
              <w:t>25%</w:t>
            </w:r>
          </w:p>
        </w:tc>
        <w:tc>
          <w:tcPr>
            <w:tcW w:w="6500" w:type="dxa"/>
            <w:vAlign w:val="bottom"/>
          </w:tcPr>
          <w:p>
            <w:pPr>
              <w:ind w:left="120"/>
              <w:spacing w:after="0"/>
              <w:rPr>
                <w:sz w:val="20"/>
                <w:szCs w:val="20"/>
                <w:color w:val="auto"/>
              </w:rPr>
            </w:pPr>
            <w:r>
              <w:rPr>
                <w:rFonts w:ascii="Arial" w:cs="Arial" w:eastAsia="Arial" w:hAnsi="Arial"/>
                <w:sz w:val="16"/>
                <w:szCs w:val="16"/>
                <w:color w:val="231F20"/>
              </w:rPr>
              <w:t>Vest 25% per year over four years on the first four anniversaries of the grant date</w:t>
            </w:r>
          </w:p>
        </w:tc>
      </w:tr>
      <w:tr>
        <w:trPr>
          <w:trHeight w:val="219"/>
        </w:trPr>
        <w:tc>
          <w:tcPr>
            <w:tcW w:w="3520" w:type="dxa"/>
            <w:vAlign w:val="bottom"/>
          </w:tcPr>
          <w:p>
            <w:pPr>
              <w:ind w:left="60"/>
              <w:spacing w:after="0"/>
              <w:rPr>
                <w:sz w:val="20"/>
                <w:szCs w:val="20"/>
                <w:color w:val="auto"/>
              </w:rPr>
            </w:pPr>
            <w:r>
              <w:rPr>
                <w:rFonts w:ascii="Arial" w:cs="Arial" w:eastAsia="Arial" w:hAnsi="Arial"/>
                <w:sz w:val="16"/>
                <w:szCs w:val="16"/>
                <w:b w:val="1"/>
                <w:bCs w:val="1"/>
                <w:color w:val="6F2875"/>
              </w:rPr>
              <w:t>Market-Based RSUs</w:t>
            </w:r>
          </w:p>
        </w:tc>
        <w:tc>
          <w:tcPr>
            <w:tcW w:w="1400" w:type="dxa"/>
            <w:vAlign w:val="bottom"/>
          </w:tcPr>
          <w:p>
            <w:pPr>
              <w:jc w:val="right"/>
              <w:ind w:right="39"/>
              <w:spacing w:after="0"/>
              <w:rPr>
                <w:sz w:val="20"/>
                <w:szCs w:val="20"/>
                <w:color w:val="auto"/>
              </w:rPr>
            </w:pPr>
            <w:r>
              <w:rPr>
                <w:rFonts w:ascii="Arial" w:cs="Arial" w:eastAsia="Arial" w:hAnsi="Arial"/>
                <w:sz w:val="16"/>
                <w:szCs w:val="16"/>
                <w:color w:val="231F20"/>
              </w:rPr>
              <w:t>75%</w:t>
            </w:r>
          </w:p>
        </w:tc>
        <w:tc>
          <w:tcPr>
            <w:tcW w:w="6500" w:type="dxa"/>
            <w:vAlign w:val="bottom"/>
          </w:tcPr>
          <w:p>
            <w:pPr>
              <w:ind w:left="120"/>
              <w:spacing w:after="0"/>
              <w:rPr>
                <w:sz w:val="20"/>
                <w:szCs w:val="20"/>
                <w:color w:val="auto"/>
              </w:rPr>
            </w:pPr>
            <w:r>
              <w:rPr>
                <w:rFonts w:ascii="Arial" w:cs="Arial" w:eastAsia="Arial" w:hAnsi="Arial"/>
                <w:sz w:val="16"/>
                <w:szCs w:val="16"/>
                <w:color w:val="231F20"/>
              </w:rPr>
              <w:t>Vest 25% per year over four years on March 1, 2018 and each of the first three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6122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612265"/>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6"/>
          <w:szCs w:val="16"/>
          <w:color w:val="231F20"/>
        </w:rPr>
        <w:t>anniversaries of March 1, 2018, if and to the extent that the following conditions are met:</w:t>
      </w:r>
    </w:p>
    <w:p>
      <w:pPr>
        <w:spacing w:after="0" w:line="86" w:lineRule="exact"/>
        <w:rPr>
          <w:sz w:val="20"/>
          <w:szCs w:val="20"/>
          <w:color w:val="auto"/>
        </w:rPr>
      </w:pPr>
    </w:p>
    <w:p>
      <w:pPr>
        <w:ind w:left="5040"/>
        <w:spacing w:after="0"/>
        <w:tabs>
          <w:tab w:leader="none" w:pos="5200" w:val="left"/>
        </w:tabs>
        <w:rPr>
          <w:sz w:val="20"/>
          <w:szCs w:val="20"/>
          <w:color w:val="auto"/>
        </w:rPr>
      </w:pPr>
      <w:r>
        <w:rPr>
          <w:rFonts w:ascii="Arial" w:cs="Arial" w:eastAsia="Arial" w:hAnsi="Arial"/>
          <w:sz w:val="16"/>
          <w:szCs w:val="16"/>
          <w:color w:val="6F2875"/>
        </w:rPr>
        <w:t>•</w:t>
      </w:r>
      <w:r>
        <w:rPr>
          <w:rFonts w:ascii="Arial" w:cs="Arial" w:eastAsia="Arial" w:hAnsi="Arial"/>
          <w:sz w:val="16"/>
          <w:szCs w:val="16"/>
          <w:color w:val="231F20"/>
        </w:rPr>
        <w:tab/>
        <w:t>If the closing share price on the Nasdaq Stock Market on March 1, 2018 (the</w:t>
      </w:r>
    </w:p>
    <w:p>
      <w:pPr>
        <w:spacing w:after="0" w:line="5" w:lineRule="exact"/>
        <w:rPr>
          <w:sz w:val="20"/>
          <w:szCs w:val="20"/>
          <w:color w:val="auto"/>
        </w:rPr>
      </w:pPr>
    </w:p>
    <w:p>
      <w:pPr>
        <w:ind w:left="5220"/>
        <w:spacing w:after="0"/>
        <w:rPr>
          <w:sz w:val="20"/>
          <w:szCs w:val="20"/>
          <w:color w:val="auto"/>
        </w:rPr>
      </w:pPr>
      <w:r>
        <w:rPr>
          <w:rFonts w:ascii="Arial" w:cs="Arial" w:eastAsia="Arial" w:hAnsi="Arial"/>
          <w:sz w:val="16"/>
          <w:szCs w:val="16"/>
          <w:color w:val="231F20"/>
        </w:rPr>
        <w:t>“Measure Price”) is less than $57.50, all RSUs will lapse and be forfeited;</w:t>
      </w:r>
    </w:p>
    <w:p>
      <w:pPr>
        <w:spacing w:after="0" w:line="5" w:lineRule="exact"/>
        <w:rPr>
          <w:sz w:val="20"/>
          <w:szCs w:val="20"/>
          <w:color w:val="auto"/>
        </w:rPr>
      </w:pPr>
    </w:p>
    <w:p>
      <w:pPr>
        <w:ind w:left="5220" w:right="500" w:hanging="179"/>
        <w:spacing w:after="0" w:line="246" w:lineRule="auto"/>
        <w:tabs>
          <w:tab w:leader="none" w:pos="5200" w:val="left"/>
        </w:tabs>
        <w:rPr>
          <w:sz w:val="20"/>
          <w:szCs w:val="20"/>
          <w:color w:val="auto"/>
        </w:rPr>
      </w:pPr>
      <w:r>
        <w:rPr>
          <w:rFonts w:ascii="Arial" w:cs="Arial" w:eastAsia="Arial" w:hAnsi="Arial"/>
          <w:sz w:val="16"/>
          <w:szCs w:val="16"/>
          <w:color w:val="6F2875"/>
        </w:rPr>
        <w:t>•</w:t>
      </w:r>
      <w:r>
        <w:rPr>
          <w:rFonts w:ascii="Arial" w:cs="Arial" w:eastAsia="Arial" w:hAnsi="Arial"/>
          <w:sz w:val="16"/>
          <w:szCs w:val="16"/>
          <w:color w:val="231F20"/>
        </w:rPr>
        <w:tab/>
        <w:t>If the Measure Price is equal to $57.50, one-third of the RSUs will be eligible for vesting;</w:t>
      </w:r>
    </w:p>
    <w:p>
      <w:pPr>
        <w:spacing w:after="0" w:line="1" w:lineRule="exact"/>
        <w:rPr>
          <w:sz w:val="20"/>
          <w:szCs w:val="20"/>
          <w:color w:val="auto"/>
        </w:rPr>
      </w:pPr>
    </w:p>
    <w:p>
      <w:pPr>
        <w:ind w:left="5220" w:right="100" w:hanging="179"/>
        <w:spacing w:after="0" w:line="246" w:lineRule="auto"/>
        <w:tabs>
          <w:tab w:leader="none" w:pos="5200" w:val="left"/>
        </w:tabs>
        <w:rPr>
          <w:sz w:val="20"/>
          <w:szCs w:val="20"/>
          <w:color w:val="auto"/>
        </w:rPr>
      </w:pPr>
      <w:r>
        <w:rPr>
          <w:rFonts w:ascii="Arial" w:cs="Arial" w:eastAsia="Arial" w:hAnsi="Arial"/>
          <w:sz w:val="16"/>
          <w:szCs w:val="16"/>
          <w:color w:val="6F2875"/>
        </w:rPr>
        <w:t>•</w:t>
      </w:r>
      <w:r>
        <w:rPr>
          <w:rFonts w:ascii="Arial" w:cs="Arial" w:eastAsia="Arial" w:hAnsi="Arial"/>
          <w:sz w:val="16"/>
          <w:szCs w:val="16"/>
          <w:color w:val="231F20"/>
        </w:rPr>
        <w:tab/>
        <w:t>If the Measure Price is equal to or greater than $67.50, all of the RSUs will be eligible for vesting;</w:t>
      </w:r>
    </w:p>
    <w:p>
      <w:pPr>
        <w:spacing w:after="0" w:line="1" w:lineRule="exact"/>
        <w:rPr>
          <w:sz w:val="20"/>
          <w:szCs w:val="20"/>
          <w:color w:val="auto"/>
        </w:rPr>
      </w:pPr>
    </w:p>
    <w:p>
      <w:pPr>
        <w:ind w:left="5220" w:right="100" w:hanging="179"/>
        <w:spacing w:after="0" w:line="250" w:lineRule="auto"/>
        <w:tabs>
          <w:tab w:leader="none" w:pos="5200" w:val="left"/>
        </w:tabs>
        <w:rPr>
          <w:sz w:val="20"/>
          <w:szCs w:val="20"/>
          <w:color w:val="auto"/>
        </w:rPr>
      </w:pPr>
      <w:r>
        <w:rPr>
          <w:rFonts w:ascii="Arial" w:cs="Arial" w:eastAsia="Arial" w:hAnsi="Arial"/>
          <w:sz w:val="16"/>
          <w:szCs w:val="16"/>
          <w:color w:val="6F2875"/>
        </w:rPr>
        <w:t>•</w:t>
      </w:r>
      <w:r>
        <w:rPr>
          <w:rFonts w:ascii="Arial" w:cs="Arial" w:eastAsia="Arial" w:hAnsi="Arial"/>
          <w:sz w:val="16"/>
          <w:szCs w:val="16"/>
          <w:color w:val="231F20"/>
        </w:rPr>
        <w:tab/>
        <w:t>If the Measure Price falls between $57.50 and $67.50, the number of RSUs eligible for vesting will be equal to the sum of (i) one-third of the RSUs, plus (ii) that portion of the remaining two-thirds of the RSUs determined by linear interpolation (the difference between the Measure Price and the $57.50, divided by $10.00, and then multiplied by the number constituting two-thirds of the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0"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The Compensation Committee decided on one-year market condition to focus management on the need for an immediate response to our poor financial and stock performance in 2016.</w:t>
      </w:r>
    </w:p>
    <w:p>
      <w:pPr>
        <w:spacing w:after="0" w:line="162" w:lineRule="exact"/>
        <w:rPr>
          <w:sz w:val="20"/>
          <w:szCs w:val="20"/>
          <w:color w:val="auto"/>
        </w:rPr>
      </w:pPr>
    </w:p>
    <w:p>
      <w:pPr>
        <w:spacing w:after="0"/>
        <w:tabs>
          <w:tab w:leader="none" w:pos="4220" w:val="left"/>
          <w:tab w:leader="none" w:pos="9960" w:val="left"/>
        </w:tabs>
        <w:rPr>
          <w:sz w:val="20"/>
          <w:szCs w:val="20"/>
          <w:color w:val="auto"/>
        </w:rPr>
      </w:pPr>
      <w:r>
        <w:rPr>
          <w:rFonts w:ascii="Arial" w:cs="Arial" w:eastAsia="Arial" w:hAnsi="Arial"/>
          <w:sz w:val="16"/>
          <w:szCs w:val="16"/>
          <w:b w:val="1"/>
          <w:bCs w:val="1"/>
          <w:color w:val="auto"/>
        </w:rPr>
        <w:t>28</w:t>
      </w:r>
      <w:r>
        <w:rPr>
          <w:sz w:val="20"/>
          <w:szCs w:val="20"/>
          <w:color w:val="auto"/>
        </w:rPr>
        <w:tab/>
      </w: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r>
        <w:rPr>
          <w:sz w:val="20"/>
          <w:szCs w:val="20"/>
          <w:color w:val="auto"/>
        </w:rPr>
        <w:tab/>
      </w:r>
      <w:r>
        <w:rPr>
          <w:rFonts w:ascii="Arial" w:cs="Arial" w:eastAsia="Arial" w:hAnsi="Arial"/>
          <w:sz w:val="16"/>
          <w:szCs w:val="16"/>
          <w:b w:val="1"/>
          <w:bCs w:val="1"/>
          <w:color w:val="6F2875"/>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-36195</wp:posOffset>
            </wp:positionV>
            <wp:extent cx="1663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-36195</wp:posOffset>
            </wp:positionV>
            <wp:extent cx="23241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Mr. Manko received on May 5, 2017 an equity award having a total value at grant date of $334,260 in SARs and performance-based RSUs. The grant of performance-based RSUs is tied to Mr. Manko’s strategic role in the integration of a global accounting process and system for LivaNova. The award had the following structure.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50" w:type="dxa"/>
            <w:vAlign w:val="bottom"/>
            <w:tcBorders>
              <w:bottom w:val="single" w:sz="8" w:color="6F2875"/>
            </w:tcBorders>
          </w:tcPr>
          <w:p>
            <w:pPr>
              <w:ind w:left="60"/>
              <w:spacing w:after="0"/>
              <w:rPr>
                <w:sz w:val="20"/>
                <w:szCs w:val="20"/>
                <w:color w:val="auto"/>
              </w:rPr>
            </w:pPr>
            <w:r>
              <w:rPr>
                <w:rFonts w:ascii="Arial" w:cs="Arial" w:eastAsia="Arial" w:hAnsi="Arial"/>
                <w:sz w:val="16"/>
                <w:szCs w:val="16"/>
                <w:b w:val="1"/>
                <w:bCs w:val="1"/>
                <w:color w:val="6F2875"/>
              </w:rPr>
              <w:t>Type of Award</w:t>
            </w:r>
          </w:p>
        </w:tc>
        <w:tc>
          <w:tcPr>
            <w:tcW w:w="7870" w:type="dxa"/>
            <w:vAlign w:val="bottom"/>
            <w:tcBorders>
              <w:bottom w:val="single" w:sz="8" w:color="6F2875"/>
            </w:tcBorders>
          </w:tcPr>
          <w:p>
            <w:pPr>
              <w:ind w:left="490"/>
              <w:spacing w:after="0"/>
              <w:rPr>
                <w:sz w:val="20"/>
                <w:szCs w:val="20"/>
                <w:color w:val="auto"/>
              </w:rPr>
            </w:pPr>
            <w:r>
              <w:rPr>
                <w:rFonts w:ascii="Arial" w:cs="Arial" w:eastAsia="Arial" w:hAnsi="Arial"/>
                <w:sz w:val="16"/>
                <w:szCs w:val="16"/>
                <w:b w:val="1"/>
                <w:bCs w:val="1"/>
                <w:color w:val="6F2875"/>
              </w:rPr>
              <w:t>Weighting   Vesting Schedule</w:t>
            </w:r>
          </w:p>
        </w:tc>
      </w:tr>
      <w:tr>
        <w:trPr>
          <w:trHeight w:val="208"/>
        </w:trPr>
        <w:tc>
          <w:tcPr>
            <w:tcW w:w="3550" w:type="dxa"/>
            <w:vAlign w:val="bottom"/>
          </w:tcPr>
          <w:p>
            <w:pPr>
              <w:ind w:left="60"/>
              <w:spacing w:after="0"/>
              <w:rPr>
                <w:sz w:val="20"/>
                <w:szCs w:val="20"/>
                <w:color w:val="auto"/>
              </w:rPr>
            </w:pPr>
            <w:r>
              <w:rPr>
                <w:rFonts w:ascii="Arial" w:cs="Arial" w:eastAsia="Arial" w:hAnsi="Arial"/>
                <w:sz w:val="16"/>
                <w:szCs w:val="16"/>
                <w:b w:val="1"/>
                <w:bCs w:val="1"/>
                <w:color w:val="6F2875"/>
              </w:rPr>
              <w:t>SARs</w:t>
            </w:r>
          </w:p>
        </w:tc>
        <w:tc>
          <w:tcPr>
            <w:tcW w:w="7870" w:type="dxa"/>
            <w:vAlign w:val="bottom"/>
          </w:tcPr>
          <w:p>
            <w:pPr>
              <w:ind w:left="950"/>
              <w:spacing w:after="0"/>
              <w:rPr>
                <w:sz w:val="20"/>
                <w:szCs w:val="20"/>
                <w:color w:val="auto"/>
              </w:rPr>
            </w:pPr>
            <w:r>
              <w:rPr>
                <w:rFonts w:ascii="Arial" w:cs="Arial" w:eastAsia="Arial" w:hAnsi="Arial"/>
                <w:sz w:val="16"/>
                <w:szCs w:val="16"/>
                <w:color w:val="231F20"/>
              </w:rPr>
              <w:t>50%   Vest 25% per year over four years on the first four anniversaries of the grant date.</w:t>
            </w:r>
          </w:p>
        </w:tc>
      </w:tr>
      <w:tr>
        <w:trPr>
          <w:trHeight w:val="28"/>
        </w:trPr>
        <w:tc>
          <w:tcPr>
            <w:tcW w:w="3550" w:type="dxa"/>
            <w:vAlign w:val="bottom"/>
          </w:tcPr>
          <w:p>
            <w:pPr>
              <w:spacing w:after="0"/>
              <w:rPr>
                <w:sz w:val="2"/>
                <w:szCs w:val="2"/>
                <w:color w:val="auto"/>
              </w:rPr>
            </w:pPr>
          </w:p>
        </w:tc>
        <w:tc>
          <w:tcPr>
            <w:tcW w:w="7870" w:type="dxa"/>
            <w:vAlign w:val="bottom"/>
          </w:tcPr>
          <w:p>
            <w:pPr>
              <w:spacing w:after="0"/>
              <w:rPr>
                <w:sz w:val="2"/>
                <w:szCs w:val="2"/>
                <w:color w:val="auto"/>
              </w:rPr>
            </w:pPr>
          </w:p>
        </w:tc>
      </w:tr>
      <w:tr>
        <w:trPr>
          <w:trHeight w:val="191"/>
        </w:trPr>
        <w:tc>
          <w:tcPr>
            <w:tcW w:w="3550" w:type="dxa"/>
            <w:vAlign w:val="bottom"/>
            <w:shd w:val="clear" w:color="auto" w:fill="F3EDF3"/>
          </w:tcPr>
          <w:p>
            <w:pPr>
              <w:ind w:left="60"/>
              <w:spacing w:after="0"/>
              <w:rPr>
                <w:sz w:val="20"/>
                <w:szCs w:val="20"/>
                <w:color w:val="auto"/>
              </w:rPr>
            </w:pPr>
            <w:r>
              <w:rPr>
                <w:rFonts w:ascii="Arial" w:cs="Arial" w:eastAsia="Arial" w:hAnsi="Arial"/>
                <w:sz w:val="16"/>
                <w:szCs w:val="16"/>
                <w:b w:val="1"/>
                <w:bCs w:val="1"/>
                <w:color w:val="6F2875"/>
              </w:rPr>
              <w:t>Net Sales RSUs</w:t>
            </w:r>
          </w:p>
        </w:tc>
        <w:tc>
          <w:tcPr>
            <w:tcW w:w="7870" w:type="dxa"/>
            <w:vAlign w:val="bottom"/>
            <w:shd w:val="clear" w:color="auto" w:fill="F3EDF3"/>
          </w:tcPr>
          <w:p>
            <w:pPr>
              <w:ind w:left="950"/>
              <w:spacing w:after="0"/>
              <w:rPr>
                <w:sz w:val="20"/>
                <w:szCs w:val="20"/>
                <w:color w:val="auto"/>
              </w:rPr>
            </w:pPr>
            <w:r>
              <w:rPr>
                <w:rFonts w:ascii="Arial" w:cs="Arial" w:eastAsia="Arial" w:hAnsi="Arial"/>
                <w:sz w:val="16"/>
                <w:szCs w:val="16"/>
                <w:color w:val="231F20"/>
              </w:rPr>
              <w:t>25%   Vest 25% per year over four years on the second day after the Company announces its</w:t>
            </w:r>
          </w:p>
        </w:tc>
      </w:tr>
      <w:tr>
        <w:trPr>
          <w:trHeight w:val="189"/>
        </w:trPr>
        <w:tc>
          <w:tcPr>
            <w:tcW w:w="3550" w:type="dxa"/>
            <w:vAlign w:val="bottom"/>
            <w:shd w:val="clear" w:color="auto" w:fill="F3EDF3"/>
          </w:tcPr>
          <w:p>
            <w:pPr>
              <w:spacing w:after="0"/>
              <w:rPr>
                <w:sz w:val="16"/>
                <w:szCs w:val="16"/>
                <w:color w:val="auto"/>
              </w:rPr>
            </w:pPr>
          </w:p>
        </w:tc>
        <w:tc>
          <w:tcPr>
            <w:tcW w:w="7870" w:type="dxa"/>
            <w:vAlign w:val="bottom"/>
            <w:shd w:val="clear" w:color="auto" w:fill="F3EDF3"/>
          </w:tcPr>
          <w:p>
            <w:pPr>
              <w:ind w:left="1490"/>
              <w:spacing w:after="0"/>
              <w:rPr>
                <w:sz w:val="20"/>
                <w:szCs w:val="20"/>
                <w:color w:val="auto"/>
              </w:rPr>
            </w:pPr>
            <w:r>
              <w:rPr>
                <w:rFonts w:ascii="Arial" w:cs="Arial" w:eastAsia="Arial" w:hAnsi="Arial"/>
                <w:sz w:val="16"/>
                <w:szCs w:val="16"/>
                <w:color w:val="231F20"/>
              </w:rPr>
              <w:t>2017 financial results (March 1, 2018) and each of the first three anniversaries of March</w:t>
            </w:r>
          </w:p>
        </w:tc>
      </w:tr>
      <w:tr>
        <w:trPr>
          <w:trHeight w:val="187"/>
        </w:trPr>
        <w:tc>
          <w:tcPr>
            <w:tcW w:w="3550" w:type="dxa"/>
            <w:vAlign w:val="bottom"/>
            <w:shd w:val="clear" w:color="auto" w:fill="F3EDF3"/>
          </w:tcPr>
          <w:p>
            <w:pPr>
              <w:spacing w:after="0"/>
              <w:rPr>
                <w:sz w:val="16"/>
                <w:szCs w:val="16"/>
                <w:color w:val="auto"/>
              </w:rPr>
            </w:pPr>
          </w:p>
        </w:tc>
        <w:tc>
          <w:tcPr>
            <w:tcW w:w="7870" w:type="dxa"/>
            <w:vAlign w:val="bottom"/>
            <w:shd w:val="clear" w:color="auto" w:fill="F3EDF3"/>
          </w:tcPr>
          <w:p>
            <w:pPr>
              <w:ind w:left="1490"/>
              <w:spacing w:after="0"/>
              <w:rPr>
                <w:sz w:val="20"/>
                <w:szCs w:val="20"/>
                <w:color w:val="auto"/>
              </w:rPr>
            </w:pPr>
            <w:r>
              <w:rPr>
                <w:rFonts w:ascii="Arial" w:cs="Arial" w:eastAsia="Arial" w:hAnsi="Arial"/>
                <w:sz w:val="16"/>
                <w:szCs w:val="16"/>
                <w:color w:val="231F20"/>
              </w:rPr>
              <w:t>1, 2018, if and to the extent that the following conditions are met:</w:t>
            </w:r>
          </w:p>
        </w:tc>
      </w:tr>
      <w:tr>
        <w:trPr>
          <w:trHeight w:val="191"/>
        </w:trPr>
        <w:tc>
          <w:tcPr>
            <w:tcW w:w="3550" w:type="dxa"/>
            <w:vAlign w:val="bottom"/>
            <w:shd w:val="clear" w:color="auto" w:fill="F3EDF3"/>
          </w:tcPr>
          <w:p>
            <w:pPr>
              <w:spacing w:after="0"/>
              <w:rPr>
                <w:sz w:val="16"/>
                <w:szCs w:val="16"/>
                <w:color w:val="auto"/>
              </w:rPr>
            </w:pPr>
          </w:p>
        </w:tc>
        <w:tc>
          <w:tcPr>
            <w:tcW w:w="7870" w:type="dxa"/>
            <w:vAlign w:val="bottom"/>
            <w:shd w:val="clear" w:color="auto" w:fill="F3EDF3"/>
          </w:tcPr>
          <w:p>
            <w:pPr>
              <w:ind w:left="1490"/>
              <w:spacing w:after="0"/>
              <w:rPr>
                <w:sz w:val="20"/>
                <w:szCs w:val="20"/>
                <w:color w:val="auto"/>
              </w:rPr>
            </w:pPr>
            <w:r>
              <w:rPr>
                <w:rFonts w:ascii="Arial" w:cs="Arial" w:eastAsia="Arial" w:hAnsi="Arial"/>
                <w:sz w:val="16"/>
                <w:szCs w:val="16"/>
                <w:color w:val="6F2875"/>
              </w:rPr>
              <w:t xml:space="preserve">•  </w:t>
            </w:r>
            <w:r>
              <w:rPr>
                <w:rFonts w:ascii="Arial" w:cs="Arial" w:eastAsia="Arial" w:hAnsi="Arial"/>
                <w:sz w:val="16"/>
                <w:szCs w:val="16"/>
                <w:color w:val="231F20"/>
              </w:rPr>
              <w:t>If the adjusted net sales, as reported in the Company’s press release announcing its</w:t>
            </w:r>
          </w:p>
        </w:tc>
      </w:tr>
      <w:tr>
        <w:trPr>
          <w:trHeight w:val="189"/>
        </w:trPr>
        <w:tc>
          <w:tcPr>
            <w:tcW w:w="3550" w:type="dxa"/>
            <w:vAlign w:val="bottom"/>
            <w:shd w:val="clear" w:color="auto" w:fill="F3EDF3"/>
          </w:tcPr>
          <w:p>
            <w:pPr>
              <w:spacing w:after="0"/>
              <w:rPr>
                <w:sz w:val="16"/>
                <w:szCs w:val="16"/>
                <w:color w:val="auto"/>
              </w:rPr>
            </w:pPr>
          </w:p>
        </w:tc>
        <w:tc>
          <w:tcPr>
            <w:tcW w:w="7870" w:type="dxa"/>
            <w:vAlign w:val="bottom"/>
            <w:shd w:val="clear" w:color="auto" w:fill="F3EDF3"/>
          </w:tcPr>
          <w:p>
            <w:pPr>
              <w:ind w:left="1670"/>
              <w:spacing w:after="0"/>
              <w:rPr>
                <w:sz w:val="20"/>
                <w:szCs w:val="20"/>
                <w:color w:val="auto"/>
              </w:rPr>
            </w:pPr>
            <w:r>
              <w:rPr>
                <w:rFonts w:ascii="Arial" w:cs="Arial" w:eastAsia="Arial" w:hAnsi="Arial"/>
                <w:sz w:val="16"/>
                <w:szCs w:val="16"/>
                <w:color w:val="231F20"/>
              </w:rPr>
              <w:t>2017 full-year financial result, at the budgeted currency exchange rates, excluding the</w:t>
            </w:r>
          </w:p>
        </w:tc>
      </w:tr>
      <w:tr>
        <w:trPr>
          <w:trHeight w:val="189"/>
        </w:trPr>
        <w:tc>
          <w:tcPr>
            <w:tcW w:w="3550" w:type="dxa"/>
            <w:vAlign w:val="bottom"/>
            <w:shd w:val="clear" w:color="auto" w:fill="F3EDF3"/>
          </w:tcPr>
          <w:p>
            <w:pPr>
              <w:spacing w:after="0"/>
              <w:rPr>
                <w:sz w:val="16"/>
                <w:szCs w:val="16"/>
                <w:color w:val="auto"/>
              </w:rPr>
            </w:pPr>
          </w:p>
        </w:tc>
        <w:tc>
          <w:tcPr>
            <w:tcW w:w="7870" w:type="dxa"/>
            <w:vAlign w:val="bottom"/>
            <w:shd w:val="clear" w:color="auto" w:fill="F3EDF3"/>
          </w:tcPr>
          <w:p>
            <w:pPr>
              <w:ind w:left="1670"/>
              <w:spacing w:after="0"/>
              <w:rPr>
                <w:sz w:val="20"/>
                <w:szCs w:val="20"/>
                <w:color w:val="auto"/>
              </w:rPr>
            </w:pPr>
            <w:r>
              <w:rPr>
                <w:rFonts w:ascii="Arial" w:cs="Arial" w:eastAsia="Arial" w:hAnsi="Arial"/>
                <w:sz w:val="16"/>
                <w:szCs w:val="16"/>
                <w:color w:val="231F20"/>
              </w:rPr>
              <w:t>impact of acquisitions and divestitures (“Adjusted Net Sales”), is less than 95% of</w:t>
            </w:r>
          </w:p>
        </w:tc>
      </w:tr>
      <w:tr>
        <w:trPr>
          <w:trHeight w:val="187"/>
        </w:trPr>
        <w:tc>
          <w:tcPr>
            <w:tcW w:w="3550" w:type="dxa"/>
            <w:vAlign w:val="bottom"/>
            <w:shd w:val="clear" w:color="auto" w:fill="F3EDF3"/>
          </w:tcPr>
          <w:p>
            <w:pPr>
              <w:spacing w:after="0"/>
              <w:rPr>
                <w:sz w:val="16"/>
                <w:szCs w:val="16"/>
                <w:color w:val="auto"/>
              </w:rPr>
            </w:pPr>
          </w:p>
        </w:tc>
        <w:tc>
          <w:tcPr>
            <w:tcW w:w="7870" w:type="dxa"/>
            <w:vAlign w:val="bottom"/>
            <w:shd w:val="clear" w:color="auto" w:fill="F3EDF3"/>
          </w:tcPr>
          <w:p>
            <w:pPr>
              <w:ind w:left="1670"/>
              <w:spacing w:after="0"/>
              <w:rPr>
                <w:sz w:val="20"/>
                <w:szCs w:val="20"/>
                <w:color w:val="auto"/>
              </w:rPr>
            </w:pPr>
            <w:r>
              <w:rPr>
                <w:rFonts w:ascii="Arial" w:cs="Arial" w:eastAsia="Arial" w:hAnsi="Arial"/>
                <w:sz w:val="16"/>
                <w:szCs w:val="16"/>
                <w:color w:val="231F20"/>
              </w:rPr>
              <w:t>$1,263.6 million (“Target Net Sales”), all Net Sales RSUs shall lapse;</w:t>
            </w:r>
          </w:p>
        </w:tc>
      </w:tr>
      <w:tr>
        <w:trPr>
          <w:trHeight w:val="191"/>
        </w:trPr>
        <w:tc>
          <w:tcPr>
            <w:tcW w:w="3550" w:type="dxa"/>
            <w:vAlign w:val="bottom"/>
            <w:shd w:val="clear" w:color="auto" w:fill="F3EDF3"/>
          </w:tcPr>
          <w:p>
            <w:pPr>
              <w:spacing w:after="0"/>
              <w:rPr>
                <w:sz w:val="16"/>
                <w:szCs w:val="16"/>
                <w:color w:val="auto"/>
              </w:rPr>
            </w:pPr>
          </w:p>
        </w:tc>
        <w:tc>
          <w:tcPr>
            <w:tcW w:w="7870" w:type="dxa"/>
            <w:vAlign w:val="bottom"/>
            <w:shd w:val="clear" w:color="auto" w:fill="F3EDF3"/>
          </w:tcPr>
          <w:p>
            <w:pPr>
              <w:ind w:left="1490"/>
              <w:spacing w:after="0"/>
              <w:rPr>
                <w:sz w:val="20"/>
                <w:szCs w:val="20"/>
                <w:color w:val="auto"/>
              </w:rPr>
            </w:pPr>
            <w:r>
              <w:rPr>
                <w:rFonts w:ascii="Arial" w:cs="Arial" w:eastAsia="Arial" w:hAnsi="Arial"/>
                <w:sz w:val="16"/>
                <w:szCs w:val="16"/>
                <w:color w:val="6F2875"/>
              </w:rPr>
              <w:t xml:space="preserve">•  </w:t>
            </w:r>
            <w:r>
              <w:rPr>
                <w:rFonts w:ascii="Arial" w:cs="Arial" w:eastAsia="Arial" w:hAnsi="Arial"/>
                <w:sz w:val="16"/>
                <w:szCs w:val="16"/>
                <w:color w:val="231F20"/>
              </w:rPr>
              <w:t>If Adjusted Net Sales is equal to 95% of Target Net Sales, 50% of the Net Sales</w:t>
            </w:r>
          </w:p>
        </w:tc>
      </w:tr>
      <w:tr>
        <w:trPr>
          <w:trHeight w:val="187"/>
        </w:trPr>
        <w:tc>
          <w:tcPr>
            <w:tcW w:w="3550" w:type="dxa"/>
            <w:vAlign w:val="bottom"/>
            <w:shd w:val="clear" w:color="auto" w:fill="F3EDF3"/>
          </w:tcPr>
          <w:p>
            <w:pPr>
              <w:spacing w:after="0"/>
              <w:rPr>
                <w:sz w:val="16"/>
                <w:szCs w:val="16"/>
                <w:color w:val="auto"/>
              </w:rPr>
            </w:pPr>
          </w:p>
        </w:tc>
        <w:tc>
          <w:tcPr>
            <w:tcW w:w="7870" w:type="dxa"/>
            <w:vAlign w:val="bottom"/>
            <w:shd w:val="clear" w:color="auto" w:fill="F3EDF3"/>
          </w:tcPr>
          <w:p>
            <w:pPr>
              <w:ind w:left="1670"/>
              <w:spacing w:after="0"/>
              <w:rPr>
                <w:sz w:val="20"/>
                <w:szCs w:val="20"/>
                <w:color w:val="auto"/>
              </w:rPr>
            </w:pPr>
            <w:r>
              <w:rPr>
                <w:rFonts w:ascii="Arial" w:cs="Arial" w:eastAsia="Arial" w:hAnsi="Arial"/>
                <w:sz w:val="16"/>
                <w:szCs w:val="16"/>
                <w:color w:val="231F20"/>
              </w:rPr>
              <w:t>RSUs will vest;</w:t>
            </w:r>
          </w:p>
        </w:tc>
      </w:tr>
      <w:tr>
        <w:trPr>
          <w:trHeight w:val="191"/>
        </w:trPr>
        <w:tc>
          <w:tcPr>
            <w:tcW w:w="3550" w:type="dxa"/>
            <w:vAlign w:val="bottom"/>
            <w:shd w:val="clear" w:color="auto" w:fill="F3EDF3"/>
          </w:tcPr>
          <w:p>
            <w:pPr>
              <w:spacing w:after="0"/>
              <w:rPr>
                <w:sz w:val="16"/>
                <w:szCs w:val="16"/>
                <w:color w:val="auto"/>
              </w:rPr>
            </w:pPr>
          </w:p>
        </w:tc>
        <w:tc>
          <w:tcPr>
            <w:tcW w:w="7870" w:type="dxa"/>
            <w:vAlign w:val="bottom"/>
            <w:shd w:val="clear" w:color="auto" w:fill="F3EDF3"/>
          </w:tcPr>
          <w:p>
            <w:pPr>
              <w:ind w:left="1490"/>
              <w:spacing w:after="0"/>
              <w:rPr>
                <w:sz w:val="20"/>
                <w:szCs w:val="20"/>
                <w:color w:val="auto"/>
              </w:rPr>
            </w:pPr>
            <w:r>
              <w:rPr>
                <w:rFonts w:ascii="Arial" w:cs="Arial" w:eastAsia="Arial" w:hAnsi="Arial"/>
                <w:sz w:val="16"/>
                <w:szCs w:val="16"/>
                <w:color w:val="6F2875"/>
              </w:rPr>
              <w:t xml:space="preserve">•  </w:t>
            </w:r>
            <w:r>
              <w:rPr>
                <w:rFonts w:ascii="Arial" w:cs="Arial" w:eastAsia="Arial" w:hAnsi="Arial"/>
                <w:sz w:val="16"/>
                <w:szCs w:val="16"/>
                <w:color w:val="231F20"/>
              </w:rPr>
              <w:t>If Adjusted Net Sales is between 95% and 100% of Target Net Sales, Net Sales</w:t>
            </w:r>
          </w:p>
        </w:tc>
      </w:tr>
      <w:tr>
        <w:trPr>
          <w:trHeight w:val="189"/>
        </w:trPr>
        <w:tc>
          <w:tcPr>
            <w:tcW w:w="3550" w:type="dxa"/>
            <w:vAlign w:val="bottom"/>
            <w:shd w:val="clear" w:color="auto" w:fill="F3EDF3"/>
          </w:tcPr>
          <w:p>
            <w:pPr>
              <w:spacing w:after="0"/>
              <w:rPr>
                <w:sz w:val="16"/>
                <w:szCs w:val="16"/>
                <w:color w:val="auto"/>
              </w:rPr>
            </w:pPr>
          </w:p>
        </w:tc>
        <w:tc>
          <w:tcPr>
            <w:tcW w:w="7870" w:type="dxa"/>
            <w:vAlign w:val="bottom"/>
            <w:shd w:val="clear" w:color="auto" w:fill="F3EDF3"/>
          </w:tcPr>
          <w:p>
            <w:pPr>
              <w:ind w:left="1670"/>
              <w:spacing w:after="0"/>
              <w:rPr>
                <w:sz w:val="20"/>
                <w:szCs w:val="20"/>
                <w:color w:val="auto"/>
              </w:rPr>
            </w:pPr>
            <w:r>
              <w:rPr>
                <w:rFonts w:ascii="Arial" w:cs="Arial" w:eastAsia="Arial" w:hAnsi="Arial"/>
                <w:sz w:val="16"/>
                <w:szCs w:val="16"/>
                <w:color w:val="231F20"/>
              </w:rPr>
              <w:t>RSUs that vest shall be equal to the sum of (i) 50% of Net Sales RSUs and (ii) that</w:t>
            </w:r>
          </w:p>
        </w:tc>
      </w:tr>
      <w:tr>
        <w:trPr>
          <w:trHeight w:val="189"/>
        </w:trPr>
        <w:tc>
          <w:tcPr>
            <w:tcW w:w="3550" w:type="dxa"/>
            <w:vAlign w:val="bottom"/>
            <w:shd w:val="clear" w:color="auto" w:fill="F3EDF3"/>
          </w:tcPr>
          <w:p>
            <w:pPr>
              <w:spacing w:after="0"/>
              <w:rPr>
                <w:sz w:val="16"/>
                <w:szCs w:val="16"/>
                <w:color w:val="auto"/>
              </w:rPr>
            </w:pPr>
          </w:p>
        </w:tc>
        <w:tc>
          <w:tcPr>
            <w:tcW w:w="7870" w:type="dxa"/>
            <w:vAlign w:val="bottom"/>
            <w:shd w:val="clear" w:color="auto" w:fill="F3EDF3"/>
          </w:tcPr>
          <w:p>
            <w:pPr>
              <w:ind w:left="1670"/>
              <w:spacing w:after="0"/>
              <w:rPr>
                <w:sz w:val="20"/>
                <w:szCs w:val="20"/>
                <w:color w:val="auto"/>
              </w:rPr>
            </w:pPr>
            <w:r>
              <w:rPr>
                <w:rFonts w:ascii="Arial" w:cs="Arial" w:eastAsia="Arial" w:hAnsi="Arial"/>
                <w:sz w:val="16"/>
                <w:szCs w:val="16"/>
                <w:color w:val="231F20"/>
              </w:rPr>
              <w:t>portion of 50% of Net Sales RSUs determined by linear interpolation between 95%</w:t>
            </w:r>
          </w:p>
        </w:tc>
      </w:tr>
      <w:tr>
        <w:trPr>
          <w:trHeight w:val="187"/>
        </w:trPr>
        <w:tc>
          <w:tcPr>
            <w:tcW w:w="3550" w:type="dxa"/>
            <w:vAlign w:val="bottom"/>
            <w:shd w:val="clear" w:color="auto" w:fill="F3EDF3"/>
          </w:tcPr>
          <w:p>
            <w:pPr>
              <w:spacing w:after="0"/>
              <w:rPr>
                <w:sz w:val="16"/>
                <w:szCs w:val="16"/>
                <w:color w:val="auto"/>
              </w:rPr>
            </w:pPr>
          </w:p>
        </w:tc>
        <w:tc>
          <w:tcPr>
            <w:tcW w:w="7870" w:type="dxa"/>
            <w:vAlign w:val="bottom"/>
            <w:shd w:val="clear" w:color="auto" w:fill="F3EDF3"/>
          </w:tcPr>
          <w:p>
            <w:pPr>
              <w:ind w:left="1670"/>
              <w:spacing w:after="0"/>
              <w:rPr>
                <w:sz w:val="20"/>
                <w:szCs w:val="20"/>
                <w:color w:val="auto"/>
              </w:rPr>
            </w:pPr>
            <w:r>
              <w:rPr>
                <w:rFonts w:ascii="Arial" w:cs="Arial" w:eastAsia="Arial" w:hAnsi="Arial"/>
                <w:sz w:val="16"/>
                <w:szCs w:val="16"/>
                <w:color w:val="231F20"/>
              </w:rPr>
              <w:t>and 100% of Target Net Sales;</w:t>
            </w:r>
          </w:p>
        </w:tc>
      </w:tr>
      <w:tr>
        <w:trPr>
          <w:trHeight w:val="191"/>
        </w:trPr>
        <w:tc>
          <w:tcPr>
            <w:tcW w:w="3550" w:type="dxa"/>
            <w:vAlign w:val="bottom"/>
            <w:shd w:val="clear" w:color="auto" w:fill="F3EDF3"/>
          </w:tcPr>
          <w:p>
            <w:pPr>
              <w:spacing w:after="0"/>
              <w:rPr>
                <w:sz w:val="16"/>
                <w:szCs w:val="16"/>
                <w:color w:val="auto"/>
              </w:rPr>
            </w:pPr>
          </w:p>
        </w:tc>
        <w:tc>
          <w:tcPr>
            <w:tcW w:w="7870" w:type="dxa"/>
            <w:vAlign w:val="bottom"/>
            <w:shd w:val="clear" w:color="auto" w:fill="F3EDF3"/>
          </w:tcPr>
          <w:p>
            <w:pPr>
              <w:ind w:left="1490"/>
              <w:spacing w:after="0"/>
              <w:rPr>
                <w:sz w:val="20"/>
                <w:szCs w:val="20"/>
                <w:color w:val="auto"/>
              </w:rPr>
            </w:pPr>
            <w:r>
              <w:rPr>
                <w:rFonts w:ascii="Arial" w:cs="Arial" w:eastAsia="Arial" w:hAnsi="Arial"/>
                <w:sz w:val="16"/>
                <w:szCs w:val="16"/>
                <w:color w:val="6F2875"/>
              </w:rPr>
              <w:t xml:space="preserve">•  </w:t>
            </w:r>
            <w:r>
              <w:rPr>
                <w:rFonts w:ascii="Arial" w:cs="Arial" w:eastAsia="Arial" w:hAnsi="Arial"/>
                <w:sz w:val="16"/>
                <w:szCs w:val="16"/>
                <w:color w:val="231F20"/>
              </w:rPr>
              <w:t>If Adjusted Net Sales is equal to 100% of Target Net Sales, 100% of the Net Sales</w:t>
            </w:r>
          </w:p>
        </w:tc>
      </w:tr>
      <w:tr>
        <w:trPr>
          <w:trHeight w:val="189"/>
        </w:trPr>
        <w:tc>
          <w:tcPr>
            <w:tcW w:w="3550" w:type="dxa"/>
            <w:vAlign w:val="bottom"/>
            <w:shd w:val="clear" w:color="auto" w:fill="F3EDF3"/>
          </w:tcPr>
          <w:p>
            <w:pPr>
              <w:spacing w:after="0"/>
              <w:rPr>
                <w:sz w:val="16"/>
                <w:szCs w:val="16"/>
                <w:color w:val="auto"/>
              </w:rPr>
            </w:pPr>
          </w:p>
        </w:tc>
        <w:tc>
          <w:tcPr>
            <w:tcW w:w="7870" w:type="dxa"/>
            <w:vAlign w:val="bottom"/>
            <w:shd w:val="clear" w:color="auto" w:fill="F3EDF3"/>
          </w:tcPr>
          <w:p>
            <w:pPr>
              <w:ind w:left="1670"/>
              <w:spacing w:after="0"/>
              <w:rPr>
                <w:sz w:val="20"/>
                <w:szCs w:val="20"/>
                <w:color w:val="auto"/>
              </w:rPr>
            </w:pPr>
            <w:r>
              <w:rPr>
                <w:rFonts w:ascii="Arial" w:cs="Arial" w:eastAsia="Arial" w:hAnsi="Arial"/>
                <w:sz w:val="16"/>
                <w:szCs w:val="16"/>
                <w:color w:val="231F20"/>
              </w:rPr>
              <w:t>RSUs will vest.</w:t>
            </w:r>
          </w:p>
        </w:tc>
      </w:tr>
      <w:tr>
        <w:trPr>
          <w:trHeight w:val="189"/>
        </w:trPr>
        <w:tc>
          <w:tcPr>
            <w:tcW w:w="3550" w:type="dxa"/>
            <w:vAlign w:val="bottom"/>
            <w:shd w:val="clear" w:color="auto" w:fill="F3EDF3"/>
          </w:tcPr>
          <w:p>
            <w:pPr>
              <w:spacing w:after="0"/>
              <w:rPr>
                <w:sz w:val="16"/>
                <w:szCs w:val="16"/>
                <w:color w:val="auto"/>
              </w:rPr>
            </w:pPr>
          </w:p>
        </w:tc>
        <w:tc>
          <w:tcPr>
            <w:tcW w:w="7870" w:type="dxa"/>
            <w:vAlign w:val="bottom"/>
            <w:shd w:val="clear" w:color="auto" w:fill="F3EDF3"/>
          </w:tcPr>
          <w:p>
            <w:pPr>
              <w:ind w:left="1490"/>
              <w:spacing w:after="0"/>
              <w:rPr>
                <w:sz w:val="20"/>
                <w:szCs w:val="20"/>
                <w:color w:val="auto"/>
              </w:rPr>
            </w:pPr>
            <w:r>
              <w:rPr>
                <w:rFonts w:ascii="Arial" w:cs="Arial" w:eastAsia="Arial" w:hAnsi="Arial"/>
                <w:sz w:val="16"/>
                <w:szCs w:val="16"/>
                <w:color w:val="6F2875"/>
              </w:rPr>
              <w:t xml:space="preserve">•  </w:t>
            </w:r>
            <w:r>
              <w:rPr>
                <w:rFonts w:ascii="Arial" w:cs="Arial" w:eastAsia="Arial" w:hAnsi="Arial"/>
                <w:sz w:val="16"/>
                <w:szCs w:val="16"/>
                <w:color w:val="231F20"/>
              </w:rPr>
              <w:t>If Adjusted Net Sales is greater than 100% of Target Net Sales, Net Sales RSUs that</w:t>
            </w:r>
          </w:p>
        </w:tc>
      </w:tr>
      <w:tr>
        <w:trPr>
          <w:trHeight w:val="189"/>
        </w:trPr>
        <w:tc>
          <w:tcPr>
            <w:tcW w:w="3550" w:type="dxa"/>
            <w:vAlign w:val="bottom"/>
            <w:shd w:val="clear" w:color="auto" w:fill="F3EDF3"/>
          </w:tcPr>
          <w:p>
            <w:pPr>
              <w:spacing w:after="0"/>
              <w:rPr>
                <w:sz w:val="16"/>
                <w:szCs w:val="16"/>
                <w:color w:val="auto"/>
              </w:rPr>
            </w:pPr>
          </w:p>
        </w:tc>
        <w:tc>
          <w:tcPr>
            <w:tcW w:w="7870" w:type="dxa"/>
            <w:vAlign w:val="bottom"/>
            <w:shd w:val="clear" w:color="auto" w:fill="F3EDF3"/>
          </w:tcPr>
          <w:p>
            <w:pPr>
              <w:ind w:left="1670"/>
              <w:spacing w:after="0"/>
              <w:rPr>
                <w:sz w:val="20"/>
                <w:szCs w:val="20"/>
                <w:color w:val="auto"/>
              </w:rPr>
            </w:pPr>
            <w:r>
              <w:rPr>
                <w:rFonts w:ascii="Arial" w:cs="Arial" w:eastAsia="Arial" w:hAnsi="Arial"/>
                <w:sz w:val="16"/>
                <w:szCs w:val="16"/>
                <w:color w:val="231F20"/>
              </w:rPr>
              <w:t>vest shall equal the sum of (i) 100% of Net Sales RSUs and (ii) that portion of 75% of</w:t>
            </w:r>
          </w:p>
        </w:tc>
      </w:tr>
      <w:tr>
        <w:trPr>
          <w:trHeight w:val="189"/>
        </w:trPr>
        <w:tc>
          <w:tcPr>
            <w:tcW w:w="3550" w:type="dxa"/>
            <w:vAlign w:val="bottom"/>
            <w:shd w:val="clear" w:color="auto" w:fill="F3EDF3"/>
          </w:tcPr>
          <w:p>
            <w:pPr>
              <w:spacing w:after="0"/>
              <w:rPr>
                <w:sz w:val="16"/>
                <w:szCs w:val="16"/>
                <w:color w:val="auto"/>
              </w:rPr>
            </w:pPr>
          </w:p>
        </w:tc>
        <w:tc>
          <w:tcPr>
            <w:tcW w:w="7870" w:type="dxa"/>
            <w:vAlign w:val="bottom"/>
            <w:shd w:val="clear" w:color="auto" w:fill="F3EDF3"/>
          </w:tcPr>
          <w:p>
            <w:pPr>
              <w:ind w:left="1670"/>
              <w:spacing w:after="0"/>
              <w:rPr>
                <w:sz w:val="20"/>
                <w:szCs w:val="20"/>
                <w:color w:val="auto"/>
              </w:rPr>
            </w:pPr>
            <w:r>
              <w:rPr>
                <w:rFonts w:ascii="Arial" w:cs="Arial" w:eastAsia="Arial" w:hAnsi="Arial"/>
                <w:sz w:val="16"/>
                <w:szCs w:val="16"/>
                <w:color w:val="231F20"/>
              </w:rPr>
              <w:t>Net Sales RSUs determined by linear interpolation between 100% and 125% of</w:t>
            </w:r>
          </w:p>
        </w:tc>
      </w:tr>
      <w:tr>
        <w:trPr>
          <w:trHeight w:val="187"/>
        </w:trPr>
        <w:tc>
          <w:tcPr>
            <w:tcW w:w="3550" w:type="dxa"/>
            <w:vAlign w:val="bottom"/>
            <w:shd w:val="clear" w:color="auto" w:fill="F3EDF3"/>
          </w:tcPr>
          <w:p>
            <w:pPr>
              <w:spacing w:after="0"/>
              <w:rPr>
                <w:sz w:val="16"/>
                <w:szCs w:val="16"/>
                <w:color w:val="auto"/>
              </w:rPr>
            </w:pPr>
          </w:p>
        </w:tc>
        <w:tc>
          <w:tcPr>
            <w:tcW w:w="7870" w:type="dxa"/>
            <w:vAlign w:val="bottom"/>
            <w:shd w:val="clear" w:color="auto" w:fill="F3EDF3"/>
          </w:tcPr>
          <w:p>
            <w:pPr>
              <w:ind w:left="1670"/>
              <w:spacing w:after="0"/>
              <w:rPr>
                <w:sz w:val="20"/>
                <w:szCs w:val="20"/>
                <w:color w:val="auto"/>
              </w:rPr>
            </w:pPr>
            <w:r>
              <w:rPr>
                <w:rFonts w:ascii="Arial" w:cs="Arial" w:eastAsia="Arial" w:hAnsi="Arial"/>
                <w:sz w:val="16"/>
                <w:szCs w:val="16"/>
                <w:color w:val="231F20"/>
              </w:rPr>
              <w:t>Target Net Sales.</w:t>
            </w:r>
          </w:p>
        </w:tc>
      </w:tr>
      <w:tr>
        <w:trPr>
          <w:trHeight w:val="245"/>
        </w:trPr>
        <w:tc>
          <w:tcPr>
            <w:tcW w:w="3550" w:type="dxa"/>
            <w:vAlign w:val="bottom"/>
          </w:tcPr>
          <w:p>
            <w:pPr>
              <w:ind w:left="60"/>
              <w:spacing w:after="0"/>
              <w:rPr>
                <w:sz w:val="20"/>
                <w:szCs w:val="20"/>
                <w:color w:val="auto"/>
              </w:rPr>
            </w:pPr>
            <w:r>
              <w:rPr>
                <w:rFonts w:ascii="Arial" w:cs="Arial" w:eastAsia="Arial" w:hAnsi="Arial"/>
                <w:sz w:val="16"/>
                <w:szCs w:val="16"/>
                <w:b w:val="1"/>
                <w:bCs w:val="1"/>
                <w:color w:val="6F2875"/>
              </w:rPr>
              <w:t>Net Income RSUs</w:t>
            </w:r>
          </w:p>
        </w:tc>
        <w:tc>
          <w:tcPr>
            <w:tcW w:w="7870" w:type="dxa"/>
            <w:vAlign w:val="bottom"/>
          </w:tcPr>
          <w:p>
            <w:pPr>
              <w:ind w:left="950"/>
              <w:spacing w:after="0"/>
              <w:rPr>
                <w:sz w:val="20"/>
                <w:szCs w:val="20"/>
                <w:color w:val="auto"/>
              </w:rPr>
            </w:pPr>
            <w:r>
              <w:rPr>
                <w:rFonts w:ascii="Arial" w:cs="Arial" w:eastAsia="Arial" w:hAnsi="Arial"/>
                <w:sz w:val="16"/>
                <w:szCs w:val="16"/>
                <w:color w:val="231F20"/>
              </w:rPr>
              <w:t>25%   Vest 25% per year over four years on the second day after the Company announces its</w:t>
            </w:r>
          </w:p>
        </w:tc>
      </w:tr>
      <w:tr>
        <w:trPr>
          <w:trHeight w:val="189"/>
        </w:trPr>
        <w:tc>
          <w:tcPr>
            <w:tcW w:w="3550" w:type="dxa"/>
            <w:vAlign w:val="bottom"/>
          </w:tcPr>
          <w:p>
            <w:pPr>
              <w:spacing w:after="0"/>
              <w:rPr>
                <w:sz w:val="16"/>
                <w:szCs w:val="16"/>
                <w:color w:val="auto"/>
              </w:rPr>
            </w:pPr>
          </w:p>
        </w:tc>
        <w:tc>
          <w:tcPr>
            <w:tcW w:w="7870" w:type="dxa"/>
            <w:vAlign w:val="bottom"/>
          </w:tcPr>
          <w:p>
            <w:pPr>
              <w:ind w:left="1490"/>
              <w:spacing w:after="0"/>
              <w:rPr>
                <w:sz w:val="20"/>
                <w:szCs w:val="20"/>
                <w:color w:val="auto"/>
              </w:rPr>
            </w:pPr>
            <w:r>
              <w:rPr>
                <w:rFonts w:ascii="Arial" w:cs="Arial" w:eastAsia="Arial" w:hAnsi="Arial"/>
                <w:sz w:val="16"/>
                <w:szCs w:val="16"/>
                <w:color w:val="231F20"/>
              </w:rPr>
              <w:t>2017 financial results (March 1,2018) and each of the first three anniversaries of March</w:t>
            </w:r>
          </w:p>
        </w:tc>
      </w:tr>
      <w:tr>
        <w:trPr>
          <w:trHeight w:val="189"/>
        </w:trPr>
        <w:tc>
          <w:tcPr>
            <w:tcW w:w="3550" w:type="dxa"/>
            <w:vAlign w:val="bottom"/>
          </w:tcPr>
          <w:p>
            <w:pPr>
              <w:spacing w:after="0"/>
              <w:rPr>
                <w:sz w:val="16"/>
                <w:szCs w:val="16"/>
                <w:color w:val="auto"/>
              </w:rPr>
            </w:pPr>
          </w:p>
        </w:tc>
        <w:tc>
          <w:tcPr>
            <w:tcW w:w="7870" w:type="dxa"/>
            <w:vAlign w:val="bottom"/>
          </w:tcPr>
          <w:p>
            <w:pPr>
              <w:ind w:left="1490"/>
              <w:spacing w:after="0"/>
              <w:rPr>
                <w:sz w:val="20"/>
                <w:szCs w:val="20"/>
                <w:color w:val="auto"/>
              </w:rPr>
            </w:pPr>
            <w:r>
              <w:rPr>
                <w:rFonts w:ascii="Arial" w:cs="Arial" w:eastAsia="Arial" w:hAnsi="Arial"/>
                <w:sz w:val="16"/>
                <w:szCs w:val="16"/>
                <w:color w:val="231F20"/>
              </w:rPr>
              <w:t>1, 2018, if and to the extent that the following conditions are met:</w:t>
            </w:r>
          </w:p>
        </w:tc>
      </w:tr>
      <w:tr>
        <w:trPr>
          <w:trHeight w:val="189"/>
        </w:trPr>
        <w:tc>
          <w:tcPr>
            <w:tcW w:w="3550" w:type="dxa"/>
            <w:vAlign w:val="bottom"/>
          </w:tcPr>
          <w:p>
            <w:pPr>
              <w:spacing w:after="0"/>
              <w:rPr>
                <w:sz w:val="16"/>
                <w:szCs w:val="16"/>
                <w:color w:val="auto"/>
              </w:rPr>
            </w:pPr>
          </w:p>
        </w:tc>
        <w:tc>
          <w:tcPr>
            <w:tcW w:w="7870" w:type="dxa"/>
            <w:vAlign w:val="bottom"/>
          </w:tcPr>
          <w:p>
            <w:pPr>
              <w:ind w:left="1490"/>
              <w:spacing w:after="0"/>
              <w:rPr>
                <w:sz w:val="20"/>
                <w:szCs w:val="20"/>
                <w:color w:val="auto"/>
              </w:rPr>
            </w:pPr>
            <w:r>
              <w:rPr>
                <w:rFonts w:ascii="Arial" w:cs="Arial" w:eastAsia="Arial" w:hAnsi="Arial"/>
                <w:sz w:val="16"/>
                <w:szCs w:val="16"/>
                <w:color w:val="6F2875"/>
              </w:rPr>
              <w:t xml:space="preserve">•  </w:t>
            </w:r>
            <w:r>
              <w:rPr>
                <w:rFonts w:ascii="Arial" w:cs="Arial" w:eastAsia="Arial" w:hAnsi="Arial"/>
                <w:sz w:val="16"/>
                <w:szCs w:val="16"/>
                <w:color w:val="231F20"/>
              </w:rPr>
              <w:t>If the adjusted non-GAAP net income, as reported in the Company’s press release</w:t>
            </w:r>
          </w:p>
        </w:tc>
      </w:tr>
      <w:tr>
        <w:trPr>
          <w:trHeight w:val="189"/>
        </w:trPr>
        <w:tc>
          <w:tcPr>
            <w:tcW w:w="3550" w:type="dxa"/>
            <w:vAlign w:val="bottom"/>
          </w:tcPr>
          <w:p>
            <w:pPr>
              <w:spacing w:after="0"/>
              <w:rPr>
                <w:sz w:val="16"/>
                <w:szCs w:val="16"/>
                <w:color w:val="auto"/>
              </w:rPr>
            </w:pPr>
          </w:p>
        </w:tc>
        <w:tc>
          <w:tcPr>
            <w:tcW w:w="7870" w:type="dxa"/>
            <w:vAlign w:val="bottom"/>
          </w:tcPr>
          <w:p>
            <w:pPr>
              <w:ind w:left="1670"/>
              <w:spacing w:after="0"/>
              <w:rPr>
                <w:sz w:val="20"/>
                <w:szCs w:val="20"/>
                <w:color w:val="auto"/>
              </w:rPr>
            </w:pPr>
            <w:r>
              <w:rPr>
                <w:rFonts w:ascii="Arial" w:cs="Arial" w:eastAsia="Arial" w:hAnsi="Arial"/>
                <w:sz w:val="16"/>
                <w:szCs w:val="16"/>
                <w:color w:val="231F20"/>
              </w:rPr>
              <w:t>announcing its 2017 full-year financial result, at actual currency exchange rates,</w:t>
            </w:r>
          </w:p>
        </w:tc>
      </w:tr>
      <w:tr>
        <w:trPr>
          <w:trHeight w:val="189"/>
        </w:trPr>
        <w:tc>
          <w:tcPr>
            <w:tcW w:w="3550" w:type="dxa"/>
            <w:vAlign w:val="bottom"/>
          </w:tcPr>
          <w:p>
            <w:pPr>
              <w:spacing w:after="0"/>
              <w:rPr>
                <w:sz w:val="16"/>
                <w:szCs w:val="16"/>
                <w:color w:val="auto"/>
              </w:rPr>
            </w:pPr>
          </w:p>
        </w:tc>
        <w:tc>
          <w:tcPr>
            <w:tcW w:w="7870" w:type="dxa"/>
            <w:vAlign w:val="bottom"/>
          </w:tcPr>
          <w:p>
            <w:pPr>
              <w:ind w:left="1670"/>
              <w:spacing w:after="0"/>
              <w:rPr>
                <w:sz w:val="20"/>
                <w:szCs w:val="20"/>
                <w:color w:val="auto"/>
              </w:rPr>
            </w:pPr>
            <w:r>
              <w:rPr>
                <w:rFonts w:ascii="Arial" w:cs="Arial" w:eastAsia="Arial" w:hAnsi="Arial"/>
                <w:sz w:val="16"/>
                <w:szCs w:val="16"/>
                <w:color w:val="231F20"/>
              </w:rPr>
              <w:t>excluding the impact of acquisitions and divestitures (“Adjusted Net Income”), is less</w:t>
            </w:r>
          </w:p>
        </w:tc>
      </w:tr>
      <w:tr>
        <w:trPr>
          <w:trHeight w:val="189"/>
        </w:trPr>
        <w:tc>
          <w:tcPr>
            <w:tcW w:w="3550" w:type="dxa"/>
            <w:vAlign w:val="bottom"/>
          </w:tcPr>
          <w:p>
            <w:pPr>
              <w:spacing w:after="0"/>
              <w:rPr>
                <w:sz w:val="16"/>
                <w:szCs w:val="16"/>
                <w:color w:val="auto"/>
              </w:rPr>
            </w:pPr>
          </w:p>
        </w:tc>
        <w:tc>
          <w:tcPr>
            <w:tcW w:w="7870" w:type="dxa"/>
            <w:vAlign w:val="bottom"/>
          </w:tcPr>
          <w:p>
            <w:pPr>
              <w:ind w:left="1670"/>
              <w:spacing w:after="0"/>
              <w:rPr>
                <w:sz w:val="20"/>
                <w:szCs w:val="20"/>
                <w:color w:val="auto"/>
              </w:rPr>
            </w:pPr>
            <w:r>
              <w:rPr>
                <w:rFonts w:ascii="Arial" w:cs="Arial" w:eastAsia="Arial" w:hAnsi="Arial"/>
                <w:sz w:val="16"/>
                <w:szCs w:val="16"/>
                <w:color w:val="231F20"/>
              </w:rPr>
              <w:t>than 95% of $169.5 million (“Target Net Income”), all Net Income RSUs shall lapse;</w:t>
            </w:r>
          </w:p>
        </w:tc>
      </w:tr>
      <w:tr>
        <w:trPr>
          <w:trHeight w:val="189"/>
        </w:trPr>
        <w:tc>
          <w:tcPr>
            <w:tcW w:w="3550" w:type="dxa"/>
            <w:vAlign w:val="bottom"/>
          </w:tcPr>
          <w:p>
            <w:pPr>
              <w:spacing w:after="0"/>
              <w:rPr>
                <w:sz w:val="16"/>
                <w:szCs w:val="16"/>
                <w:color w:val="auto"/>
              </w:rPr>
            </w:pPr>
          </w:p>
        </w:tc>
        <w:tc>
          <w:tcPr>
            <w:tcW w:w="7870" w:type="dxa"/>
            <w:vAlign w:val="bottom"/>
          </w:tcPr>
          <w:p>
            <w:pPr>
              <w:ind w:left="1490"/>
              <w:spacing w:after="0"/>
              <w:rPr>
                <w:sz w:val="20"/>
                <w:szCs w:val="20"/>
                <w:color w:val="auto"/>
              </w:rPr>
            </w:pPr>
            <w:r>
              <w:rPr>
                <w:rFonts w:ascii="Arial" w:cs="Arial" w:eastAsia="Arial" w:hAnsi="Arial"/>
                <w:sz w:val="16"/>
                <w:szCs w:val="16"/>
                <w:color w:val="6F2875"/>
              </w:rPr>
              <w:t xml:space="preserve">•  </w:t>
            </w:r>
            <w:r>
              <w:rPr>
                <w:rFonts w:ascii="Arial" w:cs="Arial" w:eastAsia="Arial" w:hAnsi="Arial"/>
                <w:sz w:val="16"/>
                <w:szCs w:val="16"/>
                <w:color w:val="231F20"/>
              </w:rPr>
              <w:t>If Adjusted Net Income is equal to 95% of Target Net Income, 50% of the Net Income</w:t>
            </w:r>
          </w:p>
        </w:tc>
      </w:tr>
      <w:tr>
        <w:trPr>
          <w:trHeight w:val="189"/>
        </w:trPr>
        <w:tc>
          <w:tcPr>
            <w:tcW w:w="3550" w:type="dxa"/>
            <w:vAlign w:val="bottom"/>
          </w:tcPr>
          <w:p>
            <w:pPr>
              <w:spacing w:after="0"/>
              <w:rPr>
                <w:sz w:val="16"/>
                <w:szCs w:val="16"/>
                <w:color w:val="auto"/>
              </w:rPr>
            </w:pPr>
          </w:p>
        </w:tc>
        <w:tc>
          <w:tcPr>
            <w:tcW w:w="7870" w:type="dxa"/>
            <w:vAlign w:val="bottom"/>
          </w:tcPr>
          <w:p>
            <w:pPr>
              <w:ind w:left="1670"/>
              <w:spacing w:after="0"/>
              <w:rPr>
                <w:sz w:val="20"/>
                <w:szCs w:val="20"/>
                <w:color w:val="auto"/>
              </w:rPr>
            </w:pPr>
            <w:r>
              <w:rPr>
                <w:rFonts w:ascii="Arial" w:cs="Arial" w:eastAsia="Arial" w:hAnsi="Arial"/>
                <w:sz w:val="16"/>
                <w:szCs w:val="16"/>
                <w:color w:val="231F20"/>
              </w:rPr>
              <w:t>RSUs will vest;</w:t>
            </w:r>
          </w:p>
        </w:tc>
      </w:tr>
      <w:tr>
        <w:trPr>
          <w:trHeight w:val="189"/>
        </w:trPr>
        <w:tc>
          <w:tcPr>
            <w:tcW w:w="3550" w:type="dxa"/>
            <w:vAlign w:val="bottom"/>
          </w:tcPr>
          <w:p>
            <w:pPr>
              <w:spacing w:after="0"/>
              <w:rPr>
                <w:sz w:val="16"/>
                <w:szCs w:val="16"/>
                <w:color w:val="auto"/>
              </w:rPr>
            </w:pPr>
          </w:p>
        </w:tc>
        <w:tc>
          <w:tcPr>
            <w:tcW w:w="7870" w:type="dxa"/>
            <w:vAlign w:val="bottom"/>
          </w:tcPr>
          <w:p>
            <w:pPr>
              <w:ind w:left="1490"/>
              <w:spacing w:after="0"/>
              <w:rPr>
                <w:sz w:val="20"/>
                <w:szCs w:val="20"/>
                <w:color w:val="auto"/>
              </w:rPr>
            </w:pPr>
            <w:r>
              <w:rPr>
                <w:rFonts w:ascii="Arial" w:cs="Arial" w:eastAsia="Arial" w:hAnsi="Arial"/>
                <w:sz w:val="16"/>
                <w:szCs w:val="16"/>
                <w:color w:val="6F2875"/>
              </w:rPr>
              <w:t xml:space="preserve">•  </w:t>
            </w:r>
            <w:r>
              <w:rPr>
                <w:rFonts w:ascii="Arial" w:cs="Arial" w:eastAsia="Arial" w:hAnsi="Arial"/>
                <w:sz w:val="16"/>
                <w:szCs w:val="16"/>
                <w:color w:val="231F20"/>
              </w:rPr>
              <w:t>If Adjusted Net Income is between 95% and 100% of Target Net Income Net Income</w:t>
            </w:r>
          </w:p>
        </w:tc>
      </w:tr>
      <w:tr>
        <w:trPr>
          <w:trHeight w:val="189"/>
        </w:trPr>
        <w:tc>
          <w:tcPr>
            <w:tcW w:w="3550" w:type="dxa"/>
            <w:vAlign w:val="bottom"/>
          </w:tcPr>
          <w:p>
            <w:pPr>
              <w:spacing w:after="0"/>
              <w:rPr>
                <w:sz w:val="16"/>
                <w:szCs w:val="16"/>
                <w:color w:val="auto"/>
              </w:rPr>
            </w:pPr>
          </w:p>
        </w:tc>
        <w:tc>
          <w:tcPr>
            <w:tcW w:w="7870" w:type="dxa"/>
            <w:vAlign w:val="bottom"/>
          </w:tcPr>
          <w:p>
            <w:pPr>
              <w:ind w:left="1670"/>
              <w:spacing w:after="0"/>
              <w:rPr>
                <w:sz w:val="20"/>
                <w:szCs w:val="20"/>
                <w:color w:val="auto"/>
              </w:rPr>
            </w:pPr>
            <w:r>
              <w:rPr>
                <w:rFonts w:ascii="Arial" w:cs="Arial" w:eastAsia="Arial" w:hAnsi="Arial"/>
                <w:sz w:val="16"/>
                <w:szCs w:val="16"/>
                <w:color w:val="231F20"/>
              </w:rPr>
              <w:t>RSUs that vest shall be equal to the sum of (i) 50% of Net Income RSUs and (ii) that</w:t>
            </w:r>
          </w:p>
        </w:tc>
      </w:tr>
      <w:tr>
        <w:trPr>
          <w:trHeight w:val="189"/>
        </w:trPr>
        <w:tc>
          <w:tcPr>
            <w:tcW w:w="3550" w:type="dxa"/>
            <w:vAlign w:val="bottom"/>
          </w:tcPr>
          <w:p>
            <w:pPr>
              <w:spacing w:after="0"/>
              <w:rPr>
                <w:sz w:val="16"/>
                <w:szCs w:val="16"/>
                <w:color w:val="auto"/>
              </w:rPr>
            </w:pPr>
          </w:p>
        </w:tc>
        <w:tc>
          <w:tcPr>
            <w:tcW w:w="7870" w:type="dxa"/>
            <w:vAlign w:val="bottom"/>
          </w:tcPr>
          <w:p>
            <w:pPr>
              <w:ind w:left="1670"/>
              <w:spacing w:after="0"/>
              <w:rPr>
                <w:sz w:val="20"/>
                <w:szCs w:val="20"/>
                <w:color w:val="auto"/>
              </w:rPr>
            </w:pPr>
            <w:r>
              <w:rPr>
                <w:rFonts w:ascii="Arial" w:cs="Arial" w:eastAsia="Arial" w:hAnsi="Arial"/>
                <w:sz w:val="16"/>
                <w:szCs w:val="16"/>
                <w:color w:val="231F20"/>
              </w:rPr>
              <w:t>portion of 50% of Net Income RSUs determined by linear interpolation between 95%</w:t>
            </w:r>
          </w:p>
        </w:tc>
      </w:tr>
      <w:tr>
        <w:trPr>
          <w:trHeight w:val="189"/>
        </w:trPr>
        <w:tc>
          <w:tcPr>
            <w:tcW w:w="3550" w:type="dxa"/>
            <w:vAlign w:val="bottom"/>
          </w:tcPr>
          <w:p>
            <w:pPr>
              <w:spacing w:after="0"/>
              <w:rPr>
                <w:sz w:val="16"/>
                <w:szCs w:val="16"/>
                <w:color w:val="auto"/>
              </w:rPr>
            </w:pPr>
          </w:p>
        </w:tc>
        <w:tc>
          <w:tcPr>
            <w:tcW w:w="7870" w:type="dxa"/>
            <w:vAlign w:val="bottom"/>
          </w:tcPr>
          <w:p>
            <w:pPr>
              <w:ind w:left="1670"/>
              <w:spacing w:after="0"/>
              <w:rPr>
                <w:sz w:val="20"/>
                <w:szCs w:val="20"/>
                <w:color w:val="auto"/>
              </w:rPr>
            </w:pPr>
            <w:r>
              <w:rPr>
                <w:rFonts w:ascii="Arial" w:cs="Arial" w:eastAsia="Arial" w:hAnsi="Arial"/>
                <w:sz w:val="16"/>
                <w:szCs w:val="16"/>
                <w:color w:val="231F20"/>
              </w:rPr>
              <w:t>and 100% of Target Net Income;</w:t>
            </w:r>
          </w:p>
        </w:tc>
      </w:tr>
      <w:tr>
        <w:trPr>
          <w:trHeight w:val="189"/>
        </w:trPr>
        <w:tc>
          <w:tcPr>
            <w:tcW w:w="3550" w:type="dxa"/>
            <w:vAlign w:val="bottom"/>
          </w:tcPr>
          <w:p>
            <w:pPr>
              <w:spacing w:after="0"/>
              <w:rPr>
                <w:sz w:val="16"/>
                <w:szCs w:val="16"/>
                <w:color w:val="auto"/>
              </w:rPr>
            </w:pPr>
          </w:p>
        </w:tc>
        <w:tc>
          <w:tcPr>
            <w:tcW w:w="7870" w:type="dxa"/>
            <w:vAlign w:val="bottom"/>
          </w:tcPr>
          <w:p>
            <w:pPr>
              <w:ind w:left="1490"/>
              <w:spacing w:after="0"/>
              <w:rPr>
                <w:sz w:val="20"/>
                <w:szCs w:val="20"/>
                <w:color w:val="auto"/>
              </w:rPr>
            </w:pPr>
            <w:r>
              <w:rPr>
                <w:rFonts w:ascii="Arial" w:cs="Arial" w:eastAsia="Arial" w:hAnsi="Arial"/>
                <w:sz w:val="16"/>
                <w:szCs w:val="16"/>
                <w:color w:val="6F2875"/>
              </w:rPr>
              <w:t xml:space="preserve">•  </w:t>
            </w:r>
            <w:r>
              <w:rPr>
                <w:rFonts w:ascii="Arial" w:cs="Arial" w:eastAsia="Arial" w:hAnsi="Arial"/>
                <w:sz w:val="16"/>
                <w:szCs w:val="16"/>
                <w:color w:val="231F20"/>
              </w:rPr>
              <w:t>If Adjusted Net Income is equal to 100% of Target Net Income, 100% of the Net</w:t>
            </w:r>
          </w:p>
        </w:tc>
      </w:tr>
      <w:tr>
        <w:trPr>
          <w:trHeight w:val="189"/>
        </w:trPr>
        <w:tc>
          <w:tcPr>
            <w:tcW w:w="3550" w:type="dxa"/>
            <w:vAlign w:val="bottom"/>
          </w:tcPr>
          <w:p>
            <w:pPr>
              <w:spacing w:after="0"/>
              <w:rPr>
                <w:sz w:val="16"/>
                <w:szCs w:val="16"/>
                <w:color w:val="auto"/>
              </w:rPr>
            </w:pPr>
          </w:p>
        </w:tc>
        <w:tc>
          <w:tcPr>
            <w:tcW w:w="7870" w:type="dxa"/>
            <w:vAlign w:val="bottom"/>
          </w:tcPr>
          <w:p>
            <w:pPr>
              <w:ind w:left="1670"/>
              <w:spacing w:after="0"/>
              <w:rPr>
                <w:sz w:val="20"/>
                <w:szCs w:val="20"/>
                <w:color w:val="auto"/>
              </w:rPr>
            </w:pPr>
            <w:r>
              <w:rPr>
                <w:rFonts w:ascii="Arial" w:cs="Arial" w:eastAsia="Arial" w:hAnsi="Arial"/>
                <w:sz w:val="16"/>
                <w:szCs w:val="16"/>
                <w:color w:val="231F20"/>
              </w:rPr>
              <w:t>Income RSUs will vest.</w:t>
            </w:r>
          </w:p>
        </w:tc>
      </w:tr>
      <w:tr>
        <w:trPr>
          <w:trHeight w:val="189"/>
        </w:trPr>
        <w:tc>
          <w:tcPr>
            <w:tcW w:w="3550" w:type="dxa"/>
            <w:vAlign w:val="bottom"/>
          </w:tcPr>
          <w:p>
            <w:pPr>
              <w:spacing w:after="0"/>
              <w:rPr>
                <w:sz w:val="16"/>
                <w:szCs w:val="16"/>
                <w:color w:val="auto"/>
              </w:rPr>
            </w:pPr>
          </w:p>
        </w:tc>
        <w:tc>
          <w:tcPr>
            <w:tcW w:w="7870" w:type="dxa"/>
            <w:vAlign w:val="bottom"/>
          </w:tcPr>
          <w:p>
            <w:pPr>
              <w:ind w:left="1490"/>
              <w:spacing w:after="0"/>
              <w:rPr>
                <w:sz w:val="20"/>
                <w:szCs w:val="20"/>
                <w:color w:val="auto"/>
              </w:rPr>
            </w:pPr>
            <w:r>
              <w:rPr>
                <w:rFonts w:ascii="Arial" w:cs="Arial" w:eastAsia="Arial" w:hAnsi="Arial"/>
                <w:sz w:val="16"/>
                <w:szCs w:val="16"/>
                <w:color w:val="6F2875"/>
              </w:rPr>
              <w:t xml:space="preserve">•  </w:t>
            </w:r>
            <w:r>
              <w:rPr>
                <w:rFonts w:ascii="Arial" w:cs="Arial" w:eastAsia="Arial" w:hAnsi="Arial"/>
                <w:sz w:val="16"/>
                <w:szCs w:val="16"/>
                <w:color w:val="231F20"/>
              </w:rPr>
              <w:t>If Adjusted Net Income is greater than 100% of Target Net Income, Net Income RSUs</w:t>
            </w:r>
          </w:p>
        </w:tc>
      </w:tr>
      <w:tr>
        <w:trPr>
          <w:trHeight w:val="189"/>
        </w:trPr>
        <w:tc>
          <w:tcPr>
            <w:tcW w:w="3550" w:type="dxa"/>
            <w:vAlign w:val="bottom"/>
          </w:tcPr>
          <w:p>
            <w:pPr>
              <w:spacing w:after="0"/>
              <w:rPr>
                <w:sz w:val="16"/>
                <w:szCs w:val="16"/>
                <w:color w:val="auto"/>
              </w:rPr>
            </w:pPr>
          </w:p>
        </w:tc>
        <w:tc>
          <w:tcPr>
            <w:tcW w:w="7870" w:type="dxa"/>
            <w:vAlign w:val="bottom"/>
          </w:tcPr>
          <w:p>
            <w:pPr>
              <w:ind w:left="1670"/>
              <w:spacing w:after="0"/>
              <w:rPr>
                <w:sz w:val="20"/>
                <w:szCs w:val="20"/>
                <w:color w:val="auto"/>
              </w:rPr>
            </w:pPr>
            <w:r>
              <w:rPr>
                <w:rFonts w:ascii="Arial" w:cs="Arial" w:eastAsia="Arial" w:hAnsi="Arial"/>
                <w:sz w:val="16"/>
                <w:szCs w:val="16"/>
                <w:color w:val="231F20"/>
              </w:rPr>
              <w:t>that vest shall equal the sum of (i) 100% of Net Income RSUs and (ii) that portion of</w:t>
            </w:r>
          </w:p>
        </w:tc>
      </w:tr>
      <w:tr>
        <w:trPr>
          <w:trHeight w:val="189"/>
        </w:trPr>
        <w:tc>
          <w:tcPr>
            <w:tcW w:w="3550" w:type="dxa"/>
            <w:vAlign w:val="bottom"/>
          </w:tcPr>
          <w:p>
            <w:pPr>
              <w:spacing w:after="0"/>
              <w:rPr>
                <w:sz w:val="16"/>
                <w:szCs w:val="16"/>
                <w:color w:val="auto"/>
              </w:rPr>
            </w:pPr>
          </w:p>
        </w:tc>
        <w:tc>
          <w:tcPr>
            <w:tcW w:w="7870" w:type="dxa"/>
            <w:vAlign w:val="bottom"/>
          </w:tcPr>
          <w:p>
            <w:pPr>
              <w:ind w:left="1670"/>
              <w:spacing w:after="0"/>
              <w:rPr>
                <w:sz w:val="20"/>
                <w:szCs w:val="20"/>
                <w:color w:val="auto"/>
              </w:rPr>
            </w:pPr>
            <w:r>
              <w:rPr>
                <w:rFonts w:ascii="Arial" w:cs="Arial" w:eastAsia="Arial" w:hAnsi="Arial"/>
                <w:sz w:val="16"/>
                <w:szCs w:val="16"/>
                <w:color w:val="231F20"/>
              </w:rPr>
              <w:t>75% of Net Income RSUs determined by linear interpolation between 100% and</w:t>
            </w:r>
          </w:p>
        </w:tc>
      </w:tr>
      <w:tr>
        <w:trPr>
          <w:trHeight w:val="187"/>
        </w:trPr>
        <w:tc>
          <w:tcPr>
            <w:tcW w:w="3550" w:type="dxa"/>
            <w:vAlign w:val="bottom"/>
            <w:tcBorders>
              <w:bottom w:val="single" w:sz="8" w:color="6F2875"/>
            </w:tcBorders>
          </w:tcPr>
          <w:p>
            <w:pPr>
              <w:spacing w:after="0"/>
              <w:rPr>
                <w:sz w:val="16"/>
                <w:szCs w:val="16"/>
                <w:color w:val="auto"/>
              </w:rPr>
            </w:pPr>
          </w:p>
        </w:tc>
        <w:tc>
          <w:tcPr>
            <w:tcW w:w="7870" w:type="dxa"/>
            <w:vAlign w:val="bottom"/>
            <w:tcBorders>
              <w:bottom w:val="single" w:sz="8" w:color="6F2875"/>
            </w:tcBorders>
          </w:tcPr>
          <w:p>
            <w:pPr>
              <w:ind w:left="1670"/>
              <w:spacing w:after="0"/>
              <w:rPr>
                <w:sz w:val="20"/>
                <w:szCs w:val="20"/>
                <w:color w:val="auto"/>
              </w:rPr>
            </w:pPr>
            <w:r>
              <w:rPr>
                <w:rFonts w:ascii="Arial" w:cs="Arial" w:eastAsia="Arial" w:hAnsi="Arial"/>
                <w:sz w:val="16"/>
                <w:szCs w:val="16"/>
                <w:color w:val="231F20"/>
              </w:rPr>
              <w:t>125% of Target Net Income.</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FC5D45"/>
        </w:rPr>
        <w:t>2017 LTIP payout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Messrs. Mc Donald, Huston and Wise - Market-Based RSUs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Measure Price (i.e., the closing share price on the Nasdaq Stock Market on March 1, 2018) was $89.57. Accordingly, all market-based RSUs became eligible to vest, and 25% of the RSUs vested on March 1, 2018, with the remaining 75% scheduled to vest in three equal instalments on each of the first three anniversaries of March 1, 2018, subject to continued service by the executive.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Mr. Manko - Performance-Based RSUs</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Given 2017 adjusted net sales of $1,241.7 million in respect of a target of $1,263.6 (98.3%), and 2017 adjusted net income of $171.8 million in respect of a target of $169.4 million (103.1%), the achievement percentage for the Net Sales RSU would have been 82.7%, and the achievement percentage for the Net Income RSUs is 109.3%, resulting in 96.0% of the award vesting according to the terms of the 2017 LTIP. As noted, the Compensation Committee exercised its discretion to exclude the financial performance of CRM from the performance calculations for the 2017 STIP and 2017 LTIP, resulting in a final payout of 91.5% and 111.3% of the Adjusted Net Sales RSUs and Adjusted Net Income RSUs,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Borders>
              <w:bottom w:val="single" w:sz="8" w:color="auto"/>
            </w:tcBorders>
          </w:tcPr>
          <w:p>
            <w:pPr>
              <w:spacing w:after="0"/>
              <w:rPr>
                <w:sz w:val="10"/>
                <w:szCs w:val="10"/>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29</w:t>
            </w:r>
          </w:p>
        </w:tc>
        <w:tc>
          <w:tcPr>
            <w:tcW w:w="0" w:type="dxa"/>
            <w:vAlign w:val="bottom"/>
          </w:tcPr>
          <w:p>
            <w:pPr>
              <w:spacing w:after="0"/>
              <w:rPr>
                <w:sz w:val="1"/>
                <w:szCs w:val="1"/>
                <w:color w:val="auto"/>
              </w:rPr>
            </w:pPr>
          </w:p>
        </w:tc>
      </w:tr>
      <w:tr>
        <w:trPr>
          <w:trHeight w:val="69"/>
        </w:trPr>
        <w:tc>
          <w:tcPr>
            <w:tcW w:w="40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Inducement awards</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We granted both Mr. Huston and Ms. Skeffington an equity award to induce them to join us in 2017. We granted Mr. Huston’s inducement award on May 23, 2017. The award consisted of service-based RSUs equal in value to $2.3 million, with 25% of the RSUs vesting on each of the first four anniversaries of the grant date. We granted Ms. Skeffington’s inducement award on June 12, 2017. The award consisted of service-based RSUs having a grant-date value of $275,000 and SARs having a grant date value of $275,000, each vesting 25% per year over four years on the first four anniversaries of June 12, 2017.</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calculation of the number of units subject to the foregoing awards was determined based on the closing price of an Ordinary Share on the Nasdaq Stock Market on the grant date. The calculation of the number of rights subject to Ms. Skeffington’s SAR award was determined based on the Black Scholes value of an option on an Ordinary Share of our stock on the grant date.</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2018 Compensation Program and Other Subsequent Events</w:t>
      </w: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b w:val="1"/>
          <w:bCs w:val="1"/>
          <w:color w:val="FC5D45"/>
        </w:rPr>
        <w:t>2018 Short Term Incentive Plan (“the 2018 STIP”)</w:t>
      </w:r>
    </w:p>
    <w:p>
      <w:pPr>
        <w:spacing w:after="0" w:line="21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On February 9, 2018, the Compensation Committee approved our 2018 STIP and all NEOs currently employed by the company are eligible to participate in the 2018 STIP.</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Under the 2018 STIP, each participant is eligible to receive a target bonus amount calculated as a percentage of the weighted average base salary for the year, as specified in the participants’ employment agreements, copies of which are on file with the Securities and Exchange Commission, or as determined by the Compensation Committee. The applicable 2018 STIP target percentages are shown in the table.</w:t>
      </w:r>
    </w:p>
    <w:p>
      <w:pPr>
        <w:spacing w:after="0" w:line="168"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2600" w:type="dxa"/>
            <w:vAlign w:val="bottom"/>
            <w:tcBorders>
              <w:bottom w:val="single" w:sz="8" w:color="6F2875"/>
            </w:tcBorders>
          </w:tcPr>
          <w:p>
            <w:pPr>
              <w:spacing w:after="0"/>
              <w:rPr>
                <w:sz w:val="18"/>
                <w:szCs w:val="18"/>
                <w:color w:val="auto"/>
              </w:rPr>
            </w:pPr>
          </w:p>
        </w:tc>
        <w:tc>
          <w:tcPr>
            <w:tcW w:w="2460" w:type="dxa"/>
            <w:vAlign w:val="bottom"/>
            <w:tcBorders>
              <w:bottom w:val="single" w:sz="8" w:color="6F2875"/>
            </w:tcBorders>
          </w:tcPr>
          <w:p>
            <w:pPr>
              <w:jc w:val="right"/>
              <w:ind w:right="239"/>
              <w:spacing w:after="0"/>
              <w:rPr>
                <w:sz w:val="20"/>
                <w:szCs w:val="20"/>
                <w:color w:val="auto"/>
              </w:rPr>
            </w:pPr>
            <w:r>
              <w:rPr>
                <w:rFonts w:ascii="Arial" w:cs="Arial" w:eastAsia="Arial" w:hAnsi="Arial"/>
                <w:sz w:val="16"/>
                <w:szCs w:val="16"/>
                <w:b w:val="1"/>
                <w:bCs w:val="1"/>
                <w:color w:val="6F2875"/>
              </w:rPr>
              <w:t>2018 STIP</w:t>
            </w:r>
          </w:p>
        </w:tc>
        <w:tc>
          <w:tcPr>
            <w:tcW w:w="1780" w:type="dxa"/>
            <w:vAlign w:val="bottom"/>
            <w:tcBorders>
              <w:bottom w:val="single" w:sz="8" w:color="6F2875"/>
            </w:tcBorders>
          </w:tcPr>
          <w:p>
            <w:pPr>
              <w:jc w:val="right"/>
              <w:spacing w:after="0"/>
              <w:rPr>
                <w:sz w:val="20"/>
                <w:szCs w:val="20"/>
                <w:color w:val="auto"/>
              </w:rPr>
            </w:pPr>
            <w:r>
              <w:rPr>
                <w:rFonts w:ascii="Arial" w:cs="Arial" w:eastAsia="Arial" w:hAnsi="Arial"/>
                <w:sz w:val="16"/>
                <w:szCs w:val="16"/>
                <w:b w:val="1"/>
                <w:bCs w:val="1"/>
                <w:color w:val="6F2875"/>
              </w:rPr>
              <w:t>Change from 2017</w:t>
            </w:r>
          </w:p>
        </w:tc>
      </w:tr>
      <w:tr>
        <w:trPr>
          <w:trHeight w:val="196"/>
        </w:trPr>
        <w:tc>
          <w:tcPr>
            <w:tcW w:w="2600" w:type="dxa"/>
            <w:vAlign w:val="bottom"/>
          </w:tcPr>
          <w:p>
            <w:pPr>
              <w:ind w:left="40"/>
              <w:spacing w:after="0"/>
              <w:rPr>
                <w:sz w:val="20"/>
                <w:szCs w:val="20"/>
                <w:color w:val="auto"/>
              </w:rPr>
            </w:pPr>
            <w:r>
              <w:rPr>
                <w:rFonts w:ascii="Arial" w:cs="Arial" w:eastAsia="Arial" w:hAnsi="Arial"/>
                <w:sz w:val="16"/>
                <w:szCs w:val="16"/>
                <w:b w:val="1"/>
                <w:bCs w:val="1"/>
                <w:color w:val="231F20"/>
              </w:rPr>
              <w:t>Mr. McDonald</w:t>
            </w:r>
          </w:p>
        </w:tc>
        <w:tc>
          <w:tcPr>
            <w:tcW w:w="2460" w:type="dxa"/>
            <w:vAlign w:val="bottom"/>
          </w:tcPr>
          <w:p>
            <w:pPr>
              <w:jc w:val="right"/>
              <w:ind w:right="239"/>
              <w:spacing w:after="0"/>
              <w:rPr>
                <w:sz w:val="20"/>
                <w:szCs w:val="20"/>
                <w:color w:val="auto"/>
              </w:rPr>
            </w:pPr>
            <w:r>
              <w:rPr>
                <w:rFonts w:ascii="Arial" w:cs="Arial" w:eastAsia="Arial" w:hAnsi="Arial"/>
                <w:sz w:val="16"/>
                <w:szCs w:val="16"/>
                <w:color w:val="231F20"/>
              </w:rPr>
              <w:t>100%</w:t>
            </w:r>
          </w:p>
        </w:tc>
        <w:tc>
          <w:tcPr>
            <w:tcW w:w="1780" w:type="dxa"/>
            <w:vAlign w:val="bottom"/>
          </w:tcPr>
          <w:p>
            <w:pPr>
              <w:jc w:val="right"/>
              <w:spacing w:after="0"/>
              <w:rPr>
                <w:sz w:val="20"/>
                <w:szCs w:val="20"/>
                <w:color w:val="auto"/>
              </w:rPr>
            </w:pPr>
            <w:r>
              <w:rPr>
                <w:rFonts w:ascii="Arial" w:cs="Arial" w:eastAsia="Arial" w:hAnsi="Arial"/>
                <w:sz w:val="16"/>
                <w:szCs w:val="16"/>
                <w:color w:val="231F20"/>
              </w:rPr>
              <w:t>-%</w:t>
            </w:r>
          </w:p>
        </w:tc>
      </w:tr>
      <w:tr>
        <w:trPr>
          <w:trHeight w:val="203"/>
        </w:trPr>
        <w:tc>
          <w:tcPr>
            <w:tcW w:w="2600" w:type="dxa"/>
            <w:vAlign w:val="bottom"/>
            <w:shd w:val="clear" w:color="auto" w:fill="F3EDF3"/>
          </w:tcPr>
          <w:p>
            <w:pPr>
              <w:ind w:left="40"/>
              <w:spacing w:after="0"/>
              <w:rPr>
                <w:sz w:val="20"/>
                <w:szCs w:val="20"/>
                <w:color w:val="auto"/>
              </w:rPr>
            </w:pPr>
            <w:r>
              <w:rPr>
                <w:rFonts w:ascii="Arial" w:cs="Arial" w:eastAsia="Arial" w:hAnsi="Arial"/>
                <w:sz w:val="16"/>
                <w:szCs w:val="16"/>
                <w:b w:val="1"/>
                <w:bCs w:val="1"/>
                <w:color w:val="231F20"/>
              </w:rPr>
              <w:t>Mr. Huston</w:t>
            </w:r>
          </w:p>
        </w:tc>
        <w:tc>
          <w:tcPr>
            <w:tcW w:w="2460" w:type="dxa"/>
            <w:vAlign w:val="bottom"/>
            <w:shd w:val="clear" w:color="auto" w:fill="F3EDF3"/>
          </w:tcPr>
          <w:p>
            <w:pPr>
              <w:jc w:val="right"/>
              <w:ind w:right="239"/>
              <w:spacing w:after="0"/>
              <w:rPr>
                <w:sz w:val="20"/>
                <w:szCs w:val="20"/>
                <w:color w:val="auto"/>
              </w:rPr>
            </w:pPr>
            <w:r>
              <w:rPr>
                <w:rFonts w:ascii="Arial" w:cs="Arial" w:eastAsia="Arial" w:hAnsi="Arial"/>
                <w:sz w:val="16"/>
                <w:szCs w:val="16"/>
                <w:color w:val="231F20"/>
              </w:rPr>
              <w:t>90%</w:t>
            </w:r>
          </w:p>
        </w:tc>
        <w:tc>
          <w:tcPr>
            <w:tcW w:w="178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w:t>
            </w:r>
          </w:p>
        </w:tc>
      </w:tr>
      <w:tr>
        <w:trPr>
          <w:trHeight w:val="203"/>
        </w:trPr>
        <w:tc>
          <w:tcPr>
            <w:tcW w:w="2600" w:type="dxa"/>
            <w:vAlign w:val="bottom"/>
          </w:tcPr>
          <w:p>
            <w:pPr>
              <w:ind w:left="40"/>
              <w:spacing w:after="0"/>
              <w:rPr>
                <w:sz w:val="20"/>
                <w:szCs w:val="20"/>
                <w:color w:val="auto"/>
              </w:rPr>
            </w:pPr>
            <w:r>
              <w:rPr>
                <w:rFonts w:ascii="Arial" w:cs="Arial" w:eastAsia="Arial" w:hAnsi="Arial"/>
                <w:sz w:val="16"/>
                <w:szCs w:val="16"/>
                <w:b w:val="1"/>
                <w:bCs w:val="1"/>
                <w:color w:val="231F20"/>
              </w:rPr>
              <w:t>Mr. Manko</w:t>
            </w:r>
          </w:p>
        </w:tc>
        <w:tc>
          <w:tcPr>
            <w:tcW w:w="2460" w:type="dxa"/>
            <w:vAlign w:val="bottom"/>
          </w:tcPr>
          <w:p>
            <w:pPr>
              <w:jc w:val="right"/>
              <w:ind w:right="239"/>
              <w:spacing w:after="0"/>
              <w:rPr>
                <w:sz w:val="20"/>
                <w:szCs w:val="20"/>
                <w:color w:val="auto"/>
              </w:rPr>
            </w:pPr>
            <w:r>
              <w:rPr>
                <w:rFonts w:ascii="Arial" w:cs="Arial" w:eastAsia="Arial" w:hAnsi="Arial"/>
                <w:sz w:val="16"/>
                <w:szCs w:val="16"/>
                <w:color w:val="231F20"/>
              </w:rPr>
              <w:t>40%</w:t>
            </w:r>
          </w:p>
        </w:tc>
        <w:tc>
          <w:tcPr>
            <w:tcW w:w="1780" w:type="dxa"/>
            <w:vAlign w:val="bottom"/>
          </w:tcPr>
          <w:p>
            <w:pPr>
              <w:jc w:val="right"/>
              <w:spacing w:after="0"/>
              <w:rPr>
                <w:sz w:val="20"/>
                <w:szCs w:val="20"/>
                <w:color w:val="auto"/>
              </w:rPr>
            </w:pPr>
            <w:r>
              <w:rPr>
                <w:rFonts w:ascii="Arial" w:cs="Arial" w:eastAsia="Arial" w:hAnsi="Arial"/>
                <w:sz w:val="16"/>
                <w:szCs w:val="16"/>
                <w:color w:val="231F20"/>
              </w:rPr>
              <w:t>-%</w:t>
            </w:r>
          </w:p>
        </w:tc>
      </w:tr>
      <w:tr>
        <w:trPr>
          <w:trHeight w:val="203"/>
        </w:trPr>
        <w:tc>
          <w:tcPr>
            <w:tcW w:w="2600" w:type="dxa"/>
            <w:vAlign w:val="bottom"/>
            <w:shd w:val="clear" w:color="auto" w:fill="F3EDF3"/>
          </w:tcPr>
          <w:p>
            <w:pPr>
              <w:ind w:left="40"/>
              <w:spacing w:after="0"/>
              <w:rPr>
                <w:sz w:val="20"/>
                <w:szCs w:val="20"/>
                <w:color w:val="auto"/>
              </w:rPr>
            </w:pPr>
            <w:r>
              <w:rPr>
                <w:rFonts w:ascii="Arial" w:cs="Arial" w:eastAsia="Arial" w:hAnsi="Arial"/>
                <w:sz w:val="16"/>
                <w:szCs w:val="16"/>
                <w:b w:val="1"/>
                <w:bCs w:val="1"/>
                <w:color w:val="231F20"/>
              </w:rPr>
              <w:t>Ms. Skeffington</w:t>
            </w:r>
          </w:p>
        </w:tc>
        <w:tc>
          <w:tcPr>
            <w:tcW w:w="2460" w:type="dxa"/>
            <w:vAlign w:val="bottom"/>
            <w:shd w:val="clear" w:color="auto" w:fill="F3EDF3"/>
          </w:tcPr>
          <w:p>
            <w:pPr>
              <w:jc w:val="right"/>
              <w:ind w:right="239"/>
              <w:spacing w:after="0"/>
              <w:rPr>
                <w:sz w:val="20"/>
                <w:szCs w:val="20"/>
                <w:color w:val="auto"/>
              </w:rPr>
            </w:pPr>
            <w:r>
              <w:rPr>
                <w:rFonts w:ascii="Arial" w:cs="Arial" w:eastAsia="Arial" w:hAnsi="Arial"/>
                <w:sz w:val="16"/>
                <w:szCs w:val="16"/>
                <w:color w:val="231F20"/>
              </w:rPr>
              <w:t>60%</w:t>
            </w:r>
          </w:p>
        </w:tc>
        <w:tc>
          <w:tcPr>
            <w:tcW w:w="178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5%</w:t>
            </w:r>
          </w:p>
        </w:tc>
      </w:tr>
      <w:tr>
        <w:trPr>
          <w:trHeight w:val="203"/>
        </w:trPr>
        <w:tc>
          <w:tcPr>
            <w:tcW w:w="2600" w:type="dxa"/>
            <w:vAlign w:val="bottom"/>
            <w:tcBorders>
              <w:bottom w:val="single" w:sz="8" w:color="6F2875"/>
            </w:tcBorders>
          </w:tcPr>
          <w:p>
            <w:pPr>
              <w:ind w:left="40"/>
              <w:spacing w:after="0"/>
              <w:rPr>
                <w:sz w:val="20"/>
                <w:szCs w:val="20"/>
                <w:color w:val="auto"/>
              </w:rPr>
            </w:pPr>
            <w:r>
              <w:rPr>
                <w:rFonts w:ascii="Arial" w:cs="Arial" w:eastAsia="Arial" w:hAnsi="Arial"/>
                <w:sz w:val="16"/>
                <w:szCs w:val="16"/>
                <w:b w:val="1"/>
                <w:bCs w:val="1"/>
                <w:color w:val="231F20"/>
              </w:rPr>
              <w:t>Mr. Wise</w:t>
            </w:r>
          </w:p>
        </w:tc>
        <w:tc>
          <w:tcPr>
            <w:tcW w:w="2460" w:type="dxa"/>
            <w:vAlign w:val="bottom"/>
            <w:tcBorders>
              <w:bottom w:val="single" w:sz="8" w:color="6F2875"/>
            </w:tcBorders>
          </w:tcPr>
          <w:p>
            <w:pPr>
              <w:jc w:val="right"/>
              <w:ind w:right="239"/>
              <w:spacing w:after="0"/>
              <w:rPr>
                <w:sz w:val="20"/>
                <w:szCs w:val="20"/>
                <w:color w:val="auto"/>
              </w:rPr>
            </w:pPr>
            <w:r>
              <w:rPr>
                <w:rFonts w:ascii="Arial" w:cs="Arial" w:eastAsia="Arial" w:hAnsi="Arial"/>
                <w:sz w:val="16"/>
                <w:szCs w:val="16"/>
                <w:color w:val="231F20"/>
              </w:rPr>
              <w:t>70%</w:t>
            </w:r>
          </w:p>
        </w:tc>
        <w:tc>
          <w:tcPr>
            <w:tcW w:w="1780" w:type="dxa"/>
            <w:vAlign w:val="bottom"/>
            <w:tcBorders>
              <w:bottom w:val="single" w:sz="8" w:color="6F2875"/>
            </w:tcBorders>
          </w:tcPr>
          <w:p>
            <w:pPr>
              <w:jc w:val="right"/>
              <w:spacing w:after="0"/>
              <w:rPr>
                <w:sz w:val="20"/>
                <w:szCs w:val="20"/>
                <w:color w:val="auto"/>
              </w:rPr>
            </w:pPr>
            <w:r>
              <w:rPr>
                <w:rFonts w:ascii="Arial" w:cs="Arial" w:eastAsia="Arial" w:hAnsi="Arial"/>
                <w:sz w:val="16"/>
                <w:szCs w:val="16"/>
                <w:color w:val="231F20"/>
              </w:rPr>
              <w:t>-%</w:t>
            </w:r>
          </w:p>
        </w:tc>
      </w:tr>
    </w:tbl>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Payment of the target bonus amount is conditioned on our achievement of certain financial objectives and, with the exception of our chief executive officer, each participant’s achievement of an individual objective related to talent,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60" w:type="dxa"/>
            <w:vAlign w:val="bottom"/>
          </w:tcPr>
          <w:p>
            <w:pPr>
              <w:spacing w:after="0"/>
              <w:rPr>
                <w:sz w:val="19"/>
                <w:szCs w:val="19"/>
                <w:color w:val="auto"/>
              </w:rPr>
            </w:pPr>
          </w:p>
        </w:tc>
        <w:tc>
          <w:tcPr>
            <w:tcW w:w="2920" w:type="dxa"/>
            <w:vAlign w:val="bottom"/>
            <w:tcBorders>
              <w:bottom w:val="single" w:sz="8" w:color="6F2875"/>
            </w:tcBorders>
            <w:gridSpan w:val="2"/>
          </w:tcPr>
          <w:p>
            <w:pPr>
              <w:ind w:left="1160"/>
              <w:spacing w:after="0"/>
              <w:rPr>
                <w:sz w:val="20"/>
                <w:szCs w:val="20"/>
                <w:color w:val="auto"/>
              </w:rPr>
            </w:pPr>
            <w:r>
              <w:rPr>
                <w:rFonts w:ascii="Arial" w:cs="Arial" w:eastAsia="Arial" w:hAnsi="Arial"/>
                <w:sz w:val="16"/>
                <w:szCs w:val="16"/>
                <w:b w:val="1"/>
                <w:bCs w:val="1"/>
                <w:color w:val="6F2875"/>
              </w:rPr>
              <w:t>Group Objectives</w:t>
            </w:r>
          </w:p>
        </w:tc>
        <w:tc>
          <w:tcPr>
            <w:tcW w:w="1340" w:type="dxa"/>
            <w:vAlign w:val="bottom"/>
            <w:tcBorders>
              <w:bottom w:val="single" w:sz="8" w:color="6F2875"/>
            </w:tcBorders>
          </w:tcPr>
          <w:p>
            <w:pPr>
              <w:spacing w:after="0"/>
              <w:rPr>
                <w:sz w:val="19"/>
                <w:szCs w:val="19"/>
                <w:color w:val="auto"/>
              </w:rPr>
            </w:pPr>
          </w:p>
        </w:tc>
        <w:tc>
          <w:tcPr>
            <w:tcW w:w="1900" w:type="dxa"/>
            <w:vAlign w:val="bottom"/>
            <w:tcBorders>
              <w:bottom w:val="single" w:sz="8" w:color="6F2875"/>
            </w:tcBorders>
          </w:tcPr>
          <w:p>
            <w:pPr>
              <w:jc w:val="right"/>
              <w:spacing w:after="0"/>
              <w:rPr>
                <w:sz w:val="20"/>
                <w:szCs w:val="20"/>
                <w:color w:val="auto"/>
              </w:rPr>
            </w:pPr>
            <w:r>
              <w:rPr>
                <w:rFonts w:ascii="Arial" w:cs="Arial" w:eastAsia="Arial" w:hAnsi="Arial"/>
                <w:sz w:val="16"/>
                <w:szCs w:val="16"/>
                <w:b w:val="1"/>
                <w:bCs w:val="1"/>
                <w:color w:val="6F2875"/>
              </w:rPr>
              <w:t>Talent Objective</w:t>
            </w:r>
          </w:p>
        </w:tc>
      </w:tr>
      <w:tr>
        <w:trPr>
          <w:trHeight w:val="250"/>
        </w:trPr>
        <w:tc>
          <w:tcPr>
            <w:tcW w:w="5260" w:type="dxa"/>
            <w:vAlign w:val="bottom"/>
            <w:tcBorders>
              <w:bottom w:val="single" w:sz="8" w:color="6F2875"/>
            </w:tcBorders>
          </w:tcPr>
          <w:p>
            <w:pPr>
              <w:spacing w:after="0"/>
              <w:rPr>
                <w:sz w:val="21"/>
                <w:szCs w:val="21"/>
                <w:color w:val="auto"/>
              </w:rPr>
            </w:pPr>
          </w:p>
        </w:tc>
        <w:tc>
          <w:tcPr>
            <w:tcW w:w="1720" w:type="dxa"/>
            <w:vAlign w:val="bottom"/>
            <w:tcBorders>
              <w:bottom w:val="single" w:sz="8" w:color="6F2875"/>
            </w:tcBorders>
          </w:tcPr>
          <w:p>
            <w:pPr>
              <w:jc w:val="right"/>
              <w:ind w:right="259"/>
              <w:spacing w:after="0"/>
              <w:rPr>
                <w:sz w:val="20"/>
                <w:szCs w:val="20"/>
                <w:color w:val="auto"/>
              </w:rPr>
            </w:pPr>
            <w:r>
              <w:rPr>
                <w:rFonts w:ascii="Arial" w:cs="Arial" w:eastAsia="Arial" w:hAnsi="Arial"/>
                <w:sz w:val="16"/>
                <w:szCs w:val="16"/>
                <w:b w:val="1"/>
                <w:bCs w:val="1"/>
                <w:color w:val="6F2875"/>
              </w:rPr>
              <w:t>Net Sales</w:t>
            </w:r>
          </w:p>
        </w:tc>
        <w:tc>
          <w:tcPr>
            <w:tcW w:w="2540" w:type="dxa"/>
            <w:vAlign w:val="bottom"/>
            <w:tcBorders>
              <w:bottom w:val="single" w:sz="8" w:color="6F2875"/>
            </w:tcBorders>
            <w:gridSpan w:val="2"/>
          </w:tcPr>
          <w:p>
            <w:pPr>
              <w:jc w:val="right"/>
              <w:ind w:right="519"/>
              <w:spacing w:after="0"/>
              <w:rPr>
                <w:sz w:val="20"/>
                <w:szCs w:val="20"/>
                <w:color w:val="auto"/>
              </w:rPr>
            </w:pPr>
            <w:r>
              <w:rPr>
                <w:rFonts w:ascii="Arial" w:cs="Arial" w:eastAsia="Arial" w:hAnsi="Arial"/>
                <w:sz w:val="16"/>
                <w:szCs w:val="16"/>
                <w:b w:val="1"/>
                <w:bCs w:val="1"/>
                <w:color w:val="6F2875"/>
              </w:rPr>
              <w:t>Adjusted Net Income</w:t>
            </w:r>
          </w:p>
        </w:tc>
        <w:tc>
          <w:tcPr>
            <w:tcW w:w="1900" w:type="dxa"/>
            <w:vAlign w:val="bottom"/>
            <w:tcBorders>
              <w:bottom w:val="single" w:sz="8" w:color="6F2875"/>
            </w:tcBorders>
          </w:tcPr>
          <w:p>
            <w:pPr>
              <w:spacing w:after="0"/>
              <w:rPr>
                <w:sz w:val="21"/>
                <w:szCs w:val="21"/>
                <w:color w:val="auto"/>
              </w:rPr>
            </w:pPr>
          </w:p>
        </w:tc>
      </w:tr>
      <w:tr>
        <w:trPr>
          <w:trHeight w:val="196"/>
        </w:trPr>
        <w:tc>
          <w:tcPr>
            <w:tcW w:w="5260" w:type="dxa"/>
            <w:vAlign w:val="bottom"/>
          </w:tcPr>
          <w:p>
            <w:pPr>
              <w:ind w:left="60"/>
              <w:spacing w:after="0"/>
              <w:rPr>
                <w:sz w:val="20"/>
                <w:szCs w:val="20"/>
                <w:color w:val="auto"/>
              </w:rPr>
            </w:pPr>
            <w:r>
              <w:rPr>
                <w:rFonts w:ascii="Arial" w:cs="Arial" w:eastAsia="Arial" w:hAnsi="Arial"/>
                <w:sz w:val="16"/>
                <w:szCs w:val="16"/>
                <w:b w:val="1"/>
                <w:bCs w:val="1"/>
                <w:color w:val="231F20"/>
              </w:rPr>
              <w:t>Mr. McDonald</w:t>
            </w:r>
          </w:p>
        </w:tc>
        <w:tc>
          <w:tcPr>
            <w:tcW w:w="1720" w:type="dxa"/>
            <w:vAlign w:val="bottom"/>
          </w:tcPr>
          <w:p>
            <w:pPr>
              <w:jc w:val="right"/>
              <w:ind w:right="259"/>
              <w:spacing w:after="0"/>
              <w:rPr>
                <w:sz w:val="20"/>
                <w:szCs w:val="20"/>
                <w:color w:val="auto"/>
              </w:rPr>
            </w:pPr>
            <w:r>
              <w:rPr>
                <w:rFonts w:ascii="Arial" w:cs="Arial" w:eastAsia="Arial" w:hAnsi="Arial"/>
                <w:sz w:val="16"/>
                <w:szCs w:val="16"/>
                <w:color w:val="231F20"/>
              </w:rPr>
              <w:t>60%</w:t>
            </w:r>
          </w:p>
        </w:tc>
        <w:tc>
          <w:tcPr>
            <w:tcW w:w="1200" w:type="dxa"/>
            <w:vAlign w:val="bottom"/>
          </w:tcPr>
          <w:p>
            <w:pPr>
              <w:spacing w:after="0"/>
              <w:rPr>
                <w:sz w:val="17"/>
                <w:szCs w:val="17"/>
                <w:color w:val="auto"/>
              </w:rPr>
            </w:pPr>
          </w:p>
        </w:tc>
        <w:tc>
          <w:tcPr>
            <w:tcW w:w="1340" w:type="dxa"/>
            <w:vAlign w:val="bottom"/>
          </w:tcPr>
          <w:p>
            <w:pPr>
              <w:jc w:val="right"/>
              <w:ind w:right="519"/>
              <w:spacing w:after="0"/>
              <w:rPr>
                <w:sz w:val="20"/>
                <w:szCs w:val="20"/>
                <w:color w:val="auto"/>
              </w:rPr>
            </w:pPr>
            <w:r>
              <w:rPr>
                <w:rFonts w:ascii="Arial" w:cs="Arial" w:eastAsia="Arial" w:hAnsi="Arial"/>
                <w:sz w:val="16"/>
                <w:szCs w:val="16"/>
                <w:color w:val="231F20"/>
              </w:rPr>
              <w:t>40%</w:t>
            </w:r>
          </w:p>
        </w:tc>
        <w:tc>
          <w:tcPr>
            <w:tcW w:w="1900" w:type="dxa"/>
            <w:vAlign w:val="bottom"/>
          </w:tcPr>
          <w:p>
            <w:pPr>
              <w:spacing w:after="0"/>
              <w:rPr>
                <w:sz w:val="17"/>
                <w:szCs w:val="17"/>
                <w:color w:val="auto"/>
              </w:rPr>
            </w:pPr>
          </w:p>
        </w:tc>
      </w:tr>
      <w:tr>
        <w:trPr>
          <w:trHeight w:val="203"/>
        </w:trPr>
        <w:tc>
          <w:tcPr>
            <w:tcW w:w="5260" w:type="dxa"/>
            <w:vAlign w:val="bottom"/>
            <w:shd w:val="clear" w:color="auto" w:fill="F3EDF3"/>
          </w:tcPr>
          <w:p>
            <w:pPr>
              <w:ind w:left="60"/>
              <w:spacing w:after="0"/>
              <w:rPr>
                <w:sz w:val="20"/>
                <w:szCs w:val="20"/>
                <w:color w:val="auto"/>
              </w:rPr>
            </w:pPr>
            <w:r>
              <w:rPr>
                <w:rFonts w:ascii="Arial" w:cs="Arial" w:eastAsia="Arial" w:hAnsi="Arial"/>
                <w:sz w:val="16"/>
                <w:szCs w:val="16"/>
                <w:b w:val="1"/>
                <w:bCs w:val="1"/>
                <w:color w:val="231F20"/>
              </w:rPr>
              <w:t>Mr. Huston</w:t>
            </w:r>
          </w:p>
        </w:tc>
        <w:tc>
          <w:tcPr>
            <w:tcW w:w="1720" w:type="dxa"/>
            <w:vAlign w:val="bottom"/>
            <w:shd w:val="clear" w:color="auto" w:fill="F3EDF3"/>
          </w:tcPr>
          <w:p>
            <w:pPr>
              <w:jc w:val="right"/>
              <w:ind w:right="259"/>
              <w:spacing w:after="0"/>
              <w:rPr>
                <w:sz w:val="20"/>
                <w:szCs w:val="20"/>
                <w:color w:val="auto"/>
              </w:rPr>
            </w:pPr>
            <w:r>
              <w:rPr>
                <w:rFonts w:ascii="Arial" w:cs="Arial" w:eastAsia="Arial" w:hAnsi="Arial"/>
                <w:sz w:val="16"/>
                <w:szCs w:val="16"/>
                <w:color w:val="231F20"/>
              </w:rPr>
              <w:t>50%</w:t>
            </w:r>
          </w:p>
        </w:tc>
        <w:tc>
          <w:tcPr>
            <w:tcW w:w="1200" w:type="dxa"/>
            <w:vAlign w:val="bottom"/>
            <w:shd w:val="clear" w:color="auto" w:fill="F3EDF3"/>
          </w:tcPr>
          <w:p>
            <w:pPr>
              <w:spacing w:after="0"/>
              <w:rPr>
                <w:sz w:val="17"/>
                <w:szCs w:val="17"/>
                <w:color w:val="auto"/>
              </w:rPr>
            </w:pPr>
          </w:p>
        </w:tc>
        <w:tc>
          <w:tcPr>
            <w:tcW w:w="1340" w:type="dxa"/>
            <w:vAlign w:val="bottom"/>
            <w:shd w:val="clear" w:color="auto" w:fill="F3EDF3"/>
          </w:tcPr>
          <w:p>
            <w:pPr>
              <w:jc w:val="right"/>
              <w:ind w:right="519"/>
              <w:spacing w:after="0"/>
              <w:rPr>
                <w:sz w:val="20"/>
                <w:szCs w:val="20"/>
                <w:color w:val="auto"/>
              </w:rPr>
            </w:pPr>
            <w:r>
              <w:rPr>
                <w:rFonts w:ascii="Arial" w:cs="Arial" w:eastAsia="Arial" w:hAnsi="Arial"/>
                <w:sz w:val="16"/>
                <w:szCs w:val="16"/>
                <w:color w:val="231F20"/>
              </w:rPr>
              <w:t>35%</w:t>
            </w:r>
          </w:p>
        </w:tc>
        <w:tc>
          <w:tcPr>
            <w:tcW w:w="190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15%</w:t>
            </w:r>
          </w:p>
        </w:tc>
      </w:tr>
      <w:tr>
        <w:trPr>
          <w:trHeight w:val="203"/>
        </w:trPr>
        <w:tc>
          <w:tcPr>
            <w:tcW w:w="5260" w:type="dxa"/>
            <w:vAlign w:val="bottom"/>
          </w:tcPr>
          <w:p>
            <w:pPr>
              <w:ind w:left="60"/>
              <w:spacing w:after="0"/>
              <w:rPr>
                <w:sz w:val="20"/>
                <w:szCs w:val="20"/>
                <w:color w:val="auto"/>
              </w:rPr>
            </w:pPr>
            <w:r>
              <w:rPr>
                <w:rFonts w:ascii="Arial" w:cs="Arial" w:eastAsia="Arial" w:hAnsi="Arial"/>
                <w:sz w:val="16"/>
                <w:szCs w:val="16"/>
                <w:b w:val="1"/>
                <w:bCs w:val="1"/>
                <w:color w:val="231F20"/>
              </w:rPr>
              <w:t>Mr. Manko</w:t>
            </w:r>
          </w:p>
        </w:tc>
        <w:tc>
          <w:tcPr>
            <w:tcW w:w="1720" w:type="dxa"/>
            <w:vAlign w:val="bottom"/>
          </w:tcPr>
          <w:p>
            <w:pPr>
              <w:jc w:val="right"/>
              <w:ind w:right="259"/>
              <w:spacing w:after="0"/>
              <w:rPr>
                <w:sz w:val="20"/>
                <w:szCs w:val="20"/>
                <w:color w:val="auto"/>
              </w:rPr>
            </w:pPr>
            <w:r>
              <w:rPr>
                <w:rFonts w:ascii="Arial" w:cs="Arial" w:eastAsia="Arial" w:hAnsi="Arial"/>
                <w:sz w:val="16"/>
                <w:szCs w:val="16"/>
                <w:color w:val="231F20"/>
              </w:rPr>
              <w:t>50%</w:t>
            </w:r>
          </w:p>
        </w:tc>
        <w:tc>
          <w:tcPr>
            <w:tcW w:w="1200" w:type="dxa"/>
            <w:vAlign w:val="bottom"/>
          </w:tcPr>
          <w:p>
            <w:pPr>
              <w:spacing w:after="0"/>
              <w:rPr>
                <w:sz w:val="17"/>
                <w:szCs w:val="17"/>
                <w:color w:val="auto"/>
              </w:rPr>
            </w:pPr>
          </w:p>
        </w:tc>
        <w:tc>
          <w:tcPr>
            <w:tcW w:w="1340" w:type="dxa"/>
            <w:vAlign w:val="bottom"/>
          </w:tcPr>
          <w:p>
            <w:pPr>
              <w:jc w:val="right"/>
              <w:ind w:right="519"/>
              <w:spacing w:after="0"/>
              <w:rPr>
                <w:sz w:val="20"/>
                <w:szCs w:val="20"/>
                <w:color w:val="auto"/>
              </w:rPr>
            </w:pPr>
            <w:r>
              <w:rPr>
                <w:rFonts w:ascii="Arial" w:cs="Arial" w:eastAsia="Arial" w:hAnsi="Arial"/>
                <w:sz w:val="16"/>
                <w:szCs w:val="16"/>
                <w:color w:val="231F20"/>
              </w:rPr>
              <w:t>35%</w:t>
            </w:r>
          </w:p>
        </w:tc>
        <w:tc>
          <w:tcPr>
            <w:tcW w:w="1900" w:type="dxa"/>
            <w:vAlign w:val="bottom"/>
          </w:tcPr>
          <w:p>
            <w:pPr>
              <w:jc w:val="right"/>
              <w:spacing w:after="0"/>
              <w:rPr>
                <w:sz w:val="20"/>
                <w:szCs w:val="20"/>
                <w:color w:val="auto"/>
              </w:rPr>
            </w:pPr>
            <w:r>
              <w:rPr>
                <w:rFonts w:ascii="Arial" w:cs="Arial" w:eastAsia="Arial" w:hAnsi="Arial"/>
                <w:sz w:val="16"/>
                <w:szCs w:val="16"/>
                <w:color w:val="231F20"/>
              </w:rPr>
              <w:t>15%</w:t>
            </w:r>
          </w:p>
        </w:tc>
      </w:tr>
      <w:tr>
        <w:trPr>
          <w:trHeight w:val="203"/>
        </w:trPr>
        <w:tc>
          <w:tcPr>
            <w:tcW w:w="5260" w:type="dxa"/>
            <w:vAlign w:val="bottom"/>
            <w:shd w:val="clear" w:color="auto" w:fill="F3EDF3"/>
          </w:tcPr>
          <w:p>
            <w:pPr>
              <w:ind w:left="60"/>
              <w:spacing w:after="0"/>
              <w:rPr>
                <w:sz w:val="20"/>
                <w:szCs w:val="20"/>
                <w:color w:val="auto"/>
              </w:rPr>
            </w:pPr>
            <w:r>
              <w:rPr>
                <w:rFonts w:ascii="Arial" w:cs="Arial" w:eastAsia="Arial" w:hAnsi="Arial"/>
                <w:sz w:val="16"/>
                <w:szCs w:val="16"/>
                <w:b w:val="1"/>
                <w:bCs w:val="1"/>
                <w:color w:val="231F20"/>
              </w:rPr>
              <w:t>Ms. Skeffington</w:t>
            </w:r>
          </w:p>
        </w:tc>
        <w:tc>
          <w:tcPr>
            <w:tcW w:w="1720" w:type="dxa"/>
            <w:vAlign w:val="bottom"/>
            <w:shd w:val="clear" w:color="auto" w:fill="F3EDF3"/>
          </w:tcPr>
          <w:p>
            <w:pPr>
              <w:jc w:val="right"/>
              <w:ind w:right="259"/>
              <w:spacing w:after="0"/>
              <w:rPr>
                <w:sz w:val="20"/>
                <w:szCs w:val="20"/>
                <w:color w:val="auto"/>
              </w:rPr>
            </w:pPr>
            <w:r>
              <w:rPr>
                <w:rFonts w:ascii="Arial" w:cs="Arial" w:eastAsia="Arial" w:hAnsi="Arial"/>
                <w:sz w:val="16"/>
                <w:szCs w:val="16"/>
                <w:color w:val="231F20"/>
              </w:rPr>
              <w:t>50%</w:t>
            </w:r>
          </w:p>
        </w:tc>
        <w:tc>
          <w:tcPr>
            <w:tcW w:w="1200" w:type="dxa"/>
            <w:vAlign w:val="bottom"/>
            <w:shd w:val="clear" w:color="auto" w:fill="F3EDF3"/>
          </w:tcPr>
          <w:p>
            <w:pPr>
              <w:spacing w:after="0"/>
              <w:rPr>
                <w:sz w:val="17"/>
                <w:szCs w:val="17"/>
                <w:color w:val="auto"/>
              </w:rPr>
            </w:pPr>
          </w:p>
        </w:tc>
        <w:tc>
          <w:tcPr>
            <w:tcW w:w="1340" w:type="dxa"/>
            <w:vAlign w:val="bottom"/>
            <w:shd w:val="clear" w:color="auto" w:fill="F3EDF3"/>
          </w:tcPr>
          <w:p>
            <w:pPr>
              <w:jc w:val="right"/>
              <w:ind w:right="519"/>
              <w:spacing w:after="0"/>
              <w:rPr>
                <w:sz w:val="20"/>
                <w:szCs w:val="20"/>
                <w:color w:val="auto"/>
              </w:rPr>
            </w:pPr>
            <w:r>
              <w:rPr>
                <w:rFonts w:ascii="Arial" w:cs="Arial" w:eastAsia="Arial" w:hAnsi="Arial"/>
                <w:sz w:val="16"/>
                <w:szCs w:val="16"/>
                <w:color w:val="231F20"/>
              </w:rPr>
              <w:t>35%</w:t>
            </w:r>
          </w:p>
        </w:tc>
        <w:tc>
          <w:tcPr>
            <w:tcW w:w="190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15%</w:t>
            </w:r>
          </w:p>
        </w:tc>
      </w:tr>
      <w:tr>
        <w:trPr>
          <w:trHeight w:val="203"/>
        </w:trPr>
        <w:tc>
          <w:tcPr>
            <w:tcW w:w="5260" w:type="dxa"/>
            <w:vAlign w:val="bottom"/>
            <w:tcBorders>
              <w:bottom w:val="single" w:sz="8" w:color="6F2875"/>
            </w:tcBorders>
          </w:tcPr>
          <w:p>
            <w:pPr>
              <w:ind w:left="60"/>
              <w:spacing w:after="0"/>
              <w:rPr>
                <w:sz w:val="20"/>
                <w:szCs w:val="20"/>
                <w:color w:val="auto"/>
              </w:rPr>
            </w:pPr>
            <w:r>
              <w:rPr>
                <w:rFonts w:ascii="Arial" w:cs="Arial" w:eastAsia="Arial" w:hAnsi="Arial"/>
                <w:sz w:val="16"/>
                <w:szCs w:val="16"/>
                <w:b w:val="1"/>
                <w:bCs w:val="1"/>
                <w:color w:val="231F20"/>
              </w:rPr>
              <w:t>Mr. Wise</w:t>
            </w:r>
          </w:p>
        </w:tc>
        <w:tc>
          <w:tcPr>
            <w:tcW w:w="1720" w:type="dxa"/>
            <w:vAlign w:val="bottom"/>
            <w:tcBorders>
              <w:bottom w:val="single" w:sz="8" w:color="6F2875"/>
            </w:tcBorders>
          </w:tcPr>
          <w:p>
            <w:pPr>
              <w:jc w:val="right"/>
              <w:ind w:right="259"/>
              <w:spacing w:after="0"/>
              <w:rPr>
                <w:sz w:val="20"/>
                <w:szCs w:val="20"/>
                <w:color w:val="auto"/>
              </w:rPr>
            </w:pPr>
            <w:r>
              <w:rPr>
                <w:rFonts w:ascii="Arial" w:cs="Arial" w:eastAsia="Arial" w:hAnsi="Arial"/>
                <w:sz w:val="16"/>
                <w:szCs w:val="16"/>
                <w:color w:val="231F20"/>
              </w:rPr>
              <w:t>50%</w:t>
            </w:r>
          </w:p>
        </w:tc>
        <w:tc>
          <w:tcPr>
            <w:tcW w:w="1200" w:type="dxa"/>
            <w:vAlign w:val="bottom"/>
            <w:tcBorders>
              <w:bottom w:val="single" w:sz="8" w:color="6F2875"/>
            </w:tcBorders>
          </w:tcPr>
          <w:p>
            <w:pPr>
              <w:spacing w:after="0"/>
              <w:rPr>
                <w:sz w:val="17"/>
                <w:szCs w:val="17"/>
                <w:color w:val="auto"/>
              </w:rPr>
            </w:pPr>
          </w:p>
        </w:tc>
        <w:tc>
          <w:tcPr>
            <w:tcW w:w="1340" w:type="dxa"/>
            <w:vAlign w:val="bottom"/>
            <w:tcBorders>
              <w:bottom w:val="single" w:sz="8" w:color="6F2875"/>
            </w:tcBorders>
          </w:tcPr>
          <w:p>
            <w:pPr>
              <w:jc w:val="right"/>
              <w:ind w:right="519"/>
              <w:spacing w:after="0"/>
              <w:rPr>
                <w:sz w:val="20"/>
                <w:szCs w:val="20"/>
                <w:color w:val="auto"/>
              </w:rPr>
            </w:pPr>
            <w:r>
              <w:rPr>
                <w:rFonts w:ascii="Arial" w:cs="Arial" w:eastAsia="Arial" w:hAnsi="Arial"/>
                <w:sz w:val="16"/>
                <w:szCs w:val="16"/>
                <w:color w:val="231F20"/>
              </w:rPr>
              <w:t>35%</w:t>
            </w:r>
          </w:p>
        </w:tc>
        <w:tc>
          <w:tcPr>
            <w:tcW w:w="1900" w:type="dxa"/>
            <w:vAlign w:val="bottom"/>
            <w:tcBorders>
              <w:bottom w:val="single" w:sz="8" w:color="6F2875"/>
            </w:tcBorders>
          </w:tcPr>
          <w:p>
            <w:pPr>
              <w:jc w:val="right"/>
              <w:spacing w:after="0"/>
              <w:rPr>
                <w:sz w:val="20"/>
                <w:szCs w:val="20"/>
                <w:color w:val="auto"/>
              </w:rPr>
            </w:pPr>
            <w:r>
              <w:rPr>
                <w:rFonts w:ascii="Arial" w:cs="Arial" w:eastAsia="Arial" w:hAnsi="Arial"/>
                <w:sz w:val="16"/>
                <w:szCs w:val="16"/>
                <w:color w:val="231F20"/>
              </w:rPr>
              <w:t>15%</w:t>
            </w:r>
          </w:p>
        </w:tc>
      </w:tr>
    </w:tbl>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“Net Sales” is defined as our net sales for 2018 at budgeted currency exchange rates, excluding net sales from CRM, ImThera Medical, Inc. and any acquisitions in 2018. “Adjusted Net Income” is defined as our non-GAAP net income at reported currency exchange rates, after adjustments for CRM, and the effects of acquisitions, divestitures, restructuring, integration, purchase price allocation and intangible amortization, special items, including 3T Heater Cooler remediation and significant and unusual litigation, and equity compensation.</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If the threshold for a financial objective (Net Sales or Adjusted Net Income) is achieved, then the funding for that objective is scaled down or up for underachievement and overachievement, respectively, of the objective,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106045</wp:posOffset>
            </wp:positionV>
            <wp:extent cx="3009900" cy="2701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009900"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4220" w:val="left"/>
          <w:tab w:leader="none" w:pos="9960" w:val="left"/>
        </w:tabs>
        <w:rPr>
          <w:sz w:val="20"/>
          <w:szCs w:val="20"/>
          <w:color w:val="auto"/>
        </w:rPr>
      </w:pPr>
      <w:r>
        <w:rPr>
          <w:rFonts w:ascii="Arial" w:cs="Arial" w:eastAsia="Arial" w:hAnsi="Arial"/>
          <w:sz w:val="16"/>
          <w:szCs w:val="16"/>
          <w:b w:val="1"/>
          <w:bCs w:val="1"/>
          <w:color w:val="auto"/>
        </w:rPr>
        <w:t>30</w:t>
      </w:r>
      <w:r>
        <w:rPr>
          <w:sz w:val="20"/>
          <w:szCs w:val="20"/>
          <w:color w:val="auto"/>
        </w:rPr>
        <w:tab/>
      </w: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r>
        <w:rPr>
          <w:sz w:val="20"/>
          <w:szCs w:val="20"/>
          <w:color w:val="auto"/>
        </w:rPr>
        <w:tab/>
      </w:r>
      <w:r>
        <w:rPr>
          <w:rFonts w:ascii="Arial" w:cs="Arial" w:eastAsia="Arial" w:hAnsi="Arial"/>
          <w:sz w:val="16"/>
          <w:szCs w:val="16"/>
          <w:b w:val="1"/>
          <w:bCs w:val="1"/>
          <w:color w:val="6F2875"/>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-36195</wp:posOffset>
            </wp:positionV>
            <wp:extent cx="1663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-36195</wp:posOffset>
            </wp:positionV>
            <wp:extent cx="23241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231F20"/>
        </w:rPr>
        <w:t>The Talent Objective is an individual objective that can be underachieved as determined by the Compensation Committee.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231F20"/>
        </w:rPr>
        <w:t>The table below shows the minimum and maximum achievement of the target short-term incentive payment under the 2018 STIP.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Borders>
              <w:bottom w:val="single" w:sz="8" w:color="6F2875"/>
            </w:tcBorders>
          </w:tcPr>
          <w:p>
            <w:pPr>
              <w:spacing w:after="0"/>
              <w:rPr>
                <w:sz w:val="18"/>
                <w:szCs w:val="18"/>
                <w:color w:val="auto"/>
              </w:rPr>
            </w:pPr>
          </w:p>
        </w:tc>
        <w:tc>
          <w:tcPr>
            <w:tcW w:w="5040" w:type="dxa"/>
            <w:vAlign w:val="bottom"/>
            <w:tcBorders>
              <w:bottom w:val="single" w:sz="8" w:color="6F2875"/>
            </w:tcBorders>
          </w:tcPr>
          <w:p>
            <w:pPr>
              <w:jc w:val="right"/>
              <w:ind w:right="779"/>
              <w:spacing w:after="0"/>
              <w:rPr>
                <w:sz w:val="20"/>
                <w:szCs w:val="20"/>
                <w:color w:val="auto"/>
              </w:rPr>
            </w:pPr>
            <w:r>
              <w:rPr>
                <w:rFonts w:ascii="Arial" w:cs="Arial" w:eastAsia="Arial" w:hAnsi="Arial"/>
                <w:sz w:val="16"/>
                <w:szCs w:val="16"/>
                <w:b w:val="1"/>
                <w:bCs w:val="1"/>
                <w:color w:val="6F2875"/>
              </w:rPr>
              <w:t>Minimum</w:t>
            </w:r>
          </w:p>
        </w:tc>
        <w:tc>
          <w:tcPr>
            <w:tcW w:w="1640" w:type="dxa"/>
            <w:vAlign w:val="bottom"/>
            <w:tcBorders>
              <w:bottom w:val="single" w:sz="8" w:color="6F2875"/>
            </w:tcBorders>
          </w:tcPr>
          <w:p>
            <w:pPr>
              <w:jc w:val="right"/>
              <w:spacing w:after="0"/>
              <w:rPr>
                <w:sz w:val="20"/>
                <w:szCs w:val="20"/>
                <w:color w:val="auto"/>
              </w:rPr>
            </w:pPr>
            <w:r>
              <w:rPr>
                <w:rFonts w:ascii="Arial" w:cs="Arial" w:eastAsia="Arial" w:hAnsi="Arial"/>
                <w:sz w:val="16"/>
                <w:szCs w:val="16"/>
                <w:b w:val="1"/>
                <w:bCs w:val="1"/>
                <w:color w:val="6F2875"/>
              </w:rPr>
              <w:t>Maximum</w:t>
            </w:r>
          </w:p>
        </w:tc>
      </w:tr>
      <w:tr>
        <w:trPr>
          <w:trHeight w:val="196"/>
        </w:trPr>
        <w:tc>
          <w:tcPr>
            <w:tcW w:w="4740" w:type="dxa"/>
            <w:vAlign w:val="bottom"/>
          </w:tcPr>
          <w:p>
            <w:pPr>
              <w:ind w:left="60"/>
              <w:spacing w:after="0"/>
              <w:rPr>
                <w:sz w:val="20"/>
                <w:szCs w:val="20"/>
                <w:color w:val="auto"/>
              </w:rPr>
            </w:pPr>
            <w:r>
              <w:rPr>
                <w:rFonts w:ascii="Arial" w:cs="Arial" w:eastAsia="Arial" w:hAnsi="Arial"/>
                <w:sz w:val="16"/>
                <w:szCs w:val="16"/>
                <w:b w:val="1"/>
                <w:bCs w:val="1"/>
                <w:color w:val="231F20"/>
              </w:rPr>
              <w:t>Mr. McDonald</w:t>
            </w:r>
          </w:p>
        </w:tc>
        <w:tc>
          <w:tcPr>
            <w:tcW w:w="5040" w:type="dxa"/>
            <w:vAlign w:val="bottom"/>
          </w:tcPr>
          <w:p>
            <w:pPr>
              <w:jc w:val="right"/>
              <w:ind w:right="779"/>
              <w:spacing w:after="0"/>
              <w:rPr>
                <w:sz w:val="20"/>
                <w:szCs w:val="20"/>
                <w:color w:val="auto"/>
              </w:rPr>
            </w:pPr>
            <w:r>
              <w:rPr>
                <w:rFonts w:ascii="Arial" w:cs="Arial" w:eastAsia="Arial" w:hAnsi="Arial"/>
                <w:sz w:val="16"/>
                <w:szCs w:val="16"/>
                <w:color w:val="231F20"/>
              </w:rPr>
              <w:t>0%</w:t>
            </w:r>
          </w:p>
        </w:tc>
        <w:tc>
          <w:tcPr>
            <w:tcW w:w="1640" w:type="dxa"/>
            <w:vAlign w:val="bottom"/>
          </w:tcPr>
          <w:p>
            <w:pPr>
              <w:jc w:val="right"/>
              <w:spacing w:after="0"/>
              <w:rPr>
                <w:sz w:val="20"/>
                <w:szCs w:val="20"/>
                <w:color w:val="auto"/>
              </w:rPr>
            </w:pPr>
            <w:r>
              <w:rPr>
                <w:rFonts w:ascii="Arial" w:cs="Arial" w:eastAsia="Arial" w:hAnsi="Arial"/>
                <w:sz w:val="16"/>
                <w:szCs w:val="16"/>
                <w:color w:val="231F20"/>
              </w:rPr>
              <w:t>175%</w:t>
            </w:r>
          </w:p>
        </w:tc>
      </w:tr>
      <w:tr>
        <w:trPr>
          <w:trHeight w:val="203"/>
        </w:trPr>
        <w:tc>
          <w:tcPr>
            <w:tcW w:w="4740" w:type="dxa"/>
            <w:vAlign w:val="bottom"/>
            <w:shd w:val="clear" w:color="auto" w:fill="F3EDF3"/>
          </w:tcPr>
          <w:p>
            <w:pPr>
              <w:ind w:left="60"/>
              <w:spacing w:after="0"/>
              <w:rPr>
                <w:sz w:val="20"/>
                <w:szCs w:val="20"/>
                <w:color w:val="auto"/>
              </w:rPr>
            </w:pPr>
            <w:r>
              <w:rPr>
                <w:rFonts w:ascii="Arial" w:cs="Arial" w:eastAsia="Arial" w:hAnsi="Arial"/>
                <w:sz w:val="16"/>
                <w:szCs w:val="16"/>
                <w:b w:val="1"/>
                <w:bCs w:val="1"/>
                <w:color w:val="231F20"/>
              </w:rPr>
              <w:t>Mr. Huston</w:t>
            </w:r>
          </w:p>
        </w:tc>
        <w:tc>
          <w:tcPr>
            <w:tcW w:w="5040" w:type="dxa"/>
            <w:vAlign w:val="bottom"/>
            <w:shd w:val="clear" w:color="auto" w:fill="F3EDF3"/>
          </w:tcPr>
          <w:p>
            <w:pPr>
              <w:jc w:val="right"/>
              <w:ind w:right="779"/>
              <w:spacing w:after="0"/>
              <w:rPr>
                <w:sz w:val="20"/>
                <w:szCs w:val="20"/>
                <w:color w:val="auto"/>
              </w:rPr>
            </w:pPr>
            <w:r>
              <w:rPr>
                <w:rFonts w:ascii="Arial" w:cs="Arial" w:eastAsia="Arial" w:hAnsi="Arial"/>
                <w:sz w:val="16"/>
                <w:szCs w:val="16"/>
                <w:color w:val="231F20"/>
              </w:rPr>
              <w:t>0%</w:t>
            </w:r>
          </w:p>
        </w:tc>
        <w:tc>
          <w:tcPr>
            <w:tcW w:w="164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160%</w:t>
            </w:r>
          </w:p>
        </w:tc>
      </w:tr>
      <w:tr>
        <w:trPr>
          <w:trHeight w:val="203"/>
        </w:trPr>
        <w:tc>
          <w:tcPr>
            <w:tcW w:w="4740" w:type="dxa"/>
            <w:vAlign w:val="bottom"/>
          </w:tcPr>
          <w:p>
            <w:pPr>
              <w:ind w:left="60"/>
              <w:spacing w:after="0"/>
              <w:rPr>
                <w:sz w:val="20"/>
                <w:szCs w:val="20"/>
                <w:color w:val="auto"/>
              </w:rPr>
            </w:pPr>
            <w:r>
              <w:rPr>
                <w:rFonts w:ascii="Arial" w:cs="Arial" w:eastAsia="Arial" w:hAnsi="Arial"/>
                <w:sz w:val="16"/>
                <w:szCs w:val="16"/>
                <w:b w:val="1"/>
                <w:bCs w:val="1"/>
                <w:color w:val="231F20"/>
              </w:rPr>
              <w:t>Mr. Manko</w:t>
            </w:r>
          </w:p>
        </w:tc>
        <w:tc>
          <w:tcPr>
            <w:tcW w:w="5040" w:type="dxa"/>
            <w:vAlign w:val="bottom"/>
          </w:tcPr>
          <w:p>
            <w:pPr>
              <w:jc w:val="right"/>
              <w:ind w:right="779"/>
              <w:spacing w:after="0"/>
              <w:rPr>
                <w:sz w:val="20"/>
                <w:szCs w:val="20"/>
                <w:color w:val="auto"/>
              </w:rPr>
            </w:pPr>
            <w:r>
              <w:rPr>
                <w:rFonts w:ascii="Arial" w:cs="Arial" w:eastAsia="Arial" w:hAnsi="Arial"/>
                <w:sz w:val="16"/>
                <w:szCs w:val="16"/>
                <w:color w:val="231F20"/>
              </w:rPr>
              <w:t>0%</w:t>
            </w:r>
          </w:p>
        </w:tc>
        <w:tc>
          <w:tcPr>
            <w:tcW w:w="1640" w:type="dxa"/>
            <w:vAlign w:val="bottom"/>
          </w:tcPr>
          <w:p>
            <w:pPr>
              <w:jc w:val="right"/>
              <w:spacing w:after="0"/>
              <w:rPr>
                <w:sz w:val="20"/>
                <w:szCs w:val="20"/>
                <w:color w:val="auto"/>
              </w:rPr>
            </w:pPr>
            <w:r>
              <w:rPr>
                <w:rFonts w:ascii="Arial" w:cs="Arial" w:eastAsia="Arial" w:hAnsi="Arial"/>
                <w:sz w:val="16"/>
                <w:szCs w:val="16"/>
                <w:color w:val="231F20"/>
              </w:rPr>
              <w:t>160%</w:t>
            </w:r>
          </w:p>
        </w:tc>
      </w:tr>
      <w:tr>
        <w:trPr>
          <w:trHeight w:val="203"/>
        </w:trPr>
        <w:tc>
          <w:tcPr>
            <w:tcW w:w="4740" w:type="dxa"/>
            <w:vAlign w:val="bottom"/>
            <w:shd w:val="clear" w:color="auto" w:fill="F3EDF3"/>
          </w:tcPr>
          <w:p>
            <w:pPr>
              <w:ind w:left="60"/>
              <w:spacing w:after="0"/>
              <w:rPr>
                <w:sz w:val="20"/>
                <w:szCs w:val="20"/>
                <w:color w:val="auto"/>
              </w:rPr>
            </w:pPr>
            <w:r>
              <w:rPr>
                <w:rFonts w:ascii="Arial" w:cs="Arial" w:eastAsia="Arial" w:hAnsi="Arial"/>
                <w:sz w:val="16"/>
                <w:szCs w:val="16"/>
                <w:b w:val="1"/>
                <w:bCs w:val="1"/>
                <w:color w:val="231F20"/>
              </w:rPr>
              <w:t>Ms. Skeffington</w:t>
            </w:r>
          </w:p>
        </w:tc>
        <w:tc>
          <w:tcPr>
            <w:tcW w:w="5040" w:type="dxa"/>
            <w:vAlign w:val="bottom"/>
            <w:shd w:val="clear" w:color="auto" w:fill="F3EDF3"/>
          </w:tcPr>
          <w:p>
            <w:pPr>
              <w:jc w:val="right"/>
              <w:ind w:right="779"/>
              <w:spacing w:after="0"/>
              <w:rPr>
                <w:sz w:val="20"/>
                <w:szCs w:val="20"/>
                <w:color w:val="auto"/>
              </w:rPr>
            </w:pPr>
            <w:r>
              <w:rPr>
                <w:rFonts w:ascii="Arial" w:cs="Arial" w:eastAsia="Arial" w:hAnsi="Arial"/>
                <w:sz w:val="16"/>
                <w:szCs w:val="16"/>
                <w:color w:val="231F20"/>
              </w:rPr>
              <w:t>0%</w:t>
            </w:r>
          </w:p>
        </w:tc>
        <w:tc>
          <w:tcPr>
            <w:tcW w:w="164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160%</w:t>
            </w:r>
          </w:p>
        </w:tc>
      </w:tr>
      <w:tr>
        <w:trPr>
          <w:trHeight w:val="203"/>
        </w:trPr>
        <w:tc>
          <w:tcPr>
            <w:tcW w:w="4740" w:type="dxa"/>
            <w:vAlign w:val="bottom"/>
            <w:tcBorders>
              <w:bottom w:val="single" w:sz="8" w:color="6F2875"/>
            </w:tcBorders>
          </w:tcPr>
          <w:p>
            <w:pPr>
              <w:ind w:left="60"/>
              <w:spacing w:after="0"/>
              <w:rPr>
                <w:sz w:val="20"/>
                <w:szCs w:val="20"/>
                <w:color w:val="auto"/>
              </w:rPr>
            </w:pPr>
            <w:r>
              <w:rPr>
                <w:rFonts w:ascii="Arial" w:cs="Arial" w:eastAsia="Arial" w:hAnsi="Arial"/>
                <w:sz w:val="16"/>
                <w:szCs w:val="16"/>
                <w:b w:val="1"/>
                <w:bCs w:val="1"/>
                <w:color w:val="231F20"/>
              </w:rPr>
              <w:t>Mr. Wise</w:t>
            </w:r>
          </w:p>
        </w:tc>
        <w:tc>
          <w:tcPr>
            <w:tcW w:w="5040" w:type="dxa"/>
            <w:vAlign w:val="bottom"/>
            <w:tcBorders>
              <w:bottom w:val="single" w:sz="8" w:color="6F2875"/>
            </w:tcBorders>
          </w:tcPr>
          <w:p>
            <w:pPr>
              <w:jc w:val="right"/>
              <w:ind w:right="779"/>
              <w:spacing w:after="0"/>
              <w:rPr>
                <w:sz w:val="20"/>
                <w:szCs w:val="20"/>
                <w:color w:val="auto"/>
              </w:rPr>
            </w:pPr>
            <w:r>
              <w:rPr>
                <w:rFonts w:ascii="Arial" w:cs="Arial" w:eastAsia="Arial" w:hAnsi="Arial"/>
                <w:sz w:val="16"/>
                <w:szCs w:val="16"/>
                <w:color w:val="231F20"/>
              </w:rPr>
              <w:t>0%</w:t>
            </w:r>
          </w:p>
        </w:tc>
        <w:tc>
          <w:tcPr>
            <w:tcW w:w="1640" w:type="dxa"/>
            <w:vAlign w:val="bottom"/>
            <w:tcBorders>
              <w:bottom w:val="single" w:sz="8" w:color="6F2875"/>
            </w:tcBorders>
          </w:tcPr>
          <w:p>
            <w:pPr>
              <w:jc w:val="right"/>
              <w:spacing w:after="0"/>
              <w:rPr>
                <w:sz w:val="20"/>
                <w:szCs w:val="20"/>
                <w:color w:val="auto"/>
              </w:rPr>
            </w:pPr>
            <w:r>
              <w:rPr>
                <w:rFonts w:ascii="Arial" w:cs="Arial" w:eastAsia="Arial" w:hAnsi="Arial"/>
                <w:sz w:val="16"/>
                <w:szCs w:val="16"/>
                <w:color w:val="231F20"/>
              </w:rPr>
              <w:t>160%</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FC5D45"/>
        </w:rPr>
        <w:t>2018 Long Term Incentive Plan (“the 2018 LTIP”)</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On March 15, 2018, our Compensation Committee approved our 2018 LTIP. Each of our NEOs, currently employed by the company, is eligible to participate in the 2018 LTIP.</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Following a careful evaluation of a benchmark study provided by the Compensation Committee’s Consultant, the Compensation Committee granted each participant an equity award value (the “Award Value”, calculated as closing share price on the Nasdaq stock market on the grant date multiplied by the number of units granted), as follows:</w:t>
      </w:r>
    </w:p>
    <w:p>
      <w:pPr>
        <w:spacing w:after="0" w:line="168" w:lineRule="exact"/>
        <w:rPr>
          <w:sz w:val="20"/>
          <w:szCs w:val="20"/>
          <w:color w:val="auto"/>
        </w:rPr>
      </w:pPr>
    </w:p>
    <w:tbl>
      <w:tblPr>
        <w:tblLayout w:type="fixed"/>
        <w:tblInd w:w="2300" w:type="dxa"/>
        <w:tblCellMar>
          <w:top w:w="0" w:type="dxa"/>
          <w:left w:w="0" w:type="dxa"/>
          <w:bottom w:w="0" w:type="dxa"/>
          <w:right w:w="0" w:type="dxa"/>
        </w:tblCellMar>
      </w:tblPr>
      <w:tr>
        <w:trPr>
          <w:trHeight w:val="203"/>
        </w:trPr>
        <w:tc>
          <w:tcPr>
            <w:tcW w:w="3300" w:type="dxa"/>
            <w:vAlign w:val="bottom"/>
          </w:tcPr>
          <w:p>
            <w:pPr>
              <w:spacing w:after="0"/>
              <w:rPr>
                <w:sz w:val="17"/>
                <w:szCs w:val="17"/>
                <w:color w:val="auto"/>
              </w:rPr>
            </w:pPr>
          </w:p>
        </w:tc>
        <w:tc>
          <w:tcPr>
            <w:tcW w:w="3540" w:type="dxa"/>
            <w:vAlign w:val="bottom"/>
          </w:tcPr>
          <w:p>
            <w:pPr>
              <w:jc w:val="right"/>
              <w:spacing w:after="0"/>
              <w:rPr>
                <w:sz w:val="20"/>
                <w:szCs w:val="20"/>
                <w:color w:val="auto"/>
              </w:rPr>
            </w:pPr>
            <w:r>
              <w:rPr>
                <w:rFonts w:ascii="Arial" w:cs="Arial" w:eastAsia="Arial" w:hAnsi="Arial"/>
                <w:sz w:val="16"/>
                <w:szCs w:val="16"/>
                <w:b w:val="1"/>
                <w:bCs w:val="1"/>
                <w:color w:val="6F2875"/>
              </w:rPr>
              <w:t>2018 Equity Award</w:t>
            </w:r>
          </w:p>
        </w:tc>
      </w:tr>
      <w:tr>
        <w:trPr>
          <w:trHeight w:val="203"/>
        </w:trPr>
        <w:tc>
          <w:tcPr>
            <w:tcW w:w="3300" w:type="dxa"/>
            <w:vAlign w:val="bottom"/>
          </w:tcPr>
          <w:p>
            <w:pPr>
              <w:spacing w:after="0"/>
              <w:rPr>
                <w:sz w:val="17"/>
                <w:szCs w:val="17"/>
                <w:color w:val="auto"/>
              </w:rPr>
            </w:pPr>
          </w:p>
        </w:tc>
        <w:tc>
          <w:tcPr>
            <w:tcW w:w="3540" w:type="dxa"/>
            <w:vAlign w:val="bottom"/>
          </w:tcPr>
          <w:p>
            <w:pPr>
              <w:jc w:val="right"/>
              <w:spacing w:after="0"/>
              <w:rPr>
                <w:sz w:val="20"/>
                <w:szCs w:val="20"/>
                <w:color w:val="auto"/>
              </w:rPr>
            </w:pPr>
            <w:r>
              <w:rPr>
                <w:rFonts w:ascii="Arial" w:cs="Arial" w:eastAsia="Arial" w:hAnsi="Arial"/>
                <w:sz w:val="16"/>
                <w:szCs w:val="16"/>
                <w:b w:val="1"/>
                <w:bCs w:val="1"/>
                <w:color w:val="6F2875"/>
              </w:rPr>
              <w:t>Values at Grant</w:t>
            </w:r>
          </w:p>
        </w:tc>
      </w:tr>
      <w:tr>
        <w:trPr>
          <w:trHeight w:val="207"/>
        </w:trPr>
        <w:tc>
          <w:tcPr>
            <w:tcW w:w="3300" w:type="dxa"/>
            <w:vAlign w:val="bottom"/>
            <w:tcBorders>
              <w:bottom w:val="single" w:sz="8" w:color="6F2875"/>
            </w:tcBorders>
          </w:tcPr>
          <w:p>
            <w:pPr>
              <w:spacing w:after="0"/>
              <w:rPr>
                <w:sz w:val="18"/>
                <w:szCs w:val="18"/>
                <w:color w:val="auto"/>
              </w:rPr>
            </w:pPr>
          </w:p>
        </w:tc>
        <w:tc>
          <w:tcPr>
            <w:tcW w:w="3540" w:type="dxa"/>
            <w:vAlign w:val="bottom"/>
            <w:tcBorders>
              <w:bottom w:val="single" w:sz="8" w:color="6F2875"/>
            </w:tcBorders>
          </w:tcPr>
          <w:p>
            <w:pPr>
              <w:jc w:val="right"/>
              <w:spacing w:after="0"/>
              <w:rPr>
                <w:sz w:val="20"/>
                <w:szCs w:val="20"/>
                <w:color w:val="auto"/>
              </w:rPr>
            </w:pPr>
            <w:r>
              <w:rPr>
                <w:rFonts w:ascii="Arial" w:cs="Arial" w:eastAsia="Arial" w:hAnsi="Arial"/>
                <w:sz w:val="16"/>
                <w:szCs w:val="16"/>
                <w:b w:val="1"/>
                <w:bCs w:val="1"/>
                <w:color w:val="6F2875"/>
              </w:rPr>
              <w:t>($)</w:t>
            </w:r>
          </w:p>
        </w:tc>
      </w:tr>
      <w:tr>
        <w:trPr>
          <w:trHeight w:val="183"/>
        </w:trPr>
        <w:tc>
          <w:tcPr>
            <w:tcW w:w="3300" w:type="dxa"/>
            <w:vAlign w:val="bottom"/>
          </w:tcPr>
          <w:p>
            <w:pPr>
              <w:ind w:left="40"/>
              <w:spacing w:after="0" w:line="183" w:lineRule="exact"/>
              <w:rPr>
                <w:sz w:val="20"/>
                <w:szCs w:val="20"/>
                <w:color w:val="auto"/>
              </w:rPr>
            </w:pPr>
            <w:r>
              <w:rPr>
                <w:rFonts w:ascii="Arial" w:cs="Arial" w:eastAsia="Arial" w:hAnsi="Arial"/>
                <w:sz w:val="16"/>
                <w:szCs w:val="16"/>
                <w:b w:val="1"/>
                <w:bCs w:val="1"/>
                <w:color w:val="231F20"/>
              </w:rPr>
              <w:t>Mr. McDonald</w:t>
            </w:r>
          </w:p>
        </w:tc>
        <w:tc>
          <w:tcPr>
            <w:tcW w:w="3540" w:type="dxa"/>
            <w:vAlign w:val="bottom"/>
          </w:tcPr>
          <w:p>
            <w:pPr>
              <w:jc w:val="right"/>
              <w:spacing w:after="0" w:line="183" w:lineRule="exact"/>
              <w:rPr>
                <w:sz w:val="20"/>
                <w:szCs w:val="20"/>
                <w:color w:val="auto"/>
              </w:rPr>
            </w:pPr>
            <w:r>
              <w:rPr>
                <w:rFonts w:ascii="Arial" w:cs="Arial" w:eastAsia="Arial" w:hAnsi="Arial"/>
                <w:sz w:val="16"/>
                <w:szCs w:val="16"/>
                <w:color w:val="231F20"/>
              </w:rPr>
              <w:t>4,500,000</w:t>
            </w:r>
          </w:p>
        </w:tc>
      </w:tr>
      <w:tr>
        <w:trPr>
          <w:trHeight w:val="189"/>
        </w:trPr>
        <w:tc>
          <w:tcPr>
            <w:tcW w:w="3300" w:type="dxa"/>
            <w:vAlign w:val="bottom"/>
            <w:shd w:val="clear" w:color="auto" w:fill="F3EDF3"/>
          </w:tcPr>
          <w:p>
            <w:pPr>
              <w:ind w:left="40"/>
              <w:spacing w:after="0"/>
              <w:rPr>
                <w:sz w:val="20"/>
                <w:szCs w:val="20"/>
                <w:color w:val="auto"/>
              </w:rPr>
            </w:pPr>
            <w:r>
              <w:rPr>
                <w:rFonts w:ascii="Arial" w:cs="Arial" w:eastAsia="Arial" w:hAnsi="Arial"/>
                <w:sz w:val="16"/>
                <w:szCs w:val="16"/>
                <w:b w:val="1"/>
                <w:bCs w:val="1"/>
                <w:color w:val="231F20"/>
              </w:rPr>
              <w:t>Mr. Huston</w:t>
            </w:r>
          </w:p>
        </w:tc>
        <w:tc>
          <w:tcPr>
            <w:tcW w:w="354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1,500,000</w:t>
            </w:r>
          </w:p>
        </w:tc>
      </w:tr>
      <w:tr>
        <w:trPr>
          <w:trHeight w:val="189"/>
        </w:trPr>
        <w:tc>
          <w:tcPr>
            <w:tcW w:w="3300" w:type="dxa"/>
            <w:vAlign w:val="bottom"/>
          </w:tcPr>
          <w:p>
            <w:pPr>
              <w:ind w:left="40"/>
              <w:spacing w:after="0"/>
              <w:rPr>
                <w:sz w:val="20"/>
                <w:szCs w:val="20"/>
                <w:color w:val="auto"/>
              </w:rPr>
            </w:pPr>
            <w:r>
              <w:rPr>
                <w:rFonts w:ascii="Arial" w:cs="Arial" w:eastAsia="Arial" w:hAnsi="Arial"/>
                <w:sz w:val="16"/>
                <w:szCs w:val="16"/>
                <w:b w:val="1"/>
                <w:bCs w:val="1"/>
                <w:color w:val="231F20"/>
              </w:rPr>
              <w:t>Mr. Manko</w:t>
            </w:r>
          </w:p>
        </w:tc>
        <w:tc>
          <w:tcPr>
            <w:tcW w:w="3540" w:type="dxa"/>
            <w:vAlign w:val="bottom"/>
          </w:tcPr>
          <w:p>
            <w:pPr>
              <w:jc w:val="right"/>
              <w:spacing w:after="0"/>
              <w:rPr>
                <w:sz w:val="20"/>
                <w:szCs w:val="20"/>
                <w:color w:val="auto"/>
              </w:rPr>
            </w:pPr>
            <w:r>
              <w:rPr>
                <w:rFonts w:ascii="Arial" w:cs="Arial" w:eastAsia="Arial" w:hAnsi="Arial"/>
                <w:sz w:val="16"/>
                <w:szCs w:val="16"/>
                <w:color w:val="231F20"/>
              </w:rPr>
              <w:t>400,000</w:t>
            </w:r>
          </w:p>
        </w:tc>
      </w:tr>
      <w:tr>
        <w:trPr>
          <w:trHeight w:val="189"/>
        </w:trPr>
        <w:tc>
          <w:tcPr>
            <w:tcW w:w="3300" w:type="dxa"/>
            <w:vAlign w:val="bottom"/>
            <w:shd w:val="clear" w:color="auto" w:fill="F3EDF3"/>
          </w:tcPr>
          <w:p>
            <w:pPr>
              <w:ind w:left="40"/>
              <w:spacing w:after="0"/>
              <w:rPr>
                <w:sz w:val="20"/>
                <w:szCs w:val="20"/>
                <w:color w:val="auto"/>
              </w:rPr>
            </w:pPr>
            <w:r>
              <w:rPr>
                <w:rFonts w:ascii="Arial" w:cs="Arial" w:eastAsia="Arial" w:hAnsi="Arial"/>
                <w:sz w:val="16"/>
                <w:szCs w:val="16"/>
                <w:b w:val="1"/>
                <w:bCs w:val="1"/>
                <w:color w:val="231F20"/>
              </w:rPr>
              <w:t>Ms. Skeffington</w:t>
            </w:r>
          </w:p>
        </w:tc>
        <w:tc>
          <w:tcPr>
            <w:tcW w:w="354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650,000</w:t>
            </w:r>
          </w:p>
        </w:tc>
      </w:tr>
      <w:tr>
        <w:trPr>
          <w:trHeight w:val="189"/>
        </w:trPr>
        <w:tc>
          <w:tcPr>
            <w:tcW w:w="3300" w:type="dxa"/>
            <w:vAlign w:val="bottom"/>
            <w:tcBorders>
              <w:bottom w:val="single" w:sz="8" w:color="6F2875"/>
            </w:tcBorders>
          </w:tcPr>
          <w:p>
            <w:pPr>
              <w:ind w:left="40"/>
              <w:spacing w:after="0"/>
              <w:rPr>
                <w:sz w:val="20"/>
                <w:szCs w:val="20"/>
                <w:color w:val="auto"/>
              </w:rPr>
            </w:pPr>
            <w:r>
              <w:rPr>
                <w:rFonts w:ascii="Arial" w:cs="Arial" w:eastAsia="Arial" w:hAnsi="Arial"/>
                <w:sz w:val="16"/>
                <w:szCs w:val="16"/>
                <w:b w:val="1"/>
                <w:bCs w:val="1"/>
                <w:color w:val="231F20"/>
              </w:rPr>
              <w:t>Mr. Wise</w:t>
            </w:r>
          </w:p>
        </w:tc>
        <w:tc>
          <w:tcPr>
            <w:tcW w:w="3540" w:type="dxa"/>
            <w:vAlign w:val="bottom"/>
            <w:tcBorders>
              <w:bottom w:val="single" w:sz="8" w:color="6F2875"/>
            </w:tcBorders>
          </w:tcPr>
          <w:p>
            <w:pPr>
              <w:jc w:val="right"/>
              <w:spacing w:after="0"/>
              <w:rPr>
                <w:sz w:val="20"/>
                <w:szCs w:val="20"/>
                <w:color w:val="auto"/>
              </w:rPr>
            </w:pPr>
            <w:r>
              <w:rPr>
                <w:rFonts w:ascii="Arial" w:cs="Arial" w:eastAsia="Arial" w:hAnsi="Arial"/>
                <w:sz w:val="16"/>
                <w:szCs w:val="16"/>
                <w:color w:val="231F20"/>
              </w:rPr>
              <w:t>790,000</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231F20"/>
        </w:rPr>
        <w:t>One-fourth of each participant’s Award Value is allocated to each of four different types of equity awards, as explained below.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Service-Based Restricted Stock Units</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Each participant received an award of service-based RSUs vesting in equal or substantially equal amounts on each of the first four anniversaries of the grant date. The Compensation Committee determined the number of RSUs awarded to each participant by dividing one-fourth of the Award Value by the most recent closing price of an Ordinary Share of our stock on the Nasdaq Stock Market as of the grant date (the “Closing Price”) and rounding down to the nearest whole unit.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Stock Appreciation Rights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Each participant received an award of SARs vesting in equal or substantially equal amounts on each of the first four anniversaries of the grant date. The Compensation Committee determined the number of SARs awarded to each participant by dividing one-fourth of the Award Value by the Black-Scholes value of an option for an Ordinary Share on the grant date and rounding down to the nearest whole right.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Relative Total Shareholder Return Performance Stock Units (“PSU”)</w:t>
      </w: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Each participant received an award of PSU subject to a performance or market condition based on a relative total shareholder return (“rTSR”). The Compensation Committee determined the number of PSUs awarded to each participant by dividing one-fourth of the Award Value by the Closing Price and rounding down to the nearest whole unit. At the end of calendar year 2020, our TSR for the three-year period 2018 through 2020 will be compared to the TSR for a peer group of 27 companies (the “2018 rTSR Peer Group”) selected by the Compensation Committee, following the recommendation of its compensation consultant, Pearl Meyer, and the number of shares actually delivered to the participants will be determined by the following chart, with linear interpolation applied between specified levels: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700" w:type="dxa"/>
            <w:vAlign w:val="bottom"/>
          </w:tcPr>
          <w:p>
            <w:pPr>
              <w:jc w:val="right"/>
              <w:ind w:right="206"/>
              <w:spacing w:after="0"/>
              <w:rPr>
                <w:sz w:val="20"/>
                <w:szCs w:val="20"/>
                <w:color w:val="auto"/>
              </w:rPr>
            </w:pPr>
            <w:r>
              <w:rPr>
                <w:rFonts w:ascii="Arial" w:cs="Arial" w:eastAsia="Arial" w:hAnsi="Arial"/>
                <w:sz w:val="16"/>
                <w:szCs w:val="16"/>
                <w:b w:val="1"/>
                <w:bCs w:val="1"/>
                <w:color w:val="6F2875"/>
              </w:rPr>
              <w:t>TSR Performance</w:t>
            </w:r>
          </w:p>
        </w:tc>
        <w:tc>
          <w:tcPr>
            <w:tcW w:w="3100" w:type="dxa"/>
            <w:vAlign w:val="bottom"/>
          </w:tcPr>
          <w:p>
            <w:pPr>
              <w:spacing w:after="0"/>
              <w:rPr>
                <w:sz w:val="17"/>
                <w:szCs w:val="17"/>
                <w:color w:val="auto"/>
              </w:rPr>
            </w:pPr>
          </w:p>
        </w:tc>
        <w:tc>
          <w:tcPr>
            <w:tcW w:w="4320" w:type="dxa"/>
            <w:vAlign w:val="bottom"/>
            <w:gridSpan w:val="3"/>
          </w:tcPr>
          <w:p>
            <w:pPr>
              <w:jc w:val="center"/>
              <w:ind w:right="2559"/>
              <w:spacing w:after="0"/>
              <w:rPr>
                <w:sz w:val="20"/>
                <w:szCs w:val="20"/>
                <w:color w:val="auto"/>
              </w:rPr>
            </w:pPr>
            <w:r>
              <w:rPr>
                <w:rFonts w:ascii="Arial" w:cs="Arial" w:eastAsia="Arial" w:hAnsi="Arial"/>
                <w:sz w:val="16"/>
                <w:szCs w:val="16"/>
                <w:b w:val="1"/>
                <w:bCs w:val="1"/>
                <w:color w:val="6F2875"/>
              </w:rPr>
              <w:t>Percent Funding</w:t>
            </w:r>
          </w:p>
        </w:tc>
        <w:tc>
          <w:tcPr>
            <w:tcW w:w="0" w:type="dxa"/>
            <w:vAlign w:val="bottom"/>
          </w:tcPr>
          <w:p>
            <w:pPr>
              <w:spacing w:after="0"/>
              <w:rPr>
                <w:sz w:val="1"/>
                <w:szCs w:val="1"/>
                <w:color w:val="auto"/>
              </w:rPr>
            </w:pPr>
          </w:p>
        </w:tc>
      </w:tr>
      <w:tr>
        <w:trPr>
          <w:trHeight w:val="207"/>
        </w:trPr>
        <w:tc>
          <w:tcPr>
            <w:tcW w:w="2300" w:type="dxa"/>
            <w:vAlign w:val="bottom"/>
          </w:tcPr>
          <w:p>
            <w:pPr>
              <w:spacing w:after="0"/>
              <w:rPr>
                <w:sz w:val="18"/>
                <w:szCs w:val="18"/>
                <w:color w:val="auto"/>
              </w:rPr>
            </w:pPr>
          </w:p>
        </w:tc>
        <w:tc>
          <w:tcPr>
            <w:tcW w:w="1700" w:type="dxa"/>
            <w:vAlign w:val="bottom"/>
          </w:tcPr>
          <w:p>
            <w:pPr>
              <w:jc w:val="right"/>
              <w:ind w:right="266"/>
              <w:spacing w:after="0"/>
              <w:rPr>
                <w:sz w:val="20"/>
                <w:szCs w:val="20"/>
                <w:color w:val="auto"/>
              </w:rPr>
            </w:pPr>
            <w:r>
              <w:rPr>
                <w:rFonts w:ascii="Arial" w:cs="Arial" w:eastAsia="Arial" w:hAnsi="Arial"/>
                <w:sz w:val="16"/>
                <w:szCs w:val="16"/>
                <w:b w:val="1"/>
                <w:bCs w:val="1"/>
                <w:color w:val="6F2875"/>
              </w:rPr>
              <w:t>Percentile Rank</w:t>
            </w:r>
          </w:p>
        </w:tc>
        <w:tc>
          <w:tcPr>
            <w:tcW w:w="3100" w:type="dxa"/>
            <w:vAlign w:val="bottom"/>
          </w:tcPr>
          <w:p>
            <w:pPr>
              <w:spacing w:after="0"/>
              <w:rPr>
                <w:sz w:val="18"/>
                <w:szCs w:val="18"/>
                <w:color w:val="auto"/>
              </w:rPr>
            </w:pPr>
          </w:p>
        </w:tc>
        <w:tc>
          <w:tcPr>
            <w:tcW w:w="4320" w:type="dxa"/>
            <w:vAlign w:val="bottom"/>
            <w:gridSpan w:val="3"/>
          </w:tcPr>
          <w:p>
            <w:pPr>
              <w:jc w:val="center"/>
              <w:ind w:right="2559"/>
              <w:spacing w:after="0"/>
              <w:rPr>
                <w:sz w:val="20"/>
                <w:szCs w:val="20"/>
                <w:color w:val="auto"/>
              </w:rPr>
            </w:pPr>
            <w:r>
              <w:rPr>
                <w:rFonts w:ascii="Arial" w:cs="Arial" w:eastAsia="Arial" w:hAnsi="Arial"/>
                <w:sz w:val="16"/>
                <w:szCs w:val="16"/>
                <w:b w:val="1"/>
                <w:bCs w:val="1"/>
                <w:color w:val="6F2875"/>
              </w:rPr>
              <w:t>for Objective</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1700" w:type="dxa"/>
            <w:vAlign w:val="bottom"/>
            <w:tcBorders>
              <w:top w:val="single" w:sz="8" w:color="6F2875"/>
            </w:tcBorders>
          </w:tcPr>
          <w:p>
            <w:pPr>
              <w:jc w:val="right"/>
              <w:ind w:right="806"/>
              <w:spacing w:after="0" w:line="223" w:lineRule="exact"/>
              <w:rPr>
                <w:sz w:val="20"/>
                <w:szCs w:val="20"/>
                <w:color w:val="auto"/>
              </w:rPr>
            </w:pPr>
            <w:r>
              <w:rPr>
                <w:rFonts w:ascii="Arial" w:cs="Arial" w:eastAsia="Arial" w:hAnsi="Arial"/>
                <w:sz w:val="15"/>
                <w:szCs w:val="15"/>
                <w:color w:val="231F20"/>
              </w:rPr>
              <w:t>≥90</w:t>
            </w:r>
            <w:r>
              <w:rPr>
                <w:rFonts w:ascii="Arial" w:cs="Arial" w:eastAsia="Arial" w:hAnsi="Arial"/>
                <w:sz w:val="25"/>
                <w:szCs w:val="25"/>
                <w:color w:val="231F20"/>
                <w:vertAlign w:val="superscript"/>
              </w:rPr>
              <w:t>th</w:t>
            </w:r>
          </w:p>
        </w:tc>
        <w:tc>
          <w:tcPr>
            <w:tcW w:w="3100" w:type="dxa"/>
            <w:vAlign w:val="bottom"/>
            <w:tcBorders>
              <w:top w:val="single" w:sz="8" w:color="6F2875"/>
            </w:tcBorders>
          </w:tcPr>
          <w:p>
            <w:pPr>
              <w:spacing w:after="0"/>
              <w:rPr>
                <w:sz w:val="19"/>
                <w:szCs w:val="19"/>
                <w:color w:val="auto"/>
              </w:rPr>
            </w:pPr>
          </w:p>
        </w:tc>
        <w:tc>
          <w:tcPr>
            <w:tcW w:w="2040" w:type="dxa"/>
            <w:vAlign w:val="bottom"/>
            <w:tcBorders>
              <w:top w:val="single" w:sz="8" w:color="6F2875"/>
            </w:tcBorders>
          </w:tcPr>
          <w:p>
            <w:pPr>
              <w:jc w:val="right"/>
              <w:ind w:right="639"/>
              <w:spacing w:after="0"/>
              <w:rPr>
                <w:sz w:val="20"/>
                <w:szCs w:val="20"/>
                <w:color w:val="auto"/>
              </w:rPr>
            </w:pPr>
            <w:r>
              <w:rPr>
                <w:rFonts w:ascii="Arial" w:cs="Arial" w:eastAsia="Arial" w:hAnsi="Arial"/>
                <w:sz w:val="16"/>
                <w:szCs w:val="16"/>
                <w:color w:val="231F20"/>
              </w:rPr>
              <w:t>200%</w:t>
            </w:r>
          </w:p>
        </w:tc>
        <w:tc>
          <w:tcPr>
            <w:tcW w:w="1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00" w:type="dxa"/>
            <w:vAlign w:val="bottom"/>
            <w:shd w:val="clear" w:color="auto" w:fill="F3EDF3"/>
          </w:tcPr>
          <w:p>
            <w:pPr>
              <w:jc w:val="right"/>
              <w:ind w:right="806"/>
              <w:spacing w:after="0" w:line="230" w:lineRule="exact"/>
              <w:rPr>
                <w:sz w:val="20"/>
                <w:szCs w:val="20"/>
                <w:color w:val="auto"/>
              </w:rPr>
            </w:pPr>
            <w:r>
              <w:rPr>
                <w:rFonts w:ascii="Arial" w:cs="Arial" w:eastAsia="Arial" w:hAnsi="Arial"/>
                <w:sz w:val="26"/>
                <w:szCs w:val="26"/>
                <w:color w:val="231F20"/>
                <w:vertAlign w:val="subscript"/>
              </w:rPr>
              <w:t>80</w:t>
            </w:r>
            <w:r>
              <w:rPr>
                <w:rFonts w:ascii="Arial" w:cs="Arial" w:eastAsia="Arial" w:hAnsi="Arial"/>
                <w:sz w:val="12"/>
                <w:szCs w:val="12"/>
                <w:color w:val="231F20"/>
              </w:rPr>
              <w:t>th</w:t>
            </w:r>
          </w:p>
        </w:tc>
        <w:tc>
          <w:tcPr>
            <w:tcW w:w="3100" w:type="dxa"/>
            <w:vAlign w:val="bottom"/>
            <w:shd w:val="clear" w:color="auto" w:fill="F3EDF3"/>
          </w:tcPr>
          <w:p>
            <w:pPr>
              <w:spacing w:after="0"/>
              <w:rPr>
                <w:sz w:val="19"/>
                <w:szCs w:val="19"/>
                <w:color w:val="auto"/>
              </w:rPr>
            </w:pPr>
          </w:p>
        </w:tc>
        <w:tc>
          <w:tcPr>
            <w:tcW w:w="2040" w:type="dxa"/>
            <w:vAlign w:val="bottom"/>
            <w:shd w:val="clear" w:color="auto" w:fill="F3EDF3"/>
          </w:tcPr>
          <w:p>
            <w:pPr>
              <w:jc w:val="right"/>
              <w:ind w:right="639"/>
              <w:spacing w:after="0"/>
              <w:rPr>
                <w:sz w:val="20"/>
                <w:szCs w:val="20"/>
                <w:color w:val="auto"/>
              </w:rPr>
            </w:pPr>
            <w:r>
              <w:rPr>
                <w:rFonts w:ascii="Arial" w:cs="Arial" w:eastAsia="Arial" w:hAnsi="Arial"/>
                <w:sz w:val="16"/>
                <w:szCs w:val="16"/>
                <w:color w:val="231F20"/>
              </w:rPr>
              <w:t>150%</w:t>
            </w:r>
          </w:p>
        </w:tc>
        <w:tc>
          <w:tcPr>
            <w:tcW w:w="1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00" w:type="dxa"/>
            <w:vAlign w:val="bottom"/>
          </w:tcPr>
          <w:p>
            <w:pPr>
              <w:jc w:val="right"/>
              <w:ind w:right="806"/>
              <w:spacing w:after="0" w:line="230" w:lineRule="exact"/>
              <w:rPr>
                <w:sz w:val="20"/>
                <w:szCs w:val="20"/>
                <w:color w:val="auto"/>
              </w:rPr>
            </w:pPr>
            <w:r>
              <w:rPr>
                <w:rFonts w:ascii="Arial" w:cs="Arial" w:eastAsia="Arial" w:hAnsi="Arial"/>
                <w:sz w:val="16"/>
                <w:szCs w:val="16"/>
                <w:color w:val="231F20"/>
              </w:rPr>
              <w:t>50</w:t>
            </w:r>
            <w:r>
              <w:rPr>
                <w:rFonts w:ascii="Arial" w:cs="Arial" w:eastAsia="Arial" w:hAnsi="Arial"/>
                <w:sz w:val="26"/>
                <w:szCs w:val="26"/>
                <w:color w:val="231F20"/>
                <w:vertAlign w:val="superscript"/>
              </w:rPr>
              <w:t>th</w:t>
            </w:r>
          </w:p>
        </w:tc>
        <w:tc>
          <w:tcPr>
            <w:tcW w:w="3100" w:type="dxa"/>
            <w:vAlign w:val="bottom"/>
          </w:tcPr>
          <w:p>
            <w:pPr>
              <w:spacing w:after="0"/>
              <w:rPr>
                <w:sz w:val="19"/>
                <w:szCs w:val="19"/>
                <w:color w:val="auto"/>
              </w:rPr>
            </w:pPr>
          </w:p>
        </w:tc>
        <w:tc>
          <w:tcPr>
            <w:tcW w:w="2040" w:type="dxa"/>
            <w:vAlign w:val="bottom"/>
          </w:tcPr>
          <w:p>
            <w:pPr>
              <w:jc w:val="right"/>
              <w:ind w:right="639"/>
              <w:spacing w:after="0"/>
              <w:rPr>
                <w:sz w:val="20"/>
                <w:szCs w:val="20"/>
                <w:color w:val="auto"/>
              </w:rPr>
            </w:pPr>
            <w:r>
              <w:rPr>
                <w:rFonts w:ascii="Arial" w:cs="Arial" w:eastAsia="Arial" w:hAnsi="Arial"/>
                <w:sz w:val="16"/>
                <w:szCs w:val="16"/>
                <w:color w:val="231F20"/>
              </w:rPr>
              <w:t>100%</w:t>
            </w:r>
          </w:p>
        </w:tc>
        <w:tc>
          <w:tcPr>
            <w:tcW w:w="1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00" w:type="dxa"/>
            <w:vAlign w:val="bottom"/>
            <w:shd w:val="clear" w:color="auto" w:fill="F3EDF3"/>
          </w:tcPr>
          <w:p>
            <w:pPr>
              <w:jc w:val="right"/>
              <w:ind w:right="806"/>
              <w:spacing w:after="0" w:line="230" w:lineRule="exact"/>
              <w:rPr>
                <w:sz w:val="20"/>
                <w:szCs w:val="20"/>
                <w:color w:val="auto"/>
              </w:rPr>
            </w:pPr>
            <w:r>
              <w:rPr>
                <w:rFonts w:ascii="Arial" w:cs="Arial" w:eastAsia="Arial" w:hAnsi="Arial"/>
                <w:sz w:val="26"/>
                <w:szCs w:val="26"/>
                <w:color w:val="231F20"/>
                <w:vertAlign w:val="subscript"/>
              </w:rPr>
              <w:t>30</w:t>
            </w:r>
            <w:r>
              <w:rPr>
                <w:rFonts w:ascii="Arial" w:cs="Arial" w:eastAsia="Arial" w:hAnsi="Arial"/>
                <w:sz w:val="12"/>
                <w:szCs w:val="12"/>
                <w:color w:val="231F20"/>
              </w:rPr>
              <w:t>th</w:t>
            </w:r>
          </w:p>
        </w:tc>
        <w:tc>
          <w:tcPr>
            <w:tcW w:w="3100" w:type="dxa"/>
            <w:vAlign w:val="bottom"/>
            <w:shd w:val="clear" w:color="auto" w:fill="F3EDF3"/>
          </w:tcPr>
          <w:p>
            <w:pPr>
              <w:spacing w:after="0"/>
              <w:rPr>
                <w:sz w:val="19"/>
                <w:szCs w:val="19"/>
                <w:color w:val="auto"/>
              </w:rPr>
            </w:pPr>
          </w:p>
        </w:tc>
        <w:tc>
          <w:tcPr>
            <w:tcW w:w="2040" w:type="dxa"/>
            <w:vAlign w:val="bottom"/>
            <w:shd w:val="clear" w:color="auto" w:fill="F3EDF3"/>
          </w:tcPr>
          <w:p>
            <w:pPr>
              <w:jc w:val="right"/>
              <w:ind w:right="639"/>
              <w:spacing w:after="0"/>
              <w:rPr>
                <w:sz w:val="20"/>
                <w:szCs w:val="20"/>
                <w:color w:val="auto"/>
              </w:rPr>
            </w:pPr>
            <w:r>
              <w:rPr>
                <w:rFonts w:ascii="Arial" w:cs="Arial" w:eastAsia="Arial" w:hAnsi="Arial"/>
                <w:sz w:val="16"/>
                <w:szCs w:val="16"/>
                <w:color w:val="231F20"/>
              </w:rPr>
              <w:t>40%</w:t>
            </w:r>
          </w:p>
        </w:tc>
        <w:tc>
          <w:tcPr>
            <w:tcW w:w="1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00" w:type="dxa"/>
            <w:vAlign w:val="bottom"/>
            <w:tcBorders>
              <w:bottom w:val="single" w:sz="8" w:color="6F2875"/>
            </w:tcBorders>
          </w:tcPr>
          <w:p>
            <w:pPr>
              <w:jc w:val="right"/>
              <w:ind w:right="806"/>
              <w:spacing w:after="0" w:line="230" w:lineRule="exact"/>
              <w:rPr>
                <w:sz w:val="20"/>
                <w:szCs w:val="20"/>
                <w:color w:val="auto"/>
              </w:rPr>
            </w:pPr>
            <w:r>
              <w:rPr>
                <w:rFonts w:ascii="Arial" w:cs="Arial" w:eastAsia="Arial" w:hAnsi="Arial"/>
                <w:sz w:val="16"/>
                <w:szCs w:val="16"/>
                <w:color w:val="231F20"/>
              </w:rPr>
              <w:t>&lt;30</w:t>
            </w:r>
            <w:r>
              <w:rPr>
                <w:rFonts w:ascii="Arial" w:cs="Arial" w:eastAsia="Arial" w:hAnsi="Arial"/>
                <w:sz w:val="26"/>
                <w:szCs w:val="26"/>
                <w:color w:val="231F20"/>
                <w:vertAlign w:val="superscript"/>
              </w:rPr>
              <w:t>th</w:t>
            </w:r>
          </w:p>
        </w:tc>
        <w:tc>
          <w:tcPr>
            <w:tcW w:w="3100" w:type="dxa"/>
            <w:vAlign w:val="bottom"/>
            <w:tcBorders>
              <w:bottom w:val="single" w:sz="8" w:color="6F2875"/>
            </w:tcBorders>
          </w:tcPr>
          <w:p>
            <w:pPr>
              <w:spacing w:after="0"/>
              <w:rPr>
                <w:sz w:val="19"/>
                <w:szCs w:val="19"/>
                <w:color w:val="auto"/>
              </w:rPr>
            </w:pPr>
          </w:p>
        </w:tc>
        <w:tc>
          <w:tcPr>
            <w:tcW w:w="2040" w:type="dxa"/>
            <w:vAlign w:val="bottom"/>
            <w:tcBorders>
              <w:bottom w:val="single" w:sz="8" w:color="6F2875"/>
            </w:tcBorders>
          </w:tcPr>
          <w:p>
            <w:pPr>
              <w:jc w:val="right"/>
              <w:ind w:right="639"/>
              <w:spacing w:after="0"/>
              <w:rPr>
                <w:sz w:val="20"/>
                <w:szCs w:val="20"/>
                <w:color w:val="auto"/>
              </w:rPr>
            </w:pPr>
            <w:r>
              <w:rPr>
                <w:rFonts w:ascii="Arial" w:cs="Arial" w:eastAsia="Arial" w:hAnsi="Arial"/>
                <w:sz w:val="16"/>
                <w:szCs w:val="16"/>
                <w:color w:val="231F20"/>
              </w:rPr>
              <w:t>0%</w:t>
            </w:r>
          </w:p>
        </w:tc>
        <w:tc>
          <w:tcPr>
            <w:tcW w:w="1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4000" w:type="dxa"/>
            <w:vAlign w:val="bottom"/>
            <w:gridSpan w:val="2"/>
          </w:tcPr>
          <w:p>
            <w:pPr>
              <w:jc w:val="right"/>
              <w:ind w:right="1246"/>
              <w:spacing w:after="0"/>
              <w:rPr>
                <w:sz w:val="20"/>
                <w:szCs w:val="20"/>
                <w:color w:val="auto"/>
              </w:rPr>
            </w:pPr>
            <w:r>
              <w:rPr>
                <w:rFonts w:ascii="Arial" w:cs="Arial" w:eastAsia="Arial" w:hAnsi="Arial"/>
                <w:sz w:val="16"/>
                <w:szCs w:val="16"/>
                <w:color w:val="231F20"/>
              </w:rPr>
              <w:t>The 2018 rTSR Peer Group includes:</w:t>
            </w:r>
          </w:p>
        </w:tc>
        <w:tc>
          <w:tcPr>
            <w:tcW w:w="3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000" w:type="dxa"/>
            <w:vAlign w:val="bottom"/>
            <w:tcBorders>
              <w:bottom w:val="single" w:sz="8" w:color="6F2875"/>
            </w:tcBorders>
            <w:gridSpan w:val="2"/>
          </w:tcPr>
          <w:p>
            <w:pPr>
              <w:spacing w:after="0"/>
              <w:rPr>
                <w:sz w:val="15"/>
                <w:szCs w:val="15"/>
                <w:color w:val="auto"/>
              </w:rPr>
            </w:pPr>
          </w:p>
        </w:tc>
        <w:tc>
          <w:tcPr>
            <w:tcW w:w="3100" w:type="dxa"/>
            <w:vAlign w:val="bottom"/>
            <w:tcBorders>
              <w:bottom w:val="single" w:sz="8" w:color="6F2875"/>
            </w:tcBorders>
          </w:tcPr>
          <w:p>
            <w:pPr>
              <w:spacing w:after="0"/>
              <w:rPr>
                <w:sz w:val="15"/>
                <w:szCs w:val="15"/>
                <w:color w:val="auto"/>
              </w:rPr>
            </w:pPr>
          </w:p>
        </w:tc>
        <w:tc>
          <w:tcPr>
            <w:tcW w:w="3980" w:type="dxa"/>
            <w:vAlign w:val="bottom"/>
            <w:tcBorders>
              <w:bottom w:val="single" w:sz="8" w:color="6F2875"/>
            </w:tcBorders>
            <w:gridSpan w:val="2"/>
          </w:tcPr>
          <w:p>
            <w:pPr>
              <w:spacing w:after="0"/>
              <w:rPr>
                <w:sz w:val="15"/>
                <w:szCs w:val="15"/>
                <w:color w:val="auto"/>
              </w:rPr>
            </w:pPr>
          </w:p>
        </w:tc>
        <w:tc>
          <w:tcPr>
            <w:tcW w:w="340" w:type="dxa"/>
            <w:vAlign w:val="bottom"/>
            <w:tcBorders>
              <w:bottom w:val="single" w:sz="8" w:color="6F2875"/>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0" w:type="dxa"/>
            <w:vAlign w:val="bottom"/>
            <w:gridSpan w:val="2"/>
            <w:shd w:val="clear" w:color="auto" w:fill="F3EDF3"/>
          </w:tcPr>
          <w:p>
            <w:pPr>
              <w:jc w:val="center"/>
              <w:ind w:right="146"/>
              <w:spacing w:after="0" w:line="183" w:lineRule="exact"/>
              <w:rPr>
                <w:sz w:val="20"/>
                <w:szCs w:val="20"/>
                <w:color w:val="auto"/>
              </w:rPr>
            </w:pPr>
            <w:r>
              <w:rPr>
                <w:rFonts w:ascii="Arial" w:cs="Arial" w:eastAsia="Arial" w:hAnsi="Arial"/>
                <w:sz w:val="16"/>
                <w:szCs w:val="16"/>
                <w:color w:val="231F20"/>
              </w:rPr>
              <w:t>ABIOMED, Inc.</w:t>
            </w:r>
          </w:p>
        </w:tc>
        <w:tc>
          <w:tcPr>
            <w:tcW w:w="3100" w:type="dxa"/>
            <w:vAlign w:val="bottom"/>
            <w:shd w:val="clear" w:color="auto" w:fill="F3EDF3"/>
          </w:tcPr>
          <w:p>
            <w:pPr>
              <w:jc w:val="center"/>
              <w:ind w:left="259"/>
              <w:spacing w:after="0" w:line="183" w:lineRule="exact"/>
              <w:rPr>
                <w:sz w:val="20"/>
                <w:szCs w:val="20"/>
                <w:color w:val="auto"/>
              </w:rPr>
            </w:pPr>
            <w:r>
              <w:rPr>
                <w:rFonts w:ascii="Arial" w:cs="Arial" w:eastAsia="Arial" w:hAnsi="Arial"/>
                <w:sz w:val="16"/>
                <w:szCs w:val="16"/>
                <w:color w:val="231F20"/>
              </w:rPr>
              <w:t>Haemonetics Corporation</w:t>
            </w:r>
          </w:p>
        </w:tc>
        <w:tc>
          <w:tcPr>
            <w:tcW w:w="4320" w:type="dxa"/>
            <w:vAlign w:val="bottom"/>
            <w:gridSpan w:val="3"/>
            <w:shd w:val="clear" w:color="auto" w:fill="F3EDF3"/>
          </w:tcPr>
          <w:p>
            <w:pPr>
              <w:jc w:val="center"/>
              <w:ind w:left="479"/>
              <w:spacing w:after="0" w:line="183" w:lineRule="exact"/>
              <w:rPr>
                <w:sz w:val="20"/>
                <w:szCs w:val="20"/>
                <w:color w:val="auto"/>
              </w:rPr>
            </w:pPr>
            <w:r>
              <w:rPr>
                <w:rFonts w:ascii="Arial" w:cs="Arial" w:eastAsia="Arial" w:hAnsi="Arial"/>
                <w:sz w:val="16"/>
                <w:szCs w:val="16"/>
                <w:color w:val="231F20"/>
              </w:rPr>
              <w:t>NuVasive, Inc.</w:t>
            </w:r>
          </w:p>
        </w:tc>
        <w:tc>
          <w:tcPr>
            <w:tcW w:w="0" w:type="dxa"/>
            <w:vAlign w:val="bottom"/>
          </w:tcPr>
          <w:p>
            <w:pPr>
              <w:spacing w:after="0"/>
              <w:rPr>
                <w:sz w:val="1"/>
                <w:szCs w:val="1"/>
                <w:color w:val="auto"/>
              </w:rPr>
            </w:pPr>
          </w:p>
        </w:tc>
      </w:tr>
      <w:tr>
        <w:trPr>
          <w:trHeight w:val="189"/>
        </w:trPr>
        <w:tc>
          <w:tcPr>
            <w:tcW w:w="4000" w:type="dxa"/>
            <w:vAlign w:val="bottom"/>
            <w:gridSpan w:val="2"/>
          </w:tcPr>
          <w:p>
            <w:pPr>
              <w:jc w:val="center"/>
              <w:ind w:right="146"/>
              <w:spacing w:after="0"/>
              <w:rPr>
                <w:sz w:val="20"/>
                <w:szCs w:val="20"/>
                <w:color w:val="auto"/>
              </w:rPr>
            </w:pPr>
            <w:r>
              <w:rPr>
                <w:rFonts w:ascii="Arial" w:cs="Arial" w:eastAsia="Arial" w:hAnsi="Arial"/>
                <w:sz w:val="16"/>
                <w:szCs w:val="16"/>
                <w:color w:val="231F20"/>
              </w:rPr>
              <w:t>Baxter International Inc.</w:t>
            </w:r>
          </w:p>
        </w:tc>
        <w:tc>
          <w:tcPr>
            <w:tcW w:w="3100" w:type="dxa"/>
            <w:vAlign w:val="bottom"/>
          </w:tcPr>
          <w:p>
            <w:pPr>
              <w:jc w:val="center"/>
              <w:ind w:left="259"/>
              <w:spacing w:after="0"/>
              <w:rPr>
                <w:sz w:val="20"/>
                <w:szCs w:val="20"/>
                <w:color w:val="auto"/>
              </w:rPr>
            </w:pPr>
            <w:r>
              <w:rPr>
                <w:rFonts w:ascii="Arial" w:cs="Arial" w:eastAsia="Arial" w:hAnsi="Arial"/>
                <w:sz w:val="16"/>
                <w:szCs w:val="16"/>
                <w:color w:val="231F20"/>
              </w:rPr>
              <w:t>Hill-Rom Holdings, Inc.</w:t>
            </w:r>
          </w:p>
        </w:tc>
        <w:tc>
          <w:tcPr>
            <w:tcW w:w="4320" w:type="dxa"/>
            <w:vAlign w:val="bottom"/>
            <w:gridSpan w:val="3"/>
          </w:tcPr>
          <w:p>
            <w:pPr>
              <w:jc w:val="center"/>
              <w:ind w:left="479"/>
              <w:spacing w:after="0"/>
              <w:rPr>
                <w:sz w:val="20"/>
                <w:szCs w:val="20"/>
                <w:color w:val="auto"/>
              </w:rPr>
            </w:pPr>
            <w:r>
              <w:rPr>
                <w:rFonts w:ascii="Arial" w:cs="Arial" w:eastAsia="Arial" w:hAnsi="Arial"/>
                <w:sz w:val="16"/>
                <w:szCs w:val="16"/>
                <w:color w:val="231F20"/>
              </w:rPr>
              <w:t>ResMed Inc.</w:t>
            </w:r>
          </w:p>
        </w:tc>
        <w:tc>
          <w:tcPr>
            <w:tcW w:w="0" w:type="dxa"/>
            <w:vAlign w:val="bottom"/>
          </w:tcPr>
          <w:p>
            <w:pPr>
              <w:spacing w:after="0"/>
              <w:rPr>
                <w:sz w:val="1"/>
                <w:szCs w:val="1"/>
                <w:color w:val="auto"/>
              </w:rPr>
            </w:pPr>
          </w:p>
        </w:tc>
      </w:tr>
      <w:tr>
        <w:trPr>
          <w:trHeight w:val="189"/>
        </w:trPr>
        <w:tc>
          <w:tcPr>
            <w:tcW w:w="4000" w:type="dxa"/>
            <w:vAlign w:val="bottom"/>
            <w:gridSpan w:val="2"/>
            <w:shd w:val="clear" w:color="auto" w:fill="F3EDF3"/>
          </w:tcPr>
          <w:p>
            <w:pPr>
              <w:jc w:val="center"/>
              <w:ind w:right="146"/>
              <w:spacing w:after="0"/>
              <w:rPr>
                <w:sz w:val="20"/>
                <w:szCs w:val="20"/>
                <w:color w:val="auto"/>
              </w:rPr>
            </w:pPr>
            <w:r>
              <w:rPr>
                <w:rFonts w:ascii="Arial" w:cs="Arial" w:eastAsia="Arial" w:hAnsi="Arial"/>
                <w:sz w:val="16"/>
                <w:szCs w:val="16"/>
                <w:color w:val="231F20"/>
              </w:rPr>
              <w:t>Becton, Dickinson and Company</w:t>
            </w:r>
          </w:p>
        </w:tc>
        <w:tc>
          <w:tcPr>
            <w:tcW w:w="3100" w:type="dxa"/>
            <w:vAlign w:val="bottom"/>
            <w:shd w:val="clear" w:color="auto" w:fill="F3EDF3"/>
          </w:tcPr>
          <w:p>
            <w:pPr>
              <w:jc w:val="center"/>
              <w:ind w:left="259"/>
              <w:spacing w:after="0"/>
              <w:rPr>
                <w:sz w:val="20"/>
                <w:szCs w:val="20"/>
                <w:color w:val="auto"/>
              </w:rPr>
            </w:pPr>
            <w:r>
              <w:rPr>
                <w:rFonts w:ascii="Arial" w:cs="Arial" w:eastAsia="Arial" w:hAnsi="Arial"/>
                <w:sz w:val="16"/>
                <w:szCs w:val="16"/>
                <w:color w:val="231F20"/>
                <w:w w:val="99"/>
              </w:rPr>
              <w:t>Hologic, Inc.</w:t>
            </w:r>
          </w:p>
        </w:tc>
        <w:tc>
          <w:tcPr>
            <w:tcW w:w="4320" w:type="dxa"/>
            <w:vAlign w:val="bottom"/>
            <w:gridSpan w:val="3"/>
            <w:shd w:val="clear" w:color="auto" w:fill="F3EDF3"/>
          </w:tcPr>
          <w:p>
            <w:pPr>
              <w:jc w:val="center"/>
              <w:ind w:left="479"/>
              <w:spacing w:after="0"/>
              <w:rPr>
                <w:sz w:val="20"/>
                <w:szCs w:val="20"/>
                <w:color w:val="auto"/>
              </w:rPr>
            </w:pPr>
            <w:r>
              <w:rPr>
                <w:rFonts w:ascii="Arial" w:cs="Arial" w:eastAsia="Arial" w:hAnsi="Arial"/>
                <w:sz w:val="16"/>
                <w:szCs w:val="16"/>
                <w:color w:val="231F20"/>
              </w:rPr>
              <w:t>Smith &amp; Nephew Plc</w:t>
            </w:r>
          </w:p>
        </w:tc>
        <w:tc>
          <w:tcPr>
            <w:tcW w:w="0" w:type="dxa"/>
            <w:vAlign w:val="bottom"/>
          </w:tcPr>
          <w:p>
            <w:pPr>
              <w:spacing w:after="0"/>
              <w:rPr>
                <w:sz w:val="1"/>
                <w:szCs w:val="1"/>
                <w:color w:val="auto"/>
              </w:rPr>
            </w:pPr>
          </w:p>
        </w:tc>
      </w:tr>
      <w:tr>
        <w:trPr>
          <w:trHeight w:val="189"/>
        </w:trPr>
        <w:tc>
          <w:tcPr>
            <w:tcW w:w="4000" w:type="dxa"/>
            <w:vAlign w:val="bottom"/>
            <w:gridSpan w:val="2"/>
          </w:tcPr>
          <w:p>
            <w:pPr>
              <w:jc w:val="center"/>
              <w:ind w:right="146"/>
              <w:spacing w:after="0"/>
              <w:rPr>
                <w:sz w:val="20"/>
                <w:szCs w:val="20"/>
                <w:color w:val="auto"/>
              </w:rPr>
            </w:pPr>
            <w:r>
              <w:rPr>
                <w:rFonts w:ascii="Arial" w:cs="Arial" w:eastAsia="Arial" w:hAnsi="Arial"/>
                <w:sz w:val="16"/>
                <w:szCs w:val="16"/>
                <w:color w:val="231F20"/>
              </w:rPr>
              <w:t>Boston Scientific Corporation</w:t>
            </w:r>
          </w:p>
        </w:tc>
        <w:tc>
          <w:tcPr>
            <w:tcW w:w="3100" w:type="dxa"/>
            <w:vAlign w:val="bottom"/>
          </w:tcPr>
          <w:p>
            <w:pPr>
              <w:jc w:val="center"/>
              <w:ind w:left="259"/>
              <w:spacing w:after="0"/>
              <w:rPr>
                <w:sz w:val="20"/>
                <w:szCs w:val="20"/>
                <w:color w:val="auto"/>
              </w:rPr>
            </w:pPr>
            <w:r>
              <w:rPr>
                <w:rFonts w:ascii="Arial" w:cs="Arial" w:eastAsia="Arial" w:hAnsi="Arial"/>
                <w:sz w:val="16"/>
                <w:szCs w:val="16"/>
                <w:color w:val="231F20"/>
              </w:rPr>
              <w:t>Integer Holdings Corporation</w:t>
            </w:r>
          </w:p>
        </w:tc>
        <w:tc>
          <w:tcPr>
            <w:tcW w:w="2040" w:type="dxa"/>
            <w:vAlign w:val="bottom"/>
          </w:tcPr>
          <w:p>
            <w:pPr>
              <w:spacing w:after="0"/>
              <w:rPr>
                <w:sz w:val="16"/>
                <w:szCs w:val="16"/>
                <w:color w:val="auto"/>
              </w:rPr>
            </w:pPr>
          </w:p>
        </w:tc>
        <w:tc>
          <w:tcPr>
            <w:tcW w:w="2280" w:type="dxa"/>
            <w:vAlign w:val="bottom"/>
            <w:gridSpan w:val="2"/>
          </w:tcPr>
          <w:p>
            <w:pPr>
              <w:jc w:val="center"/>
              <w:ind w:right="1399"/>
              <w:spacing w:after="0"/>
              <w:rPr>
                <w:sz w:val="20"/>
                <w:szCs w:val="20"/>
                <w:color w:val="auto"/>
              </w:rPr>
            </w:pPr>
            <w:r>
              <w:rPr>
                <w:rFonts w:ascii="Arial" w:cs="Arial" w:eastAsia="Arial" w:hAnsi="Arial"/>
                <w:sz w:val="16"/>
                <w:szCs w:val="16"/>
                <w:color w:val="231F20"/>
              </w:rPr>
              <w:t>Steris Plc</w:t>
            </w:r>
          </w:p>
        </w:tc>
        <w:tc>
          <w:tcPr>
            <w:tcW w:w="0" w:type="dxa"/>
            <w:vAlign w:val="bottom"/>
          </w:tcPr>
          <w:p>
            <w:pPr>
              <w:spacing w:after="0"/>
              <w:rPr>
                <w:sz w:val="1"/>
                <w:szCs w:val="1"/>
                <w:color w:val="auto"/>
              </w:rPr>
            </w:pPr>
          </w:p>
        </w:tc>
      </w:tr>
      <w:tr>
        <w:trPr>
          <w:trHeight w:val="189"/>
        </w:trPr>
        <w:tc>
          <w:tcPr>
            <w:tcW w:w="4000" w:type="dxa"/>
            <w:vAlign w:val="bottom"/>
            <w:gridSpan w:val="2"/>
            <w:shd w:val="clear" w:color="auto" w:fill="F3EDF3"/>
          </w:tcPr>
          <w:p>
            <w:pPr>
              <w:jc w:val="center"/>
              <w:ind w:right="146"/>
              <w:spacing w:after="0"/>
              <w:rPr>
                <w:sz w:val="20"/>
                <w:szCs w:val="20"/>
                <w:color w:val="auto"/>
              </w:rPr>
            </w:pPr>
            <w:r>
              <w:rPr>
                <w:rFonts w:ascii="Arial" w:cs="Arial" w:eastAsia="Arial" w:hAnsi="Arial"/>
                <w:sz w:val="16"/>
                <w:szCs w:val="16"/>
                <w:color w:val="231F20"/>
              </w:rPr>
              <w:t>Cantel Medical Corp.</w:t>
            </w:r>
          </w:p>
        </w:tc>
        <w:tc>
          <w:tcPr>
            <w:tcW w:w="3100" w:type="dxa"/>
            <w:vAlign w:val="bottom"/>
            <w:shd w:val="clear" w:color="auto" w:fill="F3EDF3"/>
          </w:tcPr>
          <w:p>
            <w:pPr>
              <w:jc w:val="center"/>
              <w:ind w:left="259"/>
              <w:spacing w:after="0"/>
              <w:rPr>
                <w:sz w:val="20"/>
                <w:szCs w:val="20"/>
                <w:color w:val="auto"/>
              </w:rPr>
            </w:pPr>
            <w:r>
              <w:rPr>
                <w:rFonts w:ascii="Arial" w:cs="Arial" w:eastAsia="Arial" w:hAnsi="Arial"/>
                <w:sz w:val="16"/>
                <w:szCs w:val="16"/>
                <w:color w:val="231F20"/>
              </w:rPr>
              <w:t>Integra LifeSciences Holdings Corp.</w:t>
            </w:r>
          </w:p>
        </w:tc>
        <w:tc>
          <w:tcPr>
            <w:tcW w:w="4320" w:type="dxa"/>
            <w:vAlign w:val="bottom"/>
            <w:gridSpan w:val="3"/>
            <w:shd w:val="clear" w:color="auto" w:fill="F3EDF3"/>
          </w:tcPr>
          <w:p>
            <w:pPr>
              <w:jc w:val="center"/>
              <w:ind w:left="479"/>
              <w:spacing w:after="0"/>
              <w:rPr>
                <w:sz w:val="20"/>
                <w:szCs w:val="20"/>
                <w:color w:val="auto"/>
              </w:rPr>
            </w:pPr>
            <w:r>
              <w:rPr>
                <w:rFonts w:ascii="Arial" w:cs="Arial" w:eastAsia="Arial" w:hAnsi="Arial"/>
                <w:sz w:val="16"/>
                <w:szCs w:val="16"/>
                <w:color w:val="231F20"/>
              </w:rPr>
              <w:t>Stryker Corporation</w:t>
            </w:r>
          </w:p>
        </w:tc>
        <w:tc>
          <w:tcPr>
            <w:tcW w:w="0" w:type="dxa"/>
            <w:vAlign w:val="bottom"/>
          </w:tcPr>
          <w:p>
            <w:pPr>
              <w:spacing w:after="0"/>
              <w:rPr>
                <w:sz w:val="1"/>
                <w:szCs w:val="1"/>
                <w:color w:val="auto"/>
              </w:rPr>
            </w:pPr>
          </w:p>
        </w:tc>
      </w:tr>
      <w:tr>
        <w:trPr>
          <w:trHeight w:val="189"/>
        </w:trPr>
        <w:tc>
          <w:tcPr>
            <w:tcW w:w="4000" w:type="dxa"/>
            <w:vAlign w:val="bottom"/>
            <w:gridSpan w:val="2"/>
          </w:tcPr>
          <w:p>
            <w:pPr>
              <w:jc w:val="center"/>
              <w:ind w:right="146"/>
              <w:spacing w:after="0"/>
              <w:rPr>
                <w:sz w:val="20"/>
                <w:szCs w:val="20"/>
                <w:color w:val="auto"/>
              </w:rPr>
            </w:pPr>
            <w:r>
              <w:rPr>
                <w:rFonts w:ascii="Arial" w:cs="Arial" w:eastAsia="Arial" w:hAnsi="Arial"/>
                <w:sz w:val="16"/>
                <w:szCs w:val="16"/>
                <w:color w:val="231F20"/>
              </w:rPr>
              <w:t>CONMED Corporation</w:t>
            </w:r>
          </w:p>
        </w:tc>
        <w:tc>
          <w:tcPr>
            <w:tcW w:w="3100" w:type="dxa"/>
            <w:vAlign w:val="bottom"/>
          </w:tcPr>
          <w:p>
            <w:pPr>
              <w:jc w:val="center"/>
              <w:ind w:left="279"/>
              <w:spacing w:after="0"/>
              <w:rPr>
                <w:sz w:val="20"/>
                <w:szCs w:val="20"/>
                <w:color w:val="auto"/>
              </w:rPr>
            </w:pPr>
            <w:r>
              <w:rPr>
                <w:rFonts w:ascii="Arial" w:cs="Arial" w:eastAsia="Arial" w:hAnsi="Arial"/>
                <w:sz w:val="16"/>
                <w:szCs w:val="16"/>
                <w:color w:val="231F20"/>
              </w:rPr>
              <w:t>Intuitive Surgical, Inc.</w:t>
            </w:r>
          </w:p>
        </w:tc>
        <w:tc>
          <w:tcPr>
            <w:tcW w:w="4320" w:type="dxa"/>
            <w:vAlign w:val="bottom"/>
            <w:gridSpan w:val="3"/>
          </w:tcPr>
          <w:p>
            <w:pPr>
              <w:jc w:val="center"/>
              <w:ind w:left="499"/>
              <w:spacing w:after="0"/>
              <w:rPr>
                <w:sz w:val="20"/>
                <w:szCs w:val="20"/>
                <w:color w:val="auto"/>
              </w:rPr>
            </w:pPr>
            <w:r>
              <w:rPr>
                <w:rFonts w:ascii="Arial" w:cs="Arial" w:eastAsia="Arial" w:hAnsi="Arial"/>
                <w:sz w:val="16"/>
                <w:szCs w:val="16"/>
                <w:color w:val="231F20"/>
                <w:w w:val="99"/>
              </w:rPr>
              <w:t>Teleflex Incorporated</w:t>
            </w:r>
          </w:p>
        </w:tc>
        <w:tc>
          <w:tcPr>
            <w:tcW w:w="0" w:type="dxa"/>
            <w:vAlign w:val="bottom"/>
          </w:tcPr>
          <w:p>
            <w:pPr>
              <w:spacing w:after="0"/>
              <w:rPr>
                <w:sz w:val="1"/>
                <w:szCs w:val="1"/>
                <w:color w:val="auto"/>
              </w:rPr>
            </w:pPr>
          </w:p>
        </w:tc>
      </w:tr>
      <w:tr>
        <w:trPr>
          <w:trHeight w:val="189"/>
        </w:trPr>
        <w:tc>
          <w:tcPr>
            <w:tcW w:w="4000" w:type="dxa"/>
            <w:vAlign w:val="bottom"/>
            <w:gridSpan w:val="2"/>
            <w:shd w:val="clear" w:color="auto" w:fill="F3EDF3"/>
          </w:tcPr>
          <w:p>
            <w:pPr>
              <w:jc w:val="center"/>
              <w:ind w:right="146"/>
              <w:spacing w:after="0"/>
              <w:rPr>
                <w:sz w:val="20"/>
                <w:szCs w:val="20"/>
                <w:color w:val="auto"/>
              </w:rPr>
            </w:pPr>
            <w:r>
              <w:rPr>
                <w:rFonts w:ascii="Arial" w:cs="Arial" w:eastAsia="Arial" w:hAnsi="Arial"/>
                <w:sz w:val="16"/>
                <w:szCs w:val="16"/>
                <w:color w:val="231F20"/>
              </w:rPr>
              <w:t>DexCom, Inc.</w:t>
            </w:r>
          </w:p>
        </w:tc>
        <w:tc>
          <w:tcPr>
            <w:tcW w:w="3100" w:type="dxa"/>
            <w:vAlign w:val="bottom"/>
            <w:shd w:val="clear" w:color="auto" w:fill="F3EDF3"/>
          </w:tcPr>
          <w:p>
            <w:pPr>
              <w:jc w:val="center"/>
              <w:ind w:left="259"/>
              <w:spacing w:after="0"/>
              <w:rPr>
                <w:sz w:val="20"/>
                <w:szCs w:val="20"/>
                <w:color w:val="auto"/>
              </w:rPr>
            </w:pPr>
            <w:r>
              <w:rPr>
                <w:rFonts w:ascii="Arial" w:cs="Arial" w:eastAsia="Arial" w:hAnsi="Arial"/>
                <w:sz w:val="16"/>
                <w:szCs w:val="16"/>
                <w:color w:val="231F20"/>
              </w:rPr>
              <w:t>Invacare Corporation</w:t>
            </w:r>
          </w:p>
        </w:tc>
        <w:tc>
          <w:tcPr>
            <w:tcW w:w="4320" w:type="dxa"/>
            <w:vAlign w:val="bottom"/>
            <w:gridSpan w:val="3"/>
            <w:shd w:val="clear" w:color="auto" w:fill="F3EDF3"/>
          </w:tcPr>
          <w:p>
            <w:pPr>
              <w:jc w:val="center"/>
              <w:ind w:left="479"/>
              <w:spacing w:after="0"/>
              <w:rPr>
                <w:sz w:val="20"/>
                <w:szCs w:val="20"/>
                <w:color w:val="auto"/>
              </w:rPr>
            </w:pPr>
            <w:r>
              <w:rPr>
                <w:rFonts w:ascii="Arial" w:cs="Arial" w:eastAsia="Arial" w:hAnsi="Arial"/>
                <w:sz w:val="16"/>
                <w:szCs w:val="16"/>
                <w:color w:val="231F20"/>
              </w:rPr>
              <w:t>Varian Medical Systems, Inc.</w:t>
            </w:r>
          </w:p>
        </w:tc>
        <w:tc>
          <w:tcPr>
            <w:tcW w:w="0" w:type="dxa"/>
            <w:vAlign w:val="bottom"/>
          </w:tcPr>
          <w:p>
            <w:pPr>
              <w:spacing w:after="0"/>
              <w:rPr>
                <w:sz w:val="1"/>
                <w:szCs w:val="1"/>
                <w:color w:val="auto"/>
              </w:rPr>
            </w:pPr>
          </w:p>
        </w:tc>
      </w:tr>
      <w:tr>
        <w:trPr>
          <w:trHeight w:val="189"/>
        </w:trPr>
        <w:tc>
          <w:tcPr>
            <w:tcW w:w="4000" w:type="dxa"/>
            <w:vAlign w:val="bottom"/>
            <w:gridSpan w:val="2"/>
          </w:tcPr>
          <w:p>
            <w:pPr>
              <w:jc w:val="center"/>
              <w:ind w:right="146"/>
              <w:spacing w:after="0"/>
              <w:rPr>
                <w:sz w:val="20"/>
                <w:szCs w:val="20"/>
                <w:color w:val="auto"/>
              </w:rPr>
            </w:pPr>
            <w:r>
              <w:rPr>
                <w:rFonts w:ascii="Arial" w:cs="Arial" w:eastAsia="Arial" w:hAnsi="Arial"/>
                <w:sz w:val="16"/>
                <w:szCs w:val="16"/>
                <w:color w:val="231F20"/>
              </w:rPr>
              <w:t>Edwards Lifesciences Corporation</w:t>
            </w:r>
          </w:p>
        </w:tc>
        <w:tc>
          <w:tcPr>
            <w:tcW w:w="3100" w:type="dxa"/>
            <w:vAlign w:val="bottom"/>
          </w:tcPr>
          <w:p>
            <w:pPr>
              <w:jc w:val="center"/>
              <w:ind w:left="279"/>
              <w:spacing w:after="0"/>
              <w:rPr>
                <w:sz w:val="20"/>
                <w:szCs w:val="20"/>
                <w:color w:val="auto"/>
              </w:rPr>
            </w:pPr>
            <w:r>
              <w:rPr>
                <w:rFonts w:ascii="Arial" w:cs="Arial" w:eastAsia="Arial" w:hAnsi="Arial"/>
                <w:sz w:val="16"/>
                <w:szCs w:val="16"/>
                <w:color w:val="231F20"/>
              </w:rPr>
              <w:t>Masimo Corporation</w:t>
            </w:r>
          </w:p>
        </w:tc>
        <w:tc>
          <w:tcPr>
            <w:tcW w:w="4320" w:type="dxa"/>
            <w:vAlign w:val="bottom"/>
            <w:gridSpan w:val="3"/>
          </w:tcPr>
          <w:p>
            <w:pPr>
              <w:jc w:val="center"/>
              <w:ind w:left="479"/>
              <w:spacing w:after="0"/>
              <w:rPr>
                <w:sz w:val="20"/>
                <w:szCs w:val="20"/>
                <w:color w:val="auto"/>
              </w:rPr>
            </w:pPr>
            <w:r>
              <w:rPr>
                <w:rFonts w:ascii="Arial" w:cs="Arial" w:eastAsia="Arial" w:hAnsi="Arial"/>
                <w:sz w:val="16"/>
                <w:szCs w:val="16"/>
                <w:color w:val="231F20"/>
              </w:rPr>
              <w:t>Wright Medical Group N.V.</w:t>
            </w:r>
          </w:p>
        </w:tc>
        <w:tc>
          <w:tcPr>
            <w:tcW w:w="0" w:type="dxa"/>
            <w:vAlign w:val="bottom"/>
          </w:tcPr>
          <w:p>
            <w:pPr>
              <w:spacing w:after="0"/>
              <w:rPr>
                <w:sz w:val="1"/>
                <w:szCs w:val="1"/>
                <w:color w:val="auto"/>
              </w:rPr>
            </w:pPr>
          </w:p>
        </w:tc>
      </w:tr>
      <w:tr>
        <w:trPr>
          <w:trHeight w:val="189"/>
        </w:trPr>
        <w:tc>
          <w:tcPr>
            <w:tcW w:w="4000" w:type="dxa"/>
            <w:vAlign w:val="bottom"/>
            <w:tcBorders>
              <w:bottom w:val="single" w:sz="8" w:color="6F2875"/>
            </w:tcBorders>
            <w:gridSpan w:val="2"/>
            <w:shd w:val="clear" w:color="auto" w:fill="F3EDF3"/>
          </w:tcPr>
          <w:p>
            <w:pPr>
              <w:jc w:val="center"/>
              <w:ind w:right="146"/>
              <w:spacing w:after="0"/>
              <w:rPr>
                <w:sz w:val="20"/>
                <w:szCs w:val="20"/>
                <w:color w:val="auto"/>
              </w:rPr>
            </w:pPr>
            <w:r>
              <w:rPr>
                <w:rFonts w:ascii="Arial" w:cs="Arial" w:eastAsia="Arial" w:hAnsi="Arial"/>
                <w:sz w:val="16"/>
                <w:szCs w:val="16"/>
                <w:color w:val="231F20"/>
              </w:rPr>
              <w:t>Globus Medical, Inc.</w:t>
            </w:r>
          </w:p>
        </w:tc>
        <w:tc>
          <w:tcPr>
            <w:tcW w:w="3100" w:type="dxa"/>
            <w:vAlign w:val="bottom"/>
            <w:tcBorders>
              <w:bottom w:val="single" w:sz="8" w:color="6F2875"/>
            </w:tcBorders>
            <w:shd w:val="clear" w:color="auto" w:fill="F3EDF3"/>
          </w:tcPr>
          <w:p>
            <w:pPr>
              <w:jc w:val="center"/>
              <w:ind w:left="279"/>
              <w:spacing w:after="0"/>
              <w:rPr>
                <w:sz w:val="20"/>
                <w:szCs w:val="20"/>
                <w:color w:val="auto"/>
              </w:rPr>
            </w:pPr>
            <w:r>
              <w:rPr>
                <w:rFonts w:ascii="Arial" w:cs="Arial" w:eastAsia="Arial" w:hAnsi="Arial"/>
                <w:sz w:val="16"/>
                <w:szCs w:val="16"/>
                <w:color w:val="231F20"/>
              </w:rPr>
              <w:t>Medtronic Plc</w:t>
            </w:r>
          </w:p>
        </w:tc>
        <w:tc>
          <w:tcPr>
            <w:tcW w:w="4320" w:type="dxa"/>
            <w:vAlign w:val="bottom"/>
            <w:tcBorders>
              <w:bottom w:val="single" w:sz="8" w:color="6F2875"/>
            </w:tcBorders>
            <w:gridSpan w:val="3"/>
            <w:shd w:val="clear" w:color="auto" w:fill="F3EDF3"/>
          </w:tcPr>
          <w:p>
            <w:pPr>
              <w:jc w:val="center"/>
              <w:ind w:left="479"/>
              <w:spacing w:after="0"/>
              <w:rPr>
                <w:sz w:val="20"/>
                <w:szCs w:val="20"/>
                <w:color w:val="auto"/>
              </w:rPr>
            </w:pPr>
            <w:r>
              <w:rPr>
                <w:rFonts w:ascii="Arial" w:cs="Arial" w:eastAsia="Arial" w:hAnsi="Arial"/>
                <w:sz w:val="16"/>
                <w:szCs w:val="16"/>
                <w:color w:val="231F20"/>
              </w:rPr>
              <w:t>Zimmer Biomet Holdings, Inc.</w:t>
            </w:r>
          </w:p>
        </w:tc>
        <w:tc>
          <w:tcPr>
            <w:tcW w:w="0" w:type="dxa"/>
            <w:vAlign w:val="bottom"/>
          </w:tcPr>
          <w:p>
            <w:pPr>
              <w:spacing w:after="0"/>
              <w:rPr>
                <w:sz w:val="1"/>
                <w:szCs w:val="1"/>
                <w:color w:val="auto"/>
              </w:rPr>
            </w:pPr>
          </w:p>
        </w:tc>
      </w:tr>
      <w:tr>
        <w:trPr>
          <w:trHeight w:val="304"/>
        </w:trPr>
        <w:tc>
          <w:tcPr>
            <w:tcW w:w="23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gridSpan w:val="2"/>
          </w:tcPr>
          <w:p>
            <w:pPr>
              <w:spacing w:after="0"/>
              <w:rPr>
                <w:sz w:val="24"/>
                <w:szCs w:val="2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69"/>
        </w:trPr>
        <w:tc>
          <w:tcPr>
            <w:tcW w:w="23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gridSpan w:val="2"/>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300" w:type="dxa"/>
            <w:vAlign w:val="bottom"/>
            <w:tcBorders>
              <w:bottom w:val="single" w:sz="8" w:color="C0C0C0"/>
            </w:tcBorders>
          </w:tcPr>
          <w:p>
            <w:pPr>
              <w:spacing w:after="0"/>
              <w:rPr>
                <w:sz w:val="24"/>
                <w:szCs w:val="24"/>
                <w:color w:val="auto"/>
              </w:rPr>
            </w:pPr>
          </w:p>
        </w:tc>
        <w:tc>
          <w:tcPr>
            <w:tcW w:w="17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2040" w:type="dxa"/>
            <w:vAlign w:val="bottom"/>
            <w:tcBorders>
              <w:bottom w:val="single" w:sz="8" w:color="C0C0C0"/>
            </w:tcBorders>
          </w:tcPr>
          <w:p>
            <w:pPr>
              <w:spacing w:after="0"/>
              <w:rPr>
                <w:sz w:val="24"/>
                <w:szCs w:val="24"/>
                <w:color w:val="auto"/>
              </w:rPr>
            </w:pPr>
          </w:p>
        </w:tc>
        <w:tc>
          <w:tcPr>
            <w:tcW w:w="194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805"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Three-Year Cumulative Adjusted Free Cash Flow Performance Stock Units</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Each participant received an award of PSUs subject to achievement of a three-year cumulative adjusted free cash flow target (the “FCF Target”). The Compensation Committee determined the number of PSUs awarded to each participant by dividing one-fourth of the Award Value by the Closing Price and rounding down to the nearest whole unit. At the end of calendar year 2020, cumulative adjusted free cash flow for the period 2018 through 2020 will be compared to the FCF Target, and the number of shares actually delivered to the participants will be determined by the following chart, with linear interpolation applied between specified levels:</w:t>
      </w:r>
    </w:p>
    <w:p>
      <w:pPr>
        <w:spacing w:after="0" w:line="156" w:lineRule="exact"/>
        <w:rPr>
          <w:sz w:val="20"/>
          <w:szCs w:val="20"/>
          <w:color w:val="auto"/>
        </w:rPr>
      </w:pPr>
    </w:p>
    <w:tbl>
      <w:tblPr>
        <w:tblLayout w:type="fixed"/>
        <w:tblInd w:w="2300" w:type="dxa"/>
        <w:tblCellMar>
          <w:top w:w="0" w:type="dxa"/>
          <w:left w:w="0" w:type="dxa"/>
          <w:bottom w:w="0" w:type="dxa"/>
          <w:right w:w="0" w:type="dxa"/>
        </w:tblCellMar>
      </w:tblPr>
      <w:tr>
        <w:trPr>
          <w:trHeight w:val="189"/>
        </w:trPr>
        <w:tc>
          <w:tcPr>
            <w:tcW w:w="3540" w:type="dxa"/>
            <w:vAlign w:val="bottom"/>
          </w:tcPr>
          <w:p>
            <w:pPr>
              <w:jc w:val="right"/>
              <w:ind w:right="1779"/>
              <w:spacing w:after="0"/>
              <w:rPr>
                <w:sz w:val="20"/>
                <w:szCs w:val="20"/>
                <w:color w:val="auto"/>
              </w:rPr>
            </w:pPr>
            <w:r>
              <w:rPr>
                <w:rFonts w:ascii="Arial" w:cs="Arial" w:eastAsia="Arial" w:hAnsi="Arial"/>
                <w:sz w:val="16"/>
                <w:szCs w:val="16"/>
                <w:b w:val="1"/>
                <w:bCs w:val="1"/>
                <w:color w:val="6F2875"/>
              </w:rPr>
              <w:t>FCF Achievement</w:t>
            </w:r>
          </w:p>
        </w:tc>
        <w:tc>
          <w:tcPr>
            <w:tcW w:w="3300" w:type="dxa"/>
            <w:vAlign w:val="bottom"/>
          </w:tcPr>
          <w:p>
            <w:pPr>
              <w:jc w:val="right"/>
              <w:ind w:right="259"/>
              <w:spacing w:after="0"/>
              <w:rPr>
                <w:sz w:val="20"/>
                <w:szCs w:val="20"/>
                <w:color w:val="auto"/>
              </w:rPr>
            </w:pPr>
            <w:r>
              <w:rPr>
                <w:rFonts w:ascii="Arial" w:cs="Arial" w:eastAsia="Arial" w:hAnsi="Arial"/>
                <w:sz w:val="16"/>
                <w:szCs w:val="16"/>
                <w:b w:val="1"/>
                <w:bCs w:val="1"/>
                <w:color w:val="6F2875"/>
              </w:rPr>
              <w:t>Percent Funding</w:t>
            </w:r>
          </w:p>
        </w:tc>
      </w:tr>
      <w:tr>
        <w:trPr>
          <w:trHeight w:val="207"/>
        </w:trPr>
        <w:tc>
          <w:tcPr>
            <w:tcW w:w="3540" w:type="dxa"/>
            <w:vAlign w:val="bottom"/>
            <w:tcBorders>
              <w:bottom w:val="single" w:sz="8" w:color="6F2875"/>
            </w:tcBorders>
          </w:tcPr>
          <w:p>
            <w:pPr>
              <w:jc w:val="right"/>
              <w:ind w:right="1599"/>
              <w:spacing w:after="0"/>
              <w:rPr>
                <w:sz w:val="20"/>
                <w:szCs w:val="20"/>
                <w:color w:val="auto"/>
              </w:rPr>
            </w:pPr>
            <w:r>
              <w:rPr>
                <w:rFonts w:ascii="Arial" w:cs="Arial" w:eastAsia="Arial" w:hAnsi="Arial"/>
                <w:sz w:val="16"/>
                <w:szCs w:val="16"/>
                <w:b w:val="1"/>
                <w:bCs w:val="1"/>
                <w:color w:val="6F2875"/>
              </w:rPr>
              <w:t>Relative to FCF Target</w:t>
            </w:r>
          </w:p>
        </w:tc>
        <w:tc>
          <w:tcPr>
            <w:tcW w:w="3300" w:type="dxa"/>
            <w:vAlign w:val="bottom"/>
            <w:tcBorders>
              <w:bottom w:val="single" w:sz="8" w:color="6F2875"/>
            </w:tcBorders>
          </w:tcPr>
          <w:p>
            <w:pPr>
              <w:jc w:val="right"/>
              <w:ind w:right="399"/>
              <w:spacing w:after="0"/>
              <w:rPr>
                <w:sz w:val="20"/>
                <w:szCs w:val="20"/>
                <w:color w:val="auto"/>
              </w:rPr>
            </w:pPr>
            <w:r>
              <w:rPr>
                <w:rFonts w:ascii="Arial" w:cs="Arial" w:eastAsia="Arial" w:hAnsi="Arial"/>
                <w:sz w:val="16"/>
                <w:szCs w:val="16"/>
                <w:b w:val="1"/>
                <w:bCs w:val="1"/>
                <w:color w:val="6F2875"/>
              </w:rPr>
              <w:t>for Objective</w:t>
            </w:r>
          </w:p>
        </w:tc>
      </w:tr>
      <w:tr>
        <w:trPr>
          <w:trHeight w:val="183"/>
        </w:trPr>
        <w:tc>
          <w:tcPr>
            <w:tcW w:w="3540" w:type="dxa"/>
            <w:vAlign w:val="bottom"/>
            <w:shd w:val="clear" w:color="auto" w:fill="F3EDF3"/>
          </w:tcPr>
          <w:p>
            <w:pPr>
              <w:jc w:val="right"/>
              <w:ind w:right="2299"/>
              <w:spacing w:after="0" w:line="183" w:lineRule="exact"/>
              <w:rPr>
                <w:sz w:val="20"/>
                <w:szCs w:val="20"/>
                <w:color w:val="auto"/>
              </w:rPr>
            </w:pPr>
            <w:r>
              <w:rPr>
                <w:rFonts w:ascii="Arial" w:cs="Arial" w:eastAsia="Arial" w:hAnsi="Arial"/>
                <w:sz w:val="16"/>
                <w:szCs w:val="16"/>
                <w:color w:val="231F20"/>
              </w:rPr>
              <w:t>≥150%</w:t>
            </w:r>
          </w:p>
        </w:tc>
        <w:tc>
          <w:tcPr>
            <w:tcW w:w="3300" w:type="dxa"/>
            <w:vAlign w:val="bottom"/>
            <w:shd w:val="clear" w:color="auto" w:fill="F3EDF3"/>
          </w:tcPr>
          <w:p>
            <w:pPr>
              <w:jc w:val="right"/>
              <w:ind w:right="719"/>
              <w:spacing w:after="0" w:line="183" w:lineRule="exact"/>
              <w:rPr>
                <w:sz w:val="20"/>
                <w:szCs w:val="20"/>
                <w:color w:val="auto"/>
              </w:rPr>
            </w:pPr>
            <w:r>
              <w:rPr>
                <w:rFonts w:ascii="Arial" w:cs="Arial" w:eastAsia="Arial" w:hAnsi="Arial"/>
                <w:sz w:val="16"/>
                <w:szCs w:val="16"/>
                <w:color w:val="231F20"/>
              </w:rPr>
              <w:t>200%</w:t>
            </w:r>
          </w:p>
        </w:tc>
      </w:tr>
      <w:tr>
        <w:trPr>
          <w:trHeight w:val="189"/>
        </w:trPr>
        <w:tc>
          <w:tcPr>
            <w:tcW w:w="3540" w:type="dxa"/>
            <w:vAlign w:val="bottom"/>
          </w:tcPr>
          <w:p>
            <w:pPr>
              <w:jc w:val="right"/>
              <w:ind w:right="2299"/>
              <w:spacing w:after="0"/>
              <w:rPr>
                <w:sz w:val="20"/>
                <w:szCs w:val="20"/>
                <w:color w:val="auto"/>
              </w:rPr>
            </w:pPr>
            <w:r>
              <w:rPr>
                <w:rFonts w:ascii="Arial" w:cs="Arial" w:eastAsia="Arial" w:hAnsi="Arial"/>
                <w:sz w:val="16"/>
                <w:szCs w:val="16"/>
                <w:color w:val="231F20"/>
              </w:rPr>
              <w:t>125%</w:t>
            </w:r>
          </w:p>
        </w:tc>
        <w:tc>
          <w:tcPr>
            <w:tcW w:w="3300" w:type="dxa"/>
            <w:vAlign w:val="bottom"/>
          </w:tcPr>
          <w:p>
            <w:pPr>
              <w:jc w:val="right"/>
              <w:ind w:right="719"/>
              <w:spacing w:after="0"/>
              <w:rPr>
                <w:sz w:val="20"/>
                <w:szCs w:val="20"/>
                <w:color w:val="auto"/>
              </w:rPr>
            </w:pPr>
            <w:r>
              <w:rPr>
                <w:rFonts w:ascii="Arial" w:cs="Arial" w:eastAsia="Arial" w:hAnsi="Arial"/>
                <w:sz w:val="16"/>
                <w:szCs w:val="16"/>
                <w:color w:val="231F20"/>
              </w:rPr>
              <w:t>150%</w:t>
            </w:r>
          </w:p>
        </w:tc>
      </w:tr>
      <w:tr>
        <w:trPr>
          <w:trHeight w:val="189"/>
        </w:trPr>
        <w:tc>
          <w:tcPr>
            <w:tcW w:w="3540" w:type="dxa"/>
            <w:vAlign w:val="bottom"/>
            <w:shd w:val="clear" w:color="auto" w:fill="F3EDF3"/>
          </w:tcPr>
          <w:p>
            <w:pPr>
              <w:jc w:val="right"/>
              <w:ind w:right="2299"/>
              <w:spacing w:after="0"/>
              <w:rPr>
                <w:sz w:val="20"/>
                <w:szCs w:val="20"/>
                <w:color w:val="auto"/>
              </w:rPr>
            </w:pPr>
            <w:r>
              <w:rPr>
                <w:rFonts w:ascii="Arial" w:cs="Arial" w:eastAsia="Arial" w:hAnsi="Arial"/>
                <w:sz w:val="16"/>
                <w:szCs w:val="16"/>
                <w:color w:val="231F20"/>
              </w:rPr>
              <w:t>100%</w:t>
            </w:r>
          </w:p>
        </w:tc>
        <w:tc>
          <w:tcPr>
            <w:tcW w:w="3300" w:type="dxa"/>
            <w:vAlign w:val="bottom"/>
            <w:shd w:val="clear" w:color="auto" w:fill="F3EDF3"/>
          </w:tcPr>
          <w:p>
            <w:pPr>
              <w:jc w:val="right"/>
              <w:ind w:right="719"/>
              <w:spacing w:after="0"/>
              <w:rPr>
                <w:sz w:val="20"/>
                <w:szCs w:val="20"/>
                <w:color w:val="auto"/>
              </w:rPr>
            </w:pPr>
            <w:r>
              <w:rPr>
                <w:rFonts w:ascii="Arial" w:cs="Arial" w:eastAsia="Arial" w:hAnsi="Arial"/>
                <w:sz w:val="16"/>
                <w:szCs w:val="16"/>
                <w:color w:val="231F20"/>
              </w:rPr>
              <w:t>100%</w:t>
            </w:r>
          </w:p>
        </w:tc>
      </w:tr>
      <w:tr>
        <w:trPr>
          <w:trHeight w:val="189"/>
        </w:trPr>
        <w:tc>
          <w:tcPr>
            <w:tcW w:w="3540" w:type="dxa"/>
            <w:vAlign w:val="bottom"/>
          </w:tcPr>
          <w:p>
            <w:pPr>
              <w:jc w:val="right"/>
              <w:ind w:right="2299"/>
              <w:spacing w:after="0"/>
              <w:rPr>
                <w:sz w:val="20"/>
                <w:szCs w:val="20"/>
                <w:color w:val="auto"/>
              </w:rPr>
            </w:pPr>
            <w:r>
              <w:rPr>
                <w:rFonts w:ascii="Arial" w:cs="Arial" w:eastAsia="Arial" w:hAnsi="Arial"/>
                <w:sz w:val="16"/>
                <w:szCs w:val="16"/>
                <w:color w:val="231F20"/>
              </w:rPr>
              <w:t>60%</w:t>
            </w:r>
          </w:p>
        </w:tc>
        <w:tc>
          <w:tcPr>
            <w:tcW w:w="3300" w:type="dxa"/>
            <w:vAlign w:val="bottom"/>
          </w:tcPr>
          <w:p>
            <w:pPr>
              <w:jc w:val="right"/>
              <w:ind w:right="719"/>
              <w:spacing w:after="0"/>
              <w:rPr>
                <w:sz w:val="20"/>
                <w:szCs w:val="20"/>
                <w:color w:val="auto"/>
              </w:rPr>
            </w:pPr>
            <w:r>
              <w:rPr>
                <w:rFonts w:ascii="Arial" w:cs="Arial" w:eastAsia="Arial" w:hAnsi="Arial"/>
                <w:sz w:val="16"/>
                <w:szCs w:val="16"/>
                <w:color w:val="231F20"/>
              </w:rPr>
              <w:t>20%</w:t>
            </w:r>
          </w:p>
        </w:tc>
      </w:tr>
      <w:tr>
        <w:trPr>
          <w:trHeight w:val="189"/>
        </w:trPr>
        <w:tc>
          <w:tcPr>
            <w:tcW w:w="3540" w:type="dxa"/>
            <w:vAlign w:val="bottom"/>
            <w:tcBorders>
              <w:bottom w:val="single" w:sz="8" w:color="6F2875"/>
            </w:tcBorders>
            <w:shd w:val="clear" w:color="auto" w:fill="F3EDF3"/>
          </w:tcPr>
          <w:p>
            <w:pPr>
              <w:jc w:val="right"/>
              <w:ind w:right="2299"/>
              <w:spacing w:after="0"/>
              <w:rPr>
                <w:sz w:val="20"/>
                <w:szCs w:val="20"/>
                <w:color w:val="auto"/>
              </w:rPr>
            </w:pPr>
            <w:r>
              <w:rPr>
                <w:rFonts w:ascii="Arial" w:cs="Arial" w:eastAsia="Arial" w:hAnsi="Arial"/>
                <w:sz w:val="16"/>
                <w:szCs w:val="16"/>
                <w:color w:val="231F20"/>
              </w:rPr>
              <w:t>&lt;60%</w:t>
            </w:r>
          </w:p>
        </w:tc>
        <w:tc>
          <w:tcPr>
            <w:tcW w:w="3300" w:type="dxa"/>
            <w:vAlign w:val="bottom"/>
            <w:tcBorders>
              <w:bottom w:val="single" w:sz="8" w:color="6F2875"/>
            </w:tcBorders>
            <w:shd w:val="clear" w:color="auto" w:fill="F3EDF3"/>
          </w:tcPr>
          <w:p>
            <w:pPr>
              <w:jc w:val="right"/>
              <w:ind w:right="719"/>
              <w:spacing w:after="0"/>
              <w:rPr>
                <w:sz w:val="20"/>
                <w:szCs w:val="20"/>
                <w:color w:val="auto"/>
              </w:rPr>
            </w:pPr>
            <w:r>
              <w:rPr>
                <w:rFonts w:ascii="Arial" w:cs="Arial" w:eastAsia="Arial" w:hAnsi="Arial"/>
                <w:sz w:val="16"/>
                <w:szCs w:val="16"/>
                <w:color w:val="231F20"/>
              </w:rPr>
              <w:t>0%</w:t>
            </w:r>
          </w:p>
        </w:tc>
      </w:tr>
    </w:tbl>
    <w:p>
      <w:pPr>
        <w:spacing w:after="0" w:line="19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“Adjusted Free Cash Flow” is defined as our reported cash flow from operating activities minus our reported capital expenditures and excludes cash flows associated with restructuring, integration, acquisitions, divestitures, 3-T heater cooler product remediation and significant and unusual litigation.</w:t>
      </w: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Other Benefits and Perquisites</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Our NEOs are provided with certain perquisites and other benefits to aid in the performance of their respective duties and to provide compensation competitive with that of executives with similar positions and levels of responsibilities in their respective geographies. These benefits may include housing allowance, expatriate school fees, car allowances, supplemental life insurance, supplemental health insurance, supplemental pension contributions, meal vouchers, childcare vouchers, gym membership and flexible benefit payments. Some of these are benefits received by all employees and so are not considered to be “perquisites” or “personal benefits” according to SEC rules, and so do not appear in the Summary Compensation Table under All Other Compensation. Finally, some of the NEOs’ benefits are not offered to all other employees (e.g. car allowance) and accordingly are considered “perquisites” or “personal benefits” that are reflected in the Summary Compensation Table under All Other Compensation and separately identified in footnotes as perquisites and other benefits.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FC5D45"/>
        </w:rPr>
        <w:t>Health/Welfare Plans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231F20"/>
        </w:rPr>
        <w:t>All of our full-time US-based employees, including Messrs. Wise and Manko, are eligible to participate in our health and welfare plans, including:</w:t>
      </w:r>
    </w:p>
    <w:p>
      <w:pPr>
        <w:spacing w:after="0" w:line="194" w:lineRule="exact"/>
        <w:rPr>
          <w:sz w:val="20"/>
          <w:szCs w:val="20"/>
          <w:color w:val="auto"/>
        </w:rPr>
      </w:pPr>
    </w:p>
    <w:p>
      <w:pPr>
        <w:ind w:left="240" w:hanging="232"/>
        <w:spacing w:after="0"/>
        <w:tabs>
          <w:tab w:leader="none" w:pos="240" w:val="left"/>
        </w:tabs>
        <w:numPr>
          <w:ilvl w:val="0"/>
          <w:numId w:val="29"/>
        </w:numPr>
        <w:rPr>
          <w:rFonts w:ascii="Arial" w:cs="Arial" w:eastAsia="Arial" w:hAnsi="Arial"/>
          <w:sz w:val="16"/>
          <w:szCs w:val="16"/>
          <w:b w:val="1"/>
          <w:bCs w:val="1"/>
          <w:color w:val="6F2875"/>
        </w:rPr>
      </w:pPr>
      <w:r>
        <w:rPr>
          <w:rFonts w:ascii="Arial" w:cs="Arial" w:eastAsia="Arial" w:hAnsi="Arial"/>
          <w:sz w:val="16"/>
          <w:szCs w:val="16"/>
          <w:color w:val="231F20"/>
        </w:rPr>
        <w:t>medical, dental and vision benefits;</w:t>
      </w:r>
    </w:p>
    <w:p>
      <w:pPr>
        <w:spacing w:after="0" w:line="59" w:lineRule="exact"/>
        <w:rPr>
          <w:rFonts w:ascii="Arial" w:cs="Arial" w:eastAsia="Arial" w:hAnsi="Arial"/>
          <w:sz w:val="16"/>
          <w:szCs w:val="16"/>
          <w:b w:val="1"/>
          <w:bCs w:val="1"/>
          <w:color w:val="6F2875"/>
        </w:rPr>
      </w:pPr>
    </w:p>
    <w:p>
      <w:pPr>
        <w:ind w:left="240" w:hanging="232"/>
        <w:spacing w:after="0"/>
        <w:tabs>
          <w:tab w:leader="none" w:pos="240" w:val="left"/>
        </w:tabs>
        <w:numPr>
          <w:ilvl w:val="0"/>
          <w:numId w:val="29"/>
        </w:numPr>
        <w:rPr>
          <w:rFonts w:ascii="Arial" w:cs="Arial" w:eastAsia="Arial" w:hAnsi="Arial"/>
          <w:sz w:val="16"/>
          <w:szCs w:val="16"/>
          <w:b w:val="1"/>
          <w:bCs w:val="1"/>
          <w:color w:val="6F2875"/>
        </w:rPr>
      </w:pPr>
      <w:r>
        <w:rPr>
          <w:rFonts w:ascii="Arial" w:cs="Arial" w:eastAsia="Arial" w:hAnsi="Arial"/>
          <w:sz w:val="16"/>
          <w:szCs w:val="16"/>
          <w:color w:val="231F20"/>
        </w:rPr>
        <w:t>medical and dependent care flexible spending accounts;</w:t>
      </w:r>
    </w:p>
    <w:p>
      <w:pPr>
        <w:spacing w:after="0" w:line="59" w:lineRule="exact"/>
        <w:rPr>
          <w:rFonts w:ascii="Arial" w:cs="Arial" w:eastAsia="Arial" w:hAnsi="Arial"/>
          <w:sz w:val="16"/>
          <w:szCs w:val="16"/>
          <w:b w:val="1"/>
          <w:bCs w:val="1"/>
          <w:color w:val="6F2875"/>
        </w:rPr>
      </w:pPr>
    </w:p>
    <w:p>
      <w:pPr>
        <w:ind w:left="240" w:hanging="232"/>
        <w:spacing w:after="0"/>
        <w:tabs>
          <w:tab w:leader="none" w:pos="240" w:val="left"/>
        </w:tabs>
        <w:numPr>
          <w:ilvl w:val="0"/>
          <w:numId w:val="29"/>
        </w:numPr>
        <w:rPr>
          <w:rFonts w:ascii="Arial" w:cs="Arial" w:eastAsia="Arial" w:hAnsi="Arial"/>
          <w:sz w:val="16"/>
          <w:szCs w:val="16"/>
          <w:b w:val="1"/>
          <w:bCs w:val="1"/>
          <w:color w:val="6F2875"/>
        </w:rPr>
      </w:pPr>
      <w:r>
        <w:rPr>
          <w:rFonts w:ascii="Arial" w:cs="Arial" w:eastAsia="Arial" w:hAnsi="Arial"/>
          <w:sz w:val="16"/>
          <w:szCs w:val="16"/>
          <w:color w:val="231F20"/>
        </w:rPr>
        <w:t>short-term and long-term disability insurance; and</w:t>
      </w:r>
    </w:p>
    <w:p>
      <w:pPr>
        <w:spacing w:after="0" w:line="59" w:lineRule="exact"/>
        <w:rPr>
          <w:rFonts w:ascii="Arial" w:cs="Arial" w:eastAsia="Arial" w:hAnsi="Arial"/>
          <w:sz w:val="16"/>
          <w:szCs w:val="16"/>
          <w:b w:val="1"/>
          <w:bCs w:val="1"/>
          <w:color w:val="6F2875"/>
        </w:rPr>
      </w:pPr>
    </w:p>
    <w:p>
      <w:pPr>
        <w:ind w:left="240" w:hanging="232"/>
        <w:spacing w:after="0"/>
        <w:tabs>
          <w:tab w:leader="none" w:pos="240" w:val="left"/>
        </w:tabs>
        <w:numPr>
          <w:ilvl w:val="0"/>
          <w:numId w:val="29"/>
        </w:numPr>
        <w:rPr>
          <w:rFonts w:ascii="Arial" w:cs="Arial" w:eastAsia="Arial" w:hAnsi="Arial"/>
          <w:sz w:val="16"/>
          <w:szCs w:val="16"/>
          <w:b w:val="1"/>
          <w:bCs w:val="1"/>
          <w:color w:val="6F2875"/>
        </w:rPr>
      </w:pPr>
      <w:r>
        <w:rPr>
          <w:rFonts w:ascii="Arial" w:cs="Arial" w:eastAsia="Arial" w:hAnsi="Arial"/>
          <w:sz w:val="16"/>
          <w:szCs w:val="16"/>
          <w:color w:val="231F20"/>
        </w:rPr>
        <w:t>group term life insurance.</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Outside the US, our employees are generally covered by a state-run health plan and may be eligible to participate in a supplemental health plan, depending on their geography and position in the company. Our NEOs based in the United Kingdom - Ms. Skeffington and Messrs. McDonald, Huston and Sehgal - each are eligible to receive Company-paid supplemental private health insurance, group term life insurance, disability insurance, and a gym membership.</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231F20"/>
        </w:rPr>
        <w:t>Mr. Sheridan, based in Italy, had supplemental health and life insurance and a gym membership.</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Compensation Committee Interlocks</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During the year ended December 31, 2017, the Compensation Committee was composed of Arthur L. Rosenthal (Chairman), Francesco Bianchi and Alfred J. Novak. No member of the Compensation Committee is now, or at any time has been, employed by or served as an executive officer of LivaNova or any of its subsidiaries, or has had any substantial business dealings with LivaNova or any of its subsidiaries. None of our executive officers currently serves or served in the year ended December 31, 2017 on the board of directors or compensation committee of another company at any time during which an executive officer of such other company served on our Board or Compensation Committee.</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Compensation Committee Report</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Set out above is the Compensation Discussion and Analysis, which is a discussion of our executive compensation programs and policies written from the perspective of how we and management view and use the programs and policies. Given the Compensation Committee’s role in providing oversight to the design of those programs and policies, and in making specific compensation decisions for senior executives using those policies and programs, the Compensation Committee participated in the preparation of the Compensation Discussion and Analysis, reviewing successive drafts of the document and discussing those with management. The Compensation Committee recommended to the Board that the Compensation Discussion and Analysis be included in this proxy statement. We join with management in welcoming shareholders to examine our pay practices and in affirming the commitment of these pay practices to the long-term interests of shareholders. The Compensation Committee has reviewed and discussed the disclosure set forth above under the heading “Compensation Discussion and Analysis” with management and, based on the review and discussions, it has recommended to the Board that the “Compensation Discussion and Analysis” be included in our proxy statement for the year ended December 31, 2017.</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231F20"/>
        </w:rPr>
        <w:t>Francesco Bianchi</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231F20"/>
        </w:rPr>
        <w:t>Alfred Novak</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231F20"/>
        </w:rPr>
        <w:t>Arthur Rosenthal, Ph.D. (chair)</w:t>
      </w:r>
    </w:p>
    <w:p>
      <w:pPr>
        <w:spacing w:after="0" w:line="188" w:lineRule="exact"/>
        <w:rPr>
          <w:sz w:val="20"/>
          <w:szCs w:val="20"/>
          <w:color w:val="auto"/>
        </w:rPr>
      </w:pPr>
    </w:p>
    <w:p>
      <w:pPr>
        <w:spacing w:after="0"/>
        <w:tabs>
          <w:tab w:leader="none" w:pos="4220" w:val="left"/>
          <w:tab w:leader="none" w:pos="9960"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r>
        <w:rPr>
          <w:sz w:val="20"/>
          <w:szCs w:val="20"/>
          <w:color w:val="auto"/>
        </w:rPr>
        <w:tab/>
      </w:r>
      <w:r>
        <w:rPr>
          <w:rFonts w:ascii="Arial" w:cs="Arial" w:eastAsia="Arial" w:hAnsi="Arial"/>
          <w:sz w:val="16"/>
          <w:szCs w:val="16"/>
          <w:b w:val="1"/>
          <w:bCs w:val="1"/>
          <w:color w:val="6F2875"/>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-36195</wp:posOffset>
            </wp:positionV>
            <wp:extent cx="1663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-36195</wp:posOffset>
            </wp:positionV>
            <wp:extent cx="23241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Compensation of Executive Officers and Directors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Our Named Executive Officers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60" w:type="dxa"/>
            <w:vAlign w:val="bottom"/>
          </w:tcPr>
          <w:p>
            <w:pPr>
              <w:spacing w:after="0"/>
              <w:rPr>
                <w:sz w:val="16"/>
                <w:szCs w:val="16"/>
                <w:color w:val="auto"/>
              </w:rPr>
            </w:pPr>
          </w:p>
        </w:tc>
        <w:tc>
          <w:tcPr>
            <w:tcW w:w="2040" w:type="dxa"/>
            <w:vAlign w:val="bottom"/>
          </w:tcPr>
          <w:p>
            <w:pPr>
              <w:jc w:val="center"/>
              <w:ind w:left="599"/>
              <w:spacing w:after="0"/>
              <w:rPr>
                <w:sz w:val="20"/>
                <w:szCs w:val="20"/>
                <w:color w:val="auto"/>
              </w:rPr>
            </w:pPr>
            <w:r>
              <w:rPr>
                <w:rFonts w:ascii="Arial" w:cs="Arial" w:eastAsia="Arial" w:hAnsi="Arial"/>
                <w:sz w:val="16"/>
                <w:szCs w:val="16"/>
                <w:b w:val="1"/>
                <w:bCs w:val="1"/>
                <w:color w:val="6F2875"/>
                <w:w w:val="98"/>
              </w:rPr>
              <w:t>Age at</w:t>
            </w:r>
          </w:p>
        </w:tc>
        <w:tc>
          <w:tcPr>
            <w:tcW w:w="7020" w:type="dxa"/>
            <w:vAlign w:val="bottom"/>
          </w:tcPr>
          <w:p>
            <w:pPr>
              <w:spacing w:after="0"/>
              <w:rPr>
                <w:sz w:val="16"/>
                <w:szCs w:val="16"/>
                <w:color w:val="auto"/>
              </w:rPr>
            </w:pPr>
          </w:p>
        </w:tc>
      </w:tr>
      <w:tr>
        <w:trPr>
          <w:trHeight w:val="207"/>
        </w:trPr>
        <w:tc>
          <w:tcPr>
            <w:tcW w:w="2360" w:type="dxa"/>
            <w:vAlign w:val="bottom"/>
            <w:tcBorders>
              <w:bottom w:val="single" w:sz="8" w:color="6F2875"/>
            </w:tcBorders>
          </w:tcPr>
          <w:p>
            <w:pPr>
              <w:ind w:left="60"/>
              <w:spacing w:after="0"/>
              <w:rPr>
                <w:sz w:val="20"/>
                <w:szCs w:val="20"/>
                <w:color w:val="auto"/>
              </w:rPr>
            </w:pPr>
            <w:r>
              <w:rPr>
                <w:rFonts w:ascii="Arial" w:cs="Arial" w:eastAsia="Arial" w:hAnsi="Arial"/>
                <w:sz w:val="16"/>
                <w:szCs w:val="16"/>
                <w:b w:val="1"/>
                <w:bCs w:val="1"/>
                <w:color w:val="6F2875"/>
              </w:rPr>
              <w:t>Name</w:t>
            </w:r>
          </w:p>
        </w:tc>
        <w:tc>
          <w:tcPr>
            <w:tcW w:w="2040" w:type="dxa"/>
            <w:vAlign w:val="bottom"/>
            <w:tcBorders>
              <w:bottom w:val="single" w:sz="8" w:color="6F2875"/>
            </w:tcBorders>
          </w:tcPr>
          <w:p>
            <w:pPr>
              <w:jc w:val="center"/>
              <w:ind w:left="599"/>
              <w:spacing w:after="0"/>
              <w:rPr>
                <w:sz w:val="20"/>
                <w:szCs w:val="20"/>
                <w:color w:val="auto"/>
              </w:rPr>
            </w:pPr>
            <w:r>
              <w:rPr>
                <w:rFonts w:ascii="Arial" w:cs="Arial" w:eastAsia="Arial" w:hAnsi="Arial"/>
                <w:sz w:val="16"/>
                <w:szCs w:val="16"/>
                <w:b w:val="1"/>
                <w:bCs w:val="1"/>
                <w:color w:val="6F2875"/>
              </w:rPr>
              <w:t>30 April 2018</w:t>
            </w:r>
          </w:p>
        </w:tc>
        <w:tc>
          <w:tcPr>
            <w:tcW w:w="7020" w:type="dxa"/>
            <w:vAlign w:val="bottom"/>
            <w:tcBorders>
              <w:bottom w:val="single" w:sz="8" w:color="6F2875"/>
            </w:tcBorders>
          </w:tcPr>
          <w:p>
            <w:pPr>
              <w:ind w:left="180"/>
              <w:spacing w:after="0"/>
              <w:rPr>
                <w:sz w:val="20"/>
                <w:szCs w:val="20"/>
                <w:color w:val="auto"/>
              </w:rPr>
            </w:pPr>
            <w:r>
              <w:rPr>
                <w:rFonts w:ascii="Arial" w:cs="Arial" w:eastAsia="Arial" w:hAnsi="Arial"/>
                <w:sz w:val="16"/>
                <w:szCs w:val="16"/>
                <w:b w:val="1"/>
                <w:bCs w:val="1"/>
                <w:color w:val="6F2875"/>
              </w:rPr>
              <w:t>Position</w:t>
            </w:r>
          </w:p>
        </w:tc>
      </w:tr>
      <w:tr>
        <w:trPr>
          <w:trHeight w:val="183"/>
        </w:trPr>
        <w:tc>
          <w:tcPr>
            <w:tcW w:w="2360" w:type="dxa"/>
            <w:vAlign w:val="bottom"/>
            <w:tcBorders>
              <w:bottom w:val="single" w:sz="8" w:color="A3A4A8"/>
            </w:tcBorders>
          </w:tcPr>
          <w:p>
            <w:pPr>
              <w:ind w:left="60"/>
              <w:spacing w:after="0" w:line="183" w:lineRule="exact"/>
              <w:rPr>
                <w:sz w:val="20"/>
                <w:szCs w:val="20"/>
                <w:color w:val="auto"/>
              </w:rPr>
            </w:pPr>
            <w:r>
              <w:rPr>
                <w:rFonts w:ascii="Arial" w:cs="Arial" w:eastAsia="Arial" w:hAnsi="Arial"/>
                <w:sz w:val="16"/>
                <w:szCs w:val="16"/>
                <w:b w:val="1"/>
                <w:bCs w:val="1"/>
                <w:color w:val="auto"/>
              </w:rPr>
              <w:t>Thad Huston</w:t>
            </w:r>
          </w:p>
        </w:tc>
        <w:tc>
          <w:tcPr>
            <w:tcW w:w="2040" w:type="dxa"/>
            <w:vAlign w:val="bottom"/>
            <w:tcBorders>
              <w:bottom w:val="single" w:sz="8" w:color="A3A4A8"/>
            </w:tcBorders>
          </w:tcPr>
          <w:p>
            <w:pPr>
              <w:jc w:val="center"/>
              <w:ind w:left="619"/>
              <w:spacing w:after="0" w:line="183" w:lineRule="exact"/>
              <w:rPr>
                <w:sz w:val="20"/>
                <w:szCs w:val="20"/>
                <w:color w:val="auto"/>
              </w:rPr>
            </w:pPr>
            <w:r>
              <w:rPr>
                <w:rFonts w:ascii="Arial" w:cs="Arial" w:eastAsia="Arial" w:hAnsi="Arial"/>
                <w:sz w:val="16"/>
                <w:szCs w:val="16"/>
                <w:color w:val="auto"/>
              </w:rPr>
              <w:t>48</w:t>
            </w:r>
          </w:p>
        </w:tc>
        <w:tc>
          <w:tcPr>
            <w:tcW w:w="7020" w:type="dxa"/>
            <w:vAlign w:val="bottom"/>
            <w:tcBorders>
              <w:bottom w:val="single" w:sz="8" w:color="A3A4A8"/>
            </w:tcBorders>
          </w:tcPr>
          <w:p>
            <w:pPr>
              <w:ind w:left="180"/>
              <w:spacing w:after="0" w:line="183" w:lineRule="exact"/>
              <w:rPr>
                <w:sz w:val="20"/>
                <w:szCs w:val="20"/>
                <w:color w:val="auto"/>
              </w:rPr>
            </w:pPr>
            <w:r>
              <w:rPr>
                <w:rFonts w:ascii="Arial" w:cs="Arial" w:eastAsia="Arial" w:hAnsi="Arial"/>
                <w:sz w:val="16"/>
                <w:szCs w:val="16"/>
                <w:color w:val="auto"/>
              </w:rPr>
              <w:t>Chief Financial Officer</w:t>
            </w:r>
          </w:p>
        </w:tc>
      </w:tr>
      <w:tr>
        <w:trPr>
          <w:trHeight w:val="183"/>
        </w:trPr>
        <w:tc>
          <w:tcPr>
            <w:tcW w:w="2360" w:type="dxa"/>
            <w:vAlign w:val="bottom"/>
            <w:tcBorders>
              <w:bottom w:val="single" w:sz="8" w:color="A3A4A8"/>
            </w:tcBorders>
            <w:shd w:val="clear" w:color="auto" w:fill="F3EDF3"/>
          </w:tcPr>
          <w:p>
            <w:pPr>
              <w:ind w:left="60"/>
              <w:spacing w:after="0" w:line="183" w:lineRule="exact"/>
              <w:rPr>
                <w:sz w:val="20"/>
                <w:szCs w:val="20"/>
                <w:color w:val="auto"/>
              </w:rPr>
            </w:pPr>
            <w:r>
              <w:rPr>
                <w:rFonts w:ascii="Arial" w:cs="Arial" w:eastAsia="Arial" w:hAnsi="Arial"/>
                <w:sz w:val="16"/>
                <w:szCs w:val="16"/>
                <w:b w:val="1"/>
                <w:bCs w:val="1"/>
                <w:color w:val="auto"/>
              </w:rPr>
              <w:t>Douglas Manko</w:t>
            </w:r>
          </w:p>
        </w:tc>
        <w:tc>
          <w:tcPr>
            <w:tcW w:w="2040" w:type="dxa"/>
            <w:vAlign w:val="bottom"/>
            <w:tcBorders>
              <w:bottom w:val="single" w:sz="8" w:color="A3A4A8"/>
            </w:tcBorders>
            <w:shd w:val="clear" w:color="auto" w:fill="F3EDF3"/>
          </w:tcPr>
          <w:p>
            <w:pPr>
              <w:jc w:val="center"/>
              <w:ind w:left="619"/>
              <w:spacing w:after="0" w:line="183" w:lineRule="exact"/>
              <w:rPr>
                <w:sz w:val="20"/>
                <w:szCs w:val="20"/>
                <w:color w:val="auto"/>
              </w:rPr>
            </w:pPr>
            <w:r>
              <w:rPr>
                <w:rFonts w:ascii="Arial" w:cs="Arial" w:eastAsia="Arial" w:hAnsi="Arial"/>
                <w:sz w:val="16"/>
                <w:szCs w:val="16"/>
                <w:color w:val="auto"/>
              </w:rPr>
              <w:t>44</w:t>
            </w:r>
          </w:p>
        </w:tc>
        <w:tc>
          <w:tcPr>
            <w:tcW w:w="7020" w:type="dxa"/>
            <w:vAlign w:val="bottom"/>
            <w:tcBorders>
              <w:bottom w:val="single" w:sz="8" w:color="A3A4A8"/>
            </w:tcBorders>
            <w:shd w:val="clear" w:color="auto" w:fill="F3EDF3"/>
          </w:tcPr>
          <w:p>
            <w:pPr>
              <w:ind w:left="180"/>
              <w:spacing w:after="0" w:line="183" w:lineRule="exact"/>
              <w:rPr>
                <w:sz w:val="20"/>
                <w:szCs w:val="20"/>
                <w:color w:val="auto"/>
              </w:rPr>
            </w:pPr>
            <w:r>
              <w:rPr>
                <w:rFonts w:ascii="Arial" w:cs="Arial" w:eastAsia="Arial" w:hAnsi="Arial"/>
                <w:sz w:val="16"/>
                <w:szCs w:val="16"/>
                <w:color w:val="auto"/>
              </w:rPr>
              <w:t>Chief Accounting Officer</w:t>
            </w:r>
          </w:p>
        </w:tc>
      </w:tr>
      <w:tr>
        <w:trPr>
          <w:trHeight w:val="183"/>
        </w:trPr>
        <w:tc>
          <w:tcPr>
            <w:tcW w:w="2360" w:type="dxa"/>
            <w:vAlign w:val="bottom"/>
            <w:tcBorders>
              <w:bottom w:val="single" w:sz="8" w:color="A3A4A8"/>
            </w:tcBorders>
          </w:tcPr>
          <w:p>
            <w:pPr>
              <w:ind w:left="60"/>
              <w:spacing w:after="0" w:line="183" w:lineRule="exact"/>
              <w:rPr>
                <w:sz w:val="20"/>
                <w:szCs w:val="20"/>
                <w:color w:val="auto"/>
              </w:rPr>
            </w:pPr>
            <w:r>
              <w:rPr>
                <w:rFonts w:ascii="Arial" w:cs="Arial" w:eastAsia="Arial" w:hAnsi="Arial"/>
                <w:sz w:val="16"/>
                <w:szCs w:val="16"/>
                <w:b w:val="1"/>
                <w:bCs w:val="1"/>
                <w:color w:val="auto"/>
              </w:rPr>
              <w:t>Damien McDonald</w:t>
            </w:r>
          </w:p>
        </w:tc>
        <w:tc>
          <w:tcPr>
            <w:tcW w:w="2040" w:type="dxa"/>
            <w:vAlign w:val="bottom"/>
            <w:tcBorders>
              <w:bottom w:val="single" w:sz="8" w:color="A3A4A8"/>
            </w:tcBorders>
          </w:tcPr>
          <w:p>
            <w:pPr>
              <w:jc w:val="center"/>
              <w:ind w:left="619"/>
              <w:spacing w:after="0" w:line="183" w:lineRule="exact"/>
              <w:rPr>
                <w:sz w:val="20"/>
                <w:szCs w:val="20"/>
                <w:color w:val="auto"/>
              </w:rPr>
            </w:pPr>
            <w:r>
              <w:rPr>
                <w:rFonts w:ascii="Arial" w:cs="Arial" w:eastAsia="Arial" w:hAnsi="Arial"/>
                <w:sz w:val="16"/>
                <w:szCs w:val="16"/>
                <w:color w:val="auto"/>
              </w:rPr>
              <w:t>53</w:t>
            </w:r>
          </w:p>
        </w:tc>
        <w:tc>
          <w:tcPr>
            <w:tcW w:w="7020" w:type="dxa"/>
            <w:vAlign w:val="bottom"/>
            <w:tcBorders>
              <w:bottom w:val="single" w:sz="8" w:color="A3A4A8"/>
            </w:tcBorders>
          </w:tcPr>
          <w:p>
            <w:pPr>
              <w:ind w:left="180"/>
              <w:spacing w:after="0" w:line="183" w:lineRule="exact"/>
              <w:rPr>
                <w:sz w:val="20"/>
                <w:szCs w:val="20"/>
                <w:color w:val="auto"/>
              </w:rPr>
            </w:pPr>
            <w:r>
              <w:rPr>
                <w:rFonts w:ascii="Arial" w:cs="Arial" w:eastAsia="Arial" w:hAnsi="Arial"/>
                <w:sz w:val="16"/>
                <w:szCs w:val="16"/>
                <w:color w:val="auto"/>
              </w:rPr>
              <w:t>Chief Executive Officer</w:t>
            </w:r>
          </w:p>
        </w:tc>
      </w:tr>
      <w:tr>
        <w:trPr>
          <w:trHeight w:val="183"/>
        </w:trPr>
        <w:tc>
          <w:tcPr>
            <w:tcW w:w="2360" w:type="dxa"/>
            <w:vAlign w:val="bottom"/>
            <w:tcBorders>
              <w:bottom w:val="single" w:sz="8" w:color="A3A4A8"/>
            </w:tcBorders>
            <w:shd w:val="clear" w:color="auto" w:fill="F3EDF3"/>
          </w:tcPr>
          <w:p>
            <w:pPr>
              <w:ind w:left="60"/>
              <w:spacing w:after="0" w:line="183" w:lineRule="exact"/>
              <w:rPr>
                <w:sz w:val="20"/>
                <w:szCs w:val="20"/>
                <w:color w:val="auto"/>
              </w:rPr>
            </w:pPr>
            <w:r>
              <w:rPr>
                <w:rFonts w:ascii="Arial" w:cs="Arial" w:eastAsia="Arial" w:hAnsi="Arial"/>
                <w:sz w:val="16"/>
                <w:szCs w:val="16"/>
                <w:b w:val="1"/>
                <w:bCs w:val="1"/>
                <w:color w:val="auto"/>
              </w:rPr>
              <w:t>Vivid Sehgal</w:t>
            </w:r>
          </w:p>
        </w:tc>
        <w:tc>
          <w:tcPr>
            <w:tcW w:w="2040" w:type="dxa"/>
            <w:vAlign w:val="bottom"/>
            <w:tcBorders>
              <w:bottom w:val="single" w:sz="8" w:color="A3A4A8"/>
            </w:tcBorders>
            <w:shd w:val="clear" w:color="auto" w:fill="F3EDF3"/>
          </w:tcPr>
          <w:p>
            <w:pPr>
              <w:jc w:val="center"/>
              <w:ind w:left="619"/>
              <w:spacing w:after="0" w:line="183" w:lineRule="exact"/>
              <w:rPr>
                <w:sz w:val="20"/>
                <w:szCs w:val="20"/>
                <w:color w:val="auto"/>
              </w:rPr>
            </w:pPr>
            <w:r>
              <w:rPr>
                <w:rFonts w:ascii="Arial" w:cs="Arial" w:eastAsia="Arial" w:hAnsi="Arial"/>
                <w:sz w:val="16"/>
                <w:szCs w:val="16"/>
                <w:color w:val="auto"/>
              </w:rPr>
              <w:t>49</w:t>
            </w:r>
          </w:p>
        </w:tc>
        <w:tc>
          <w:tcPr>
            <w:tcW w:w="7020" w:type="dxa"/>
            <w:vAlign w:val="bottom"/>
            <w:tcBorders>
              <w:bottom w:val="single" w:sz="8" w:color="A3A4A8"/>
            </w:tcBorders>
            <w:shd w:val="clear" w:color="auto" w:fill="F3EDF3"/>
          </w:tcPr>
          <w:p>
            <w:pPr>
              <w:ind w:left="180"/>
              <w:spacing w:after="0" w:line="183" w:lineRule="exact"/>
              <w:rPr>
                <w:sz w:val="20"/>
                <w:szCs w:val="20"/>
                <w:color w:val="auto"/>
              </w:rPr>
            </w:pPr>
            <w:r>
              <w:rPr>
                <w:rFonts w:ascii="Arial" w:cs="Arial" w:eastAsia="Arial" w:hAnsi="Arial"/>
                <w:sz w:val="16"/>
                <w:szCs w:val="16"/>
                <w:color w:val="auto"/>
              </w:rPr>
              <w:t>Former Chief Financial Officer</w:t>
            </w:r>
          </w:p>
        </w:tc>
      </w:tr>
      <w:tr>
        <w:trPr>
          <w:trHeight w:val="183"/>
        </w:trPr>
        <w:tc>
          <w:tcPr>
            <w:tcW w:w="2360" w:type="dxa"/>
            <w:vAlign w:val="bottom"/>
            <w:tcBorders>
              <w:bottom w:val="single" w:sz="8" w:color="A3A4A8"/>
            </w:tcBorders>
          </w:tcPr>
          <w:p>
            <w:pPr>
              <w:ind w:left="60"/>
              <w:spacing w:after="0" w:line="183" w:lineRule="exact"/>
              <w:rPr>
                <w:sz w:val="20"/>
                <w:szCs w:val="20"/>
                <w:color w:val="auto"/>
              </w:rPr>
            </w:pPr>
            <w:r>
              <w:rPr>
                <w:rFonts w:ascii="Arial" w:cs="Arial" w:eastAsia="Arial" w:hAnsi="Arial"/>
                <w:sz w:val="16"/>
                <w:szCs w:val="16"/>
                <w:b w:val="1"/>
                <w:bCs w:val="1"/>
                <w:color w:val="auto"/>
              </w:rPr>
              <w:t>Brian Sheridan</w:t>
            </w:r>
          </w:p>
        </w:tc>
        <w:tc>
          <w:tcPr>
            <w:tcW w:w="2040" w:type="dxa"/>
            <w:vAlign w:val="bottom"/>
            <w:tcBorders>
              <w:bottom w:val="single" w:sz="8" w:color="A3A4A8"/>
            </w:tcBorders>
          </w:tcPr>
          <w:p>
            <w:pPr>
              <w:jc w:val="center"/>
              <w:ind w:left="619"/>
              <w:spacing w:after="0" w:line="183" w:lineRule="exact"/>
              <w:rPr>
                <w:sz w:val="20"/>
                <w:szCs w:val="20"/>
                <w:color w:val="auto"/>
              </w:rPr>
            </w:pPr>
            <w:r>
              <w:rPr>
                <w:rFonts w:ascii="Arial" w:cs="Arial" w:eastAsia="Arial" w:hAnsi="Arial"/>
                <w:sz w:val="16"/>
                <w:szCs w:val="16"/>
                <w:color w:val="auto"/>
              </w:rPr>
              <w:t>47</w:t>
            </w:r>
          </w:p>
        </w:tc>
        <w:tc>
          <w:tcPr>
            <w:tcW w:w="7020" w:type="dxa"/>
            <w:vAlign w:val="bottom"/>
            <w:tcBorders>
              <w:bottom w:val="single" w:sz="8" w:color="A3A4A8"/>
            </w:tcBorders>
          </w:tcPr>
          <w:p>
            <w:pPr>
              <w:ind w:left="180"/>
              <w:spacing w:after="0" w:line="183" w:lineRule="exact"/>
              <w:rPr>
                <w:sz w:val="20"/>
                <w:szCs w:val="20"/>
                <w:color w:val="auto"/>
              </w:rPr>
            </w:pPr>
            <w:r>
              <w:rPr>
                <w:rFonts w:ascii="Arial" w:cs="Arial" w:eastAsia="Arial" w:hAnsi="Arial"/>
                <w:sz w:val="16"/>
                <w:szCs w:val="16"/>
                <w:color w:val="auto"/>
              </w:rPr>
              <w:t>Consultant (Previously: Senior Vice President, General Counsel &amp; Company Secretary)</w:t>
            </w:r>
          </w:p>
        </w:tc>
      </w:tr>
      <w:tr>
        <w:trPr>
          <w:trHeight w:val="183"/>
        </w:trPr>
        <w:tc>
          <w:tcPr>
            <w:tcW w:w="2360" w:type="dxa"/>
            <w:vAlign w:val="bottom"/>
            <w:tcBorders>
              <w:bottom w:val="single" w:sz="8" w:color="A3A4A8"/>
            </w:tcBorders>
            <w:shd w:val="clear" w:color="auto" w:fill="F3EDF3"/>
          </w:tcPr>
          <w:p>
            <w:pPr>
              <w:ind w:left="60"/>
              <w:spacing w:after="0" w:line="183" w:lineRule="exact"/>
              <w:rPr>
                <w:sz w:val="20"/>
                <w:szCs w:val="20"/>
                <w:color w:val="auto"/>
              </w:rPr>
            </w:pPr>
            <w:r>
              <w:rPr>
                <w:rFonts w:ascii="Arial" w:cs="Arial" w:eastAsia="Arial" w:hAnsi="Arial"/>
                <w:sz w:val="16"/>
                <w:szCs w:val="16"/>
                <w:b w:val="1"/>
                <w:bCs w:val="1"/>
                <w:color w:val="auto"/>
              </w:rPr>
              <w:t>Keyna Skeffington</w:t>
            </w:r>
          </w:p>
        </w:tc>
        <w:tc>
          <w:tcPr>
            <w:tcW w:w="2040" w:type="dxa"/>
            <w:vAlign w:val="bottom"/>
            <w:tcBorders>
              <w:bottom w:val="single" w:sz="8" w:color="A3A4A8"/>
            </w:tcBorders>
            <w:shd w:val="clear" w:color="auto" w:fill="F3EDF3"/>
          </w:tcPr>
          <w:p>
            <w:pPr>
              <w:jc w:val="center"/>
              <w:ind w:left="619"/>
              <w:spacing w:after="0" w:line="183" w:lineRule="exact"/>
              <w:rPr>
                <w:sz w:val="20"/>
                <w:szCs w:val="20"/>
                <w:color w:val="auto"/>
              </w:rPr>
            </w:pPr>
            <w:r>
              <w:rPr>
                <w:rFonts w:ascii="Arial" w:cs="Arial" w:eastAsia="Arial" w:hAnsi="Arial"/>
                <w:sz w:val="16"/>
                <w:szCs w:val="16"/>
                <w:color w:val="auto"/>
              </w:rPr>
              <w:t>56</w:t>
            </w:r>
          </w:p>
        </w:tc>
        <w:tc>
          <w:tcPr>
            <w:tcW w:w="7020" w:type="dxa"/>
            <w:vAlign w:val="bottom"/>
            <w:tcBorders>
              <w:bottom w:val="single" w:sz="8" w:color="A3A4A8"/>
            </w:tcBorders>
            <w:shd w:val="clear" w:color="auto" w:fill="F3EDF3"/>
          </w:tcPr>
          <w:p>
            <w:pPr>
              <w:ind w:left="180"/>
              <w:spacing w:after="0" w:line="183" w:lineRule="exact"/>
              <w:rPr>
                <w:sz w:val="20"/>
                <w:szCs w:val="20"/>
                <w:color w:val="auto"/>
              </w:rPr>
            </w:pPr>
            <w:r>
              <w:rPr>
                <w:rFonts w:ascii="Arial" w:cs="Arial" w:eastAsia="Arial" w:hAnsi="Arial"/>
                <w:sz w:val="16"/>
                <w:szCs w:val="16"/>
                <w:color w:val="auto"/>
              </w:rPr>
              <w:t>General Counsel</w:t>
            </w:r>
          </w:p>
        </w:tc>
      </w:tr>
      <w:tr>
        <w:trPr>
          <w:trHeight w:val="183"/>
        </w:trPr>
        <w:tc>
          <w:tcPr>
            <w:tcW w:w="2360" w:type="dxa"/>
            <w:vAlign w:val="bottom"/>
            <w:tcBorders>
              <w:bottom w:val="single" w:sz="8" w:color="6F2875"/>
            </w:tcBorders>
          </w:tcPr>
          <w:p>
            <w:pPr>
              <w:ind w:left="60"/>
              <w:spacing w:after="0" w:line="183" w:lineRule="exact"/>
              <w:rPr>
                <w:sz w:val="20"/>
                <w:szCs w:val="20"/>
                <w:color w:val="auto"/>
              </w:rPr>
            </w:pPr>
            <w:r>
              <w:rPr>
                <w:rFonts w:ascii="Arial" w:cs="Arial" w:eastAsia="Arial" w:hAnsi="Arial"/>
                <w:sz w:val="16"/>
                <w:szCs w:val="16"/>
                <w:b w:val="1"/>
                <w:bCs w:val="1"/>
                <w:color w:val="auto"/>
              </w:rPr>
              <w:t>David S. Wise</w:t>
            </w:r>
          </w:p>
        </w:tc>
        <w:tc>
          <w:tcPr>
            <w:tcW w:w="2040" w:type="dxa"/>
            <w:vAlign w:val="bottom"/>
            <w:tcBorders>
              <w:bottom w:val="single" w:sz="8" w:color="6F2875"/>
            </w:tcBorders>
          </w:tcPr>
          <w:p>
            <w:pPr>
              <w:jc w:val="center"/>
              <w:ind w:left="619"/>
              <w:spacing w:after="0" w:line="183" w:lineRule="exact"/>
              <w:rPr>
                <w:sz w:val="20"/>
                <w:szCs w:val="20"/>
                <w:color w:val="auto"/>
              </w:rPr>
            </w:pPr>
            <w:r>
              <w:rPr>
                <w:rFonts w:ascii="Arial" w:cs="Arial" w:eastAsia="Arial" w:hAnsi="Arial"/>
                <w:sz w:val="16"/>
                <w:szCs w:val="16"/>
                <w:color w:val="auto"/>
              </w:rPr>
              <w:t>63</w:t>
            </w:r>
          </w:p>
        </w:tc>
        <w:tc>
          <w:tcPr>
            <w:tcW w:w="7020" w:type="dxa"/>
            <w:vAlign w:val="bottom"/>
            <w:tcBorders>
              <w:bottom w:val="single" w:sz="8" w:color="6F2875"/>
            </w:tcBorders>
          </w:tcPr>
          <w:p>
            <w:pPr>
              <w:ind w:left="180"/>
              <w:spacing w:after="0" w:line="183" w:lineRule="exact"/>
              <w:rPr>
                <w:sz w:val="20"/>
                <w:szCs w:val="20"/>
                <w:color w:val="auto"/>
              </w:rPr>
            </w:pPr>
            <w:r>
              <w:rPr>
                <w:rFonts w:ascii="Arial" w:cs="Arial" w:eastAsia="Arial" w:hAnsi="Arial"/>
                <w:sz w:val="16"/>
                <w:szCs w:val="16"/>
                <w:color w:val="auto"/>
              </w:rPr>
              <w:t>Chief Administrative Officer</w:t>
            </w:r>
          </w:p>
        </w:tc>
      </w:tr>
    </w:tbl>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231F20"/>
        </w:rPr>
        <w:t xml:space="preserve">Thad Huston </w:t>
      </w:r>
      <w:r>
        <w:rPr>
          <w:rFonts w:ascii="Arial" w:cs="Arial" w:eastAsia="Arial" w:hAnsi="Arial"/>
          <w:sz w:val="16"/>
          <w:szCs w:val="16"/>
          <w:color w:val="231F20"/>
        </w:rPr>
        <w:t>joined LivaNova in May 2017 as Chief Financial Officer. Previously, from 2013 to 2017, Mr. Huston served as Group Chief Financial Officer,</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Medical Devices &amp; Global Surgery Group at Johnson &amp; Johnson. From 2010 to 2013, Mr. Huston served as President of Johnson &amp; Johnson’s Xian-Janssen Pharmaceuticals division in China. Prior to this, Mr. Huston served as Vice President Finance, Chief Financial Officer and Chief Operations Officer in Johnson &amp; Johnson’s Pharmaceutical Research and Development division and as Vice President, Finance and Chief Financial Officer at Ortho-McNeil Pharmaceuticals. Prior to this, he held senior financial roles at various Johnson &amp; Johnson locations in the US, China, Belgium, Russia and Hungary. Mr. Huston holds a bachelor’s degree in finance from Pennsylvania State University. He is a Certified Management Accountant.</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231F20"/>
        </w:rPr>
        <w:t xml:space="preserve">Douglas Manko </w:t>
      </w:r>
      <w:r>
        <w:rPr>
          <w:rFonts w:ascii="Arial" w:cs="Arial" w:eastAsia="Arial" w:hAnsi="Arial"/>
          <w:sz w:val="16"/>
          <w:szCs w:val="16"/>
          <w:color w:val="231F20"/>
        </w:rPr>
        <w:t>joined LivaNova in July 2016 as Chief Accounting Officer and an executive officer. Prior to joining LivaNova, Mr. Manko held several senior</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roles at Ensco Plc, a company organized under the laws of England and Wales. From 2014 to 2015, Mr. Manko served as Ensco’s Vice President and Treasurer. Prior to that, starting in 2012, he was Vice President, Finance, and from 2008 to 2012 he was that company’s corporate controller. From 2004 until 2008, he held positions in management systems and public reporting. From 1996 to 2004, Mr. Manko served in various capacities as an employee of the public accounting firm of Ernst and Young LLP. Mr. Manko holds a bachelor of arts degree in business administration from Baldwin-Wallace University. He obtained his Certified Public Accountant accreditation in Ohio in 1999.</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 xml:space="preserve">Damien McDonald’s </w:t>
      </w:r>
      <w:r>
        <w:rPr>
          <w:rFonts w:ascii="Arial" w:cs="Arial" w:eastAsia="Arial" w:hAnsi="Arial"/>
          <w:sz w:val="16"/>
          <w:szCs w:val="16"/>
          <w:color w:val="231F20"/>
        </w:rPr>
        <w:t>biographical information is set forth under “</w:t>
      </w:r>
      <w:r>
        <w:rPr>
          <w:rFonts w:ascii="Arial" w:cs="Arial" w:eastAsia="Arial" w:hAnsi="Arial"/>
          <w:sz w:val="16"/>
          <w:szCs w:val="16"/>
          <w:i w:val="1"/>
          <w:iCs w:val="1"/>
          <w:color w:val="231F20"/>
        </w:rPr>
        <w:t>Background Information Regarding Director Nominees and Directors</w:t>
      </w:r>
      <w:r>
        <w:rPr>
          <w:rFonts w:ascii="Arial" w:cs="Arial" w:eastAsia="Arial" w:hAnsi="Arial"/>
          <w:sz w:val="16"/>
          <w:szCs w:val="16"/>
          <w:color w:val="231F20"/>
        </w:rPr>
        <w:t>”.</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231F20"/>
        </w:rPr>
        <w:t xml:space="preserve">Vivid Sehgal </w:t>
      </w:r>
      <w:r>
        <w:rPr>
          <w:rFonts w:ascii="Arial" w:cs="Arial" w:eastAsia="Arial" w:hAnsi="Arial"/>
          <w:sz w:val="16"/>
          <w:szCs w:val="16"/>
          <w:color w:val="231F20"/>
        </w:rPr>
        <w:t>served as our Chief Financial Officer from October 2015 until his resignation on May 31, 2017. Previously, Mr. Sehgal served as Senior Vice</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President, Treasury, Risk and Investor Relations at Allergan, Inc. from 2014 to 2015, playing a lead role in the company’s capital deployment and risk strategies, culminating in the $66 billion sale of Allergan to Actavis Plc. Prior to assuming his position as Senior Vice President, Mr. Sehgal served as Vice President and Regional Controller of Allergan’s Europe, Middle East and Africa business from 2007 to 2014, where he was responsible for finance, accounting, information technology, market research, data quality and sales operations covering more than 60 countries. Before Allergan, Mr. Sehgal worked for nine years in various roles with GlaxoSmithKline Plc and SmithKline Beecham Plc. Mr. Sehgal holds a master’s degree in finance and investment from the University of Exeter and a bachelor’s degree in economics from the University of Leicester. He is a member of the Chartered Institute of Management Accountants.</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231F20"/>
        </w:rPr>
        <w:t xml:space="preserve">Brian Sheridan </w:t>
      </w:r>
      <w:r>
        <w:rPr>
          <w:rFonts w:ascii="Arial" w:cs="Arial" w:eastAsia="Arial" w:hAnsi="Arial"/>
          <w:sz w:val="16"/>
          <w:szCs w:val="16"/>
          <w:color w:val="231F20"/>
        </w:rPr>
        <w:t>served as our Senior Vice President, Chief Compliance Officer, General Counsel and Company Secretary from October 2015 until February 8,</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2017. From 2004 to October 2015, Mr. Sheridan served as General Counsel of Sorin. From February to September 2015, Mr. Sheridan also served as a transitional board member of LivaNova (previously Sand Holdco Limited and Sand Holdco), preparing it for completion of the mergers of Sorin and Cyberonics. Prior to joining Sorin in 2003, Mr. Sheridan worked for many years in the Brussels office of a US law firm, specializing in commercial and regulatory matters for the life sciences industry. Mr. Sheridan holds each of a bachelor of laws degree and a master of law degree from the University of London, as well as a Diploma in Competition Law from King’s College, London.</w:t>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231F20"/>
        </w:rPr>
        <w:t xml:space="preserve">Keyna Skeffington </w:t>
      </w:r>
      <w:r>
        <w:rPr>
          <w:rFonts w:ascii="Arial" w:cs="Arial" w:eastAsia="Arial" w:hAnsi="Arial"/>
          <w:sz w:val="16"/>
          <w:szCs w:val="16"/>
          <w:color w:val="231F20"/>
        </w:rPr>
        <w:t>joined LivaNova in June 2017 in the role of Senior Vice President and General Counsel. Previously, Ms. Skeffington served in various roles</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at Medtronic Plc from 2004 to 2017, most recently as Vice President of Legal - Corporate and Securities from 2006 to 2017. She also served as Assistant Secretary from 2004 to 2017 and Senior Legal Counsel for Medtronic’s Cardiac Surgery Business from 2005 to 2006. Before Medtronic, Ms. Skeffington was a Partner at Faegre Baker Daniels LLP. Ms. Skeffington holds a JD from Tulane University Law School and a BA in International Relations and Russian from Mount Holyoke College.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Borders>
              <w:bottom w:val="single" w:sz="8" w:color="auto"/>
            </w:tcBorders>
          </w:tcPr>
          <w:p>
            <w:pPr>
              <w:spacing w:after="0"/>
              <w:rPr>
                <w:sz w:val="10"/>
                <w:szCs w:val="10"/>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w:t>
            </w:r>
          </w:p>
        </w:tc>
        <w:tc>
          <w:tcPr>
            <w:tcW w:w="0" w:type="dxa"/>
            <w:vAlign w:val="bottom"/>
          </w:tcPr>
          <w:p>
            <w:pPr>
              <w:spacing w:after="0"/>
              <w:rPr>
                <w:sz w:val="1"/>
                <w:szCs w:val="1"/>
                <w:color w:val="auto"/>
              </w:rPr>
            </w:pPr>
          </w:p>
        </w:tc>
      </w:tr>
      <w:tr>
        <w:trPr>
          <w:trHeight w:val="69"/>
        </w:trPr>
        <w:tc>
          <w:tcPr>
            <w:tcW w:w="40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231F20"/>
        </w:rPr>
        <w:t xml:space="preserve">David Wise </w:t>
      </w:r>
      <w:r>
        <w:rPr>
          <w:rFonts w:ascii="Arial" w:cs="Arial" w:eastAsia="Arial" w:hAnsi="Arial"/>
          <w:sz w:val="16"/>
          <w:szCs w:val="16"/>
          <w:color w:val="231F20"/>
        </w:rPr>
        <w:t>has served as the Company’s Chief Administrative Officer since February 2017, with responsibility for Human Resources, Information Technology</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 xml:space="preserve">and Legal, and for administrative purposes, Compliance. He served as LivaNova’s Senior Vice President, Human Resources and Information Technology from October 2015 to February 2017. He has been an executive officer of LivaNova since October 2015. Previously, starting in April 2011, Mr. Wise served as Senior Vice President and Chief Administrative Officer, as well as Secretary, of Cyberonics, with responsibility for Human Resources, Information Technology, Legal and Government Affairs. From June 2009 to 2011, Mr. Wise was Vice President, General Counsel and Secretary, as well as Vice President, Human Resources for Cyberonics, and earlier, from 2003, Mr. Wise also served in the roles of Vice President, General Counsel and Secretary of Cyberonics. From 1994 to 2003, Mr. Wise was employed in positions of increasing responsibility at Centerpulse USA, Inc. (formerly Sulzer Medica), at the time a diverse global medical devices company, where he eventually served as Group Vice President and General Counsel. Prior to Centerpulse, he spent 12 years in private legal practice, focused on intellectual property and commercial litigation. Mr. Wise holds a Bachelor of Science in Electrical Engineering from Rice University and a Juris Doctor </w:t>
      </w:r>
      <w:r>
        <w:rPr>
          <w:rFonts w:ascii="Arial" w:cs="Arial" w:eastAsia="Arial" w:hAnsi="Arial"/>
          <w:sz w:val="16"/>
          <w:szCs w:val="16"/>
          <w:i w:val="1"/>
          <w:iCs w:val="1"/>
          <w:color w:val="231F20"/>
        </w:rPr>
        <w:t>cum laude</w:t>
      </w:r>
      <w:r>
        <w:rPr>
          <w:rFonts w:ascii="Arial" w:cs="Arial" w:eastAsia="Arial" w:hAnsi="Arial"/>
          <w:sz w:val="16"/>
          <w:szCs w:val="16"/>
          <w:color w:val="231F20"/>
        </w:rPr>
        <w:t xml:space="preserve"> from Duquesne University School of Law. He is a Registered Patent Attorney and is licensed as an attorney by the State Bar of Texas.</w:t>
      </w:r>
    </w:p>
    <w:p>
      <w:pPr>
        <w:spacing w:after="0" w:line="367"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Compensation Tables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2017 Summary Compensation Table (2015, 2016, 2017)</w:t>
      </w:r>
    </w:p>
    <w:p>
      <w:pPr>
        <w:spacing w:after="0" w:line="214"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231F20"/>
        </w:rPr>
        <w:t>The following table contains information about the compensation earned by each of our NEOs during the year ended December 31, 2017, the year ended December 31, 2016, the 2015 Transition Period (April 25, 2015 - December 31, 2015 and the Year end April 24,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0" w:type="dxa"/>
            <w:vAlign w:val="bottom"/>
            <w:tcBorders>
              <w:bottom w:val="single" w:sz="8" w:color="6F2875"/>
            </w:tcBorders>
          </w:tcPr>
          <w:p>
            <w:pPr>
              <w:spacing w:after="0"/>
              <w:rPr>
                <w:sz w:val="15"/>
                <w:szCs w:val="15"/>
                <w:color w:val="auto"/>
              </w:rPr>
            </w:pPr>
          </w:p>
        </w:tc>
        <w:tc>
          <w:tcPr>
            <w:tcW w:w="1300" w:type="dxa"/>
            <w:vAlign w:val="bottom"/>
            <w:tcBorders>
              <w:bottom w:val="single" w:sz="8" w:color="6F2875"/>
            </w:tcBorders>
          </w:tcPr>
          <w:p>
            <w:pPr>
              <w:ind w:left="360"/>
              <w:spacing w:after="0"/>
              <w:rPr>
                <w:sz w:val="20"/>
                <w:szCs w:val="20"/>
                <w:color w:val="auto"/>
              </w:rPr>
            </w:pPr>
            <w:r>
              <w:rPr>
                <w:rFonts w:ascii="Arial" w:cs="Arial" w:eastAsia="Arial" w:hAnsi="Arial"/>
                <w:sz w:val="14"/>
                <w:szCs w:val="14"/>
                <w:b w:val="1"/>
                <w:bCs w:val="1"/>
                <w:color w:val="6F2875"/>
              </w:rPr>
              <w:t>A</w:t>
            </w:r>
          </w:p>
        </w:tc>
        <w:tc>
          <w:tcPr>
            <w:tcW w:w="380" w:type="dxa"/>
            <w:vAlign w:val="bottom"/>
            <w:tcBorders>
              <w:bottom w:val="single" w:sz="8" w:color="6F2875"/>
            </w:tcBorders>
          </w:tcPr>
          <w:p>
            <w:pPr>
              <w:spacing w:after="0"/>
              <w:rPr>
                <w:sz w:val="15"/>
                <w:szCs w:val="15"/>
                <w:color w:val="auto"/>
              </w:rPr>
            </w:pPr>
          </w:p>
        </w:tc>
        <w:tc>
          <w:tcPr>
            <w:tcW w:w="1980" w:type="dxa"/>
            <w:vAlign w:val="bottom"/>
            <w:tcBorders>
              <w:bottom w:val="single" w:sz="8" w:color="6F2875"/>
            </w:tcBorders>
          </w:tcPr>
          <w:p>
            <w:pPr>
              <w:ind w:left="720"/>
              <w:spacing w:after="0"/>
              <w:rPr>
                <w:sz w:val="20"/>
                <w:szCs w:val="20"/>
                <w:color w:val="auto"/>
              </w:rPr>
            </w:pPr>
            <w:r>
              <w:rPr>
                <w:rFonts w:ascii="Arial" w:cs="Arial" w:eastAsia="Arial" w:hAnsi="Arial"/>
                <w:sz w:val="14"/>
                <w:szCs w:val="14"/>
                <w:b w:val="1"/>
                <w:bCs w:val="1"/>
                <w:color w:val="6F2875"/>
              </w:rPr>
              <w:t>B</w:t>
            </w:r>
          </w:p>
        </w:tc>
        <w:tc>
          <w:tcPr>
            <w:tcW w:w="700" w:type="dxa"/>
            <w:vAlign w:val="bottom"/>
            <w:tcBorders>
              <w:bottom w:val="single" w:sz="8" w:color="6F2875"/>
            </w:tcBorders>
          </w:tcPr>
          <w:p>
            <w:pPr>
              <w:jc w:val="right"/>
              <w:ind w:right="228"/>
              <w:spacing w:after="0"/>
              <w:rPr>
                <w:sz w:val="20"/>
                <w:szCs w:val="20"/>
                <w:color w:val="auto"/>
              </w:rPr>
            </w:pPr>
            <w:r>
              <w:rPr>
                <w:rFonts w:ascii="Arial" w:cs="Arial" w:eastAsia="Arial" w:hAnsi="Arial"/>
                <w:sz w:val="14"/>
                <w:szCs w:val="14"/>
                <w:b w:val="1"/>
                <w:bCs w:val="1"/>
                <w:color w:val="6F2875"/>
              </w:rPr>
              <w:t>C</w:t>
            </w:r>
          </w:p>
        </w:tc>
        <w:tc>
          <w:tcPr>
            <w:tcW w:w="700" w:type="dxa"/>
            <w:vAlign w:val="bottom"/>
            <w:tcBorders>
              <w:bottom w:val="single" w:sz="8" w:color="6F2875"/>
            </w:tcBorders>
          </w:tcPr>
          <w:p>
            <w:pPr>
              <w:jc w:val="right"/>
              <w:ind w:right="229"/>
              <w:spacing w:after="0"/>
              <w:rPr>
                <w:sz w:val="20"/>
                <w:szCs w:val="20"/>
                <w:color w:val="auto"/>
              </w:rPr>
            </w:pPr>
            <w:r>
              <w:rPr>
                <w:rFonts w:ascii="Arial" w:cs="Arial" w:eastAsia="Arial" w:hAnsi="Arial"/>
                <w:sz w:val="14"/>
                <w:szCs w:val="14"/>
                <w:b w:val="1"/>
                <w:bCs w:val="1"/>
                <w:color w:val="6F2875"/>
              </w:rPr>
              <w:t>D</w:t>
            </w:r>
          </w:p>
        </w:tc>
        <w:tc>
          <w:tcPr>
            <w:tcW w:w="820" w:type="dxa"/>
            <w:vAlign w:val="bottom"/>
            <w:tcBorders>
              <w:bottom w:val="single" w:sz="8" w:color="6F2875"/>
            </w:tcBorders>
          </w:tcPr>
          <w:p>
            <w:pPr>
              <w:jc w:val="right"/>
              <w:ind w:right="288"/>
              <w:spacing w:after="0"/>
              <w:rPr>
                <w:sz w:val="20"/>
                <w:szCs w:val="20"/>
                <w:color w:val="auto"/>
              </w:rPr>
            </w:pPr>
            <w:r>
              <w:rPr>
                <w:rFonts w:ascii="Arial" w:cs="Arial" w:eastAsia="Arial" w:hAnsi="Arial"/>
                <w:sz w:val="14"/>
                <w:szCs w:val="14"/>
                <w:b w:val="1"/>
                <w:bCs w:val="1"/>
                <w:color w:val="6F2875"/>
              </w:rPr>
              <w:t>E</w:t>
            </w:r>
          </w:p>
        </w:tc>
        <w:tc>
          <w:tcPr>
            <w:tcW w:w="860" w:type="dxa"/>
            <w:vAlign w:val="bottom"/>
            <w:tcBorders>
              <w:bottom w:val="single" w:sz="8" w:color="6F2875"/>
            </w:tcBorders>
          </w:tcPr>
          <w:p>
            <w:pPr>
              <w:jc w:val="right"/>
              <w:ind w:right="329"/>
              <w:spacing w:after="0"/>
              <w:rPr>
                <w:sz w:val="20"/>
                <w:szCs w:val="20"/>
                <w:color w:val="auto"/>
              </w:rPr>
            </w:pPr>
            <w:r>
              <w:rPr>
                <w:rFonts w:ascii="Arial" w:cs="Arial" w:eastAsia="Arial" w:hAnsi="Arial"/>
                <w:sz w:val="14"/>
                <w:szCs w:val="14"/>
                <w:b w:val="1"/>
                <w:bCs w:val="1"/>
                <w:color w:val="6F2875"/>
              </w:rPr>
              <w:t>F</w:t>
            </w:r>
          </w:p>
        </w:tc>
        <w:tc>
          <w:tcPr>
            <w:tcW w:w="1160" w:type="dxa"/>
            <w:vAlign w:val="bottom"/>
            <w:tcBorders>
              <w:bottom w:val="single" w:sz="8" w:color="6F2875"/>
            </w:tcBorders>
          </w:tcPr>
          <w:p>
            <w:pPr>
              <w:jc w:val="right"/>
              <w:ind w:right="468"/>
              <w:spacing w:after="0"/>
              <w:rPr>
                <w:sz w:val="20"/>
                <w:szCs w:val="20"/>
                <w:color w:val="auto"/>
              </w:rPr>
            </w:pPr>
            <w:r>
              <w:rPr>
                <w:rFonts w:ascii="Arial" w:cs="Arial" w:eastAsia="Arial" w:hAnsi="Arial"/>
                <w:sz w:val="14"/>
                <w:szCs w:val="14"/>
                <w:b w:val="1"/>
                <w:bCs w:val="1"/>
                <w:color w:val="6F2875"/>
              </w:rPr>
              <w:t>G</w:t>
            </w:r>
          </w:p>
        </w:tc>
        <w:tc>
          <w:tcPr>
            <w:tcW w:w="1180" w:type="dxa"/>
            <w:vAlign w:val="bottom"/>
            <w:tcBorders>
              <w:bottom w:val="single" w:sz="8" w:color="6F2875"/>
            </w:tcBorders>
          </w:tcPr>
          <w:p>
            <w:pPr>
              <w:jc w:val="right"/>
              <w:ind w:right="468"/>
              <w:spacing w:after="0"/>
              <w:rPr>
                <w:sz w:val="20"/>
                <w:szCs w:val="20"/>
                <w:color w:val="auto"/>
              </w:rPr>
            </w:pPr>
            <w:r>
              <w:rPr>
                <w:rFonts w:ascii="Arial" w:cs="Arial" w:eastAsia="Arial" w:hAnsi="Arial"/>
                <w:sz w:val="14"/>
                <w:szCs w:val="14"/>
                <w:b w:val="1"/>
                <w:bCs w:val="1"/>
                <w:color w:val="6F2875"/>
              </w:rPr>
              <w:t>H</w:t>
            </w:r>
          </w:p>
        </w:tc>
        <w:tc>
          <w:tcPr>
            <w:tcW w:w="280" w:type="dxa"/>
            <w:vAlign w:val="bottom"/>
            <w:tcBorders>
              <w:bottom w:val="single" w:sz="8" w:color="6F2875"/>
            </w:tcBorders>
          </w:tcPr>
          <w:p>
            <w:pPr>
              <w:spacing w:after="0"/>
              <w:rPr>
                <w:sz w:val="15"/>
                <w:szCs w:val="15"/>
                <w:color w:val="auto"/>
              </w:rPr>
            </w:pPr>
          </w:p>
        </w:tc>
        <w:tc>
          <w:tcPr>
            <w:tcW w:w="920" w:type="dxa"/>
            <w:vAlign w:val="bottom"/>
            <w:tcBorders>
              <w:bottom w:val="single" w:sz="8" w:color="6F2875"/>
            </w:tcBorders>
          </w:tcPr>
          <w:p>
            <w:pPr>
              <w:jc w:val="right"/>
              <w:ind w:right="505"/>
              <w:spacing w:after="0"/>
              <w:rPr>
                <w:sz w:val="20"/>
                <w:szCs w:val="20"/>
                <w:color w:val="auto"/>
              </w:rPr>
            </w:pPr>
            <w:r>
              <w:rPr>
                <w:rFonts w:ascii="Arial" w:cs="Arial" w:eastAsia="Arial" w:hAnsi="Arial"/>
                <w:sz w:val="14"/>
                <w:szCs w:val="14"/>
                <w:b w:val="1"/>
                <w:bCs w:val="1"/>
                <w:color w:val="6F2875"/>
              </w:rPr>
              <w:t>I</w:t>
            </w:r>
          </w:p>
        </w:tc>
        <w:tc>
          <w:tcPr>
            <w:tcW w:w="780" w:type="dxa"/>
            <w:vAlign w:val="bottom"/>
            <w:tcBorders>
              <w:bottom w:val="single" w:sz="8" w:color="6F2875"/>
            </w:tcBorders>
          </w:tcPr>
          <w:p>
            <w:pPr>
              <w:jc w:val="right"/>
              <w:ind w:right="268"/>
              <w:spacing w:after="0"/>
              <w:rPr>
                <w:sz w:val="20"/>
                <w:szCs w:val="20"/>
                <w:color w:val="auto"/>
              </w:rPr>
            </w:pPr>
            <w:r>
              <w:rPr>
                <w:rFonts w:ascii="Arial" w:cs="Arial" w:eastAsia="Arial" w:hAnsi="Arial"/>
                <w:sz w:val="14"/>
                <w:szCs w:val="14"/>
                <w:b w:val="1"/>
                <w:bCs w:val="1"/>
                <w:color w:val="6F2875"/>
              </w:rPr>
              <w:t>J</w:t>
            </w: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60" w:type="dxa"/>
            <w:vAlign w:val="bottom"/>
          </w:tcPr>
          <w:p>
            <w:pPr>
              <w:jc w:val="right"/>
              <w:ind w:right="28"/>
              <w:spacing w:after="0" w:line="143" w:lineRule="exact"/>
              <w:rPr>
                <w:sz w:val="20"/>
                <w:szCs w:val="20"/>
                <w:color w:val="auto"/>
              </w:rPr>
            </w:pPr>
            <w:r>
              <w:rPr>
                <w:rFonts w:ascii="Arial" w:cs="Arial" w:eastAsia="Arial" w:hAnsi="Arial"/>
                <w:sz w:val="14"/>
                <w:szCs w:val="14"/>
                <w:b w:val="1"/>
                <w:bCs w:val="1"/>
                <w:color w:val="6F2875"/>
              </w:rPr>
              <w:t>Change in</w:t>
            </w: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6F2875"/>
              </w:rPr>
              <w:t>Pension</w:t>
            </w: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6F2875"/>
              </w:rPr>
              <w:t>Value and</w:t>
            </w: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6F2875"/>
              </w:rPr>
              <w:t>Non-Equity</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6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6F2875"/>
              </w:rPr>
              <w:t>Nonqualified</w:t>
            </w:r>
          </w:p>
        </w:tc>
        <w:tc>
          <w:tcPr>
            <w:tcW w:w="11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6F2875"/>
              </w:rPr>
              <w:t>Stock</w:t>
            </w:r>
          </w:p>
        </w:tc>
        <w:tc>
          <w:tcPr>
            <w:tcW w:w="860" w:type="dxa"/>
            <w:vAlign w:val="bottom"/>
          </w:tcPr>
          <w:p>
            <w:pPr>
              <w:jc w:val="right"/>
              <w:ind w:right="49"/>
              <w:spacing w:after="0"/>
              <w:rPr>
                <w:sz w:val="20"/>
                <w:szCs w:val="20"/>
                <w:color w:val="auto"/>
              </w:rPr>
            </w:pPr>
            <w:r>
              <w:rPr>
                <w:rFonts w:ascii="Arial" w:cs="Arial" w:eastAsia="Arial" w:hAnsi="Arial"/>
                <w:sz w:val="14"/>
                <w:szCs w:val="14"/>
                <w:b w:val="1"/>
                <w:bCs w:val="1"/>
                <w:color w:val="6F2875"/>
              </w:rPr>
              <w:t>Option</w:t>
            </w: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6F2875"/>
              </w:rPr>
              <w:t>Deferred</w:t>
            </w:r>
          </w:p>
        </w:tc>
        <w:tc>
          <w:tcPr>
            <w:tcW w:w="1180" w:type="dxa"/>
            <w:vAlign w:val="bottom"/>
          </w:tcPr>
          <w:p>
            <w:pPr>
              <w:jc w:val="right"/>
              <w:ind w:right="8"/>
              <w:spacing w:after="0"/>
              <w:rPr>
                <w:sz w:val="20"/>
                <w:szCs w:val="20"/>
                <w:color w:val="auto"/>
              </w:rPr>
            </w:pPr>
            <w:r>
              <w:rPr>
                <w:rFonts w:ascii="Arial" w:cs="Arial" w:eastAsia="Arial" w:hAnsi="Arial"/>
                <w:sz w:val="14"/>
                <w:szCs w:val="14"/>
                <w:b w:val="1"/>
                <w:bCs w:val="1"/>
                <w:color w:val="6F2875"/>
              </w:rPr>
              <w:t>Incentive Plan</w:t>
            </w:r>
          </w:p>
        </w:tc>
        <w:tc>
          <w:tcPr>
            <w:tcW w:w="280" w:type="dxa"/>
            <w:vAlign w:val="bottom"/>
          </w:tcPr>
          <w:p>
            <w:pPr>
              <w:spacing w:after="0"/>
              <w:rPr>
                <w:sz w:val="14"/>
                <w:szCs w:val="14"/>
                <w:color w:val="auto"/>
              </w:rPr>
            </w:pPr>
          </w:p>
        </w:tc>
        <w:tc>
          <w:tcPr>
            <w:tcW w:w="920" w:type="dxa"/>
            <w:vAlign w:val="bottom"/>
          </w:tcPr>
          <w:p>
            <w:pPr>
              <w:jc w:val="right"/>
              <w:ind w:right="25"/>
              <w:spacing w:after="0"/>
              <w:rPr>
                <w:sz w:val="20"/>
                <w:szCs w:val="20"/>
                <w:color w:val="auto"/>
              </w:rPr>
            </w:pPr>
            <w:r>
              <w:rPr>
                <w:rFonts w:ascii="Arial" w:cs="Arial" w:eastAsia="Arial" w:hAnsi="Arial"/>
                <w:sz w:val="14"/>
                <w:szCs w:val="14"/>
                <w:b w:val="1"/>
                <w:bCs w:val="1"/>
                <w:color w:val="6F2875"/>
              </w:rPr>
              <w:t>All Other</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6F2875"/>
              </w:rPr>
              <w:t>Name and</w:t>
            </w:r>
          </w:p>
        </w:tc>
        <w:tc>
          <w:tcPr>
            <w:tcW w:w="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6F2875"/>
              </w:rPr>
              <w:t>Salary</w:t>
            </w:r>
          </w:p>
        </w:tc>
        <w:tc>
          <w:tcPr>
            <w:tcW w:w="700" w:type="dxa"/>
            <w:vAlign w:val="bottom"/>
          </w:tcPr>
          <w:p>
            <w:pPr>
              <w:jc w:val="right"/>
              <w:ind w:right="29"/>
              <w:spacing w:after="0"/>
              <w:rPr>
                <w:sz w:val="20"/>
                <w:szCs w:val="20"/>
                <w:color w:val="auto"/>
              </w:rPr>
            </w:pPr>
            <w:r>
              <w:rPr>
                <w:rFonts w:ascii="Arial" w:cs="Arial" w:eastAsia="Arial" w:hAnsi="Arial"/>
                <w:sz w:val="14"/>
                <w:szCs w:val="14"/>
                <w:b w:val="1"/>
                <w:bCs w:val="1"/>
                <w:color w:val="6F2875"/>
              </w:rPr>
              <w:t>Bonus</w:t>
            </w: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6F2875"/>
              </w:rPr>
              <w:t>Awards</w:t>
            </w:r>
          </w:p>
        </w:tc>
        <w:tc>
          <w:tcPr>
            <w:tcW w:w="860" w:type="dxa"/>
            <w:vAlign w:val="bottom"/>
          </w:tcPr>
          <w:p>
            <w:pPr>
              <w:jc w:val="right"/>
              <w:ind w:right="49"/>
              <w:spacing w:after="0"/>
              <w:rPr>
                <w:sz w:val="20"/>
                <w:szCs w:val="20"/>
                <w:color w:val="auto"/>
              </w:rPr>
            </w:pPr>
            <w:r>
              <w:rPr>
                <w:rFonts w:ascii="Arial" w:cs="Arial" w:eastAsia="Arial" w:hAnsi="Arial"/>
                <w:sz w:val="14"/>
                <w:szCs w:val="14"/>
                <w:b w:val="1"/>
                <w:bCs w:val="1"/>
                <w:color w:val="6F2875"/>
              </w:rPr>
              <w:t>Awards</w:t>
            </w: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6F2875"/>
              </w:rPr>
              <w:t>Compensation</w:t>
            </w:r>
          </w:p>
        </w:tc>
        <w:tc>
          <w:tcPr>
            <w:tcW w:w="1180" w:type="dxa"/>
            <w:vAlign w:val="bottom"/>
          </w:tcPr>
          <w:p>
            <w:pPr>
              <w:jc w:val="right"/>
              <w:ind w:right="8"/>
              <w:spacing w:after="0"/>
              <w:rPr>
                <w:sz w:val="20"/>
                <w:szCs w:val="20"/>
                <w:color w:val="auto"/>
              </w:rPr>
            </w:pPr>
            <w:r>
              <w:rPr>
                <w:rFonts w:ascii="Arial" w:cs="Arial" w:eastAsia="Arial" w:hAnsi="Arial"/>
                <w:sz w:val="14"/>
                <w:szCs w:val="14"/>
                <w:b w:val="1"/>
                <w:bCs w:val="1"/>
                <w:color w:val="6F2875"/>
              </w:rPr>
              <w:t>Compensation</w:t>
            </w:r>
          </w:p>
        </w:tc>
        <w:tc>
          <w:tcPr>
            <w:tcW w:w="1200" w:type="dxa"/>
            <w:vAlign w:val="bottom"/>
            <w:gridSpan w:val="2"/>
          </w:tcPr>
          <w:p>
            <w:pPr>
              <w:jc w:val="right"/>
              <w:ind w:right="25"/>
              <w:spacing w:after="0"/>
              <w:rPr>
                <w:sz w:val="20"/>
                <w:szCs w:val="20"/>
                <w:color w:val="auto"/>
              </w:rPr>
            </w:pPr>
            <w:r>
              <w:rPr>
                <w:rFonts w:ascii="Arial" w:cs="Arial" w:eastAsia="Arial" w:hAnsi="Arial"/>
                <w:sz w:val="14"/>
                <w:szCs w:val="14"/>
                <w:b w:val="1"/>
                <w:bCs w:val="1"/>
                <w:color w:val="6F2875"/>
              </w:rPr>
              <w:t>Compensation</w:t>
            </w: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6F2875"/>
              </w:rPr>
              <w:t>Total</w:t>
            </w:r>
          </w:p>
        </w:tc>
        <w:tc>
          <w:tcPr>
            <w:tcW w:w="0" w:type="dxa"/>
            <w:vAlign w:val="bottom"/>
          </w:tcPr>
          <w:p>
            <w:pPr>
              <w:spacing w:after="0"/>
              <w:rPr>
                <w:sz w:val="1"/>
                <w:szCs w:val="1"/>
                <w:color w:val="auto"/>
              </w:rPr>
            </w:pPr>
          </w:p>
        </w:tc>
      </w:tr>
      <w:tr>
        <w:trPr>
          <w:trHeight w:val="189"/>
        </w:trPr>
        <w:tc>
          <w:tcPr>
            <w:tcW w:w="1660" w:type="dxa"/>
            <w:vAlign w:val="bottom"/>
            <w:tcBorders>
              <w:bottom w:val="single" w:sz="8" w:color="6F2875"/>
            </w:tcBorders>
            <w:gridSpan w:val="2"/>
          </w:tcPr>
          <w:p>
            <w:pPr>
              <w:ind w:left="60"/>
              <w:spacing w:after="0"/>
              <w:rPr>
                <w:sz w:val="20"/>
                <w:szCs w:val="20"/>
                <w:color w:val="auto"/>
              </w:rPr>
            </w:pPr>
            <w:r>
              <w:rPr>
                <w:rFonts w:ascii="Arial" w:cs="Arial" w:eastAsia="Arial" w:hAnsi="Arial"/>
                <w:sz w:val="14"/>
                <w:szCs w:val="14"/>
                <w:b w:val="1"/>
                <w:bCs w:val="1"/>
                <w:color w:val="6F2875"/>
              </w:rPr>
              <w:t>Principal Position</w:t>
            </w:r>
          </w:p>
        </w:tc>
        <w:tc>
          <w:tcPr>
            <w:tcW w:w="380" w:type="dxa"/>
            <w:vAlign w:val="bottom"/>
            <w:tcBorders>
              <w:bottom w:val="single" w:sz="8" w:color="6F2875"/>
            </w:tcBorders>
          </w:tcPr>
          <w:p>
            <w:pPr>
              <w:ind w:left="40"/>
              <w:spacing w:after="0"/>
              <w:rPr>
                <w:sz w:val="20"/>
                <w:szCs w:val="20"/>
                <w:color w:val="auto"/>
              </w:rPr>
            </w:pPr>
            <w:r>
              <w:rPr>
                <w:rFonts w:ascii="Arial" w:cs="Arial" w:eastAsia="Arial" w:hAnsi="Arial"/>
                <w:sz w:val="14"/>
                <w:szCs w:val="14"/>
                <w:b w:val="1"/>
                <w:bCs w:val="1"/>
                <w:color w:val="6F2875"/>
              </w:rPr>
              <w:t>Year</w:t>
            </w:r>
          </w:p>
        </w:tc>
        <w:tc>
          <w:tcPr>
            <w:tcW w:w="1980" w:type="dxa"/>
            <w:vAlign w:val="bottom"/>
            <w:tcBorders>
              <w:bottom w:val="single" w:sz="8" w:color="6F2875"/>
            </w:tcBorders>
          </w:tcPr>
          <w:p>
            <w:pPr>
              <w:spacing w:after="0"/>
              <w:rPr>
                <w:sz w:val="16"/>
                <w:szCs w:val="16"/>
                <w:color w:val="auto"/>
              </w:rPr>
            </w:pPr>
          </w:p>
        </w:tc>
        <w:tc>
          <w:tcPr>
            <w:tcW w:w="700" w:type="dxa"/>
            <w:vAlign w:val="bottom"/>
            <w:tcBorders>
              <w:bottom w:val="single" w:sz="8" w:color="6F2875"/>
            </w:tcBorders>
          </w:tcPr>
          <w:p>
            <w:pPr>
              <w:jc w:val="right"/>
              <w:ind w:right="28"/>
              <w:spacing w:after="0" w:line="189" w:lineRule="exact"/>
              <w:rPr>
                <w:sz w:val="20"/>
                <w:szCs w:val="20"/>
                <w:color w:val="auto"/>
              </w:rPr>
            </w:pPr>
            <w:r>
              <w:rPr>
                <w:rFonts w:ascii="Arial" w:cs="Arial" w:eastAsia="Arial" w:hAnsi="Arial"/>
                <w:sz w:val="13"/>
                <w:szCs w:val="13"/>
                <w:b w:val="1"/>
                <w:bCs w:val="1"/>
                <w:color w:val="6F2875"/>
              </w:rPr>
              <w:t>($)</w:t>
            </w:r>
            <w:r>
              <w:rPr>
                <w:rFonts w:ascii="Arial" w:cs="Arial" w:eastAsia="Arial" w:hAnsi="Arial"/>
                <w:sz w:val="21"/>
                <w:szCs w:val="21"/>
                <w:b w:val="1"/>
                <w:bCs w:val="1"/>
                <w:color w:val="6F2875"/>
                <w:vertAlign w:val="superscript"/>
              </w:rPr>
              <w:t>(1)</w:t>
            </w:r>
          </w:p>
        </w:tc>
        <w:tc>
          <w:tcPr>
            <w:tcW w:w="700" w:type="dxa"/>
            <w:vAlign w:val="bottom"/>
            <w:tcBorders>
              <w:bottom w:val="single" w:sz="8" w:color="6F2875"/>
            </w:tcBorders>
          </w:tcPr>
          <w:p>
            <w:pPr>
              <w:jc w:val="right"/>
              <w:ind w:right="29"/>
              <w:spacing w:after="0" w:line="189" w:lineRule="exact"/>
              <w:rPr>
                <w:sz w:val="20"/>
                <w:szCs w:val="20"/>
                <w:color w:val="auto"/>
              </w:rPr>
            </w:pPr>
            <w:r>
              <w:rPr>
                <w:rFonts w:ascii="Arial" w:cs="Arial" w:eastAsia="Arial" w:hAnsi="Arial"/>
                <w:sz w:val="13"/>
                <w:szCs w:val="13"/>
                <w:b w:val="1"/>
                <w:bCs w:val="1"/>
                <w:color w:val="6F2875"/>
              </w:rPr>
              <w:t>($)</w:t>
            </w:r>
            <w:r>
              <w:rPr>
                <w:rFonts w:ascii="Arial" w:cs="Arial" w:eastAsia="Arial" w:hAnsi="Arial"/>
                <w:sz w:val="21"/>
                <w:szCs w:val="21"/>
                <w:b w:val="1"/>
                <w:bCs w:val="1"/>
                <w:color w:val="6F2875"/>
                <w:vertAlign w:val="superscript"/>
              </w:rPr>
              <w:t>(1)</w:t>
            </w:r>
          </w:p>
        </w:tc>
        <w:tc>
          <w:tcPr>
            <w:tcW w:w="820" w:type="dxa"/>
            <w:vAlign w:val="bottom"/>
            <w:tcBorders>
              <w:bottom w:val="single" w:sz="8" w:color="6F2875"/>
            </w:tcBorders>
          </w:tcPr>
          <w:p>
            <w:pPr>
              <w:jc w:val="right"/>
              <w:ind w:right="8"/>
              <w:spacing w:after="0" w:line="189" w:lineRule="exact"/>
              <w:rPr>
                <w:sz w:val="20"/>
                <w:szCs w:val="20"/>
                <w:color w:val="auto"/>
              </w:rPr>
            </w:pPr>
            <w:r>
              <w:rPr>
                <w:rFonts w:ascii="Arial" w:cs="Arial" w:eastAsia="Arial" w:hAnsi="Arial"/>
                <w:sz w:val="13"/>
                <w:szCs w:val="13"/>
                <w:b w:val="1"/>
                <w:bCs w:val="1"/>
                <w:color w:val="6F2875"/>
              </w:rPr>
              <w:t>($)</w:t>
            </w:r>
            <w:r>
              <w:rPr>
                <w:rFonts w:ascii="Arial" w:cs="Arial" w:eastAsia="Arial" w:hAnsi="Arial"/>
                <w:sz w:val="21"/>
                <w:szCs w:val="21"/>
                <w:b w:val="1"/>
                <w:bCs w:val="1"/>
                <w:color w:val="6F2875"/>
                <w:vertAlign w:val="superscript"/>
              </w:rPr>
              <w:t>(4)</w:t>
            </w:r>
          </w:p>
        </w:tc>
        <w:tc>
          <w:tcPr>
            <w:tcW w:w="860" w:type="dxa"/>
            <w:vAlign w:val="bottom"/>
            <w:tcBorders>
              <w:bottom w:val="single" w:sz="8" w:color="6F2875"/>
            </w:tcBorders>
          </w:tcPr>
          <w:p>
            <w:pPr>
              <w:jc w:val="right"/>
              <w:ind w:right="49"/>
              <w:spacing w:after="0" w:line="189" w:lineRule="exact"/>
              <w:rPr>
                <w:sz w:val="20"/>
                <w:szCs w:val="20"/>
                <w:color w:val="auto"/>
              </w:rPr>
            </w:pPr>
            <w:r>
              <w:rPr>
                <w:rFonts w:ascii="Arial" w:cs="Arial" w:eastAsia="Arial" w:hAnsi="Arial"/>
                <w:sz w:val="13"/>
                <w:szCs w:val="13"/>
                <w:b w:val="1"/>
                <w:bCs w:val="1"/>
                <w:color w:val="6F2875"/>
              </w:rPr>
              <w:t>($)</w:t>
            </w:r>
            <w:r>
              <w:rPr>
                <w:rFonts w:ascii="Arial" w:cs="Arial" w:eastAsia="Arial" w:hAnsi="Arial"/>
                <w:sz w:val="21"/>
                <w:szCs w:val="21"/>
                <w:b w:val="1"/>
                <w:bCs w:val="1"/>
                <w:color w:val="6F2875"/>
                <w:vertAlign w:val="superscript"/>
              </w:rPr>
              <w:t>(4)</w:t>
            </w:r>
          </w:p>
        </w:tc>
        <w:tc>
          <w:tcPr>
            <w:tcW w:w="1160" w:type="dxa"/>
            <w:vAlign w:val="bottom"/>
            <w:tcBorders>
              <w:bottom w:val="single" w:sz="8" w:color="6F2875"/>
            </w:tcBorders>
          </w:tcPr>
          <w:p>
            <w:pPr>
              <w:jc w:val="right"/>
              <w:ind w:right="28"/>
              <w:spacing w:after="0"/>
              <w:rPr>
                <w:sz w:val="20"/>
                <w:szCs w:val="20"/>
                <w:color w:val="auto"/>
              </w:rPr>
            </w:pPr>
            <w:r>
              <w:rPr>
                <w:rFonts w:ascii="Arial" w:cs="Arial" w:eastAsia="Arial" w:hAnsi="Arial"/>
                <w:sz w:val="14"/>
                <w:szCs w:val="14"/>
                <w:b w:val="1"/>
                <w:bCs w:val="1"/>
                <w:color w:val="6F2875"/>
              </w:rPr>
              <w:t>Earnings</w:t>
            </w:r>
          </w:p>
        </w:tc>
        <w:tc>
          <w:tcPr>
            <w:tcW w:w="1180" w:type="dxa"/>
            <w:vAlign w:val="bottom"/>
            <w:tcBorders>
              <w:bottom w:val="single" w:sz="8" w:color="6F2875"/>
            </w:tcBorders>
          </w:tcPr>
          <w:p>
            <w:pPr>
              <w:jc w:val="right"/>
              <w:ind w:right="8"/>
              <w:spacing w:after="0" w:line="189" w:lineRule="exact"/>
              <w:rPr>
                <w:sz w:val="20"/>
                <w:szCs w:val="20"/>
                <w:color w:val="auto"/>
              </w:rPr>
            </w:pPr>
            <w:r>
              <w:rPr>
                <w:rFonts w:ascii="Arial" w:cs="Arial" w:eastAsia="Arial" w:hAnsi="Arial"/>
                <w:sz w:val="13"/>
                <w:szCs w:val="13"/>
                <w:b w:val="1"/>
                <w:bCs w:val="1"/>
                <w:color w:val="6F2875"/>
              </w:rPr>
              <w:t>($)</w:t>
            </w:r>
            <w:r>
              <w:rPr>
                <w:rFonts w:ascii="Arial" w:cs="Arial" w:eastAsia="Arial" w:hAnsi="Arial"/>
                <w:sz w:val="21"/>
                <w:szCs w:val="21"/>
                <w:b w:val="1"/>
                <w:bCs w:val="1"/>
                <w:color w:val="6F2875"/>
                <w:vertAlign w:val="superscript"/>
              </w:rPr>
              <w:t>(1)</w:t>
            </w:r>
          </w:p>
        </w:tc>
        <w:tc>
          <w:tcPr>
            <w:tcW w:w="1200" w:type="dxa"/>
            <w:vAlign w:val="bottom"/>
            <w:tcBorders>
              <w:bottom w:val="single" w:sz="8" w:color="6F2875"/>
            </w:tcBorders>
            <w:gridSpan w:val="2"/>
          </w:tcPr>
          <w:p>
            <w:pPr>
              <w:jc w:val="right"/>
              <w:ind w:right="25"/>
              <w:spacing w:after="0" w:line="189" w:lineRule="exact"/>
              <w:rPr>
                <w:sz w:val="20"/>
                <w:szCs w:val="20"/>
                <w:color w:val="auto"/>
              </w:rPr>
            </w:pPr>
            <w:r>
              <w:rPr>
                <w:rFonts w:ascii="Arial" w:cs="Arial" w:eastAsia="Arial" w:hAnsi="Arial"/>
                <w:sz w:val="21"/>
                <w:szCs w:val="21"/>
                <w:b w:val="1"/>
                <w:bCs w:val="1"/>
                <w:color w:val="6F2875"/>
                <w:vertAlign w:val="subscript"/>
              </w:rPr>
              <w:t>($)</w:t>
            </w:r>
            <w:r>
              <w:rPr>
                <w:rFonts w:ascii="Arial" w:cs="Arial" w:eastAsia="Arial" w:hAnsi="Arial"/>
                <w:sz w:val="10"/>
                <w:szCs w:val="10"/>
                <w:b w:val="1"/>
                <w:bCs w:val="1"/>
                <w:color w:val="6F2875"/>
              </w:rPr>
              <w:t>(1)(5)</w:t>
            </w:r>
          </w:p>
        </w:tc>
        <w:tc>
          <w:tcPr>
            <w:tcW w:w="780" w:type="dxa"/>
            <w:vAlign w:val="bottom"/>
            <w:tcBorders>
              <w:bottom w:val="single" w:sz="8" w:color="6F2875"/>
            </w:tcBorders>
          </w:tcPr>
          <w:p>
            <w:pPr>
              <w:jc w:val="right"/>
              <w:spacing w:after="0"/>
              <w:rPr>
                <w:sz w:val="20"/>
                <w:szCs w:val="20"/>
                <w:color w:val="auto"/>
              </w:rPr>
            </w:pPr>
            <w:r>
              <w:rPr>
                <w:rFonts w:ascii="Arial" w:cs="Arial" w:eastAsia="Arial" w:hAnsi="Arial"/>
                <w:sz w:val="14"/>
                <w:szCs w:val="14"/>
                <w:b w:val="1"/>
                <w:bCs w:val="1"/>
                <w:color w:val="6F2875"/>
              </w:rPr>
              <w:t>($)</w:t>
            </w:r>
          </w:p>
        </w:tc>
        <w:tc>
          <w:tcPr>
            <w:tcW w:w="0" w:type="dxa"/>
            <w:vAlign w:val="bottom"/>
          </w:tcPr>
          <w:p>
            <w:pPr>
              <w:spacing w:after="0"/>
              <w:rPr>
                <w:sz w:val="1"/>
                <w:szCs w:val="1"/>
                <w:color w:val="auto"/>
              </w:rPr>
            </w:pPr>
          </w:p>
        </w:tc>
      </w:tr>
      <w:tr>
        <w:trPr>
          <w:trHeight w:val="210"/>
        </w:trPr>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231F20"/>
              </w:rPr>
              <w:t>Damien McDonald</w:t>
            </w:r>
          </w:p>
        </w:tc>
        <w:tc>
          <w:tcPr>
            <w:tcW w:w="380" w:type="dxa"/>
            <w:vAlign w:val="bottom"/>
          </w:tcPr>
          <w:p>
            <w:pPr>
              <w:ind w:left="40"/>
              <w:spacing w:after="0"/>
              <w:rPr>
                <w:sz w:val="20"/>
                <w:szCs w:val="20"/>
                <w:color w:val="auto"/>
              </w:rPr>
            </w:pPr>
            <w:r>
              <w:rPr>
                <w:rFonts w:ascii="Arial" w:cs="Arial" w:eastAsia="Arial" w:hAnsi="Arial"/>
                <w:sz w:val="14"/>
                <w:szCs w:val="14"/>
                <w:color w:val="231F20"/>
              </w:rPr>
              <w:t>2017</w:t>
            </w:r>
          </w:p>
        </w:tc>
        <w:tc>
          <w:tcPr>
            <w:tcW w:w="198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231F20"/>
              </w:rPr>
              <w:t>847,925</w:t>
            </w:r>
          </w:p>
        </w:tc>
        <w:tc>
          <w:tcPr>
            <w:tcW w:w="70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231F20"/>
              </w:rPr>
              <w:t>2,350,821</w:t>
            </w: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231F20"/>
              </w:rPr>
              <w:t>848,095</w:t>
            </w:r>
          </w:p>
        </w:tc>
        <w:tc>
          <w:tcPr>
            <w:tcW w:w="1200" w:type="dxa"/>
            <w:vAlign w:val="bottom"/>
            <w:gridSpan w:val="2"/>
          </w:tcPr>
          <w:p>
            <w:pPr>
              <w:jc w:val="right"/>
              <w:ind w:right="25"/>
              <w:spacing w:after="0"/>
              <w:rPr>
                <w:sz w:val="20"/>
                <w:szCs w:val="20"/>
                <w:color w:val="auto"/>
              </w:rPr>
            </w:pPr>
            <w:r>
              <w:rPr>
                <w:rFonts w:ascii="Arial" w:cs="Arial" w:eastAsia="Arial" w:hAnsi="Arial"/>
                <w:sz w:val="14"/>
                <w:szCs w:val="14"/>
                <w:color w:val="231F20"/>
              </w:rPr>
              <w:t>1,368,920</w:t>
            </w:r>
          </w:p>
        </w:tc>
        <w:tc>
          <w:tcPr>
            <w:tcW w:w="780" w:type="dxa"/>
            <w:vAlign w:val="bottom"/>
          </w:tcPr>
          <w:p>
            <w:pPr>
              <w:jc w:val="right"/>
              <w:spacing w:after="0"/>
              <w:rPr>
                <w:sz w:val="20"/>
                <w:szCs w:val="20"/>
                <w:color w:val="auto"/>
              </w:rPr>
            </w:pPr>
            <w:r>
              <w:rPr>
                <w:rFonts w:ascii="Arial" w:cs="Arial" w:eastAsia="Arial" w:hAnsi="Arial"/>
                <w:sz w:val="14"/>
                <w:szCs w:val="14"/>
                <w:color w:val="231F20"/>
              </w:rPr>
              <w:t>5,415,761</w:t>
            </w:r>
          </w:p>
        </w:tc>
        <w:tc>
          <w:tcPr>
            <w:tcW w:w="0" w:type="dxa"/>
            <w:vAlign w:val="bottom"/>
          </w:tcPr>
          <w:p>
            <w:pPr>
              <w:spacing w:after="0"/>
              <w:rPr>
                <w:sz w:val="1"/>
                <w:szCs w:val="1"/>
                <w:color w:val="auto"/>
              </w:rPr>
            </w:pPr>
          </w:p>
        </w:tc>
      </w:tr>
      <w:tr>
        <w:trPr>
          <w:trHeight w:val="167"/>
        </w:trPr>
        <w:tc>
          <w:tcPr>
            <w:tcW w:w="1660" w:type="dxa"/>
            <w:vAlign w:val="bottom"/>
            <w:gridSpan w:val="2"/>
          </w:tcPr>
          <w:p>
            <w:pPr>
              <w:ind w:left="180"/>
              <w:spacing w:after="0"/>
              <w:rPr>
                <w:sz w:val="20"/>
                <w:szCs w:val="20"/>
                <w:color w:val="auto"/>
              </w:rPr>
            </w:pPr>
            <w:r>
              <w:rPr>
                <w:rFonts w:ascii="Arial" w:cs="Arial" w:eastAsia="Arial" w:hAnsi="Arial"/>
                <w:sz w:val="14"/>
                <w:szCs w:val="14"/>
                <w:color w:val="auto"/>
              </w:rPr>
              <w:t>Chief Executive</w:t>
            </w:r>
          </w:p>
        </w:tc>
        <w:tc>
          <w:tcPr>
            <w:tcW w:w="380" w:type="dxa"/>
            <w:vAlign w:val="bottom"/>
            <w:shd w:val="clear" w:color="auto" w:fill="F3EDF3"/>
          </w:tcPr>
          <w:p>
            <w:pPr>
              <w:ind w:left="40"/>
              <w:spacing w:after="0"/>
              <w:rPr>
                <w:sz w:val="20"/>
                <w:szCs w:val="20"/>
                <w:color w:val="auto"/>
              </w:rPr>
            </w:pPr>
            <w:r>
              <w:rPr>
                <w:rFonts w:ascii="Arial" w:cs="Arial" w:eastAsia="Arial" w:hAnsi="Arial"/>
                <w:sz w:val="14"/>
                <w:szCs w:val="14"/>
                <w:color w:val="auto"/>
              </w:rPr>
              <w:t>2016</w:t>
            </w:r>
          </w:p>
        </w:tc>
        <w:tc>
          <w:tcPr>
            <w:tcW w:w="1980" w:type="dxa"/>
            <w:vAlign w:val="bottom"/>
            <w:shd w:val="clear" w:color="auto" w:fill="F3EDF3"/>
          </w:tcPr>
          <w:p>
            <w:pPr>
              <w:spacing w:after="0"/>
              <w:rPr>
                <w:sz w:val="14"/>
                <w:szCs w:val="14"/>
                <w:color w:val="auto"/>
              </w:rPr>
            </w:pPr>
          </w:p>
        </w:tc>
        <w:tc>
          <w:tcPr>
            <w:tcW w:w="700" w:type="dxa"/>
            <w:vAlign w:val="bottom"/>
            <w:shd w:val="clear" w:color="auto" w:fill="F3EDF3"/>
          </w:tcPr>
          <w:p>
            <w:pPr>
              <w:jc w:val="right"/>
              <w:ind w:right="28"/>
              <w:spacing w:after="0"/>
              <w:rPr>
                <w:sz w:val="20"/>
                <w:szCs w:val="20"/>
                <w:color w:val="auto"/>
              </w:rPr>
            </w:pPr>
            <w:r>
              <w:rPr>
                <w:rFonts w:ascii="Arial" w:cs="Arial" w:eastAsia="Arial" w:hAnsi="Arial"/>
                <w:sz w:val="14"/>
                <w:szCs w:val="14"/>
                <w:color w:val="auto"/>
              </w:rPr>
              <w:t>132,414</w:t>
            </w:r>
          </w:p>
        </w:tc>
        <w:tc>
          <w:tcPr>
            <w:tcW w:w="700" w:type="dxa"/>
            <w:vAlign w:val="bottom"/>
            <w:shd w:val="clear" w:color="auto" w:fill="F3EDF3"/>
          </w:tcPr>
          <w:p>
            <w:pPr>
              <w:jc w:val="right"/>
              <w:ind w:right="29"/>
              <w:spacing w:after="0"/>
              <w:rPr>
                <w:sz w:val="20"/>
                <w:szCs w:val="20"/>
                <w:color w:val="auto"/>
              </w:rPr>
            </w:pPr>
            <w:r>
              <w:rPr>
                <w:rFonts w:ascii="Arial" w:cs="Arial" w:eastAsia="Arial" w:hAnsi="Arial"/>
                <w:sz w:val="14"/>
                <w:szCs w:val="14"/>
                <w:color w:val="auto"/>
              </w:rPr>
              <w:t>216,677</w:t>
            </w:r>
          </w:p>
        </w:tc>
        <w:tc>
          <w:tcPr>
            <w:tcW w:w="820" w:type="dxa"/>
            <w:vAlign w:val="bottom"/>
            <w:shd w:val="clear" w:color="auto" w:fill="F3EDF3"/>
          </w:tcPr>
          <w:p>
            <w:pPr>
              <w:jc w:val="right"/>
              <w:ind w:right="8"/>
              <w:spacing w:after="0"/>
              <w:rPr>
                <w:sz w:val="20"/>
                <w:szCs w:val="20"/>
                <w:color w:val="auto"/>
              </w:rPr>
            </w:pPr>
            <w:r>
              <w:rPr>
                <w:rFonts w:ascii="Arial" w:cs="Arial" w:eastAsia="Arial" w:hAnsi="Arial"/>
                <w:sz w:val="14"/>
                <w:szCs w:val="14"/>
                <w:color w:val="auto"/>
              </w:rPr>
              <w:t>2,999,989</w:t>
            </w:r>
          </w:p>
        </w:tc>
        <w:tc>
          <w:tcPr>
            <w:tcW w:w="860" w:type="dxa"/>
            <w:vAlign w:val="bottom"/>
            <w:shd w:val="clear" w:color="auto" w:fill="F3EDF3"/>
          </w:tcPr>
          <w:p>
            <w:pPr>
              <w:jc w:val="right"/>
              <w:ind w:right="49"/>
              <w:spacing w:after="0"/>
              <w:rPr>
                <w:sz w:val="20"/>
                <w:szCs w:val="20"/>
                <w:color w:val="auto"/>
              </w:rPr>
            </w:pPr>
            <w:r>
              <w:rPr>
                <w:rFonts w:ascii="Arial" w:cs="Arial" w:eastAsia="Arial" w:hAnsi="Arial"/>
                <w:sz w:val="14"/>
                <w:szCs w:val="14"/>
                <w:color w:val="auto"/>
              </w:rPr>
              <w:t>1,999,990</w:t>
            </w:r>
          </w:p>
        </w:tc>
        <w:tc>
          <w:tcPr>
            <w:tcW w:w="1160" w:type="dxa"/>
            <w:vAlign w:val="bottom"/>
            <w:shd w:val="clear" w:color="auto" w:fill="F3EDF3"/>
          </w:tcPr>
          <w:p>
            <w:pPr>
              <w:spacing w:after="0"/>
              <w:rPr>
                <w:sz w:val="14"/>
                <w:szCs w:val="14"/>
                <w:color w:val="auto"/>
              </w:rPr>
            </w:pPr>
          </w:p>
        </w:tc>
        <w:tc>
          <w:tcPr>
            <w:tcW w:w="1180" w:type="dxa"/>
            <w:vAlign w:val="bottom"/>
            <w:shd w:val="clear" w:color="auto" w:fill="F3EDF3"/>
          </w:tcPr>
          <w:p>
            <w:pPr>
              <w:jc w:val="right"/>
              <w:ind w:right="8"/>
              <w:spacing w:after="0"/>
              <w:rPr>
                <w:sz w:val="20"/>
                <w:szCs w:val="20"/>
                <w:color w:val="auto"/>
              </w:rPr>
            </w:pPr>
            <w:r>
              <w:rPr>
                <w:rFonts w:ascii="Arial" w:cs="Arial" w:eastAsia="Arial" w:hAnsi="Arial"/>
                <w:sz w:val="14"/>
                <w:szCs w:val="14"/>
                <w:color w:val="auto"/>
              </w:rPr>
              <w:t>88,564</w:t>
            </w:r>
          </w:p>
        </w:tc>
        <w:tc>
          <w:tcPr>
            <w:tcW w:w="1200" w:type="dxa"/>
            <w:vAlign w:val="bottom"/>
            <w:gridSpan w:val="2"/>
            <w:shd w:val="clear" w:color="auto" w:fill="F3EDF3"/>
          </w:tcPr>
          <w:p>
            <w:pPr>
              <w:jc w:val="right"/>
              <w:ind w:right="25"/>
              <w:spacing w:after="0"/>
              <w:rPr>
                <w:sz w:val="20"/>
                <w:szCs w:val="20"/>
                <w:color w:val="auto"/>
              </w:rPr>
            </w:pPr>
            <w:r>
              <w:rPr>
                <w:rFonts w:ascii="Arial" w:cs="Arial" w:eastAsia="Arial" w:hAnsi="Arial"/>
                <w:sz w:val="14"/>
                <w:szCs w:val="14"/>
                <w:color w:val="auto"/>
              </w:rPr>
              <w:t>276,659</w:t>
            </w:r>
          </w:p>
        </w:tc>
        <w:tc>
          <w:tcPr>
            <w:tcW w:w="780" w:type="dxa"/>
            <w:vAlign w:val="bottom"/>
            <w:shd w:val="clear" w:color="auto" w:fill="F3EDF3"/>
          </w:tcPr>
          <w:p>
            <w:pPr>
              <w:jc w:val="right"/>
              <w:spacing w:after="0"/>
              <w:rPr>
                <w:sz w:val="20"/>
                <w:szCs w:val="20"/>
                <w:color w:val="auto"/>
              </w:rPr>
            </w:pPr>
            <w:r>
              <w:rPr>
                <w:rFonts w:ascii="Arial" w:cs="Arial" w:eastAsia="Arial" w:hAnsi="Arial"/>
                <w:sz w:val="14"/>
                <w:szCs w:val="14"/>
                <w:color w:val="auto"/>
              </w:rPr>
              <w:t>5,714,293</w:t>
            </w:r>
          </w:p>
        </w:tc>
        <w:tc>
          <w:tcPr>
            <w:tcW w:w="0" w:type="dxa"/>
            <w:vAlign w:val="bottom"/>
          </w:tcPr>
          <w:p>
            <w:pPr>
              <w:spacing w:after="0"/>
              <w:rPr>
                <w:sz w:val="1"/>
                <w:szCs w:val="1"/>
                <w:color w:val="auto"/>
              </w:rPr>
            </w:pPr>
          </w:p>
        </w:tc>
      </w:tr>
      <w:tr>
        <w:trPr>
          <w:trHeight w:val="157"/>
        </w:trPr>
        <w:tc>
          <w:tcPr>
            <w:tcW w:w="166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Officer</w:t>
            </w:r>
          </w:p>
        </w:tc>
        <w:tc>
          <w:tcPr>
            <w:tcW w:w="380" w:type="dxa"/>
            <w:vAlign w:val="bottom"/>
            <w:shd w:val="clear" w:color="auto" w:fill="F3EDF3"/>
          </w:tcPr>
          <w:p>
            <w:pPr>
              <w:spacing w:after="0"/>
              <w:rPr>
                <w:sz w:val="13"/>
                <w:szCs w:val="13"/>
                <w:color w:val="auto"/>
              </w:rPr>
            </w:pPr>
          </w:p>
        </w:tc>
        <w:tc>
          <w:tcPr>
            <w:tcW w:w="1980" w:type="dxa"/>
            <w:vAlign w:val="bottom"/>
            <w:shd w:val="clear" w:color="auto" w:fill="F3EDF3"/>
          </w:tcPr>
          <w:p>
            <w:pPr>
              <w:spacing w:after="0"/>
              <w:rPr>
                <w:sz w:val="13"/>
                <w:szCs w:val="13"/>
                <w:color w:val="auto"/>
              </w:rPr>
            </w:pPr>
          </w:p>
        </w:tc>
        <w:tc>
          <w:tcPr>
            <w:tcW w:w="700" w:type="dxa"/>
            <w:vAlign w:val="bottom"/>
            <w:shd w:val="clear" w:color="auto" w:fill="F3EDF3"/>
          </w:tcPr>
          <w:p>
            <w:pPr>
              <w:spacing w:after="0"/>
              <w:rPr>
                <w:sz w:val="13"/>
                <w:szCs w:val="13"/>
                <w:color w:val="auto"/>
              </w:rPr>
            </w:pPr>
          </w:p>
        </w:tc>
        <w:tc>
          <w:tcPr>
            <w:tcW w:w="700" w:type="dxa"/>
            <w:vAlign w:val="bottom"/>
            <w:shd w:val="clear" w:color="auto" w:fill="F3EDF3"/>
          </w:tcPr>
          <w:p>
            <w:pPr>
              <w:spacing w:after="0"/>
              <w:rPr>
                <w:sz w:val="13"/>
                <w:szCs w:val="13"/>
                <w:color w:val="auto"/>
              </w:rPr>
            </w:pPr>
          </w:p>
        </w:tc>
        <w:tc>
          <w:tcPr>
            <w:tcW w:w="820" w:type="dxa"/>
            <w:vAlign w:val="bottom"/>
            <w:shd w:val="clear" w:color="auto" w:fill="F3EDF3"/>
          </w:tcPr>
          <w:p>
            <w:pPr>
              <w:spacing w:after="0"/>
              <w:rPr>
                <w:sz w:val="13"/>
                <w:szCs w:val="13"/>
                <w:color w:val="auto"/>
              </w:rPr>
            </w:pPr>
          </w:p>
        </w:tc>
        <w:tc>
          <w:tcPr>
            <w:tcW w:w="860" w:type="dxa"/>
            <w:vAlign w:val="bottom"/>
            <w:shd w:val="clear" w:color="auto" w:fill="F3EDF3"/>
          </w:tcPr>
          <w:p>
            <w:pPr>
              <w:spacing w:after="0"/>
              <w:rPr>
                <w:sz w:val="13"/>
                <w:szCs w:val="13"/>
                <w:color w:val="auto"/>
              </w:rPr>
            </w:pPr>
          </w:p>
        </w:tc>
        <w:tc>
          <w:tcPr>
            <w:tcW w:w="1160" w:type="dxa"/>
            <w:vAlign w:val="bottom"/>
            <w:shd w:val="clear" w:color="auto" w:fill="F3EDF3"/>
          </w:tcPr>
          <w:p>
            <w:pPr>
              <w:spacing w:after="0"/>
              <w:rPr>
                <w:sz w:val="13"/>
                <w:szCs w:val="13"/>
                <w:color w:val="auto"/>
              </w:rPr>
            </w:pPr>
          </w:p>
        </w:tc>
        <w:tc>
          <w:tcPr>
            <w:tcW w:w="1180" w:type="dxa"/>
            <w:vAlign w:val="bottom"/>
            <w:shd w:val="clear" w:color="auto" w:fill="F3EDF3"/>
          </w:tcPr>
          <w:p>
            <w:pPr>
              <w:spacing w:after="0"/>
              <w:rPr>
                <w:sz w:val="13"/>
                <w:szCs w:val="13"/>
                <w:color w:val="auto"/>
              </w:rPr>
            </w:pPr>
          </w:p>
        </w:tc>
        <w:tc>
          <w:tcPr>
            <w:tcW w:w="280" w:type="dxa"/>
            <w:vAlign w:val="bottom"/>
            <w:shd w:val="clear" w:color="auto" w:fill="F3EDF3"/>
          </w:tcPr>
          <w:p>
            <w:pPr>
              <w:spacing w:after="0"/>
              <w:rPr>
                <w:sz w:val="13"/>
                <w:szCs w:val="13"/>
                <w:color w:val="auto"/>
              </w:rPr>
            </w:pPr>
          </w:p>
        </w:tc>
        <w:tc>
          <w:tcPr>
            <w:tcW w:w="920" w:type="dxa"/>
            <w:vAlign w:val="bottom"/>
            <w:shd w:val="clear" w:color="auto" w:fill="F3EDF3"/>
          </w:tcPr>
          <w:p>
            <w:pPr>
              <w:spacing w:after="0"/>
              <w:rPr>
                <w:sz w:val="13"/>
                <w:szCs w:val="13"/>
                <w:color w:val="auto"/>
              </w:rPr>
            </w:pPr>
          </w:p>
        </w:tc>
        <w:tc>
          <w:tcPr>
            <w:tcW w:w="780" w:type="dxa"/>
            <w:vAlign w:val="bottom"/>
            <w:shd w:val="clear" w:color="auto" w:fill="F3EDF3"/>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231F20"/>
              </w:rPr>
              <w:t>2015</w:t>
            </w:r>
          </w:p>
        </w:tc>
        <w:tc>
          <w:tcPr>
            <w:tcW w:w="1980" w:type="dxa"/>
            <w:vAlign w:val="bottom"/>
          </w:tcPr>
          <w:p>
            <w:pPr>
              <w:ind w:left="20"/>
              <w:spacing w:after="0"/>
              <w:rPr>
                <w:sz w:val="20"/>
                <w:szCs w:val="20"/>
                <w:color w:val="auto"/>
              </w:rPr>
            </w:pPr>
            <w:r>
              <w:rPr>
                <w:rFonts w:ascii="Arial" w:cs="Arial" w:eastAsia="Arial" w:hAnsi="Arial"/>
                <w:sz w:val="14"/>
                <w:szCs w:val="14"/>
                <w:color w:val="231F20"/>
              </w:rPr>
              <w:t>Transition Period (April 25,</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231F20"/>
              </w:rPr>
              <w:t>2015</w:t>
            </w:r>
          </w:p>
        </w:tc>
        <w:tc>
          <w:tcPr>
            <w:tcW w:w="1980" w:type="dxa"/>
            <w:vAlign w:val="bottom"/>
          </w:tcPr>
          <w:p>
            <w:pPr>
              <w:ind w:left="20"/>
              <w:spacing w:after="0"/>
              <w:rPr>
                <w:sz w:val="20"/>
                <w:szCs w:val="20"/>
                <w:color w:val="auto"/>
              </w:rPr>
            </w:pPr>
            <w:r>
              <w:rPr>
                <w:rFonts w:ascii="Arial" w:cs="Arial" w:eastAsia="Arial" w:hAnsi="Arial"/>
                <w:sz w:val="14"/>
                <w:szCs w:val="14"/>
                <w:color w:val="231F20"/>
              </w:rPr>
              <w:t>– December 31, 2015)</w:t>
            </w: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60" w:type="dxa"/>
            <w:vAlign w:val="bottom"/>
            <w:tcBorders>
              <w:bottom w:val="single" w:sz="8" w:color="6F2875"/>
            </w:tcBorders>
          </w:tcPr>
          <w:p>
            <w:pPr>
              <w:spacing w:after="0"/>
              <w:rPr>
                <w:sz w:val="14"/>
                <w:szCs w:val="14"/>
                <w:color w:val="auto"/>
              </w:rPr>
            </w:pPr>
          </w:p>
        </w:tc>
        <w:tc>
          <w:tcPr>
            <w:tcW w:w="1300" w:type="dxa"/>
            <w:vAlign w:val="bottom"/>
            <w:tcBorders>
              <w:bottom w:val="single" w:sz="8" w:color="6F2875"/>
            </w:tcBorders>
          </w:tcPr>
          <w:p>
            <w:pPr>
              <w:spacing w:after="0"/>
              <w:rPr>
                <w:sz w:val="14"/>
                <w:szCs w:val="14"/>
                <w:color w:val="auto"/>
              </w:rPr>
            </w:pPr>
          </w:p>
        </w:tc>
        <w:tc>
          <w:tcPr>
            <w:tcW w:w="2360" w:type="dxa"/>
            <w:vAlign w:val="bottom"/>
            <w:tcBorders>
              <w:bottom w:val="single" w:sz="8" w:color="6F2875"/>
            </w:tcBorders>
            <w:gridSpan w:val="2"/>
            <w:shd w:val="clear" w:color="auto" w:fill="F3EDF3"/>
          </w:tcPr>
          <w:p>
            <w:pPr>
              <w:ind w:left="40"/>
              <w:spacing w:after="0"/>
              <w:rPr>
                <w:sz w:val="20"/>
                <w:szCs w:val="20"/>
                <w:color w:val="auto"/>
              </w:rPr>
            </w:pPr>
            <w:r>
              <w:rPr>
                <w:rFonts w:ascii="Arial" w:cs="Arial" w:eastAsia="Arial" w:hAnsi="Arial"/>
                <w:sz w:val="14"/>
                <w:szCs w:val="14"/>
                <w:color w:val="auto"/>
              </w:rPr>
              <w:t>YE April 24, 2015</w:t>
            </w:r>
          </w:p>
        </w:tc>
        <w:tc>
          <w:tcPr>
            <w:tcW w:w="700" w:type="dxa"/>
            <w:vAlign w:val="bottom"/>
            <w:tcBorders>
              <w:bottom w:val="single" w:sz="8" w:color="6F2875"/>
            </w:tcBorders>
            <w:shd w:val="clear" w:color="auto" w:fill="F3EDF3"/>
          </w:tcPr>
          <w:p>
            <w:pPr>
              <w:spacing w:after="0"/>
              <w:rPr>
                <w:sz w:val="14"/>
                <w:szCs w:val="14"/>
                <w:color w:val="auto"/>
              </w:rPr>
            </w:pPr>
          </w:p>
        </w:tc>
        <w:tc>
          <w:tcPr>
            <w:tcW w:w="700" w:type="dxa"/>
            <w:vAlign w:val="bottom"/>
            <w:tcBorders>
              <w:bottom w:val="single" w:sz="8" w:color="6F2875"/>
            </w:tcBorders>
            <w:shd w:val="clear" w:color="auto" w:fill="F3EDF3"/>
          </w:tcPr>
          <w:p>
            <w:pPr>
              <w:spacing w:after="0"/>
              <w:rPr>
                <w:sz w:val="14"/>
                <w:szCs w:val="14"/>
                <w:color w:val="auto"/>
              </w:rPr>
            </w:pPr>
          </w:p>
        </w:tc>
        <w:tc>
          <w:tcPr>
            <w:tcW w:w="820" w:type="dxa"/>
            <w:vAlign w:val="bottom"/>
            <w:tcBorders>
              <w:bottom w:val="single" w:sz="8" w:color="6F2875"/>
            </w:tcBorders>
            <w:shd w:val="clear" w:color="auto" w:fill="F3EDF3"/>
          </w:tcPr>
          <w:p>
            <w:pPr>
              <w:spacing w:after="0"/>
              <w:rPr>
                <w:sz w:val="14"/>
                <w:szCs w:val="14"/>
                <w:color w:val="auto"/>
              </w:rPr>
            </w:pPr>
          </w:p>
        </w:tc>
        <w:tc>
          <w:tcPr>
            <w:tcW w:w="860" w:type="dxa"/>
            <w:vAlign w:val="bottom"/>
            <w:tcBorders>
              <w:bottom w:val="single" w:sz="8" w:color="6F2875"/>
            </w:tcBorders>
            <w:shd w:val="clear" w:color="auto" w:fill="F3EDF3"/>
          </w:tcPr>
          <w:p>
            <w:pPr>
              <w:spacing w:after="0"/>
              <w:rPr>
                <w:sz w:val="14"/>
                <w:szCs w:val="14"/>
                <w:color w:val="auto"/>
              </w:rPr>
            </w:pPr>
          </w:p>
        </w:tc>
        <w:tc>
          <w:tcPr>
            <w:tcW w:w="1160" w:type="dxa"/>
            <w:vAlign w:val="bottom"/>
            <w:tcBorders>
              <w:bottom w:val="single" w:sz="8" w:color="6F2875"/>
            </w:tcBorders>
            <w:shd w:val="clear" w:color="auto" w:fill="F3EDF3"/>
          </w:tcPr>
          <w:p>
            <w:pPr>
              <w:spacing w:after="0"/>
              <w:rPr>
                <w:sz w:val="14"/>
                <w:szCs w:val="14"/>
                <w:color w:val="auto"/>
              </w:rPr>
            </w:pPr>
          </w:p>
        </w:tc>
        <w:tc>
          <w:tcPr>
            <w:tcW w:w="1180" w:type="dxa"/>
            <w:vAlign w:val="bottom"/>
            <w:tcBorders>
              <w:bottom w:val="single" w:sz="8" w:color="6F2875"/>
            </w:tcBorders>
            <w:shd w:val="clear" w:color="auto" w:fill="F3EDF3"/>
          </w:tcPr>
          <w:p>
            <w:pPr>
              <w:spacing w:after="0"/>
              <w:rPr>
                <w:sz w:val="14"/>
                <w:szCs w:val="14"/>
                <w:color w:val="auto"/>
              </w:rPr>
            </w:pPr>
          </w:p>
        </w:tc>
        <w:tc>
          <w:tcPr>
            <w:tcW w:w="280" w:type="dxa"/>
            <w:vAlign w:val="bottom"/>
            <w:tcBorders>
              <w:bottom w:val="single" w:sz="8" w:color="6F2875"/>
            </w:tcBorders>
            <w:shd w:val="clear" w:color="auto" w:fill="F3EDF3"/>
          </w:tcPr>
          <w:p>
            <w:pPr>
              <w:spacing w:after="0"/>
              <w:rPr>
                <w:sz w:val="14"/>
                <w:szCs w:val="14"/>
                <w:color w:val="auto"/>
              </w:rPr>
            </w:pPr>
          </w:p>
        </w:tc>
        <w:tc>
          <w:tcPr>
            <w:tcW w:w="920" w:type="dxa"/>
            <w:vAlign w:val="bottom"/>
            <w:tcBorders>
              <w:bottom w:val="single" w:sz="8" w:color="6F2875"/>
            </w:tcBorders>
            <w:shd w:val="clear" w:color="auto" w:fill="F3EDF3"/>
          </w:tcPr>
          <w:p>
            <w:pPr>
              <w:spacing w:after="0"/>
              <w:rPr>
                <w:sz w:val="14"/>
                <w:szCs w:val="14"/>
                <w:color w:val="auto"/>
              </w:rPr>
            </w:pPr>
          </w:p>
        </w:tc>
        <w:tc>
          <w:tcPr>
            <w:tcW w:w="780" w:type="dxa"/>
            <w:vAlign w:val="bottom"/>
            <w:tcBorders>
              <w:bottom w:val="single" w:sz="8" w:color="6F2875"/>
            </w:tcBorders>
            <w:shd w:val="clear" w:color="auto" w:fill="F3EDF3"/>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231F20"/>
              </w:rPr>
              <w:t>Thad Huston</w:t>
            </w:r>
          </w:p>
        </w:tc>
        <w:tc>
          <w:tcPr>
            <w:tcW w:w="380" w:type="dxa"/>
            <w:vAlign w:val="bottom"/>
          </w:tcPr>
          <w:p>
            <w:pPr>
              <w:ind w:left="40"/>
              <w:spacing w:after="0"/>
              <w:rPr>
                <w:sz w:val="20"/>
                <w:szCs w:val="20"/>
                <w:color w:val="auto"/>
              </w:rPr>
            </w:pPr>
            <w:r>
              <w:rPr>
                <w:rFonts w:ascii="Arial" w:cs="Arial" w:eastAsia="Arial" w:hAnsi="Arial"/>
                <w:sz w:val="14"/>
                <w:szCs w:val="14"/>
                <w:color w:val="231F20"/>
              </w:rPr>
              <w:t>2017</w:t>
            </w:r>
          </w:p>
        </w:tc>
        <w:tc>
          <w:tcPr>
            <w:tcW w:w="198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231F20"/>
              </w:rPr>
              <w:t>296,759</w:t>
            </w:r>
          </w:p>
        </w:tc>
        <w:tc>
          <w:tcPr>
            <w:tcW w:w="70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231F20"/>
              </w:rPr>
              <w:t>3,158,878</w:t>
            </w: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231F20"/>
              </w:rPr>
              <w:t>269,641</w:t>
            </w:r>
          </w:p>
        </w:tc>
        <w:tc>
          <w:tcPr>
            <w:tcW w:w="1200" w:type="dxa"/>
            <w:vAlign w:val="bottom"/>
            <w:gridSpan w:val="2"/>
          </w:tcPr>
          <w:p>
            <w:pPr>
              <w:jc w:val="right"/>
              <w:ind w:right="25"/>
              <w:spacing w:after="0"/>
              <w:rPr>
                <w:sz w:val="20"/>
                <w:szCs w:val="20"/>
                <w:color w:val="auto"/>
              </w:rPr>
            </w:pPr>
            <w:r>
              <w:rPr>
                <w:rFonts w:ascii="Arial" w:cs="Arial" w:eastAsia="Arial" w:hAnsi="Arial"/>
                <w:sz w:val="14"/>
                <w:szCs w:val="14"/>
                <w:color w:val="231F20"/>
              </w:rPr>
              <w:t>157,907</w:t>
            </w:r>
          </w:p>
        </w:tc>
        <w:tc>
          <w:tcPr>
            <w:tcW w:w="780" w:type="dxa"/>
            <w:vAlign w:val="bottom"/>
          </w:tcPr>
          <w:p>
            <w:pPr>
              <w:jc w:val="right"/>
              <w:spacing w:after="0"/>
              <w:rPr>
                <w:sz w:val="20"/>
                <w:szCs w:val="20"/>
                <w:color w:val="auto"/>
              </w:rPr>
            </w:pPr>
            <w:r>
              <w:rPr>
                <w:rFonts w:ascii="Arial" w:cs="Arial" w:eastAsia="Arial" w:hAnsi="Arial"/>
                <w:sz w:val="14"/>
                <w:szCs w:val="14"/>
                <w:color w:val="231F20"/>
              </w:rPr>
              <w:t>3,883,185</w:t>
            </w:r>
          </w:p>
        </w:tc>
        <w:tc>
          <w:tcPr>
            <w:tcW w:w="0" w:type="dxa"/>
            <w:vAlign w:val="bottom"/>
          </w:tcPr>
          <w:p>
            <w:pPr>
              <w:spacing w:after="0"/>
              <w:rPr>
                <w:sz w:val="1"/>
                <w:szCs w:val="1"/>
                <w:color w:val="auto"/>
              </w:rPr>
            </w:pPr>
          </w:p>
        </w:tc>
      </w:tr>
      <w:tr>
        <w:trPr>
          <w:trHeight w:val="167"/>
        </w:trPr>
        <w:tc>
          <w:tcPr>
            <w:tcW w:w="1660" w:type="dxa"/>
            <w:vAlign w:val="bottom"/>
            <w:gridSpan w:val="2"/>
          </w:tcPr>
          <w:p>
            <w:pPr>
              <w:ind w:left="180"/>
              <w:spacing w:after="0"/>
              <w:rPr>
                <w:sz w:val="20"/>
                <w:szCs w:val="20"/>
                <w:color w:val="auto"/>
              </w:rPr>
            </w:pPr>
            <w:r>
              <w:rPr>
                <w:rFonts w:ascii="Arial" w:cs="Arial" w:eastAsia="Arial" w:hAnsi="Arial"/>
                <w:sz w:val="14"/>
                <w:szCs w:val="14"/>
                <w:color w:val="auto"/>
              </w:rPr>
              <w:t>Chief Financial</w:t>
            </w:r>
          </w:p>
        </w:tc>
        <w:tc>
          <w:tcPr>
            <w:tcW w:w="380" w:type="dxa"/>
            <w:vAlign w:val="bottom"/>
            <w:vMerge w:val="restart"/>
            <w:shd w:val="clear" w:color="auto" w:fill="F3EDF3"/>
          </w:tcPr>
          <w:p>
            <w:pPr>
              <w:ind w:left="40"/>
              <w:spacing w:after="0"/>
              <w:rPr>
                <w:sz w:val="20"/>
                <w:szCs w:val="20"/>
                <w:color w:val="auto"/>
              </w:rPr>
            </w:pPr>
            <w:r>
              <w:rPr>
                <w:rFonts w:ascii="Arial" w:cs="Arial" w:eastAsia="Arial" w:hAnsi="Arial"/>
                <w:sz w:val="14"/>
                <w:szCs w:val="14"/>
                <w:color w:val="auto"/>
              </w:rPr>
              <w:t>2016</w:t>
            </w:r>
          </w:p>
        </w:tc>
        <w:tc>
          <w:tcPr>
            <w:tcW w:w="1980" w:type="dxa"/>
            <w:vAlign w:val="bottom"/>
            <w:shd w:val="clear" w:color="auto" w:fill="F3EDF3"/>
          </w:tcPr>
          <w:p>
            <w:pPr>
              <w:spacing w:after="0"/>
              <w:rPr>
                <w:sz w:val="14"/>
                <w:szCs w:val="14"/>
                <w:color w:val="auto"/>
              </w:rPr>
            </w:pPr>
          </w:p>
        </w:tc>
        <w:tc>
          <w:tcPr>
            <w:tcW w:w="700" w:type="dxa"/>
            <w:vAlign w:val="bottom"/>
            <w:shd w:val="clear" w:color="auto" w:fill="F3EDF3"/>
          </w:tcPr>
          <w:p>
            <w:pPr>
              <w:spacing w:after="0"/>
              <w:rPr>
                <w:sz w:val="14"/>
                <w:szCs w:val="14"/>
                <w:color w:val="auto"/>
              </w:rPr>
            </w:pPr>
          </w:p>
        </w:tc>
        <w:tc>
          <w:tcPr>
            <w:tcW w:w="700" w:type="dxa"/>
            <w:vAlign w:val="bottom"/>
            <w:shd w:val="clear" w:color="auto" w:fill="F3EDF3"/>
          </w:tcPr>
          <w:p>
            <w:pPr>
              <w:spacing w:after="0"/>
              <w:rPr>
                <w:sz w:val="14"/>
                <w:szCs w:val="14"/>
                <w:color w:val="auto"/>
              </w:rPr>
            </w:pPr>
          </w:p>
        </w:tc>
        <w:tc>
          <w:tcPr>
            <w:tcW w:w="820" w:type="dxa"/>
            <w:vAlign w:val="bottom"/>
            <w:shd w:val="clear" w:color="auto" w:fill="F3EDF3"/>
          </w:tcPr>
          <w:p>
            <w:pPr>
              <w:spacing w:after="0"/>
              <w:rPr>
                <w:sz w:val="14"/>
                <w:szCs w:val="14"/>
                <w:color w:val="auto"/>
              </w:rPr>
            </w:pPr>
          </w:p>
        </w:tc>
        <w:tc>
          <w:tcPr>
            <w:tcW w:w="860" w:type="dxa"/>
            <w:vAlign w:val="bottom"/>
            <w:shd w:val="clear" w:color="auto" w:fill="F3EDF3"/>
          </w:tcPr>
          <w:p>
            <w:pPr>
              <w:spacing w:after="0"/>
              <w:rPr>
                <w:sz w:val="14"/>
                <w:szCs w:val="14"/>
                <w:color w:val="auto"/>
              </w:rPr>
            </w:pPr>
          </w:p>
        </w:tc>
        <w:tc>
          <w:tcPr>
            <w:tcW w:w="1160" w:type="dxa"/>
            <w:vAlign w:val="bottom"/>
            <w:shd w:val="clear" w:color="auto" w:fill="F3EDF3"/>
          </w:tcPr>
          <w:p>
            <w:pPr>
              <w:spacing w:after="0"/>
              <w:rPr>
                <w:sz w:val="14"/>
                <w:szCs w:val="14"/>
                <w:color w:val="auto"/>
              </w:rPr>
            </w:pPr>
          </w:p>
        </w:tc>
        <w:tc>
          <w:tcPr>
            <w:tcW w:w="1180" w:type="dxa"/>
            <w:vAlign w:val="bottom"/>
            <w:shd w:val="clear" w:color="auto" w:fill="F3EDF3"/>
          </w:tcPr>
          <w:p>
            <w:pPr>
              <w:spacing w:after="0"/>
              <w:rPr>
                <w:sz w:val="14"/>
                <w:szCs w:val="14"/>
                <w:color w:val="auto"/>
              </w:rPr>
            </w:pPr>
          </w:p>
        </w:tc>
        <w:tc>
          <w:tcPr>
            <w:tcW w:w="280" w:type="dxa"/>
            <w:vAlign w:val="bottom"/>
            <w:shd w:val="clear" w:color="auto" w:fill="F3EDF3"/>
          </w:tcPr>
          <w:p>
            <w:pPr>
              <w:spacing w:after="0"/>
              <w:rPr>
                <w:sz w:val="14"/>
                <w:szCs w:val="14"/>
                <w:color w:val="auto"/>
              </w:rPr>
            </w:pPr>
          </w:p>
        </w:tc>
        <w:tc>
          <w:tcPr>
            <w:tcW w:w="920" w:type="dxa"/>
            <w:vAlign w:val="bottom"/>
            <w:shd w:val="clear" w:color="auto" w:fill="F3EDF3"/>
          </w:tcPr>
          <w:p>
            <w:pPr>
              <w:spacing w:after="0"/>
              <w:rPr>
                <w:sz w:val="14"/>
                <w:szCs w:val="14"/>
                <w:color w:val="auto"/>
              </w:rPr>
            </w:pPr>
          </w:p>
        </w:tc>
        <w:tc>
          <w:tcPr>
            <w:tcW w:w="780" w:type="dxa"/>
            <w:vAlign w:val="bottom"/>
            <w:shd w:val="clear" w:color="auto" w:fill="F3EDF3"/>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1660" w:type="dxa"/>
            <w:vAlign w:val="bottom"/>
            <w:gridSpan w:val="2"/>
            <w:vMerge w:val="restart"/>
          </w:tcPr>
          <w:p>
            <w:pPr>
              <w:ind w:left="180"/>
              <w:spacing w:after="0" w:line="157" w:lineRule="exact"/>
              <w:rPr>
                <w:sz w:val="20"/>
                <w:szCs w:val="20"/>
                <w:color w:val="auto"/>
              </w:rPr>
            </w:pPr>
            <w:r>
              <w:rPr>
                <w:rFonts w:ascii="Arial" w:cs="Arial" w:eastAsia="Arial" w:hAnsi="Arial"/>
                <w:sz w:val="14"/>
                <w:szCs w:val="14"/>
                <w:color w:val="auto"/>
              </w:rPr>
              <w:t>Officer</w:t>
            </w:r>
          </w:p>
        </w:tc>
        <w:tc>
          <w:tcPr>
            <w:tcW w:w="380" w:type="dxa"/>
            <w:vAlign w:val="bottom"/>
            <w:vMerge w:val="continue"/>
            <w:shd w:val="clear" w:color="auto" w:fill="F3EDF3"/>
          </w:tcPr>
          <w:p>
            <w:pPr>
              <w:spacing w:after="0"/>
              <w:rPr>
                <w:sz w:val="7"/>
                <w:szCs w:val="7"/>
                <w:color w:val="auto"/>
              </w:rPr>
            </w:pPr>
          </w:p>
        </w:tc>
        <w:tc>
          <w:tcPr>
            <w:tcW w:w="1980" w:type="dxa"/>
            <w:vAlign w:val="bottom"/>
            <w:shd w:val="clear" w:color="auto" w:fill="F3EDF3"/>
          </w:tcPr>
          <w:p>
            <w:pPr>
              <w:spacing w:after="0"/>
              <w:rPr>
                <w:sz w:val="7"/>
                <w:szCs w:val="7"/>
                <w:color w:val="auto"/>
              </w:rPr>
            </w:pPr>
          </w:p>
        </w:tc>
        <w:tc>
          <w:tcPr>
            <w:tcW w:w="700" w:type="dxa"/>
            <w:vAlign w:val="bottom"/>
            <w:shd w:val="clear" w:color="auto" w:fill="F3EDF3"/>
          </w:tcPr>
          <w:p>
            <w:pPr>
              <w:spacing w:after="0"/>
              <w:rPr>
                <w:sz w:val="7"/>
                <w:szCs w:val="7"/>
                <w:color w:val="auto"/>
              </w:rPr>
            </w:pPr>
          </w:p>
        </w:tc>
        <w:tc>
          <w:tcPr>
            <w:tcW w:w="700" w:type="dxa"/>
            <w:vAlign w:val="bottom"/>
            <w:shd w:val="clear" w:color="auto" w:fill="F3EDF3"/>
          </w:tcPr>
          <w:p>
            <w:pPr>
              <w:spacing w:after="0"/>
              <w:rPr>
                <w:sz w:val="7"/>
                <w:szCs w:val="7"/>
                <w:color w:val="auto"/>
              </w:rPr>
            </w:pPr>
          </w:p>
        </w:tc>
        <w:tc>
          <w:tcPr>
            <w:tcW w:w="820" w:type="dxa"/>
            <w:vAlign w:val="bottom"/>
            <w:shd w:val="clear" w:color="auto" w:fill="F3EDF3"/>
          </w:tcPr>
          <w:p>
            <w:pPr>
              <w:spacing w:after="0"/>
              <w:rPr>
                <w:sz w:val="7"/>
                <w:szCs w:val="7"/>
                <w:color w:val="auto"/>
              </w:rPr>
            </w:pPr>
          </w:p>
        </w:tc>
        <w:tc>
          <w:tcPr>
            <w:tcW w:w="860" w:type="dxa"/>
            <w:vAlign w:val="bottom"/>
            <w:shd w:val="clear" w:color="auto" w:fill="F3EDF3"/>
          </w:tcPr>
          <w:p>
            <w:pPr>
              <w:spacing w:after="0"/>
              <w:rPr>
                <w:sz w:val="7"/>
                <w:szCs w:val="7"/>
                <w:color w:val="auto"/>
              </w:rPr>
            </w:pPr>
          </w:p>
        </w:tc>
        <w:tc>
          <w:tcPr>
            <w:tcW w:w="1160" w:type="dxa"/>
            <w:vAlign w:val="bottom"/>
            <w:shd w:val="clear" w:color="auto" w:fill="F3EDF3"/>
          </w:tcPr>
          <w:p>
            <w:pPr>
              <w:spacing w:after="0"/>
              <w:rPr>
                <w:sz w:val="7"/>
                <w:szCs w:val="7"/>
                <w:color w:val="auto"/>
              </w:rPr>
            </w:pPr>
          </w:p>
        </w:tc>
        <w:tc>
          <w:tcPr>
            <w:tcW w:w="1180" w:type="dxa"/>
            <w:vAlign w:val="bottom"/>
            <w:shd w:val="clear" w:color="auto" w:fill="F3EDF3"/>
          </w:tcPr>
          <w:p>
            <w:pPr>
              <w:spacing w:after="0"/>
              <w:rPr>
                <w:sz w:val="7"/>
                <w:szCs w:val="7"/>
                <w:color w:val="auto"/>
              </w:rPr>
            </w:pPr>
          </w:p>
        </w:tc>
        <w:tc>
          <w:tcPr>
            <w:tcW w:w="280" w:type="dxa"/>
            <w:vAlign w:val="bottom"/>
            <w:shd w:val="clear" w:color="auto" w:fill="F3EDF3"/>
          </w:tcPr>
          <w:p>
            <w:pPr>
              <w:spacing w:after="0"/>
              <w:rPr>
                <w:sz w:val="7"/>
                <w:szCs w:val="7"/>
                <w:color w:val="auto"/>
              </w:rPr>
            </w:pPr>
          </w:p>
        </w:tc>
        <w:tc>
          <w:tcPr>
            <w:tcW w:w="920" w:type="dxa"/>
            <w:vAlign w:val="bottom"/>
            <w:shd w:val="clear" w:color="auto" w:fill="F3EDF3"/>
          </w:tcPr>
          <w:p>
            <w:pPr>
              <w:spacing w:after="0"/>
              <w:rPr>
                <w:sz w:val="7"/>
                <w:szCs w:val="7"/>
                <w:color w:val="auto"/>
              </w:rPr>
            </w:pPr>
          </w:p>
        </w:tc>
        <w:tc>
          <w:tcPr>
            <w:tcW w:w="780" w:type="dxa"/>
            <w:vAlign w:val="bottom"/>
            <w:shd w:val="clear" w:color="auto" w:fill="F3EDF3"/>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660" w:type="dxa"/>
            <w:vAlign w:val="bottom"/>
            <w:gridSpan w:val="2"/>
            <w:vMerge w:val="continue"/>
          </w:tcPr>
          <w:p>
            <w:pPr>
              <w:spacing w:after="0"/>
              <w:rPr>
                <w:sz w:val="5"/>
                <w:szCs w:val="5"/>
                <w:color w:val="auto"/>
              </w:rPr>
            </w:pPr>
          </w:p>
        </w:tc>
        <w:tc>
          <w:tcPr>
            <w:tcW w:w="380" w:type="dxa"/>
            <w:vAlign w:val="bottom"/>
            <w:shd w:val="clear" w:color="auto" w:fill="F3EDF3"/>
          </w:tcPr>
          <w:p>
            <w:pPr>
              <w:spacing w:after="0"/>
              <w:rPr>
                <w:sz w:val="5"/>
                <w:szCs w:val="5"/>
                <w:color w:val="auto"/>
              </w:rPr>
            </w:pPr>
          </w:p>
        </w:tc>
        <w:tc>
          <w:tcPr>
            <w:tcW w:w="1980" w:type="dxa"/>
            <w:vAlign w:val="bottom"/>
            <w:shd w:val="clear" w:color="auto" w:fill="F3EDF3"/>
          </w:tcPr>
          <w:p>
            <w:pPr>
              <w:spacing w:after="0"/>
              <w:rPr>
                <w:sz w:val="5"/>
                <w:szCs w:val="5"/>
                <w:color w:val="auto"/>
              </w:rPr>
            </w:pPr>
          </w:p>
        </w:tc>
        <w:tc>
          <w:tcPr>
            <w:tcW w:w="700" w:type="dxa"/>
            <w:vAlign w:val="bottom"/>
            <w:shd w:val="clear" w:color="auto" w:fill="F3EDF3"/>
          </w:tcPr>
          <w:p>
            <w:pPr>
              <w:spacing w:after="0"/>
              <w:rPr>
                <w:sz w:val="5"/>
                <w:szCs w:val="5"/>
                <w:color w:val="auto"/>
              </w:rPr>
            </w:pPr>
          </w:p>
        </w:tc>
        <w:tc>
          <w:tcPr>
            <w:tcW w:w="700" w:type="dxa"/>
            <w:vAlign w:val="bottom"/>
            <w:shd w:val="clear" w:color="auto" w:fill="F3EDF3"/>
          </w:tcPr>
          <w:p>
            <w:pPr>
              <w:spacing w:after="0"/>
              <w:rPr>
                <w:sz w:val="5"/>
                <w:szCs w:val="5"/>
                <w:color w:val="auto"/>
              </w:rPr>
            </w:pPr>
          </w:p>
        </w:tc>
        <w:tc>
          <w:tcPr>
            <w:tcW w:w="820" w:type="dxa"/>
            <w:vAlign w:val="bottom"/>
            <w:shd w:val="clear" w:color="auto" w:fill="F3EDF3"/>
          </w:tcPr>
          <w:p>
            <w:pPr>
              <w:spacing w:after="0"/>
              <w:rPr>
                <w:sz w:val="5"/>
                <w:szCs w:val="5"/>
                <w:color w:val="auto"/>
              </w:rPr>
            </w:pPr>
          </w:p>
        </w:tc>
        <w:tc>
          <w:tcPr>
            <w:tcW w:w="860" w:type="dxa"/>
            <w:vAlign w:val="bottom"/>
            <w:shd w:val="clear" w:color="auto" w:fill="F3EDF3"/>
          </w:tcPr>
          <w:p>
            <w:pPr>
              <w:spacing w:after="0"/>
              <w:rPr>
                <w:sz w:val="5"/>
                <w:szCs w:val="5"/>
                <w:color w:val="auto"/>
              </w:rPr>
            </w:pPr>
          </w:p>
        </w:tc>
        <w:tc>
          <w:tcPr>
            <w:tcW w:w="1160" w:type="dxa"/>
            <w:vAlign w:val="bottom"/>
            <w:shd w:val="clear" w:color="auto" w:fill="F3EDF3"/>
          </w:tcPr>
          <w:p>
            <w:pPr>
              <w:spacing w:after="0"/>
              <w:rPr>
                <w:sz w:val="5"/>
                <w:szCs w:val="5"/>
                <w:color w:val="auto"/>
              </w:rPr>
            </w:pPr>
          </w:p>
        </w:tc>
        <w:tc>
          <w:tcPr>
            <w:tcW w:w="1180" w:type="dxa"/>
            <w:vAlign w:val="bottom"/>
            <w:shd w:val="clear" w:color="auto" w:fill="F3EDF3"/>
          </w:tcPr>
          <w:p>
            <w:pPr>
              <w:spacing w:after="0"/>
              <w:rPr>
                <w:sz w:val="5"/>
                <w:szCs w:val="5"/>
                <w:color w:val="auto"/>
              </w:rPr>
            </w:pPr>
          </w:p>
        </w:tc>
        <w:tc>
          <w:tcPr>
            <w:tcW w:w="280" w:type="dxa"/>
            <w:vAlign w:val="bottom"/>
            <w:shd w:val="clear" w:color="auto" w:fill="F3EDF3"/>
          </w:tcPr>
          <w:p>
            <w:pPr>
              <w:spacing w:after="0"/>
              <w:rPr>
                <w:sz w:val="5"/>
                <w:szCs w:val="5"/>
                <w:color w:val="auto"/>
              </w:rPr>
            </w:pPr>
          </w:p>
        </w:tc>
        <w:tc>
          <w:tcPr>
            <w:tcW w:w="920" w:type="dxa"/>
            <w:vAlign w:val="bottom"/>
            <w:shd w:val="clear" w:color="auto" w:fill="F3EDF3"/>
          </w:tcPr>
          <w:p>
            <w:pPr>
              <w:spacing w:after="0"/>
              <w:rPr>
                <w:sz w:val="5"/>
                <w:szCs w:val="5"/>
                <w:color w:val="auto"/>
              </w:rPr>
            </w:pPr>
          </w:p>
        </w:tc>
        <w:tc>
          <w:tcPr>
            <w:tcW w:w="780" w:type="dxa"/>
            <w:vAlign w:val="bottom"/>
            <w:shd w:val="clear" w:color="auto" w:fill="F3EDF3"/>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231F20"/>
              </w:rPr>
              <w:t>2015</w:t>
            </w:r>
          </w:p>
        </w:tc>
        <w:tc>
          <w:tcPr>
            <w:tcW w:w="1980" w:type="dxa"/>
            <w:vAlign w:val="bottom"/>
          </w:tcPr>
          <w:p>
            <w:pPr>
              <w:ind w:left="20"/>
              <w:spacing w:after="0"/>
              <w:rPr>
                <w:sz w:val="20"/>
                <w:szCs w:val="20"/>
                <w:color w:val="auto"/>
              </w:rPr>
            </w:pPr>
            <w:r>
              <w:rPr>
                <w:rFonts w:ascii="Arial" w:cs="Arial" w:eastAsia="Arial" w:hAnsi="Arial"/>
                <w:sz w:val="14"/>
                <w:szCs w:val="14"/>
                <w:color w:val="231F20"/>
              </w:rPr>
              <w:t>Transition Period (April 25,</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231F20"/>
              </w:rPr>
              <w:t>2015</w:t>
            </w:r>
          </w:p>
        </w:tc>
        <w:tc>
          <w:tcPr>
            <w:tcW w:w="1980" w:type="dxa"/>
            <w:vAlign w:val="bottom"/>
          </w:tcPr>
          <w:p>
            <w:pPr>
              <w:ind w:left="20"/>
              <w:spacing w:after="0"/>
              <w:rPr>
                <w:sz w:val="20"/>
                <w:szCs w:val="20"/>
                <w:color w:val="auto"/>
              </w:rPr>
            </w:pPr>
            <w:r>
              <w:rPr>
                <w:rFonts w:ascii="Arial" w:cs="Arial" w:eastAsia="Arial" w:hAnsi="Arial"/>
                <w:sz w:val="14"/>
                <w:szCs w:val="14"/>
                <w:color w:val="231F20"/>
              </w:rPr>
              <w:t>– December 31, 2015)</w:t>
            </w: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60" w:type="dxa"/>
            <w:vAlign w:val="bottom"/>
            <w:tcBorders>
              <w:bottom w:val="single" w:sz="8" w:color="6F2875"/>
            </w:tcBorders>
          </w:tcPr>
          <w:p>
            <w:pPr>
              <w:spacing w:after="0"/>
              <w:rPr>
                <w:sz w:val="14"/>
                <w:szCs w:val="14"/>
                <w:color w:val="auto"/>
              </w:rPr>
            </w:pPr>
          </w:p>
        </w:tc>
        <w:tc>
          <w:tcPr>
            <w:tcW w:w="1300" w:type="dxa"/>
            <w:vAlign w:val="bottom"/>
            <w:tcBorders>
              <w:bottom w:val="single" w:sz="8" w:color="6F2875"/>
            </w:tcBorders>
          </w:tcPr>
          <w:p>
            <w:pPr>
              <w:spacing w:after="0"/>
              <w:rPr>
                <w:sz w:val="14"/>
                <w:szCs w:val="14"/>
                <w:color w:val="auto"/>
              </w:rPr>
            </w:pPr>
          </w:p>
        </w:tc>
        <w:tc>
          <w:tcPr>
            <w:tcW w:w="2360" w:type="dxa"/>
            <w:vAlign w:val="bottom"/>
            <w:tcBorders>
              <w:bottom w:val="single" w:sz="8" w:color="6F2875"/>
            </w:tcBorders>
            <w:gridSpan w:val="2"/>
            <w:shd w:val="clear" w:color="auto" w:fill="F3EDF3"/>
          </w:tcPr>
          <w:p>
            <w:pPr>
              <w:ind w:left="40"/>
              <w:spacing w:after="0"/>
              <w:rPr>
                <w:sz w:val="20"/>
                <w:szCs w:val="20"/>
                <w:color w:val="auto"/>
              </w:rPr>
            </w:pPr>
            <w:r>
              <w:rPr>
                <w:rFonts w:ascii="Arial" w:cs="Arial" w:eastAsia="Arial" w:hAnsi="Arial"/>
                <w:sz w:val="14"/>
                <w:szCs w:val="14"/>
                <w:color w:val="auto"/>
              </w:rPr>
              <w:t>YE April 24, 2015</w:t>
            </w:r>
          </w:p>
        </w:tc>
        <w:tc>
          <w:tcPr>
            <w:tcW w:w="700" w:type="dxa"/>
            <w:vAlign w:val="bottom"/>
            <w:tcBorders>
              <w:bottom w:val="single" w:sz="8" w:color="6F2875"/>
            </w:tcBorders>
            <w:shd w:val="clear" w:color="auto" w:fill="F3EDF3"/>
          </w:tcPr>
          <w:p>
            <w:pPr>
              <w:spacing w:after="0"/>
              <w:rPr>
                <w:sz w:val="14"/>
                <w:szCs w:val="14"/>
                <w:color w:val="auto"/>
              </w:rPr>
            </w:pPr>
          </w:p>
        </w:tc>
        <w:tc>
          <w:tcPr>
            <w:tcW w:w="700" w:type="dxa"/>
            <w:vAlign w:val="bottom"/>
            <w:tcBorders>
              <w:bottom w:val="single" w:sz="8" w:color="6F2875"/>
            </w:tcBorders>
            <w:shd w:val="clear" w:color="auto" w:fill="F3EDF3"/>
          </w:tcPr>
          <w:p>
            <w:pPr>
              <w:spacing w:after="0"/>
              <w:rPr>
                <w:sz w:val="14"/>
                <w:szCs w:val="14"/>
                <w:color w:val="auto"/>
              </w:rPr>
            </w:pPr>
          </w:p>
        </w:tc>
        <w:tc>
          <w:tcPr>
            <w:tcW w:w="820" w:type="dxa"/>
            <w:vAlign w:val="bottom"/>
            <w:tcBorders>
              <w:bottom w:val="single" w:sz="8" w:color="6F2875"/>
            </w:tcBorders>
            <w:shd w:val="clear" w:color="auto" w:fill="F3EDF3"/>
          </w:tcPr>
          <w:p>
            <w:pPr>
              <w:spacing w:after="0"/>
              <w:rPr>
                <w:sz w:val="14"/>
                <w:szCs w:val="14"/>
                <w:color w:val="auto"/>
              </w:rPr>
            </w:pPr>
          </w:p>
        </w:tc>
        <w:tc>
          <w:tcPr>
            <w:tcW w:w="860" w:type="dxa"/>
            <w:vAlign w:val="bottom"/>
            <w:tcBorders>
              <w:bottom w:val="single" w:sz="8" w:color="6F2875"/>
            </w:tcBorders>
            <w:shd w:val="clear" w:color="auto" w:fill="F3EDF3"/>
          </w:tcPr>
          <w:p>
            <w:pPr>
              <w:spacing w:after="0"/>
              <w:rPr>
                <w:sz w:val="14"/>
                <w:szCs w:val="14"/>
                <w:color w:val="auto"/>
              </w:rPr>
            </w:pPr>
          </w:p>
        </w:tc>
        <w:tc>
          <w:tcPr>
            <w:tcW w:w="1160" w:type="dxa"/>
            <w:vAlign w:val="bottom"/>
            <w:tcBorders>
              <w:bottom w:val="single" w:sz="8" w:color="6F2875"/>
            </w:tcBorders>
            <w:shd w:val="clear" w:color="auto" w:fill="F3EDF3"/>
          </w:tcPr>
          <w:p>
            <w:pPr>
              <w:spacing w:after="0"/>
              <w:rPr>
                <w:sz w:val="14"/>
                <w:szCs w:val="14"/>
                <w:color w:val="auto"/>
              </w:rPr>
            </w:pPr>
          </w:p>
        </w:tc>
        <w:tc>
          <w:tcPr>
            <w:tcW w:w="1180" w:type="dxa"/>
            <w:vAlign w:val="bottom"/>
            <w:tcBorders>
              <w:bottom w:val="single" w:sz="8" w:color="6F2875"/>
            </w:tcBorders>
            <w:shd w:val="clear" w:color="auto" w:fill="F3EDF3"/>
          </w:tcPr>
          <w:p>
            <w:pPr>
              <w:spacing w:after="0"/>
              <w:rPr>
                <w:sz w:val="14"/>
                <w:szCs w:val="14"/>
                <w:color w:val="auto"/>
              </w:rPr>
            </w:pPr>
          </w:p>
        </w:tc>
        <w:tc>
          <w:tcPr>
            <w:tcW w:w="280" w:type="dxa"/>
            <w:vAlign w:val="bottom"/>
            <w:tcBorders>
              <w:bottom w:val="single" w:sz="8" w:color="6F2875"/>
            </w:tcBorders>
            <w:shd w:val="clear" w:color="auto" w:fill="F3EDF3"/>
          </w:tcPr>
          <w:p>
            <w:pPr>
              <w:spacing w:after="0"/>
              <w:rPr>
                <w:sz w:val="14"/>
                <w:szCs w:val="14"/>
                <w:color w:val="auto"/>
              </w:rPr>
            </w:pPr>
          </w:p>
        </w:tc>
        <w:tc>
          <w:tcPr>
            <w:tcW w:w="920" w:type="dxa"/>
            <w:vAlign w:val="bottom"/>
            <w:tcBorders>
              <w:bottom w:val="single" w:sz="8" w:color="6F2875"/>
            </w:tcBorders>
            <w:shd w:val="clear" w:color="auto" w:fill="F3EDF3"/>
          </w:tcPr>
          <w:p>
            <w:pPr>
              <w:spacing w:after="0"/>
              <w:rPr>
                <w:sz w:val="14"/>
                <w:szCs w:val="14"/>
                <w:color w:val="auto"/>
              </w:rPr>
            </w:pPr>
          </w:p>
        </w:tc>
        <w:tc>
          <w:tcPr>
            <w:tcW w:w="780" w:type="dxa"/>
            <w:vAlign w:val="bottom"/>
            <w:tcBorders>
              <w:bottom w:val="single" w:sz="8" w:color="6F2875"/>
            </w:tcBorders>
            <w:shd w:val="clear" w:color="auto" w:fill="F3EDF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660" w:type="dxa"/>
            <w:vAlign w:val="bottom"/>
            <w:gridSpan w:val="2"/>
          </w:tcPr>
          <w:p>
            <w:pPr>
              <w:ind w:left="60"/>
              <w:spacing w:after="0" w:line="236" w:lineRule="exact"/>
              <w:rPr>
                <w:sz w:val="20"/>
                <w:szCs w:val="20"/>
                <w:color w:val="auto"/>
              </w:rPr>
            </w:pPr>
            <w:r>
              <w:rPr>
                <w:rFonts w:ascii="Arial" w:cs="Arial" w:eastAsia="Arial" w:hAnsi="Arial"/>
                <w:sz w:val="14"/>
                <w:szCs w:val="14"/>
                <w:b w:val="1"/>
                <w:bCs w:val="1"/>
                <w:color w:val="231F20"/>
              </w:rPr>
              <w:t>Vivid Sehgal</w:t>
            </w:r>
            <w:r>
              <w:rPr>
                <w:rFonts w:ascii="Arial" w:cs="Arial" w:eastAsia="Arial" w:hAnsi="Arial"/>
                <w:sz w:val="23"/>
                <w:szCs w:val="23"/>
                <w:b w:val="1"/>
                <w:bCs w:val="1"/>
                <w:color w:val="231F20"/>
                <w:vertAlign w:val="superscript"/>
              </w:rPr>
              <w:t>(2)</w:t>
            </w:r>
          </w:p>
        </w:tc>
        <w:tc>
          <w:tcPr>
            <w:tcW w:w="380" w:type="dxa"/>
            <w:vAlign w:val="bottom"/>
          </w:tcPr>
          <w:p>
            <w:pPr>
              <w:ind w:left="40"/>
              <w:spacing w:after="0"/>
              <w:rPr>
                <w:sz w:val="20"/>
                <w:szCs w:val="20"/>
                <w:color w:val="auto"/>
              </w:rPr>
            </w:pPr>
            <w:r>
              <w:rPr>
                <w:rFonts w:ascii="Arial" w:cs="Arial" w:eastAsia="Arial" w:hAnsi="Arial"/>
                <w:sz w:val="14"/>
                <w:szCs w:val="14"/>
                <w:color w:val="231F20"/>
              </w:rPr>
              <w:t>2017</w:t>
            </w:r>
          </w:p>
        </w:tc>
        <w:tc>
          <w:tcPr>
            <w:tcW w:w="1980" w:type="dxa"/>
            <w:vAlign w:val="bottom"/>
          </w:tcPr>
          <w:p>
            <w:pPr>
              <w:spacing w:after="0"/>
              <w:rPr>
                <w:sz w:val="20"/>
                <w:szCs w:val="20"/>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231F20"/>
              </w:rPr>
              <w:t>171,819</w:t>
            </w: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0" w:type="dxa"/>
            <w:vAlign w:val="bottom"/>
            <w:gridSpan w:val="2"/>
          </w:tcPr>
          <w:p>
            <w:pPr>
              <w:jc w:val="right"/>
              <w:ind w:right="25"/>
              <w:spacing w:after="0"/>
              <w:rPr>
                <w:sz w:val="20"/>
                <w:szCs w:val="20"/>
                <w:color w:val="auto"/>
              </w:rPr>
            </w:pPr>
            <w:r>
              <w:rPr>
                <w:rFonts w:ascii="Arial" w:cs="Arial" w:eastAsia="Arial" w:hAnsi="Arial"/>
                <w:sz w:val="14"/>
                <w:szCs w:val="14"/>
                <w:color w:val="231F20"/>
              </w:rPr>
              <w:t>385,981</w:t>
            </w:r>
          </w:p>
        </w:tc>
        <w:tc>
          <w:tcPr>
            <w:tcW w:w="780" w:type="dxa"/>
            <w:vAlign w:val="bottom"/>
          </w:tcPr>
          <w:p>
            <w:pPr>
              <w:jc w:val="right"/>
              <w:spacing w:after="0"/>
              <w:rPr>
                <w:sz w:val="20"/>
                <w:szCs w:val="20"/>
                <w:color w:val="auto"/>
              </w:rPr>
            </w:pPr>
            <w:r>
              <w:rPr>
                <w:rFonts w:ascii="Arial" w:cs="Arial" w:eastAsia="Arial" w:hAnsi="Arial"/>
                <w:sz w:val="14"/>
                <w:szCs w:val="14"/>
                <w:color w:val="231F20"/>
              </w:rPr>
              <w:t>557,800</w:t>
            </w:r>
          </w:p>
        </w:tc>
        <w:tc>
          <w:tcPr>
            <w:tcW w:w="0" w:type="dxa"/>
            <w:vAlign w:val="bottom"/>
          </w:tcPr>
          <w:p>
            <w:pPr>
              <w:spacing w:after="0"/>
              <w:rPr>
                <w:sz w:val="1"/>
                <w:szCs w:val="1"/>
                <w:color w:val="auto"/>
              </w:rPr>
            </w:pPr>
          </w:p>
        </w:tc>
      </w:tr>
      <w:tr>
        <w:trPr>
          <w:trHeight w:val="167"/>
        </w:trPr>
        <w:tc>
          <w:tcPr>
            <w:tcW w:w="1660" w:type="dxa"/>
            <w:vAlign w:val="bottom"/>
            <w:gridSpan w:val="2"/>
          </w:tcPr>
          <w:p>
            <w:pPr>
              <w:ind w:left="180"/>
              <w:spacing w:after="0"/>
              <w:rPr>
                <w:sz w:val="20"/>
                <w:szCs w:val="20"/>
                <w:color w:val="auto"/>
              </w:rPr>
            </w:pPr>
            <w:r>
              <w:rPr>
                <w:rFonts w:ascii="Arial" w:cs="Arial" w:eastAsia="Arial" w:hAnsi="Arial"/>
                <w:sz w:val="14"/>
                <w:szCs w:val="14"/>
                <w:color w:val="auto"/>
              </w:rPr>
              <w:t>Chief Financial</w:t>
            </w:r>
          </w:p>
        </w:tc>
        <w:tc>
          <w:tcPr>
            <w:tcW w:w="380" w:type="dxa"/>
            <w:vAlign w:val="bottom"/>
            <w:vMerge w:val="restart"/>
            <w:shd w:val="clear" w:color="auto" w:fill="F3EDF3"/>
          </w:tcPr>
          <w:p>
            <w:pPr>
              <w:ind w:left="40"/>
              <w:spacing w:after="0"/>
              <w:rPr>
                <w:sz w:val="20"/>
                <w:szCs w:val="20"/>
                <w:color w:val="auto"/>
              </w:rPr>
            </w:pPr>
            <w:r>
              <w:rPr>
                <w:rFonts w:ascii="Arial" w:cs="Arial" w:eastAsia="Arial" w:hAnsi="Arial"/>
                <w:sz w:val="14"/>
                <w:szCs w:val="14"/>
                <w:color w:val="auto"/>
              </w:rPr>
              <w:t>2016</w:t>
            </w:r>
          </w:p>
        </w:tc>
        <w:tc>
          <w:tcPr>
            <w:tcW w:w="1980" w:type="dxa"/>
            <w:vAlign w:val="bottom"/>
            <w:shd w:val="clear" w:color="auto" w:fill="F3EDF3"/>
          </w:tcPr>
          <w:p>
            <w:pPr>
              <w:spacing w:after="0"/>
              <w:rPr>
                <w:sz w:val="14"/>
                <w:szCs w:val="14"/>
                <w:color w:val="auto"/>
              </w:rPr>
            </w:pPr>
          </w:p>
        </w:tc>
        <w:tc>
          <w:tcPr>
            <w:tcW w:w="700" w:type="dxa"/>
            <w:vAlign w:val="bottom"/>
            <w:vMerge w:val="restart"/>
            <w:shd w:val="clear" w:color="auto" w:fill="F3EDF3"/>
          </w:tcPr>
          <w:p>
            <w:pPr>
              <w:jc w:val="right"/>
              <w:ind w:right="28"/>
              <w:spacing w:after="0"/>
              <w:rPr>
                <w:sz w:val="20"/>
                <w:szCs w:val="20"/>
                <w:color w:val="auto"/>
              </w:rPr>
            </w:pPr>
            <w:r>
              <w:rPr>
                <w:rFonts w:ascii="Arial" w:cs="Arial" w:eastAsia="Arial" w:hAnsi="Arial"/>
                <w:sz w:val="14"/>
                <w:szCs w:val="14"/>
                <w:color w:val="auto"/>
              </w:rPr>
              <w:t>434,032</w:t>
            </w:r>
          </w:p>
        </w:tc>
        <w:tc>
          <w:tcPr>
            <w:tcW w:w="700" w:type="dxa"/>
            <w:vAlign w:val="bottom"/>
            <w:shd w:val="clear" w:color="auto" w:fill="F3EDF3"/>
          </w:tcPr>
          <w:p>
            <w:pPr>
              <w:spacing w:after="0"/>
              <w:rPr>
                <w:sz w:val="14"/>
                <w:szCs w:val="14"/>
                <w:color w:val="auto"/>
              </w:rPr>
            </w:pPr>
          </w:p>
        </w:tc>
        <w:tc>
          <w:tcPr>
            <w:tcW w:w="820" w:type="dxa"/>
            <w:vAlign w:val="bottom"/>
            <w:vMerge w:val="restart"/>
            <w:shd w:val="clear" w:color="auto" w:fill="F3EDF3"/>
          </w:tcPr>
          <w:p>
            <w:pPr>
              <w:jc w:val="right"/>
              <w:ind w:right="8"/>
              <w:spacing w:after="0"/>
              <w:rPr>
                <w:sz w:val="20"/>
                <w:szCs w:val="20"/>
                <w:color w:val="auto"/>
              </w:rPr>
            </w:pPr>
            <w:r>
              <w:rPr>
                <w:rFonts w:ascii="Arial" w:cs="Arial" w:eastAsia="Arial" w:hAnsi="Arial"/>
                <w:sz w:val="14"/>
                <w:szCs w:val="14"/>
                <w:color w:val="auto"/>
              </w:rPr>
              <w:t>1,499,962</w:t>
            </w:r>
          </w:p>
        </w:tc>
        <w:tc>
          <w:tcPr>
            <w:tcW w:w="860" w:type="dxa"/>
            <w:vAlign w:val="bottom"/>
            <w:shd w:val="clear" w:color="auto" w:fill="F3EDF3"/>
          </w:tcPr>
          <w:p>
            <w:pPr>
              <w:spacing w:after="0"/>
              <w:rPr>
                <w:sz w:val="14"/>
                <w:szCs w:val="14"/>
                <w:color w:val="auto"/>
              </w:rPr>
            </w:pPr>
          </w:p>
        </w:tc>
        <w:tc>
          <w:tcPr>
            <w:tcW w:w="1160" w:type="dxa"/>
            <w:vAlign w:val="bottom"/>
            <w:shd w:val="clear" w:color="auto" w:fill="F3EDF3"/>
          </w:tcPr>
          <w:p>
            <w:pPr>
              <w:spacing w:after="0"/>
              <w:rPr>
                <w:sz w:val="14"/>
                <w:szCs w:val="14"/>
                <w:color w:val="auto"/>
              </w:rPr>
            </w:pPr>
          </w:p>
        </w:tc>
        <w:tc>
          <w:tcPr>
            <w:tcW w:w="1180" w:type="dxa"/>
            <w:vAlign w:val="bottom"/>
            <w:vMerge w:val="restart"/>
            <w:shd w:val="clear" w:color="auto" w:fill="F3EDF3"/>
          </w:tcPr>
          <w:p>
            <w:pPr>
              <w:jc w:val="right"/>
              <w:ind w:right="8"/>
              <w:spacing w:after="0"/>
              <w:rPr>
                <w:sz w:val="20"/>
                <w:szCs w:val="20"/>
                <w:color w:val="auto"/>
              </w:rPr>
            </w:pPr>
            <w:r>
              <w:rPr>
                <w:rFonts w:ascii="Arial" w:cs="Arial" w:eastAsia="Arial" w:hAnsi="Arial"/>
                <w:sz w:val="14"/>
                <w:szCs w:val="14"/>
                <w:color w:val="auto"/>
              </w:rPr>
              <w:t>260,419</w:t>
            </w:r>
          </w:p>
        </w:tc>
        <w:tc>
          <w:tcPr>
            <w:tcW w:w="1200" w:type="dxa"/>
            <w:vAlign w:val="bottom"/>
            <w:gridSpan w:val="2"/>
            <w:vMerge w:val="restart"/>
            <w:shd w:val="clear" w:color="auto" w:fill="F3EDF3"/>
          </w:tcPr>
          <w:p>
            <w:pPr>
              <w:jc w:val="right"/>
              <w:ind w:right="25"/>
              <w:spacing w:after="0"/>
              <w:rPr>
                <w:sz w:val="20"/>
                <w:szCs w:val="20"/>
                <w:color w:val="auto"/>
              </w:rPr>
            </w:pPr>
            <w:r>
              <w:rPr>
                <w:rFonts w:ascii="Arial" w:cs="Arial" w:eastAsia="Arial" w:hAnsi="Arial"/>
                <w:sz w:val="14"/>
                <w:szCs w:val="14"/>
                <w:color w:val="auto"/>
              </w:rPr>
              <w:t>99,499</w:t>
            </w:r>
          </w:p>
        </w:tc>
        <w:tc>
          <w:tcPr>
            <w:tcW w:w="780" w:type="dxa"/>
            <w:vAlign w:val="bottom"/>
            <w:vMerge w:val="restart"/>
            <w:shd w:val="clear" w:color="auto" w:fill="F3EDF3"/>
          </w:tcPr>
          <w:p>
            <w:pPr>
              <w:jc w:val="right"/>
              <w:spacing w:after="0"/>
              <w:rPr>
                <w:sz w:val="20"/>
                <w:szCs w:val="20"/>
                <w:color w:val="auto"/>
              </w:rPr>
            </w:pPr>
            <w:r>
              <w:rPr>
                <w:rFonts w:ascii="Arial" w:cs="Arial" w:eastAsia="Arial" w:hAnsi="Arial"/>
                <w:sz w:val="14"/>
                <w:szCs w:val="14"/>
                <w:color w:val="auto"/>
              </w:rPr>
              <w:t>2,293,912</w:t>
            </w:r>
          </w:p>
        </w:tc>
        <w:tc>
          <w:tcPr>
            <w:tcW w:w="0" w:type="dxa"/>
            <w:vAlign w:val="bottom"/>
          </w:tcPr>
          <w:p>
            <w:pPr>
              <w:spacing w:after="0"/>
              <w:rPr>
                <w:sz w:val="1"/>
                <w:szCs w:val="1"/>
                <w:color w:val="auto"/>
              </w:rPr>
            </w:pPr>
          </w:p>
        </w:tc>
      </w:tr>
      <w:tr>
        <w:trPr>
          <w:trHeight w:val="91"/>
        </w:trPr>
        <w:tc>
          <w:tcPr>
            <w:tcW w:w="1660" w:type="dxa"/>
            <w:vAlign w:val="bottom"/>
            <w:gridSpan w:val="2"/>
            <w:vMerge w:val="restart"/>
          </w:tcPr>
          <w:p>
            <w:pPr>
              <w:ind w:left="180"/>
              <w:spacing w:after="0" w:line="157" w:lineRule="exact"/>
              <w:rPr>
                <w:sz w:val="20"/>
                <w:szCs w:val="20"/>
                <w:color w:val="auto"/>
              </w:rPr>
            </w:pPr>
            <w:r>
              <w:rPr>
                <w:rFonts w:ascii="Arial" w:cs="Arial" w:eastAsia="Arial" w:hAnsi="Arial"/>
                <w:sz w:val="14"/>
                <w:szCs w:val="14"/>
                <w:color w:val="auto"/>
              </w:rPr>
              <w:t>Officer</w:t>
            </w:r>
          </w:p>
        </w:tc>
        <w:tc>
          <w:tcPr>
            <w:tcW w:w="380" w:type="dxa"/>
            <w:vAlign w:val="bottom"/>
            <w:vMerge w:val="continue"/>
            <w:shd w:val="clear" w:color="auto" w:fill="F3EDF3"/>
          </w:tcPr>
          <w:p>
            <w:pPr>
              <w:spacing w:after="0"/>
              <w:rPr>
                <w:sz w:val="7"/>
                <w:szCs w:val="7"/>
                <w:color w:val="auto"/>
              </w:rPr>
            </w:pPr>
          </w:p>
        </w:tc>
        <w:tc>
          <w:tcPr>
            <w:tcW w:w="1980" w:type="dxa"/>
            <w:vAlign w:val="bottom"/>
            <w:shd w:val="clear" w:color="auto" w:fill="F3EDF3"/>
          </w:tcPr>
          <w:p>
            <w:pPr>
              <w:spacing w:after="0"/>
              <w:rPr>
                <w:sz w:val="7"/>
                <w:szCs w:val="7"/>
                <w:color w:val="auto"/>
              </w:rPr>
            </w:pPr>
          </w:p>
        </w:tc>
        <w:tc>
          <w:tcPr>
            <w:tcW w:w="700" w:type="dxa"/>
            <w:vAlign w:val="bottom"/>
            <w:vMerge w:val="continue"/>
            <w:shd w:val="clear" w:color="auto" w:fill="F3EDF3"/>
          </w:tcPr>
          <w:p>
            <w:pPr>
              <w:spacing w:after="0"/>
              <w:rPr>
                <w:sz w:val="7"/>
                <w:szCs w:val="7"/>
                <w:color w:val="auto"/>
              </w:rPr>
            </w:pPr>
          </w:p>
        </w:tc>
        <w:tc>
          <w:tcPr>
            <w:tcW w:w="700" w:type="dxa"/>
            <w:vAlign w:val="bottom"/>
            <w:shd w:val="clear" w:color="auto" w:fill="F3EDF3"/>
          </w:tcPr>
          <w:p>
            <w:pPr>
              <w:spacing w:after="0"/>
              <w:rPr>
                <w:sz w:val="7"/>
                <w:szCs w:val="7"/>
                <w:color w:val="auto"/>
              </w:rPr>
            </w:pPr>
          </w:p>
        </w:tc>
        <w:tc>
          <w:tcPr>
            <w:tcW w:w="820" w:type="dxa"/>
            <w:vAlign w:val="bottom"/>
            <w:vMerge w:val="continue"/>
            <w:shd w:val="clear" w:color="auto" w:fill="F3EDF3"/>
          </w:tcPr>
          <w:p>
            <w:pPr>
              <w:spacing w:after="0"/>
              <w:rPr>
                <w:sz w:val="7"/>
                <w:szCs w:val="7"/>
                <w:color w:val="auto"/>
              </w:rPr>
            </w:pPr>
          </w:p>
        </w:tc>
        <w:tc>
          <w:tcPr>
            <w:tcW w:w="860" w:type="dxa"/>
            <w:vAlign w:val="bottom"/>
            <w:shd w:val="clear" w:color="auto" w:fill="F3EDF3"/>
          </w:tcPr>
          <w:p>
            <w:pPr>
              <w:spacing w:after="0"/>
              <w:rPr>
                <w:sz w:val="7"/>
                <w:szCs w:val="7"/>
                <w:color w:val="auto"/>
              </w:rPr>
            </w:pPr>
          </w:p>
        </w:tc>
        <w:tc>
          <w:tcPr>
            <w:tcW w:w="1160" w:type="dxa"/>
            <w:vAlign w:val="bottom"/>
            <w:shd w:val="clear" w:color="auto" w:fill="F3EDF3"/>
          </w:tcPr>
          <w:p>
            <w:pPr>
              <w:spacing w:after="0"/>
              <w:rPr>
                <w:sz w:val="7"/>
                <w:szCs w:val="7"/>
                <w:color w:val="auto"/>
              </w:rPr>
            </w:pPr>
          </w:p>
        </w:tc>
        <w:tc>
          <w:tcPr>
            <w:tcW w:w="1180" w:type="dxa"/>
            <w:vAlign w:val="bottom"/>
            <w:vMerge w:val="continue"/>
            <w:shd w:val="clear" w:color="auto" w:fill="F3EDF3"/>
          </w:tcPr>
          <w:p>
            <w:pPr>
              <w:spacing w:after="0"/>
              <w:rPr>
                <w:sz w:val="7"/>
                <w:szCs w:val="7"/>
                <w:color w:val="auto"/>
              </w:rPr>
            </w:pPr>
          </w:p>
        </w:tc>
        <w:tc>
          <w:tcPr>
            <w:tcW w:w="1200" w:type="dxa"/>
            <w:vAlign w:val="bottom"/>
            <w:gridSpan w:val="2"/>
            <w:vMerge w:val="continue"/>
            <w:shd w:val="clear" w:color="auto" w:fill="F3EDF3"/>
          </w:tcPr>
          <w:p>
            <w:pPr>
              <w:spacing w:after="0"/>
              <w:rPr>
                <w:sz w:val="7"/>
                <w:szCs w:val="7"/>
                <w:color w:val="auto"/>
              </w:rPr>
            </w:pPr>
          </w:p>
        </w:tc>
        <w:tc>
          <w:tcPr>
            <w:tcW w:w="780" w:type="dxa"/>
            <w:vAlign w:val="bottom"/>
            <w:vMerge w:val="continue"/>
            <w:shd w:val="clear" w:color="auto" w:fill="F3EDF3"/>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660" w:type="dxa"/>
            <w:vAlign w:val="bottom"/>
            <w:gridSpan w:val="2"/>
            <w:vMerge w:val="continue"/>
          </w:tcPr>
          <w:p>
            <w:pPr>
              <w:spacing w:after="0"/>
              <w:rPr>
                <w:sz w:val="5"/>
                <w:szCs w:val="5"/>
                <w:color w:val="auto"/>
              </w:rPr>
            </w:pPr>
          </w:p>
        </w:tc>
        <w:tc>
          <w:tcPr>
            <w:tcW w:w="380" w:type="dxa"/>
            <w:vAlign w:val="bottom"/>
            <w:shd w:val="clear" w:color="auto" w:fill="F3EDF3"/>
          </w:tcPr>
          <w:p>
            <w:pPr>
              <w:spacing w:after="0"/>
              <w:rPr>
                <w:sz w:val="5"/>
                <w:szCs w:val="5"/>
                <w:color w:val="auto"/>
              </w:rPr>
            </w:pPr>
          </w:p>
        </w:tc>
        <w:tc>
          <w:tcPr>
            <w:tcW w:w="1980" w:type="dxa"/>
            <w:vAlign w:val="bottom"/>
            <w:shd w:val="clear" w:color="auto" w:fill="F3EDF3"/>
          </w:tcPr>
          <w:p>
            <w:pPr>
              <w:spacing w:after="0"/>
              <w:rPr>
                <w:sz w:val="5"/>
                <w:szCs w:val="5"/>
                <w:color w:val="auto"/>
              </w:rPr>
            </w:pPr>
          </w:p>
        </w:tc>
        <w:tc>
          <w:tcPr>
            <w:tcW w:w="700" w:type="dxa"/>
            <w:vAlign w:val="bottom"/>
            <w:shd w:val="clear" w:color="auto" w:fill="F3EDF3"/>
          </w:tcPr>
          <w:p>
            <w:pPr>
              <w:spacing w:after="0"/>
              <w:rPr>
                <w:sz w:val="5"/>
                <w:szCs w:val="5"/>
                <w:color w:val="auto"/>
              </w:rPr>
            </w:pPr>
          </w:p>
        </w:tc>
        <w:tc>
          <w:tcPr>
            <w:tcW w:w="700" w:type="dxa"/>
            <w:vAlign w:val="bottom"/>
            <w:shd w:val="clear" w:color="auto" w:fill="F3EDF3"/>
          </w:tcPr>
          <w:p>
            <w:pPr>
              <w:spacing w:after="0"/>
              <w:rPr>
                <w:sz w:val="5"/>
                <w:szCs w:val="5"/>
                <w:color w:val="auto"/>
              </w:rPr>
            </w:pPr>
          </w:p>
        </w:tc>
        <w:tc>
          <w:tcPr>
            <w:tcW w:w="820" w:type="dxa"/>
            <w:vAlign w:val="bottom"/>
            <w:shd w:val="clear" w:color="auto" w:fill="F3EDF3"/>
          </w:tcPr>
          <w:p>
            <w:pPr>
              <w:spacing w:after="0"/>
              <w:rPr>
                <w:sz w:val="5"/>
                <w:szCs w:val="5"/>
                <w:color w:val="auto"/>
              </w:rPr>
            </w:pPr>
          </w:p>
        </w:tc>
        <w:tc>
          <w:tcPr>
            <w:tcW w:w="860" w:type="dxa"/>
            <w:vAlign w:val="bottom"/>
            <w:shd w:val="clear" w:color="auto" w:fill="F3EDF3"/>
          </w:tcPr>
          <w:p>
            <w:pPr>
              <w:spacing w:after="0"/>
              <w:rPr>
                <w:sz w:val="5"/>
                <w:szCs w:val="5"/>
                <w:color w:val="auto"/>
              </w:rPr>
            </w:pPr>
          </w:p>
        </w:tc>
        <w:tc>
          <w:tcPr>
            <w:tcW w:w="1160" w:type="dxa"/>
            <w:vAlign w:val="bottom"/>
            <w:shd w:val="clear" w:color="auto" w:fill="F3EDF3"/>
          </w:tcPr>
          <w:p>
            <w:pPr>
              <w:spacing w:after="0"/>
              <w:rPr>
                <w:sz w:val="5"/>
                <w:szCs w:val="5"/>
                <w:color w:val="auto"/>
              </w:rPr>
            </w:pPr>
          </w:p>
        </w:tc>
        <w:tc>
          <w:tcPr>
            <w:tcW w:w="1180" w:type="dxa"/>
            <w:vAlign w:val="bottom"/>
            <w:shd w:val="clear" w:color="auto" w:fill="F3EDF3"/>
          </w:tcPr>
          <w:p>
            <w:pPr>
              <w:spacing w:after="0"/>
              <w:rPr>
                <w:sz w:val="5"/>
                <w:szCs w:val="5"/>
                <w:color w:val="auto"/>
              </w:rPr>
            </w:pPr>
          </w:p>
        </w:tc>
        <w:tc>
          <w:tcPr>
            <w:tcW w:w="280" w:type="dxa"/>
            <w:vAlign w:val="bottom"/>
            <w:shd w:val="clear" w:color="auto" w:fill="F3EDF3"/>
          </w:tcPr>
          <w:p>
            <w:pPr>
              <w:spacing w:after="0"/>
              <w:rPr>
                <w:sz w:val="5"/>
                <w:szCs w:val="5"/>
                <w:color w:val="auto"/>
              </w:rPr>
            </w:pPr>
          </w:p>
        </w:tc>
        <w:tc>
          <w:tcPr>
            <w:tcW w:w="920" w:type="dxa"/>
            <w:vAlign w:val="bottom"/>
            <w:shd w:val="clear" w:color="auto" w:fill="F3EDF3"/>
          </w:tcPr>
          <w:p>
            <w:pPr>
              <w:spacing w:after="0"/>
              <w:rPr>
                <w:sz w:val="5"/>
                <w:szCs w:val="5"/>
                <w:color w:val="auto"/>
              </w:rPr>
            </w:pPr>
          </w:p>
        </w:tc>
        <w:tc>
          <w:tcPr>
            <w:tcW w:w="780" w:type="dxa"/>
            <w:vAlign w:val="bottom"/>
            <w:shd w:val="clear" w:color="auto" w:fill="F3EDF3"/>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231F20"/>
              </w:rPr>
              <w:t>2015</w:t>
            </w:r>
          </w:p>
        </w:tc>
        <w:tc>
          <w:tcPr>
            <w:tcW w:w="1980" w:type="dxa"/>
            <w:vAlign w:val="bottom"/>
          </w:tcPr>
          <w:p>
            <w:pPr>
              <w:ind w:left="20"/>
              <w:spacing w:after="0"/>
              <w:rPr>
                <w:sz w:val="20"/>
                <w:szCs w:val="20"/>
                <w:color w:val="auto"/>
              </w:rPr>
            </w:pPr>
            <w:r>
              <w:rPr>
                <w:rFonts w:ascii="Arial" w:cs="Arial" w:eastAsia="Arial" w:hAnsi="Arial"/>
                <w:sz w:val="14"/>
                <w:szCs w:val="14"/>
                <w:color w:val="231F20"/>
              </w:rPr>
              <w:t>Transition Period (April 25,</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231F20"/>
              </w:rPr>
              <w:t>2015</w:t>
            </w:r>
          </w:p>
        </w:tc>
        <w:tc>
          <w:tcPr>
            <w:tcW w:w="1980" w:type="dxa"/>
            <w:vAlign w:val="bottom"/>
          </w:tcPr>
          <w:p>
            <w:pPr>
              <w:ind w:left="20"/>
              <w:spacing w:after="0"/>
              <w:rPr>
                <w:sz w:val="20"/>
                <w:szCs w:val="20"/>
                <w:color w:val="auto"/>
              </w:rPr>
            </w:pPr>
            <w:r>
              <w:rPr>
                <w:rFonts w:ascii="Arial" w:cs="Arial" w:eastAsia="Arial" w:hAnsi="Arial"/>
                <w:sz w:val="14"/>
                <w:szCs w:val="14"/>
                <w:color w:val="231F20"/>
              </w:rPr>
              <w:t>– December 31, 2015)</w:t>
            </w:r>
          </w:p>
        </w:tc>
        <w:tc>
          <w:tcPr>
            <w:tcW w:w="700" w:type="dxa"/>
            <w:vAlign w:val="bottom"/>
          </w:tcPr>
          <w:p>
            <w:pPr>
              <w:jc w:val="right"/>
              <w:ind w:right="28"/>
              <w:spacing w:after="0"/>
              <w:rPr>
                <w:sz w:val="20"/>
                <w:szCs w:val="20"/>
                <w:color w:val="auto"/>
              </w:rPr>
            </w:pPr>
            <w:r>
              <w:rPr>
                <w:rFonts w:ascii="Arial" w:cs="Arial" w:eastAsia="Arial" w:hAnsi="Arial"/>
                <w:sz w:val="14"/>
                <w:szCs w:val="14"/>
                <w:color w:val="231F20"/>
              </w:rPr>
              <w:t>100,913</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231F20"/>
              </w:rPr>
              <w:t>1,250,851</w:t>
            </w:r>
          </w:p>
        </w:tc>
        <w:tc>
          <w:tcPr>
            <w:tcW w:w="116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231F20"/>
              </w:rPr>
              <w:t>74,804</w:t>
            </w:r>
          </w:p>
        </w:tc>
        <w:tc>
          <w:tcPr>
            <w:tcW w:w="1200" w:type="dxa"/>
            <w:vAlign w:val="bottom"/>
            <w:gridSpan w:val="2"/>
          </w:tcPr>
          <w:p>
            <w:pPr>
              <w:jc w:val="right"/>
              <w:ind w:right="25"/>
              <w:spacing w:after="0"/>
              <w:rPr>
                <w:sz w:val="20"/>
                <w:szCs w:val="20"/>
                <w:color w:val="auto"/>
              </w:rPr>
            </w:pPr>
            <w:r>
              <w:rPr>
                <w:rFonts w:ascii="Arial" w:cs="Arial" w:eastAsia="Arial" w:hAnsi="Arial"/>
                <w:sz w:val="14"/>
                <w:szCs w:val="14"/>
                <w:color w:val="231F20"/>
              </w:rPr>
              <w:t>19,225</w:t>
            </w:r>
          </w:p>
        </w:tc>
        <w:tc>
          <w:tcPr>
            <w:tcW w:w="780" w:type="dxa"/>
            <w:vAlign w:val="bottom"/>
          </w:tcPr>
          <w:p>
            <w:pPr>
              <w:jc w:val="right"/>
              <w:spacing w:after="0"/>
              <w:rPr>
                <w:sz w:val="20"/>
                <w:szCs w:val="20"/>
                <w:color w:val="auto"/>
              </w:rPr>
            </w:pPr>
            <w:r>
              <w:rPr>
                <w:rFonts w:ascii="Arial" w:cs="Arial" w:eastAsia="Arial" w:hAnsi="Arial"/>
                <w:sz w:val="14"/>
                <w:szCs w:val="14"/>
                <w:color w:val="231F20"/>
              </w:rPr>
              <w:t>1,445,793</w:t>
            </w:r>
          </w:p>
        </w:tc>
        <w:tc>
          <w:tcPr>
            <w:tcW w:w="0" w:type="dxa"/>
            <w:vAlign w:val="bottom"/>
          </w:tcPr>
          <w:p>
            <w:pPr>
              <w:spacing w:after="0"/>
              <w:rPr>
                <w:sz w:val="1"/>
                <w:szCs w:val="1"/>
                <w:color w:val="auto"/>
              </w:rPr>
            </w:pPr>
          </w:p>
        </w:tc>
      </w:tr>
      <w:tr>
        <w:trPr>
          <w:trHeight w:val="168"/>
        </w:trPr>
        <w:tc>
          <w:tcPr>
            <w:tcW w:w="360" w:type="dxa"/>
            <w:vAlign w:val="bottom"/>
            <w:tcBorders>
              <w:bottom w:val="single" w:sz="8" w:color="6F2875"/>
            </w:tcBorders>
          </w:tcPr>
          <w:p>
            <w:pPr>
              <w:spacing w:after="0"/>
              <w:rPr>
                <w:sz w:val="14"/>
                <w:szCs w:val="14"/>
                <w:color w:val="auto"/>
              </w:rPr>
            </w:pPr>
          </w:p>
        </w:tc>
        <w:tc>
          <w:tcPr>
            <w:tcW w:w="1300" w:type="dxa"/>
            <w:vAlign w:val="bottom"/>
            <w:tcBorders>
              <w:bottom w:val="single" w:sz="8" w:color="6F2875"/>
            </w:tcBorders>
          </w:tcPr>
          <w:p>
            <w:pPr>
              <w:spacing w:after="0"/>
              <w:rPr>
                <w:sz w:val="14"/>
                <w:szCs w:val="14"/>
                <w:color w:val="auto"/>
              </w:rPr>
            </w:pPr>
          </w:p>
        </w:tc>
        <w:tc>
          <w:tcPr>
            <w:tcW w:w="2360" w:type="dxa"/>
            <w:vAlign w:val="bottom"/>
            <w:tcBorders>
              <w:bottom w:val="single" w:sz="8" w:color="6F2875"/>
            </w:tcBorders>
            <w:gridSpan w:val="2"/>
            <w:shd w:val="clear" w:color="auto" w:fill="F3EDF3"/>
          </w:tcPr>
          <w:p>
            <w:pPr>
              <w:ind w:left="40"/>
              <w:spacing w:after="0"/>
              <w:rPr>
                <w:sz w:val="20"/>
                <w:szCs w:val="20"/>
                <w:color w:val="auto"/>
              </w:rPr>
            </w:pPr>
            <w:r>
              <w:rPr>
                <w:rFonts w:ascii="Arial" w:cs="Arial" w:eastAsia="Arial" w:hAnsi="Arial"/>
                <w:sz w:val="14"/>
                <w:szCs w:val="14"/>
                <w:color w:val="auto"/>
              </w:rPr>
              <w:t>YE April 24, 2015</w:t>
            </w:r>
          </w:p>
        </w:tc>
        <w:tc>
          <w:tcPr>
            <w:tcW w:w="700" w:type="dxa"/>
            <w:vAlign w:val="bottom"/>
            <w:tcBorders>
              <w:bottom w:val="single" w:sz="8" w:color="6F2875"/>
            </w:tcBorders>
            <w:shd w:val="clear" w:color="auto" w:fill="F3EDF3"/>
          </w:tcPr>
          <w:p>
            <w:pPr>
              <w:spacing w:after="0"/>
              <w:rPr>
                <w:sz w:val="14"/>
                <w:szCs w:val="14"/>
                <w:color w:val="auto"/>
              </w:rPr>
            </w:pPr>
          </w:p>
        </w:tc>
        <w:tc>
          <w:tcPr>
            <w:tcW w:w="700" w:type="dxa"/>
            <w:vAlign w:val="bottom"/>
            <w:tcBorders>
              <w:bottom w:val="single" w:sz="8" w:color="6F2875"/>
            </w:tcBorders>
            <w:shd w:val="clear" w:color="auto" w:fill="F3EDF3"/>
          </w:tcPr>
          <w:p>
            <w:pPr>
              <w:spacing w:after="0"/>
              <w:rPr>
                <w:sz w:val="14"/>
                <w:szCs w:val="14"/>
                <w:color w:val="auto"/>
              </w:rPr>
            </w:pPr>
          </w:p>
        </w:tc>
        <w:tc>
          <w:tcPr>
            <w:tcW w:w="820" w:type="dxa"/>
            <w:vAlign w:val="bottom"/>
            <w:tcBorders>
              <w:bottom w:val="single" w:sz="8" w:color="6F2875"/>
            </w:tcBorders>
            <w:shd w:val="clear" w:color="auto" w:fill="F3EDF3"/>
          </w:tcPr>
          <w:p>
            <w:pPr>
              <w:spacing w:after="0"/>
              <w:rPr>
                <w:sz w:val="14"/>
                <w:szCs w:val="14"/>
                <w:color w:val="auto"/>
              </w:rPr>
            </w:pPr>
          </w:p>
        </w:tc>
        <w:tc>
          <w:tcPr>
            <w:tcW w:w="860" w:type="dxa"/>
            <w:vAlign w:val="bottom"/>
            <w:tcBorders>
              <w:bottom w:val="single" w:sz="8" w:color="6F2875"/>
            </w:tcBorders>
            <w:shd w:val="clear" w:color="auto" w:fill="F3EDF3"/>
          </w:tcPr>
          <w:p>
            <w:pPr>
              <w:spacing w:after="0"/>
              <w:rPr>
                <w:sz w:val="14"/>
                <w:szCs w:val="14"/>
                <w:color w:val="auto"/>
              </w:rPr>
            </w:pPr>
          </w:p>
        </w:tc>
        <w:tc>
          <w:tcPr>
            <w:tcW w:w="1160" w:type="dxa"/>
            <w:vAlign w:val="bottom"/>
            <w:tcBorders>
              <w:bottom w:val="single" w:sz="8" w:color="6F2875"/>
            </w:tcBorders>
            <w:shd w:val="clear" w:color="auto" w:fill="F3EDF3"/>
          </w:tcPr>
          <w:p>
            <w:pPr>
              <w:spacing w:after="0"/>
              <w:rPr>
                <w:sz w:val="14"/>
                <w:szCs w:val="14"/>
                <w:color w:val="auto"/>
              </w:rPr>
            </w:pPr>
          </w:p>
        </w:tc>
        <w:tc>
          <w:tcPr>
            <w:tcW w:w="1180" w:type="dxa"/>
            <w:vAlign w:val="bottom"/>
            <w:tcBorders>
              <w:bottom w:val="single" w:sz="8" w:color="6F2875"/>
            </w:tcBorders>
            <w:shd w:val="clear" w:color="auto" w:fill="F3EDF3"/>
          </w:tcPr>
          <w:p>
            <w:pPr>
              <w:spacing w:after="0"/>
              <w:rPr>
                <w:sz w:val="14"/>
                <w:szCs w:val="14"/>
                <w:color w:val="auto"/>
              </w:rPr>
            </w:pPr>
          </w:p>
        </w:tc>
        <w:tc>
          <w:tcPr>
            <w:tcW w:w="280" w:type="dxa"/>
            <w:vAlign w:val="bottom"/>
            <w:tcBorders>
              <w:bottom w:val="single" w:sz="8" w:color="6F2875"/>
            </w:tcBorders>
            <w:shd w:val="clear" w:color="auto" w:fill="F3EDF3"/>
          </w:tcPr>
          <w:p>
            <w:pPr>
              <w:spacing w:after="0"/>
              <w:rPr>
                <w:sz w:val="14"/>
                <w:szCs w:val="14"/>
                <w:color w:val="auto"/>
              </w:rPr>
            </w:pPr>
          </w:p>
        </w:tc>
        <w:tc>
          <w:tcPr>
            <w:tcW w:w="920" w:type="dxa"/>
            <w:vAlign w:val="bottom"/>
            <w:tcBorders>
              <w:bottom w:val="single" w:sz="8" w:color="6F2875"/>
            </w:tcBorders>
            <w:shd w:val="clear" w:color="auto" w:fill="F3EDF3"/>
          </w:tcPr>
          <w:p>
            <w:pPr>
              <w:spacing w:after="0"/>
              <w:rPr>
                <w:sz w:val="14"/>
                <w:szCs w:val="14"/>
                <w:color w:val="auto"/>
              </w:rPr>
            </w:pPr>
          </w:p>
        </w:tc>
        <w:tc>
          <w:tcPr>
            <w:tcW w:w="780" w:type="dxa"/>
            <w:vAlign w:val="bottom"/>
            <w:tcBorders>
              <w:bottom w:val="single" w:sz="8" w:color="6F2875"/>
            </w:tcBorders>
            <w:shd w:val="clear" w:color="auto" w:fill="F3EDF3"/>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231F20"/>
              </w:rPr>
              <w:t>David Wise</w:t>
            </w:r>
          </w:p>
        </w:tc>
        <w:tc>
          <w:tcPr>
            <w:tcW w:w="380" w:type="dxa"/>
            <w:vAlign w:val="bottom"/>
          </w:tcPr>
          <w:p>
            <w:pPr>
              <w:ind w:left="40"/>
              <w:spacing w:after="0"/>
              <w:rPr>
                <w:sz w:val="20"/>
                <w:szCs w:val="20"/>
                <w:color w:val="auto"/>
              </w:rPr>
            </w:pPr>
            <w:r>
              <w:rPr>
                <w:rFonts w:ascii="Arial" w:cs="Arial" w:eastAsia="Arial" w:hAnsi="Arial"/>
                <w:sz w:val="14"/>
                <w:szCs w:val="14"/>
                <w:color w:val="231F20"/>
              </w:rPr>
              <w:t>2017</w:t>
            </w:r>
          </w:p>
        </w:tc>
        <w:tc>
          <w:tcPr>
            <w:tcW w:w="198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231F20"/>
              </w:rPr>
              <w:t>439,850</w:t>
            </w:r>
          </w:p>
        </w:tc>
        <w:tc>
          <w:tcPr>
            <w:tcW w:w="70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231F20"/>
              </w:rPr>
              <w:t>462,822</w:t>
            </w:r>
          </w:p>
        </w:tc>
        <w:tc>
          <w:tcPr>
            <w:tcW w:w="860" w:type="dxa"/>
            <w:vAlign w:val="bottom"/>
          </w:tcPr>
          <w:p>
            <w:pPr>
              <w:jc w:val="right"/>
              <w:ind w:right="49"/>
              <w:spacing w:after="0"/>
              <w:rPr>
                <w:sz w:val="20"/>
                <w:szCs w:val="20"/>
                <w:color w:val="auto"/>
              </w:rPr>
            </w:pPr>
            <w:r>
              <w:rPr>
                <w:rFonts w:ascii="Arial" w:cs="Arial" w:eastAsia="Arial" w:hAnsi="Arial"/>
                <w:sz w:val="14"/>
                <w:szCs w:val="14"/>
                <w:color w:val="231F20"/>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231F20"/>
              </w:rPr>
              <w:t>32,937</w:t>
            </w:r>
          </w:p>
        </w:tc>
        <w:tc>
          <w:tcPr>
            <w:tcW w:w="1180" w:type="dxa"/>
            <w:vAlign w:val="bottom"/>
          </w:tcPr>
          <w:p>
            <w:pPr>
              <w:jc w:val="right"/>
              <w:ind w:right="8"/>
              <w:spacing w:after="0"/>
              <w:rPr>
                <w:sz w:val="20"/>
                <w:szCs w:val="20"/>
                <w:color w:val="auto"/>
              </w:rPr>
            </w:pPr>
            <w:r>
              <w:rPr>
                <w:rFonts w:ascii="Arial" w:cs="Arial" w:eastAsia="Arial" w:hAnsi="Arial"/>
                <w:sz w:val="14"/>
                <w:szCs w:val="14"/>
                <w:color w:val="231F20"/>
              </w:rPr>
              <w:t>304,996</w:t>
            </w:r>
          </w:p>
        </w:tc>
        <w:tc>
          <w:tcPr>
            <w:tcW w:w="1200" w:type="dxa"/>
            <w:vAlign w:val="bottom"/>
            <w:gridSpan w:val="2"/>
          </w:tcPr>
          <w:p>
            <w:pPr>
              <w:jc w:val="right"/>
              <w:ind w:right="25"/>
              <w:spacing w:after="0"/>
              <w:rPr>
                <w:sz w:val="20"/>
                <w:szCs w:val="20"/>
                <w:color w:val="auto"/>
              </w:rPr>
            </w:pPr>
            <w:r>
              <w:rPr>
                <w:rFonts w:ascii="Arial" w:cs="Arial" w:eastAsia="Arial" w:hAnsi="Arial"/>
                <w:sz w:val="14"/>
                <w:szCs w:val="14"/>
                <w:color w:val="231F20"/>
              </w:rPr>
              <w:t>58,406</w:t>
            </w:r>
          </w:p>
        </w:tc>
        <w:tc>
          <w:tcPr>
            <w:tcW w:w="780" w:type="dxa"/>
            <w:vAlign w:val="bottom"/>
          </w:tcPr>
          <w:p>
            <w:pPr>
              <w:jc w:val="right"/>
              <w:spacing w:after="0"/>
              <w:rPr>
                <w:sz w:val="20"/>
                <w:szCs w:val="20"/>
                <w:color w:val="auto"/>
              </w:rPr>
            </w:pPr>
            <w:r>
              <w:rPr>
                <w:rFonts w:ascii="Arial" w:cs="Arial" w:eastAsia="Arial" w:hAnsi="Arial"/>
                <w:sz w:val="14"/>
                <w:szCs w:val="14"/>
                <w:color w:val="231F20"/>
              </w:rPr>
              <w:t>1,299,011</w:t>
            </w:r>
          </w:p>
        </w:tc>
        <w:tc>
          <w:tcPr>
            <w:tcW w:w="0" w:type="dxa"/>
            <w:vAlign w:val="bottom"/>
          </w:tcPr>
          <w:p>
            <w:pPr>
              <w:spacing w:after="0"/>
              <w:rPr>
                <w:sz w:val="1"/>
                <w:szCs w:val="1"/>
                <w:color w:val="auto"/>
              </w:rPr>
            </w:pPr>
          </w:p>
        </w:tc>
      </w:tr>
      <w:tr>
        <w:trPr>
          <w:trHeight w:val="162"/>
        </w:trPr>
        <w:tc>
          <w:tcPr>
            <w:tcW w:w="1660" w:type="dxa"/>
            <w:vAlign w:val="bottom"/>
            <w:gridSpan w:val="2"/>
          </w:tcPr>
          <w:p>
            <w:pPr>
              <w:ind w:left="180"/>
              <w:spacing w:after="0"/>
              <w:rPr>
                <w:sz w:val="20"/>
                <w:szCs w:val="20"/>
                <w:color w:val="auto"/>
              </w:rPr>
            </w:pPr>
            <w:r>
              <w:rPr>
                <w:rFonts w:ascii="Arial" w:cs="Arial" w:eastAsia="Arial" w:hAnsi="Arial"/>
                <w:sz w:val="14"/>
                <w:szCs w:val="14"/>
                <w:color w:val="auto"/>
              </w:rPr>
              <w:t>Chief Administrative</w:t>
            </w:r>
          </w:p>
        </w:tc>
        <w:tc>
          <w:tcPr>
            <w:tcW w:w="380" w:type="dxa"/>
            <w:vAlign w:val="bottom"/>
            <w:shd w:val="clear" w:color="auto" w:fill="F3EDF3"/>
          </w:tcPr>
          <w:p>
            <w:pPr>
              <w:ind w:left="40"/>
              <w:spacing w:after="0"/>
              <w:rPr>
                <w:sz w:val="20"/>
                <w:szCs w:val="20"/>
                <w:color w:val="auto"/>
              </w:rPr>
            </w:pPr>
            <w:r>
              <w:rPr>
                <w:rFonts w:ascii="Arial" w:cs="Arial" w:eastAsia="Arial" w:hAnsi="Arial"/>
                <w:sz w:val="14"/>
                <w:szCs w:val="14"/>
                <w:color w:val="auto"/>
              </w:rPr>
              <w:t>2016</w:t>
            </w:r>
          </w:p>
        </w:tc>
        <w:tc>
          <w:tcPr>
            <w:tcW w:w="1980" w:type="dxa"/>
            <w:vAlign w:val="bottom"/>
            <w:shd w:val="clear" w:color="auto" w:fill="F3EDF3"/>
          </w:tcPr>
          <w:p>
            <w:pPr>
              <w:spacing w:after="0"/>
              <w:rPr>
                <w:sz w:val="14"/>
                <w:szCs w:val="14"/>
                <w:color w:val="auto"/>
              </w:rPr>
            </w:pPr>
          </w:p>
        </w:tc>
        <w:tc>
          <w:tcPr>
            <w:tcW w:w="700" w:type="dxa"/>
            <w:vAlign w:val="bottom"/>
            <w:shd w:val="clear" w:color="auto" w:fill="F3EDF3"/>
          </w:tcPr>
          <w:p>
            <w:pPr>
              <w:jc w:val="right"/>
              <w:ind w:right="28"/>
              <w:spacing w:after="0"/>
              <w:rPr>
                <w:sz w:val="20"/>
                <w:szCs w:val="20"/>
                <w:color w:val="auto"/>
              </w:rPr>
            </w:pPr>
            <w:r>
              <w:rPr>
                <w:rFonts w:ascii="Arial" w:cs="Arial" w:eastAsia="Arial" w:hAnsi="Arial"/>
                <w:sz w:val="14"/>
                <w:szCs w:val="14"/>
                <w:color w:val="auto"/>
              </w:rPr>
              <w:t>359,785</w:t>
            </w:r>
          </w:p>
        </w:tc>
        <w:tc>
          <w:tcPr>
            <w:tcW w:w="700" w:type="dxa"/>
            <w:vAlign w:val="bottom"/>
            <w:shd w:val="clear" w:color="auto" w:fill="F3EDF3"/>
          </w:tcPr>
          <w:p>
            <w:pPr>
              <w:spacing w:after="0"/>
              <w:rPr>
                <w:sz w:val="14"/>
                <w:szCs w:val="14"/>
                <w:color w:val="auto"/>
              </w:rPr>
            </w:pPr>
          </w:p>
        </w:tc>
        <w:tc>
          <w:tcPr>
            <w:tcW w:w="820" w:type="dxa"/>
            <w:vAlign w:val="bottom"/>
            <w:shd w:val="clear" w:color="auto" w:fill="F3EDF3"/>
          </w:tcPr>
          <w:p>
            <w:pPr>
              <w:jc w:val="right"/>
              <w:ind w:right="8"/>
              <w:spacing w:after="0"/>
              <w:rPr>
                <w:sz w:val="20"/>
                <w:szCs w:val="20"/>
                <w:color w:val="auto"/>
              </w:rPr>
            </w:pPr>
            <w:r>
              <w:rPr>
                <w:rFonts w:ascii="Arial" w:cs="Arial" w:eastAsia="Arial" w:hAnsi="Arial"/>
                <w:sz w:val="14"/>
                <w:szCs w:val="14"/>
                <w:color w:val="auto"/>
              </w:rPr>
              <w:t>1,499,962</w:t>
            </w:r>
          </w:p>
        </w:tc>
        <w:tc>
          <w:tcPr>
            <w:tcW w:w="860" w:type="dxa"/>
            <w:vAlign w:val="bottom"/>
            <w:shd w:val="clear" w:color="auto" w:fill="F3EDF3"/>
          </w:tcPr>
          <w:p>
            <w:pPr>
              <w:spacing w:after="0"/>
              <w:rPr>
                <w:sz w:val="14"/>
                <w:szCs w:val="14"/>
                <w:color w:val="auto"/>
              </w:rPr>
            </w:pPr>
          </w:p>
        </w:tc>
        <w:tc>
          <w:tcPr>
            <w:tcW w:w="1160" w:type="dxa"/>
            <w:vAlign w:val="bottom"/>
            <w:shd w:val="clear" w:color="auto" w:fill="F3EDF3"/>
          </w:tcPr>
          <w:p>
            <w:pPr>
              <w:jc w:val="right"/>
              <w:ind w:right="28"/>
              <w:spacing w:after="0"/>
              <w:rPr>
                <w:sz w:val="20"/>
                <w:szCs w:val="20"/>
                <w:color w:val="auto"/>
              </w:rPr>
            </w:pPr>
            <w:r>
              <w:rPr>
                <w:rFonts w:ascii="Arial" w:cs="Arial" w:eastAsia="Arial" w:hAnsi="Arial"/>
                <w:sz w:val="14"/>
                <w:szCs w:val="14"/>
                <w:color w:val="auto"/>
              </w:rPr>
              <w:t>4,095</w:t>
            </w:r>
          </w:p>
        </w:tc>
        <w:tc>
          <w:tcPr>
            <w:tcW w:w="1180" w:type="dxa"/>
            <w:vAlign w:val="bottom"/>
            <w:shd w:val="clear" w:color="auto" w:fill="F3EDF3"/>
          </w:tcPr>
          <w:p>
            <w:pPr>
              <w:jc w:val="right"/>
              <w:ind w:right="8"/>
              <w:spacing w:after="0"/>
              <w:rPr>
                <w:sz w:val="20"/>
                <w:szCs w:val="20"/>
                <w:color w:val="auto"/>
              </w:rPr>
            </w:pPr>
            <w:r>
              <w:rPr>
                <w:rFonts w:ascii="Arial" w:cs="Arial" w:eastAsia="Arial" w:hAnsi="Arial"/>
                <w:sz w:val="14"/>
                <w:szCs w:val="14"/>
                <w:color w:val="auto"/>
              </w:rPr>
              <w:t>170,227</w:t>
            </w:r>
          </w:p>
        </w:tc>
        <w:tc>
          <w:tcPr>
            <w:tcW w:w="1200" w:type="dxa"/>
            <w:vAlign w:val="bottom"/>
            <w:gridSpan w:val="2"/>
            <w:shd w:val="clear" w:color="auto" w:fill="F3EDF3"/>
          </w:tcPr>
          <w:p>
            <w:pPr>
              <w:jc w:val="right"/>
              <w:ind w:right="25"/>
              <w:spacing w:after="0"/>
              <w:rPr>
                <w:sz w:val="20"/>
                <w:szCs w:val="20"/>
                <w:color w:val="auto"/>
              </w:rPr>
            </w:pPr>
            <w:r>
              <w:rPr>
                <w:rFonts w:ascii="Arial" w:cs="Arial" w:eastAsia="Arial" w:hAnsi="Arial"/>
                <w:sz w:val="14"/>
                <w:szCs w:val="14"/>
                <w:color w:val="auto"/>
              </w:rPr>
              <w:t>25,439</w:t>
            </w:r>
          </w:p>
        </w:tc>
        <w:tc>
          <w:tcPr>
            <w:tcW w:w="780" w:type="dxa"/>
            <w:vAlign w:val="bottom"/>
            <w:shd w:val="clear" w:color="auto" w:fill="F3EDF3"/>
          </w:tcPr>
          <w:p>
            <w:pPr>
              <w:jc w:val="right"/>
              <w:spacing w:after="0"/>
              <w:rPr>
                <w:sz w:val="20"/>
                <w:szCs w:val="20"/>
                <w:color w:val="auto"/>
              </w:rPr>
            </w:pPr>
            <w:r>
              <w:rPr>
                <w:rFonts w:ascii="Arial" w:cs="Arial" w:eastAsia="Arial" w:hAnsi="Arial"/>
                <w:sz w:val="14"/>
                <w:szCs w:val="14"/>
                <w:color w:val="auto"/>
              </w:rPr>
              <w:t>2,059,508</w:t>
            </w:r>
          </w:p>
        </w:tc>
        <w:tc>
          <w:tcPr>
            <w:tcW w:w="0" w:type="dxa"/>
            <w:vAlign w:val="bottom"/>
          </w:tcPr>
          <w:p>
            <w:pPr>
              <w:spacing w:after="0"/>
              <w:rPr>
                <w:sz w:val="1"/>
                <w:szCs w:val="1"/>
                <w:color w:val="auto"/>
              </w:rPr>
            </w:pPr>
          </w:p>
        </w:tc>
      </w:tr>
      <w:tr>
        <w:trPr>
          <w:trHeight w:val="167"/>
        </w:trPr>
        <w:tc>
          <w:tcPr>
            <w:tcW w:w="1660" w:type="dxa"/>
            <w:vAlign w:val="bottom"/>
            <w:gridSpan w:val="2"/>
          </w:tcPr>
          <w:p>
            <w:pPr>
              <w:ind w:left="180"/>
              <w:spacing w:after="0"/>
              <w:rPr>
                <w:sz w:val="20"/>
                <w:szCs w:val="20"/>
                <w:color w:val="auto"/>
              </w:rPr>
            </w:pPr>
            <w:r>
              <w:rPr>
                <w:rFonts w:ascii="Arial" w:cs="Arial" w:eastAsia="Arial" w:hAnsi="Arial"/>
                <w:sz w:val="14"/>
                <w:szCs w:val="14"/>
                <w:color w:val="231F20"/>
              </w:rPr>
              <w:t>Officer</w:t>
            </w:r>
          </w:p>
        </w:tc>
        <w:tc>
          <w:tcPr>
            <w:tcW w:w="2360" w:type="dxa"/>
            <w:vAlign w:val="bottom"/>
            <w:gridSpan w:val="2"/>
          </w:tcPr>
          <w:p>
            <w:pPr>
              <w:ind w:left="40"/>
              <w:spacing w:after="0"/>
              <w:rPr>
                <w:sz w:val="20"/>
                <w:szCs w:val="20"/>
                <w:color w:val="auto"/>
              </w:rPr>
            </w:pPr>
            <w:r>
              <w:rPr>
                <w:rFonts w:ascii="Arial" w:cs="Arial" w:eastAsia="Arial" w:hAnsi="Arial"/>
                <w:sz w:val="14"/>
                <w:szCs w:val="14"/>
                <w:color w:val="231F20"/>
              </w:rPr>
              <w:t>2015 Transition Period (April 25,</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231F20"/>
              </w:rPr>
              <w:t>2015</w:t>
            </w:r>
          </w:p>
        </w:tc>
        <w:tc>
          <w:tcPr>
            <w:tcW w:w="1980" w:type="dxa"/>
            <w:vAlign w:val="bottom"/>
          </w:tcPr>
          <w:p>
            <w:pPr>
              <w:ind w:left="20"/>
              <w:spacing w:after="0"/>
              <w:rPr>
                <w:sz w:val="20"/>
                <w:szCs w:val="20"/>
                <w:color w:val="auto"/>
              </w:rPr>
            </w:pPr>
            <w:r>
              <w:rPr>
                <w:rFonts w:ascii="Arial" w:cs="Arial" w:eastAsia="Arial" w:hAnsi="Arial"/>
                <w:sz w:val="14"/>
                <w:szCs w:val="14"/>
                <w:color w:val="231F20"/>
              </w:rPr>
              <w:t>– December 31, 2015)</w:t>
            </w:r>
          </w:p>
        </w:tc>
        <w:tc>
          <w:tcPr>
            <w:tcW w:w="700" w:type="dxa"/>
            <w:vAlign w:val="bottom"/>
          </w:tcPr>
          <w:p>
            <w:pPr>
              <w:jc w:val="right"/>
              <w:ind w:right="28"/>
              <w:spacing w:after="0"/>
              <w:rPr>
                <w:sz w:val="20"/>
                <w:szCs w:val="20"/>
                <w:color w:val="auto"/>
              </w:rPr>
            </w:pPr>
            <w:r>
              <w:rPr>
                <w:rFonts w:ascii="Arial" w:cs="Arial" w:eastAsia="Arial" w:hAnsi="Arial"/>
                <w:sz w:val="14"/>
                <w:szCs w:val="14"/>
                <w:color w:val="231F20"/>
              </w:rPr>
              <w:t>235,062</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231F20"/>
              </w:rPr>
              <w:t>1,250,851</w:t>
            </w:r>
          </w:p>
        </w:tc>
        <w:tc>
          <w:tcPr>
            <w:tcW w:w="1160" w:type="dxa"/>
            <w:vAlign w:val="bottom"/>
          </w:tcPr>
          <w:p>
            <w:pPr>
              <w:jc w:val="right"/>
              <w:ind w:right="28"/>
              <w:spacing w:after="0"/>
              <w:rPr>
                <w:sz w:val="20"/>
                <w:szCs w:val="20"/>
                <w:color w:val="auto"/>
              </w:rPr>
            </w:pPr>
            <w:r>
              <w:rPr>
                <w:rFonts w:ascii="Arial" w:cs="Arial" w:eastAsia="Arial" w:hAnsi="Arial"/>
                <w:sz w:val="14"/>
                <w:szCs w:val="14"/>
                <w:color w:val="231F20"/>
              </w:rPr>
              <w:t>4,904</w:t>
            </w:r>
          </w:p>
        </w:tc>
        <w:tc>
          <w:tcPr>
            <w:tcW w:w="1180" w:type="dxa"/>
            <w:vAlign w:val="bottom"/>
          </w:tcPr>
          <w:p>
            <w:pPr>
              <w:jc w:val="right"/>
              <w:ind w:right="8"/>
              <w:spacing w:after="0"/>
              <w:rPr>
                <w:sz w:val="20"/>
                <w:szCs w:val="20"/>
                <w:color w:val="auto"/>
              </w:rPr>
            </w:pPr>
            <w:r>
              <w:rPr>
                <w:rFonts w:ascii="Arial" w:cs="Arial" w:eastAsia="Arial" w:hAnsi="Arial"/>
                <w:sz w:val="14"/>
                <w:szCs w:val="14"/>
                <w:color w:val="231F20"/>
              </w:rPr>
              <w:t>201,077</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231F20"/>
              </w:rPr>
              <w:t>1,691,894</w:t>
            </w:r>
          </w:p>
        </w:tc>
        <w:tc>
          <w:tcPr>
            <w:tcW w:w="0" w:type="dxa"/>
            <w:vAlign w:val="bottom"/>
          </w:tcPr>
          <w:p>
            <w:pPr>
              <w:spacing w:after="0"/>
              <w:rPr>
                <w:sz w:val="1"/>
                <w:szCs w:val="1"/>
                <w:color w:val="auto"/>
              </w:rPr>
            </w:pPr>
          </w:p>
        </w:tc>
      </w:tr>
      <w:tr>
        <w:trPr>
          <w:trHeight w:val="168"/>
        </w:trPr>
        <w:tc>
          <w:tcPr>
            <w:tcW w:w="360" w:type="dxa"/>
            <w:vAlign w:val="bottom"/>
            <w:tcBorders>
              <w:bottom w:val="single" w:sz="8" w:color="6F2875"/>
            </w:tcBorders>
          </w:tcPr>
          <w:p>
            <w:pPr>
              <w:spacing w:after="0"/>
              <w:rPr>
                <w:sz w:val="14"/>
                <w:szCs w:val="14"/>
                <w:color w:val="auto"/>
              </w:rPr>
            </w:pPr>
          </w:p>
        </w:tc>
        <w:tc>
          <w:tcPr>
            <w:tcW w:w="1300" w:type="dxa"/>
            <w:vAlign w:val="bottom"/>
            <w:tcBorders>
              <w:bottom w:val="single" w:sz="8" w:color="6F2875"/>
            </w:tcBorders>
          </w:tcPr>
          <w:p>
            <w:pPr>
              <w:spacing w:after="0"/>
              <w:rPr>
                <w:sz w:val="14"/>
                <w:szCs w:val="14"/>
                <w:color w:val="auto"/>
              </w:rPr>
            </w:pPr>
          </w:p>
        </w:tc>
        <w:tc>
          <w:tcPr>
            <w:tcW w:w="2360" w:type="dxa"/>
            <w:vAlign w:val="bottom"/>
            <w:tcBorders>
              <w:bottom w:val="single" w:sz="8" w:color="6F2875"/>
            </w:tcBorders>
            <w:gridSpan w:val="2"/>
            <w:shd w:val="clear" w:color="auto" w:fill="F3EDF3"/>
          </w:tcPr>
          <w:p>
            <w:pPr>
              <w:ind w:left="40"/>
              <w:spacing w:after="0"/>
              <w:rPr>
                <w:sz w:val="20"/>
                <w:szCs w:val="20"/>
                <w:color w:val="auto"/>
              </w:rPr>
            </w:pPr>
            <w:r>
              <w:rPr>
                <w:rFonts w:ascii="Arial" w:cs="Arial" w:eastAsia="Arial" w:hAnsi="Arial"/>
                <w:sz w:val="14"/>
                <w:szCs w:val="14"/>
                <w:color w:val="auto"/>
              </w:rPr>
              <w:t>YE April 24, 2015</w:t>
            </w:r>
          </w:p>
        </w:tc>
        <w:tc>
          <w:tcPr>
            <w:tcW w:w="700" w:type="dxa"/>
            <w:vAlign w:val="bottom"/>
            <w:tcBorders>
              <w:bottom w:val="single" w:sz="8" w:color="6F2875"/>
            </w:tcBorders>
            <w:shd w:val="clear" w:color="auto" w:fill="F3EDF3"/>
          </w:tcPr>
          <w:p>
            <w:pPr>
              <w:jc w:val="right"/>
              <w:ind w:right="28"/>
              <w:spacing w:after="0"/>
              <w:rPr>
                <w:sz w:val="20"/>
                <w:szCs w:val="20"/>
                <w:color w:val="auto"/>
              </w:rPr>
            </w:pPr>
            <w:r>
              <w:rPr>
                <w:rFonts w:ascii="Arial" w:cs="Arial" w:eastAsia="Arial" w:hAnsi="Arial"/>
                <w:sz w:val="14"/>
                <w:szCs w:val="14"/>
                <w:color w:val="auto"/>
              </w:rPr>
              <w:t>328,077</w:t>
            </w:r>
          </w:p>
        </w:tc>
        <w:tc>
          <w:tcPr>
            <w:tcW w:w="700" w:type="dxa"/>
            <w:vAlign w:val="bottom"/>
            <w:tcBorders>
              <w:bottom w:val="single" w:sz="8" w:color="6F2875"/>
            </w:tcBorders>
            <w:shd w:val="clear" w:color="auto" w:fill="F3EDF3"/>
          </w:tcPr>
          <w:p>
            <w:pPr>
              <w:spacing w:after="0"/>
              <w:rPr>
                <w:sz w:val="14"/>
                <w:szCs w:val="14"/>
                <w:color w:val="auto"/>
              </w:rPr>
            </w:pPr>
          </w:p>
        </w:tc>
        <w:tc>
          <w:tcPr>
            <w:tcW w:w="820" w:type="dxa"/>
            <w:vAlign w:val="bottom"/>
            <w:tcBorders>
              <w:bottom w:val="single" w:sz="8" w:color="6F2875"/>
            </w:tcBorders>
            <w:shd w:val="clear" w:color="auto" w:fill="F3EDF3"/>
          </w:tcPr>
          <w:p>
            <w:pPr>
              <w:jc w:val="right"/>
              <w:ind w:right="8"/>
              <w:spacing w:after="0"/>
              <w:rPr>
                <w:sz w:val="20"/>
                <w:szCs w:val="20"/>
                <w:color w:val="auto"/>
              </w:rPr>
            </w:pPr>
            <w:r>
              <w:rPr>
                <w:rFonts w:ascii="Arial" w:cs="Arial" w:eastAsia="Arial" w:hAnsi="Arial"/>
                <w:sz w:val="14"/>
                <w:szCs w:val="14"/>
                <w:color w:val="auto"/>
              </w:rPr>
              <w:t>259,632</w:t>
            </w:r>
          </w:p>
        </w:tc>
        <w:tc>
          <w:tcPr>
            <w:tcW w:w="860" w:type="dxa"/>
            <w:vAlign w:val="bottom"/>
            <w:tcBorders>
              <w:bottom w:val="single" w:sz="8" w:color="6F2875"/>
            </w:tcBorders>
            <w:shd w:val="clear" w:color="auto" w:fill="F3EDF3"/>
          </w:tcPr>
          <w:p>
            <w:pPr>
              <w:jc w:val="right"/>
              <w:ind w:right="49"/>
              <w:spacing w:after="0"/>
              <w:rPr>
                <w:sz w:val="20"/>
                <w:szCs w:val="20"/>
                <w:color w:val="auto"/>
              </w:rPr>
            </w:pPr>
            <w:r>
              <w:rPr>
                <w:rFonts w:ascii="Arial" w:cs="Arial" w:eastAsia="Arial" w:hAnsi="Arial"/>
                <w:sz w:val="14"/>
                <w:szCs w:val="14"/>
                <w:color w:val="auto"/>
              </w:rPr>
              <w:t>200,503</w:t>
            </w:r>
          </w:p>
        </w:tc>
        <w:tc>
          <w:tcPr>
            <w:tcW w:w="1160" w:type="dxa"/>
            <w:vAlign w:val="bottom"/>
            <w:tcBorders>
              <w:bottom w:val="single" w:sz="8" w:color="6F2875"/>
            </w:tcBorders>
            <w:shd w:val="clear" w:color="auto" w:fill="F3EDF3"/>
          </w:tcPr>
          <w:p>
            <w:pPr>
              <w:jc w:val="right"/>
              <w:ind w:right="28"/>
              <w:spacing w:after="0"/>
              <w:rPr>
                <w:sz w:val="20"/>
                <w:szCs w:val="20"/>
                <w:color w:val="auto"/>
              </w:rPr>
            </w:pPr>
            <w:r>
              <w:rPr>
                <w:rFonts w:ascii="Arial" w:cs="Arial" w:eastAsia="Arial" w:hAnsi="Arial"/>
                <w:sz w:val="14"/>
                <w:szCs w:val="14"/>
                <w:color w:val="auto"/>
              </w:rPr>
              <w:t>7,892</w:t>
            </w:r>
          </w:p>
        </w:tc>
        <w:tc>
          <w:tcPr>
            <w:tcW w:w="1180" w:type="dxa"/>
            <w:vAlign w:val="bottom"/>
            <w:tcBorders>
              <w:bottom w:val="single" w:sz="8" w:color="6F2875"/>
            </w:tcBorders>
            <w:shd w:val="clear" w:color="auto" w:fill="F3EDF3"/>
          </w:tcPr>
          <w:p>
            <w:pPr>
              <w:jc w:val="right"/>
              <w:ind w:right="8"/>
              <w:spacing w:after="0"/>
              <w:rPr>
                <w:sz w:val="20"/>
                <w:szCs w:val="20"/>
                <w:color w:val="auto"/>
              </w:rPr>
            </w:pPr>
            <w:r>
              <w:rPr>
                <w:rFonts w:ascii="Arial" w:cs="Arial" w:eastAsia="Arial" w:hAnsi="Arial"/>
                <w:sz w:val="14"/>
                <w:szCs w:val="14"/>
                <w:color w:val="auto"/>
              </w:rPr>
              <w:t>145,382</w:t>
            </w:r>
          </w:p>
        </w:tc>
        <w:tc>
          <w:tcPr>
            <w:tcW w:w="280" w:type="dxa"/>
            <w:vAlign w:val="bottom"/>
            <w:tcBorders>
              <w:bottom w:val="single" w:sz="8" w:color="6F2875"/>
            </w:tcBorders>
            <w:shd w:val="clear" w:color="auto" w:fill="F3EDF3"/>
          </w:tcPr>
          <w:p>
            <w:pPr>
              <w:spacing w:after="0"/>
              <w:rPr>
                <w:sz w:val="14"/>
                <w:szCs w:val="14"/>
                <w:color w:val="auto"/>
              </w:rPr>
            </w:pPr>
          </w:p>
        </w:tc>
        <w:tc>
          <w:tcPr>
            <w:tcW w:w="920" w:type="dxa"/>
            <w:vAlign w:val="bottom"/>
            <w:tcBorders>
              <w:bottom w:val="single" w:sz="8" w:color="6F2875"/>
            </w:tcBorders>
            <w:shd w:val="clear" w:color="auto" w:fill="F3EDF3"/>
          </w:tcPr>
          <w:p>
            <w:pPr>
              <w:spacing w:after="0"/>
              <w:rPr>
                <w:sz w:val="14"/>
                <w:szCs w:val="14"/>
                <w:color w:val="auto"/>
              </w:rPr>
            </w:pPr>
          </w:p>
        </w:tc>
        <w:tc>
          <w:tcPr>
            <w:tcW w:w="780" w:type="dxa"/>
            <w:vAlign w:val="bottom"/>
            <w:tcBorders>
              <w:bottom w:val="single" w:sz="8" w:color="6F2875"/>
            </w:tcBorders>
            <w:shd w:val="clear" w:color="auto" w:fill="F3EDF3"/>
          </w:tcPr>
          <w:p>
            <w:pPr>
              <w:jc w:val="right"/>
              <w:spacing w:after="0"/>
              <w:rPr>
                <w:sz w:val="20"/>
                <w:szCs w:val="20"/>
                <w:color w:val="auto"/>
              </w:rPr>
            </w:pPr>
            <w:r>
              <w:rPr>
                <w:rFonts w:ascii="Arial" w:cs="Arial" w:eastAsia="Arial" w:hAnsi="Arial"/>
                <w:sz w:val="14"/>
                <w:szCs w:val="14"/>
                <w:color w:val="auto"/>
              </w:rPr>
              <w:t>941,486</w:t>
            </w:r>
          </w:p>
        </w:tc>
        <w:tc>
          <w:tcPr>
            <w:tcW w:w="0" w:type="dxa"/>
            <w:vAlign w:val="bottom"/>
          </w:tcPr>
          <w:p>
            <w:pPr>
              <w:spacing w:after="0"/>
              <w:rPr>
                <w:sz w:val="1"/>
                <w:szCs w:val="1"/>
                <w:color w:val="auto"/>
              </w:rPr>
            </w:pPr>
          </w:p>
        </w:tc>
      </w:tr>
      <w:tr>
        <w:trPr>
          <w:trHeight w:val="304"/>
        </w:trPr>
        <w:tc>
          <w:tcPr>
            <w:tcW w:w="360" w:type="dxa"/>
            <w:vAlign w:val="bottom"/>
            <w:vMerge w:val="restart"/>
          </w:tcPr>
          <w:p>
            <w:pPr>
              <w:spacing w:after="0"/>
              <w:rPr>
                <w:sz w:val="20"/>
                <w:szCs w:val="20"/>
                <w:color w:val="auto"/>
              </w:rPr>
            </w:pPr>
            <w:r>
              <w:rPr>
                <w:rFonts w:ascii="Arial" w:cs="Arial" w:eastAsia="Arial" w:hAnsi="Arial"/>
                <w:sz w:val="16"/>
                <w:szCs w:val="16"/>
                <w:b w:val="1"/>
                <w:bCs w:val="1"/>
                <w:color w:val="auto"/>
              </w:rPr>
              <w:t>34</w:t>
            </w:r>
          </w:p>
        </w:tc>
        <w:tc>
          <w:tcPr>
            <w:tcW w:w="1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3080" w:type="dxa"/>
            <w:vAlign w:val="bottom"/>
            <w:gridSpan w:val="4"/>
            <w:vMerge w:val="restart"/>
          </w:tcPr>
          <w:p>
            <w:pPr>
              <w:jc w:val="right"/>
              <w:ind w:right="149"/>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1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6F2875"/>
              </w:rPr>
              <w:t>www.livanova.com</w:t>
            </w:r>
          </w:p>
        </w:tc>
        <w:tc>
          <w:tcPr>
            <w:tcW w:w="0" w:type="dxa"/>
            <w:vAlign w:val="bottom"/>
          </w:tcPr>
          <w:p>
            <w:pPr>
              <w:spacing w:after="0"/>
              <w:rPr>
                <w:sz w:val="1"/>
                <w:szCs w:val="1"/>
                <w:color w:val="auto"/>
              </w:rPr>
            </w:pPr>
          </w:p>
        </w:tc>
      </w:tr>
      <w:tr>
        <w:trPr>
          <w:trHeight w:val="69"/>
        </w:trPr>
        <w:tc>
          <w:tcPr>
            <w:tcW w:w="36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080" w:type="dxa"/>
            <w:vAlign w:val="bottom"/>
            <w:gridSpan w:val="4"/>
            <w:vMerge w:val="continue"/>
          </w:tcPr>
          <w:p>
            <w:pPr>
              <w:spacing w:after="0"/>
              <w:rPr>
                <w:sz w:val="5"/>
                <w:szCs w:val="5"/>
                <w:color w:val="auto"/>
              </w:rPr>
            </w:pPr>
          </w:p>
        </w:tc>
        <w:tc>
          <w:tcPr>
            <w:tcW w:w="1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360" w:type="dxa"/>
            <w:vAlign w:val="bottom"/>
            <w:tcBorders>
              <w:bottom w:val="single" w:sz="8" w:color="C0C0C0"/>
            </w:tcBorders>
          </w:tcPr>
          <w:p>
            <w:pPr>
              <w:spacing w:after="0"/>
              <w:rPr>
                <w:sz w:val="24"/>
                <w:szCs w:val="24"/>
                <w:color w:val="auto"/>
              </w:rPr>
            </w:pPr>
          </w:p>
        </w:tc>
        <w:tc>
          <w:tcPr>
            <w:tcW w:w="1300" w:type="dxa"/>
            <w:vAlign w:val="bottom"/>
            <w:tcBorders>
              <w:bottom w:val="single" w:sz="8" w:color="C0C0C0"/>
            </w:tcBorders>
          </w:tcPr>
          <w:p>
            <w:pPr>
              <w:spacing w:after="0"/>
              <w:rPr>
                <w:sz w:val="24"/>
                <w:szCs w:val="24"/>
                <w:color w:val="auto"/>
              </w:rPr>
            </w:pPr>
          </w:p>
        </w:tc>
        <w:tc>
          <w:tcPr>
            <w:tcW w:w="380" w:type="dxa"/>
            <w:vAlign w:val="bottom"/>
            <w:tcBorders>
              <w:bottom w:val="single" w:sz="8" w:color="C0C0C0"/>
            </w:tcBorders>
          </w:tcPr>
          <w:p>
            <w:pPr>
              <w:spacing w:after="0"/>
              <w:rPr>
                <w:sz w:val="24"/>
                <w:szCs w:val="24"/>
                <w:color w:val="auto"/>
              </w:rPr>
            </w:pPr>
          </w:p>
        </w:tc>
        <w:tc>
          <w:tcPr>
            <w:tcW w:w="1980" w:type="dxa"/>
            <w:vAlign w:val="bottom"/>
            <w:tcBorders>
              <w:bottom w:val="single" w:sz="8" w:color="C0C0C0"/>
            </w:tcBorders>
          </w:tcPr>
          <w:p>
            <w:pPr>
              <w:spacing w:after="0"/>
              <w:rPr>
                <w:sz w:val="24"/>
                <w:szCs w:val="24"/>
                <w:color w:val="auto"/>
              </w:rPr>
            </w:pPr>
          </w:p>
        </w:tc>
        <w:tc>
          <w:tcPr>
            <w:tcW w:w="700" w:type="dxa"/>
            <w:vAlign w:val="bottom"/>
            <w:tcBorders>
              <w:bottom w:val="single" w:sz="8" w:color="C0C0C0"/>
            </w:tcBorders>
          </w:tcPr>
          <w:p>
            <w:pPr>
              <w:spacing w:after="0"/>
              <w:rPr>
                <w:sz w:val="24"/>
                <w:szCs w:val="24"/>
                <w:color w:val="auto"/>
              </w:rPr>
            </w:pPr>
          </w:p>
        </w:tc>
        <w:tc>
          <w:tcPr>
            <w:tcW w:w="700" w:type="dxa"/>
            <w:vAlign w:val="bottom"/>
            <w:tcBorders>
              <w:bottom w:val="single" w:sz="8" w:color="C0C0C0"/>
            </w:tcBorders>
          </w:tcPr>
          <w:p>
            <w:pPr>
              <w:spacing w:after="0"/>
              <w:rPr>
                <w:sz w:val="24"/>
                <w:szCs w:val="24"/>
                <w:color w:val="auto"/>
              </w:rPr>
            </w:pPr>
          </w:p>
        </w:tc>
        <w:tc>
          <w:tcPr>
            <w:tcW w:w="820" w:type="dxa"/>
            <w:vAlign w:val="bottom"/>
            <w:tcBorders>
              <w:bottom w:val="single" w:sz="8" w:color="C0C0C0"/>
            </w:tcBorders>
          </w:tcPr>
          <w:p>
            <w:pPr>
              <w:spacing w:after="0"/>
              <w:rPr>
                <w:sz w:val="24"/>
                <w:szCs w:val="24"/>
                <w:color w:val="auto"/>
              </w:rPr>
            </w:pPr>
          </w:p>
        </w:tc>
        <w:tc>
          <w:tcPr>
            <w:tcW w:w="860" w:type="dxa"/>
            <w:vAlign w:val="bottom"/>
            <w:tcBorders>
              <w:bottom w:val="single" w:sz="8" w:color="C0C0C0"/>
            </w:tcBorders>
          </w:tcPr>
          <w:p>
            <w:pPr>
              <w:spacing w:after="0"/>
              <w:rPr>
                <w:sz w:val="24"/>
                <w:szCs w:val="24"/>
                <w:color w:val="auto"/>
              </w:rPr>
            </w:pPr>
          </w:p>
        </w:tc>
        <w:tc>
          <w:tcPr>
            <w:tcW w:w="1160" w:type="dxa"/>
            <w:vAlign w:val="bottom"/>
            <w:tcBorders>
              <w:bottom w:val="single" w:sz="8" w:color="C0C0C0"/>
            </w:tcBorders>
          </w:tcPr>
          <w:p>
            <w:pPr>
              <w:spacing w:after="0"/>
              <w:rPr>
                <w:sz w:val="24"/>
                <w:szCs w:val="24"/>
                <w:color w:val="auto"/>
              </w:rPr>
            </w:pPr>
          </w:p>
        </w:tc>
        <w:tc>
          <w:tcPr>
            <w:tcW w:w="11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920" w:type="dxa"/>
            <w:vAlign w:val="bottom"/>
            <w:tcBorders>
              <w:bottom w:val="single" w:sz="8" w:color="C0C0C0"/>
            </w:tcBorders>
          </w:tcPr>
          <w:p>
            <w:pPr>
              <w:spacing w:after="0"/>
              <w:rPr>
                <w:sz w:val="24"/>
                <w:szCs w:val="24"/>
                <w:color w:val="auto"/>
              </w:rPr>
            </w:pPr>
          </w:p>
        </w:tc>
        <w:tc>
          <w:tcPr>
            <w:tcW w:w="78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0" w:type="dxa"/>
            <w:vAlign w:val="bottom"/>
            <w:tcBorders>
              <w:bottom w:val="single" w:sz="8" w:color="0000EE"/>
            </w:tcBorders>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Back to Contents</w:t>
              </w:r>
            </w:hyperlink>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660" w:type="dxa"/>
            <w:vAlign w:val="bottom"/>
            <w:tcBorders>
              <w:bottom w:val="single" w:sz="8" w:color="6F2875"/>
            </w:tcBorders>
            <w:gridSpan w:val="2"/>
          </w:tcPr>
          <w:p>
            <w:pPr>
              <w:ind w:left="720"/>
              <w:spacing w:after="0"/>
              <w:rPr>
                <w:sz w:val="20"/>
                <w:szCs w:val="20"/>
                <w:color w:val="auto"/>
              </w:rPr>
            </w:pPr>
            <w:r>
              <w:rPr>
                <w:rFonts w:ascii="Arial" w:cs="Arial" w:eastAsia="Arial" w:hAnsi="Arial"/>
                <w:sz w:val="14"/>
                <w:szCs w:val="14"/>
                <w:b w:val="1"/>
                <w:bCs w:val="1"/>
                <w:color w:val="6F2875"/>
              </w:rPr>
              <w:t>A</w:t>
            </w:r>
          </w:p>
        </w:tc>
        <w:tc>
          <w:tcPr>
            <w:tcW w:w="380" w:type="dxa"/>
            <w:vAlign w:val="bottom"/>
            <w:tcBorders>
              <w:bottom w:val="single" w:sz="8" w:color="6F2875"/>
            </w:tcBorders>
          </w:tcPr>
          <w:p>
            <w:pPr>
              <w:spacing w:after="0"/>
              <w:rPr>
                <w:sz w:val="24"/>
                <w:szCs w:val="24"/>
                <w:color w:val="auto"/>
              </w:rPr>
            </w:pPr>
          </w:p>
        </w:tc>
        <w:tc>
          <w:tcPr>
            <w:tcW w:w="1940" w:type="dxa"/>
            <w:vAlign w:val="bottom"/>
            <w:tcBorders>
              <w:bottom w:val="single" w:sz="8" w:color="6F2875"/>
            </w:tcBorders>
          </w:tcPr>
          <w:p>
            <w:pPr>
              <w:ind w:left="740"/>
              <w:spacing w:after="0"/>
              <w:rPr>
                <w:sz w:val="20"/>
                <w:szCs w:val="20"/>
                <w:color w:val="auto"/>
              </w:rPr>
            </w:pPr>
            <w:r>
              <w:rPr>
                <w:rFonts w:ascii="Arial" w:cs="Arial" w:eastAsia="Arial" w:hAnsi="Arial"/>
                <w:sz w:val="14"/>
                <w:szCs w:val="14"/>
                <w:b w:val="1"/>
                <w:bCs w:val="1"/>
                <w:color w:val="6F2875"/>
              </w:rPr>
              <w:t>B</w:t>
            </w:r>
          </w:p>
        </w:tc>
        <w:tc>
          <w:tcPr>
            <w:tcW w:w="840" w:type="dxa"/>
            <w:vAlign w:val="bottom"/>
            <w:tcBorders>
              <w:bottom w:val="single" w:sz="8" w:color="6F2875"/>
            </w:tcBorders>
          </w:tcPr>
          <w:p>
            <w:pPr>
              <w:jc w:val="right"/>
              <w:ind w:right="231"/>
              <w:spacing w:after="0"/>
              <w:rPr>
                <w:sz w:val="20"/>
                <w:szCs w:val="20"/>
                <w:color w:val="auto"/>
              </w:rPr>
            </w:pPr>
            <w:r>
              <w:rPr>
                <w:rFonts w:ascii="Arial" w:cs="Arial" w:eastAsia="Arial" w:hAnsi="Arial"/>
                <w:sz w:val="14"/>
                <w:szCs w:val="14"/>
                <w:b w:val="1"/>
                <w:bCs w:val="1"/>
                <w:color w:val="6F2875"/>
              </w:rPr>
              <w:t>C</w:t>
            </w:r>
          </w:p>
        </w:tc>
        <w:tc>
          <w:tcPr>
            <w:tcW w:w="640" w:type="dxa"/>
            <w:vAlign w:val="bottom"/>
            <w:tcBorders>
              <w:bottom w:val="single" w:sz="8" w:color="6F2875"/>
            </w:tcBorders>
          </w:tcPr>
          <w:p>
            <w:pPr>
              <w:jc w:val="right"/>
              <w:ind w:right="195"/>
              <w:spacing w:after="0"/>
              <w:rPr>
                <w:sz w:val="20"/>
                <w:szCs w:val="20"/>
                <w:color w:val="auto"/>
              </w:rPr>
            </w:pPr>
            <w:r>
              <w:rPr>
                <w:rFonts w:ascii="Arial" w:cs="Arial" w:eastAsia="Arial" w:hAnsi="Arial"/>
                <w:sz w:val="14"/>
                <w:szCs w:val="14"/>
                <w:b w:val="1"/>
                <w:bCs w:val="1"/>
                <w:color w:val="6F2875"/>
              </w:rPr>
              <w:t>D</w:t>
            </w:r>
          </w:p>
        </w:tc>
        <w:tc>
          <w:tcPr>
            <w:tcW w:w="840" w:type="dxa"/>
            <w:vAlign w:val="bottom"/>
            <w:tcBorders>
              <w:bottom w:val="single" w:sz="8" w:color="6F2875"/>
            </w:tcBorders>
          </w:tcPr>
          <w:p>
            <w:pPr>
              <w:jc w:val="right"/>
              <w:ind w:right="291"/>
              <w:spacing w:after="0"/>
              <w:rPr>
                <w:sz w:val="20"/>
                <w:szCs w:val="20"/>
                <w:color w:val="auto"/>
              </w:rPr>
            </w:pPr>
            <w:r>
              <w:rPr>
                <w:rFonts w:ascii="Arial" w:cs="Arial" w:eastAsia="Arial" w:hAnsi="Arial"/>
                <w:sz w:val="14"/>
                <w:szCs w:val="14"/>
                <w:b w:val="1"/>
                <w:bCs w:val="1"/>
                <w:color w:val="6F2875"/>
              </w:rPr>
              <w:t>E</w:t>
            </w:r>
          </w:p>
        </w:tc>
        <w:tc>
          <w:tcPr>
            <w:tcW w:w="720" w:type="dxa"/>
            <w:vAlign w:val="bottom"/>
            <w:tcBorders>
              <w:bottom w:val="single" w:sz="8" w:color="6F2875"/>
            </w:tcBorders>
          </w:tcPr>
          <w:p>
            <w:pPr>
              <w:jc w:val="right"/>
              <w:ind w:right="252"/>
              <w:spacing w:after="0"/>
              <w:rPr>
                <w:sz w:val="20"/>
                <w:szCs w:val="20"/>
                <w:color w:val="auto"/>
              </w:rPr>
            </w:pPr>
            <w:r>
              <w:rPr>
                <w:rFonts w:ascii="Arial" w:cs="Arial" w:eastAsia="Arial" w:hAnsi="Arial"/>
                <w:sz w:val="14"/>
                <w:szCs w:val="14"/>
                <w:b w:val="1"/>
                <w:bCs w:val="1"/>
                <w:color w:val="6F2875"/>
              </w:rPr>
              <w:t>F</w:t>
            </w:r>
          </w:p>
        </w:tc>
        <w:tc>
          <w:tcPr>
            <w:tcW w:w="1200" w:type="dxa"/>
            <w:vAlign w:val="bottom"/>
            <w:tcBorders>
              <w:bottom w:val="single" w:sz="8" w:color="6F2875"/>
            </w:tcBorders>
          </w:tcPr>
          <w:p>
            <w:pPr>
              <w:jc w:val="right"/>
              <w:ind w:right="468"/>
              <w:spacing w:after="0"/>
              <w:rPr>
                <w:sz w:val="20"/>
                <w:szCs w:val="20"/>
                <w:color w:val="auto"/>
              </w:rPr>
            </w:pPr>
            <w:r>
              <w:rPr>
                <w:rFonts w:ascii="Arial" w:cs="Arial" w:eastAsia="Arial" w:hAnsi="Arial"/>
                <w:sz w:val="14"/>
                <w:szCs w:val="14"/>
                <w:b w:val="1"/>
                <w:bCs w:val="1"/>
                <w:color w:val="6F2875"/>
              </w:rPr>
              <w:t>G</w:t>
            </w:r>
          </w:p>
        </w:tc>
        <w:tc>
          <w:tcPr>
            <w:tcW w:w="1200" w:type="dxa"/>
            <w:vAlign w:val="bottom"/>
            <w:tcBorders>
              <w:bottom w:val="single" w:sz="8" w:color="6F2875"/>
            </w:tcBorders>
          </w:tcPr>
          <w:p>
            <w:pPr>
              <w:jc w:val="right"/>
              <w:ind w:right="471"/>
              <w:spacing w:after="0"/>
              <w:rPr>
                <w:sz w:val="20"/>
                <w:szCs w:val="20"/>
                <w:color w:val="auto"/>
              </w:rPr>
            </w:pPr>
            <w:r>
              <w:rPr>
                <w:rFonts w:ascii="Arial" w:cs="Arial" w:eastAsia="Arial" w:hAnsi="Arial"/>
                <w:sz w:val="14"/>
                <w:szCs w:val="14"/>
                <w:b w:val="1"/>
                <w:bCs w:val="1"/>
                <w:color w:val="6F2875"/>
              </w:rPr>
              <w:t>H</w:t>
            </w:r>
          </w:p>
        </w:tc>
        <w:tc>
          <w:tcPr>
            <w:tcW w:w="1200" w:type="dxa"/>
            <w:vAlign w:val="bottom"/>
            <w:tcBorders>
              <w:bottom w:val="single" w:sz="8" w:color="6F2875"/>
            </w:tcBorders>
          </w:tcPr>
          <w:p>
            <w:pPr>
              <w:jc w:val="right"/>
              <w:ind w:right="511"/>
              <w:spacing w:after="0"/>
              <w:rPr>
                <w:sz w:val="20"/>
                <w:szCs w:val="20"/>
                <w:color w:val="auto"/>
              </w:rPr>
            </w:pPr>
            <w:r>
              <w:rPr>
                <w:rFonts w:ascii="Arial" w:cs="Arial" w:eastAsia="Arial" w:hAnsi="Arial"/>
                <w:sz w:val="14"/>
                <w:szCs w:val="14"/>
                <w:b w:val="1"/>
                <w:bCs w:val="1"/>
                <w:color w:val="6F2875"/>
              </w:rPr>
              <w:t>I</w:t>
            </w:r>
          </w:p>
        </w:tc>
        <w:tc>
          <w:tcPr>
            <w:tcW w:w="800" w:type="dxa"/>
            <w:vAlign w:val="bottom"/>
            <w:tcBorders>
              <w:bottom w:val="single" w:sz="8" w:color="6F2875"/>
            </w:tcBorders>
          </w:tcPr>
          <w:p>
            <w:pPr>
              <w:jc w:val="right"/>
              <w:ind w:right="268"/>
              <w:spacing w:after="0"/>
              <w:rPr>
                <w:sz w:val="20"/>
                <w:szCs w:val="20"/>
                <w:color w:val="auto"/>
              </w:rPr>
            </w:pPr>
            <w:r>
              <w:rPr>
                <w:rFonts w:ascii="Arial" w:cs="Arial" w:eastAsia="Arial" w:hAnsi="Arial"/>
                <w:sz w:val="14"/>
                <w:szCs w:val="14"/>
                <w:b w:val="1"/>
                <w:bCs w:val="1"/>
                <w:color w:val="6F2875"/>
              </w:rPr>
              <w:t>J</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jc w:val="right"/>
              <w:ind w:right="28"/>
              <w:spacing w:after="0" w:line="143" w:lineRule="exact"/>
              <w:rPr>
                <w:sz w:val="20"/>
                <w:szCs w:val="20"/>
                <w:color w:val="auto"/>
              </w:rPr>
            </w:pPr>
            <w:r>
              <w:rPr>
                <w:rFonts w:ascii="Arial" w:cs="Arial" w:eastAsia="Arial" w:hAnsi="Arial"/>
                <w:sz w:val="14"/>
                <w:szCs w:val="14"/>
                <w:b w:val="1"/>
                <w:bCs w:val="1"/>
                <w:color w:val="6F2875"/>
              </w:rPr>
              <w:t>Change in</w:t>
            </w: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6F2875"/>
              </w:rPr>
              <w:t>Pension</w:t>
            </w: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6F2875"/>
              </w:rPr>
              <w:t>Value and</w:t>
            </w:r>
          </w:p>
        </w:tc>
        <w:tc>
          <w:tcPr>
            <w:tcW w:w="120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6F2875"/>
              </w:rPr>
              <w:t>Non-Equity</w:t>
            </w: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6F2875"/>
              </w:rPr>
              <w:t>Nonqualified</w:t>
            </w:r>
          </w:p>
        </w:tc>
        <w:tc>
          <w:tcPr>
            <w:tcW w:w="120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b w:val="1"/>
                <w:bCs w:val="1"/>
                <w:color w:val="6F2875"/>
              </w:rPr>
              <w:t>Stock</w:t>
            </w:r>
          </w:p>
        </w:tc>
        <w:tc>
          <w:tcPr>
            <w:tcW w:w="720" w:type="dxa"/>
            <w:vAlign w:val="bottom"/>
          </w:tcPr>
          <w:p>
            <w:pPr>
              <w:jc w:val="right"/>
              <w:ind w:right="32"/>
              <w:spacing w:after="0"/>
              <w:rPr>
                <w:sz w:val="20"/>
                <w:szCs w:val="20"/>
                <w:color w:val="auto"/>
              </w:rPr>
            </w:pPr>
            <w:r>
              <w:rPr>
                <w:rFonts w:ascii="Arial" w:cs="Arial" w:eastAsia="Arial" w:hAnsi="Arial"/>
                <w:sz w:val="14"/>
                <w:szCs w:val="14"/>
                <w:b w:val="1"/>
                <w:bCs w:val="1"/>
                <w:color w:val="6F2875"/>
              </w:rPr>
              <w:t>Option</w:t>
            </w: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6F2875"/>
              </w:rPr>
              <w:t>Deferred</w:t>
            </w:r>
          </w:p>
        </w:tc>
        <w:tc>
          <w:tcPr>
            <w:tcW w:w="1200" w:type="dxa"/>
            <w:vAlign w:val="bottom"/>
          </w:tcPr>
          <w:p>
            <w:pPr>
              <w:jc w:val="right"/>
              <w:ind w:right="31"/>
              <w:spacing w:after="0"/>
              <w:rPr>
                <w:sz w:val="20"/>
                <w:szCs w:val="20"/>
                <w:color w:val="auto"/>
              </w:rPr>
            </w:pPr>
            <w:r>
              <w:rPr>
                <w:rFonts w:ascii="Arial" w:cs="Arial" w:eastAsia="Arial" w:hAnsi="Arial"/>
                <w:sz w:val="14"/>
                <w:szCs w:val="14"/>
                <w:b w:val="1"/>
                <w:bCs w:val="1"/>
                <w:color w:val="6F2875"/>
              </w:rPr>
              <w:t>Incentive Plan</w:t>
            </w:r>
          </w:p>
        </w:tc>
        <w:tc>
          <w:tcPr>
            <w:tcW w:w="1200" w:type="dxa"/>
            <w:vAlign w:val="bottom"/>
          </w:tcPr>
          <w:p>
            <w:pPr>
              <w:jc w:val="right"/>
              <w:ind w:right="31"/>
              <w:spacing w:after="0"/>
              <w:rPr>
                <w:sz w:val="20"/>
                <w:szCs w:val="20"/>
                <w:color w:val="auto"/>
              </w:rPr>
            </w:pPr>
            <w:r>
              <w:rPr>
                <w:rFonts w:ascii="Arial" w:cs="Arial" w:eastAsia="Arial" w:hAnsi="Arial"/>
                <w:sz w:val="14"/>
                <w:szCs w:val="14"/>
                <w:b w:val="1"/>
                <w:bCs w:val="1"/>
                <w:color w:val="6F2875"/>
              </w:rPr>
              <w:t>All Other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6F2875"/>
              </w:rPr>
              <w:t>Name and</w:t>
            </w:r>
          </w:p>
        </w:tc>
        <w:tc>
          <w:tcPr>
            <w:tcW w:w="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b w:val="1"/>
                <w:bCs w:val="1"/>
                <w:color w:val="6F2875"/>
              </w:rPr>
              <w:t>Salary</w:t>
            </w:r>
          </w:p>
        </w:tc>
        <w:tc>
          <w:tcPr>
            <w:tcW w:w="640" w:type="dxa"/>
            <w:vAlign w:val="bottom"/>
          </w:tcPr>
          <w:p>
            <w:pPr>
              <w:jc w:val="right"/>
              <w:ind w:right="35"/>
              <w:spacing w:after="0"/>
              <w:rPr>
                <w:sz w:val="20"/>
                <w:szCs w:val="20"/>
                <w:color w:val="auto"/>
              </w:rPr>
            </w:pPr>
            <w:r>
              <w:rPr>
                <w:rFonts w:ascii="Arial" w:cs="Arial" w:eastAsia="Arial" w:hAnsi="Arial"/>
                <w:sz w:val="14"/>
                <w:szCs w:val="14"/>
                <w:b w:val="1"/>
                <w:bCs w:val="1"/>
                <w:color w:val="6F2875"/>
              </w:rPr>
              <w:t>Bonus</w:t>
            </w:r>
          </w:p>
        </w:tc>
        <w:tc>
          <w:tcPr>
            <w:tcW w:w="840" w:type="dxa"/>
            <w:vAlign w:val="bottom"/>
          </w:tcPr>
          <w:p>
            <w:pPr>
              <w:jc w:val="right"/>
              <w:ind w:right="31"/>
              <w:spacing w:after="0"/>
              <w:rPr>
                <w:sz w:val="20"/>
                <w:szCs w:val="20"/>
                <w:color w:val="auto"/>
              </w:rPr>
            </w:pPr>
            <w:r>
              <w:rPr>
                <w:rFonts w:ascii="Arial" w:cs="Arial" w:eastAsia="Arial" w:hAnsi="Arial"/>
                <w:sz w:val="14"/>
                <w:szCs w:val="14"/>
                <w:b w:val="1"/>
                <w:bCs w:val="1"/>
                <w:color w:val="6F2875"/>
              </w:rPr>
              <w:t>Awards</w:t>
            </w:r>
          </w:p>
        </w:tc>
        <w:tc>
          <w:tcPr>
            <w:tcW w:w="720" w:type="dxa"/>
            <w:vAlign w:val="bottom"/>
          </w:tcPr>
          <w:p>
            <w:pPr>
              <w:jc w:val="right"/>
              <w:ind w:right="32"/>
              <w:spacing w:after="0"/>
              <w:rPr>
                <w:sz w:val="20"/>
                <w:szCs w:val="20"/>
                <w:color w:val="auto"/>
              </w:rPr>
            </w:pPr>
            <w:r>
              <w:rPr>
                <w:rFonts w:ascii="Arial" w:cs="Arial" w:eastAsia="Arial" w:hAnsi="Arial"/>
                <w:sz w:val="14"/>
                <w:szCs w:val="14"/>
                <w:b w:val="1"/>
                <w:bCs w:val="1"/>
                <w:color w:val="6F2875"/>
              </w:rPr>
              <w:t>Awards</w:t>
            </w: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6F2875"/>
              </w:rPr>
              <w:t>Compensation</w:t>
            </w:r>
          </w:p>
        </w:tc>
        <w:tc>
          <w:tcPr>
            <w:tcW w:w="1200" w:type="dxa"/>
            <w:vAlign w:val="bottom"/>
          </w:tcPr>
          <w:p>
            <w:pPr>
              <w:jc w:val="right"/>
              <w:ind w:right="31"/>
              <w:spacing w:after="0"/>
              <w:rPr>
                <w:sz w:val="20"/>
                <w:szCs w:val="20"/>
                <w:color w:val="auto"/>
              </w:rPr>
            </w:pPr>
            <w:r>
              <w:rPr>
                <w:rFonts w:ascii="Arial" w:cs="Arial" w:eastAsia="Arial" w:hAnsi="Arial"/>
                <w:sz w:val="14"/>
                <w:szCs w:val="14"/>
                <w:b w:val="1"/>
                <w:bCs w:val="1"/>
                <w:color w:val="6F2875"/>
              </w:rPr>
              <w:t>Compensation</w:t>
            </w:r>
          </w:p>
        </w:tc>
        <w:tc>
          <w:tcPr>
            <w:tcW w:w="1200" w:type="dxa"/>
            <w:vAlign w:val="bottom"/>
          </w:tcPr>
          <w:p>
            <w:pPr>
              <w:jc w:val="right"/>
              <w:ind w:right="31"/>
              <w:spacing w:after="0"/>
              <w:rPr>
                <w:sz w:val="20"/>
                <w:szCs w:val="20"/>
                <w:color w:val="auto"/>
              </w:rPr>
            </w:pPr>
            <w:r>
              <w:rPr>
                <w:rFonts w:ascii="Arial" w:cs="Arial" w:eastAsia="Arial" w:hAnsi="Arial"/>
                <w:sz w:val="14"/>
                <w:szCs w:val="14"/>
                <w:b w:val="1"/>
                <w:bCs w:val="1"/>
                <w:color w:val="6F2875"/>
              </w:rPr>
              <w:t>Compensation</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6F2875"/>
              </w:rPr>
              <w:t>Total</w:t>
            </w:r>
          </w:p>
        </w:tc>
        <w:tc>
          <w:tcPr>
            <w:tcW w:w="0" w:type="dxa"/>
            <w:vAlign w:val="bottom"/>
          </w:tcPr>
          <w:p>
            <w:pPr>
              <w:spacing w:after="0"/>
              <w:rPr>
                <w:sz w:val="1"/>
                <w:szCs w:val="1"/>
                <w:color w:val="auto"/>
              </w:rPr>
            </w:pPr>
          </w:p>
        </w:tc>
      </w:tr>
      <w:tr>
        <w:trPr>
          <w:trHeight w:val="189"/>
        </w:trPr>
        <w:tc>
          <w:tcPr>
            <w:tcW w:w="1660" w:type="dxa"/>
            <w:vAlign w:val="bottom"/>
            <w:tcBorders>
              <w:bottom w:val="single" w:sz="8" w:color="6F2875"/>
            </w:tcBorders>
            <w:gridSpan w:val="2"/>
          </w:tcPr>
          <w:p>
            <w:pPr>
              <w:ind w:left="60"/>
              <w:spacing w:after="0"/>
              <w:rPr>
                <w:sz w:val="20"/>
                <w:szCs w:val="20"/>
                <w:color w:val="auto"/>
              </w:rPr>
            </w:pPr>
            <w:r>
              <w:rPr>
                <w:rFonts w:ascii="Arial" w:cs="Arial" w:eastAsia="Arial" w:hAnsi="Arial"/>
                <w:sz w:val="14"/>
                <w:szCs w:val="14"/>
                <w:b w:val="1"/>
                <w:bCs w:val="1"/>
                <w:color w:val="6F2875"/>
              </w:rPr>
              <w:t>Principal Position</w:t>
            </w:r>
          </w:p>
        </w:tc>
        <w:tc>
          <w:tcPr>
            <w:tcW w:w="380" w:type="dxa"/>
            <w:vAlign w:val="bottom"/>
            <w:tcBorders>
              <w:bottom w:val="single" w:sz="8" w:color="6F2875"/>
            </w:tcBorders>
          </w:tcPr>
          <w:p>
            <w:pPr>
              <w:ind w:left="40"/>
              <w:spacing w:after="0"/>
              <w:rPr>
                <w:sz w:val="20"/>
                <w:szCs w:val="20"/>
                <w:color w:val="auto"/>
              </w:rPr>
            </w:pPr>
            <w:r>
              <w:rPr>
                <w:rFonts w:ascii="Arial" w:cs="Arial" w:eastAsia="Arial" w:hAnsi="Arial"/>
                <w:sz w:val="14"/>
                <w:szCs w:val="14"/>
                <w:b w:val="1"/>
                <w:bCs w:val="1"/>
                <w:color w:val="6F2875"/>
              </w:rPr>
              <w:t>Year</w:t>
            </w:r>
          </w:p>
        </w:tc>
        <w:tc>
          <w:tcPr>
            <w:tcW w:w="1940" w:type="dxa"/>
            <w:vAlign w:val="bottom"/>
            <w:tcBorders>
              <w:bottom w:val="single" w:sz="8" w:color="6F2875"/>
            </w:tcBorders>
          </w:tcPr>
          <w:p>
            <w:pPr>
              <w:spacing w:after="0"/>
              <w:rPr>
                <w:sz w:val="16"/>
                <w:szCs w:val="16"/>
                <w:color w:val="auto"/>
              </w:rPr>
            </w:pPr>
          </w:p>
        </w:tc>
        <w:tc>
          <w:tcPr>
            <w:tcW w:w="840" w:type="dxa"/>
            <w:vAlign w:val="bottom"/>
            <w:tcBorders>
              <w:bottom w:val="single" w:sz="8" w:color="6F2875"/>
            </w:tcBorders>
          </w:tcPr>
          <w:p>
            <w:pPr>
              <w:jc w:val="right"/>
              <w:ind w:right="31"/>
              <w:spacing w:after="0" w:line="189" w:lineRule="exact"/>
              <w:rPr>
                <w:sz w:val="20"/>
                <w:szCs w:val="20"/>
                <w:color w:val="auto"/>
              </w:rPr>
            </w:pPr>
            <w:r>
              <w:rPr>
                <w:rFonts w:ascii="Arial" w:cs="Arial" w:eastAsia="Arial" w:hAnsi="Arial"/>
                <w:sz w:val="21"/>
                <w:szCs w:val="21"/>
                <w:b w:val="1"/>
                <w:bCs w:val="1"/>
                <w:color w:val="6F2875"/>
                <w:vertAlign w:val="subscript"/>
              </w:rPr>
              <w:t>($)</w:t>
            </w:r>
            <w:r>
              <w:rPr>
                <w:rFonts w:ascii="Arial" w:cs="Arial" w:eastAsia="Arial" w:hAnsi="Arial"/>
                <w:sz w:val="10"/>
                <w:szCs w:val="10"/>
                <w:b w:val="1"/>
                <w:bCs w:val="1"/>
                <w:color w:val="6F2875"/>
              </w:rPr>
              <w:t>(1)</w:t>
            </w:r>
          </w:p>
        </w:tc>
        <w:tc>
          <w:tcPr>
            <w:tcW w:w="640" w:type="dxa"/>
            <w:vAlign w:val="bottom"/>
            <w:tcBorders>
              <w:bottom w:val="single" w:sz="8" w:color="6F2875"/>
            </w:tcBorders>
          </w:tcPr>
          <w:p>
            <w:pPr>
              <w:jc w:val="right"/>
              <w:ind w:right="35"/>
              <w:spacing w:after="0" w:line="189" w:lineRule="exact"/>
              <w:rPr>
                <w:sz w:val="20"/>
                <w:szCs w:val="20"/>
                <w:color w:val="auto"/>
              </w:rPr>
            </w:pPr>
            <w:r>
              <w:rPr>
                <w:rFonts w:ascii="Arial" w:cs="Arial" w:eastAsia="Arial" w:hAnsi="Arial"/>
                <w:sz w:val="21"/>
                <w:szCs w:val="21"/>
                <w:b w:val="1"/>
                <w:bCs w:val="1"/>
                <w:color w:val="6F2875"/>
                <w:vertAlign w:val="subscript"/>
              </w:rPr>
              <w:t>($)</w:t>
            </w:r>
            <w:r>
              <w:rPr>
                <w:rFonts w:ascii="Arial" w:cs="Arial" w:eastAsia="Arial" w:hAnsi="Arial"/>
                <w:sz w:val="10"/>
                <w:szCs w:val="10"/>
                <w:b w:val="1"/>
                <w:bCs w:val="1"/>
                <w:color w:val="6F2875"/>
              </w:rPr>
              <w:t>(1)</w:t>
            </w:r>
          </w:p>
        </w:tc>
        <w:tc>
          <w:tcPr>
            <w:tcW w:w="840" w:type="dxa"/>
            <w:vAlign w:val="bottom"/>
            <w:tcBorders>
              <w:bottom w:val="single" w:sz="8" w:color="6F2875"/>
            </w:tcBorders>
          </w:tcPr>
          <w:p>
            <w:pPr>
              <w:jc w:val="right"/>
              <w:ind w:right="31"/>
              <w:spacing w:after="0" w:line="189" w:lineRule="exact"/>
              <w:rPr>
                <w:sz w:val="20"/>
                <w:szCs w:val="20"/>
                <w:color w:val="auto"/>
              </w:rPr>
            </w:pPr>
            <w:r>
              <w:rPr>
                <w:rFonts w:ascii="Arial" w:cs="Arial" w:eastAsia="Arial" w:hAnsi="Arial"/>
                <w:sz w:val="21"/>
                <w:szCs w:val="21"/>
                <w:b w:val="1"/>
                <w:bCs w:val="1"/>
                <w:color w:val="6F2875"/>
                <w:vertAlign w:val="subscript"/>
              </w:rPr>
              <w:t>($)</w:t>
            </w:r>
            <w:r>
              <w:rPr>
                <w:rFonts w:ascii="Arial" w:cs="Arial" w:eastAsia="Arial" w:hAnsi="Arial"/>
                <w:sz w:val="10"/>
                <w:szCs w:val="10"/>
                <w:b w:val="1"/>
                <w:bCs w:val="1"/>
                <w:color w:val="6F2875"/>
              </w:rPr>
              <w:t>(4)</w:t>
            </w:r>
          </w:p>
        </w:tc>
        <w:tc>
          <w:tcPr>
            <w:tcW w:w="720" w:type="dxa"/>
            <w:vAlign w:val="bottom"/>
            <w:tcBorders>
              <w:bottom w:val="single" w:sz="8" w:color="6F2875"/>
            </w:tcBorders>
          </w:tcPr>
          <w:p>
            <w:pPr>
              <w:jc w:val="right"/>
              <w:ind w:right="32"/>
              <w:spacing w:after="0" w:line="189" w:lineRule="exact"/>
              <w:rPr>
                <w:sz w:val="20"/>
                <w:szCs w:val="20"/>
                <w:color w:val="auto"/>
              </w:rPr>
            </w:pPr>
            <w:r>
              <w:rPr>
                <w:rFonts w:ascii="Arial" w:cs="Arial" w:eastAsia="Arial" w:hAnsi="Arial"/>
                <w:sz w:val="21"/>
                <w:szCs w:val="21"/>
                <w:b w:val="1"/>
                <w:bCs w:val="1"/>
                <w:color w:val="6F2875"/>
                <w:vertAlign w:val="subscript"/>
              </w:rPr>
              <w:t>($)</w:t>
            </w:r>
            <w:r>
              <w:rPr>
                <w:rFonts w:ascii="Arial" w:cs="Arial" w:eastAsia="Arial" w:hAnsi="Arial"/>
                <w:sz w:val="10"/>
                <w:szCs w:val="10"/>
                <w:b w:val="1"/>
                <w:bCs w:val="1"/>
                <w:color w:val="6F2875"/>
              </w:rPr>
              <w:t>(4)</w:t>
            </w:r>
          </w:p>
        </w:tc>
        <w:tc>
          <w:tcPr>
            <w:tcW w:w="1200" w:type="dxa"/>
            <w:vAlign w:val="bottom"/>
            <w:tcBorders>
              <w:bottom w:val="single" w:sz="8" w:color="6F2875"/>
            </w:tcBorders>
          </w:tcPr>
          <w:p>
            <w:pPr>
              <w:jc w:val="right"/>
              <w:ind w:right="28"/>
              <w:spacing w:after="0"/>
              <w:rPr>
                <w:sz w:val="20"/>
                <w:szCs w:val="20"/>
                <w:color w:val="auto"/>
              </w:rPr>
            </w:pPr>
            <w:r>
              <w:rPr>
                <w:rFonts w:ascii="Arial" w:cs="Arial" w:eastAsia="Arial" w:hAnsi="Arial"/>
                <w:sz w:val="14"/>
                <w:szCs w:val="14"/>
                <w:b w:val="1"/>
                <w:bCs w:val="1"/>
                <w:color w:val="6F2875"/>
              </w:rPr>
              <w:t>Earnings</w:t>
            </w:r>
          </w:p>
        </w:tc>
        <w:tc>
          <w:tcPr>
            <w:tcW w:w="1200" w:type="dxa"/>
            <w:vAlign w:val="bottom"/>
            <w:tcBorders>
              <w:bottom w:val="single" w:sz="8" w:color="6F2875"/>
            </w:tcBorders>
          </w:tcPr>
          <w:p>
            <w:pPr>
              <w:jc w:val="right"/>
              <w:ind w:right="31"/>
              <w:spacing w:after="0" w:line="189" w:lineRule="exact"/>
              <w:rPr>
                <w:sz w:val="20"/>
                <w:szCs w:val="20"/>
                <w:color w:val="auto"/>
              </w:rPr>
            </w:pPr>
            <w:r>
              <w:rPr>
                <w:rFonts w:ascii="Arial" w:cs="Arial" w:eastAsia="Arial" w:hAnsi="Arial"/>
                <w:sz w:val="21"/>
                <w:szCs w:val="21"/>
                <w:b w:val="1"/>
                <w:bCs w:val="1"/>
                <w:color w:val="6F2875"/>
                <w:vertAlign w:val="subscript"/>
              </w:rPr>
              <w:t>($)</w:t>
            </w:r>
            <w:r>
              <w:rPr>
                <w:rFonts w:ascii="Arial" w:cs="Arial" w:eastAsia="Arial" w:hAnsi="Arial"/>
                <w:sz w:val="10"/>
                <w:szCs w:val="10"/>
                <w:b w:val="1"/>
                <w:bCs w:val="1"/>
                <w:color w:val="6F2875"/>
              </w:rPr>
              <w:t>(1)</w:t>
            </w:r>
          </w:p>
        </w:tc>
        <w:tc>
          <w:tcPr>
            <w:tcW w:w="1200" w:type="dxa"/>
            <w:vAlign w:val="bottom"/>
            <w:tcBorders>
              <w:bottom w:val="single" w:sz="8" w:color="6F2875"/>
            </w:tcBorders>
          </w:tcPr>
          <w:p>
            <w:pPr>
              <w:jc w:val="right"/>
              <w:ind w:right="31"/>
              <w:spacing w:after="0" w:line="189" w:lineRule="exact"/>
              <w:rPr>
                <w:sz w:val="20"/>
                <w:szCs w:val="20"/>
                <w:color w:val="auto"/>
              </w:rPr>
            </w:pPr>
            <w:r>
              <w:rPr>
                <w:rFonts w:ascii="Arial" w:cs="Arial" w:eastAsia="Arial" w:hAnsi="Arial"/>
                <w:sz w:val="21"/>
                <w:szCs w:val="21"/>
                <w:b w:val="1"/>
                <w:bCs w:val="1"/>
                <w:color w:val="6F2875"/>
                <w:vertAlign w:val="subscript"/>
              </w:rPr>
              <w:t>($)</w:t>
            </w:r>
            <w:r>
              <w:rPr>
                <w:rFonts w:ascii="Arial" w:cs="Arial" w:eastAsia="Arial" w:hAnsi="Arial"/>
                <w:sz w:val="10"/>
                <w:szCs w:val="10"/>
                <w:b w:val="1"/>
                <w:bCs w:val="1"/>
                <w:color w:val="6F2875"/>
              </w:rPr>
              <w:t>(1)(5)</w:t>
            </w:r>
          </w:p>
        </w:tc>
        <w:tc>
          <w:tcPr>
            <w:tcW w:w="800" w:type="dxa"/>
            <w:vAlign w:val="bottom"/>
            <w:tcBorders>
              <w:bottom w:val="single" w:sz="8" w:color="6F2875"/>
            </w:tcBorders>
          </w:tcPr>
          <w:p>
            <w:pPr>
              <w:jc w:val="right"/>
              <w:spacing w:after="0"/>
              <w:rPr>
                <w:sz w:val="20"/>
                <w:szCs w:val="20"/>
                <w:color w:val="auto"/>
              </w:rPr>
            </w:pPr>
            <w:r>
              <w:rPr>
                <w:rFonts w:ascii="Arial" w:cs="Arial" w:eastAsia="Arial" w:hAnsi="Arial"/>
                <w:sz w:val="14"/>
                <w:szCs w:val="14"/>
                <w:b w:val="1"/>
                <w:bCs w:val="1"/>
                <w:color w:val="6F2875"/>
              </w:rPr>
              <w:t>($)</w:t>
            </w:r>
          </w:p>
        </w:tc>
        <w:tc>
          <w:tcPr>
            <w:tcW w:w="0" w:type="dxa"/>
            <w:vAlign w:val="bottom"/>
          </w:tcPr>
          <w:p>
            <w:pPr>
              <w:spacing w:after="0"/>
              <w:rPr>
                <w:sz w:val="1"/>
                <w:szCs w:val="1"/>
                <w:color w:val="auto"/>
              </w:rPr>
            </w:pPr>
          </w:p>
        </w:tc>
      </w:tr>
      <w:tr>
        <w:trPr>
          <w:trHeight w:val="156"/>
        </w:trPr>
        <w:tc>
          <w:tcPr>
            <w:tcW w:w="166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Keyna</w:t>
            </w:r>
          </w:p>
        </w:tc>
        <w:tc>
          <w:tcPr>
            <w:tcW w:w="380" w:type="dxa"/>
            <w:vAlign w:val="bottom"/>
          </w:tcPr>
          <w:p>
            <w:pPr>
              <w:ind w:left="40"/>
              <w:spacing w:after="0" w:line="155" w:lineRule="exact"/>
              <w:rPr>
                <w:sz w:val="20"/>
                <w:szCs w:val="20"/>
                <w:color w:val="auto"/>
              </w:rPr>
            </w:pPr>
            <w:r>
              <w:rPr>
                <w:rFonts w:ascii="Arial" w:cs="Arial" w:eastAsia="Arial" w:hAnsi="Arial"/>
                <w:sz w:val="14"/>
                <w:szCs w:val="14"/>
                <w:color w:val="auto"/>
              </w:rPr>
              <w:t>2017</w:t>
            </w:r>
          </w:p>
        </w:tc>
        <w:tc>
          <w:tcPr>
            <w:tcW w:w="1940" w:type="dxa"/>
            <w:vAlign w:val="bottom"/>
          </w:tcPr>
          <w:p>
            <w:pPr>
              <w:spacing w:after="0"/>
              <w:rPr>
                <w:sz w:val="13"/>
                <w:szCs w:val="13"/>
                <w:color w:val="auto"/>
              </w:rPr>
            </w:pPr>
          </w:p>
        </w:tc>
        <w:tc>
          <w:tcPr>
            <w:tcW w:w="840" w:type="dxa"/>
            <w:vAlign w:val="bottom"/>
          </w:tcPr>
          <w:p>
            <w:pPr>
              <w:jc w:val="right"/>
              <w:ind w:right="31"/>
              <w:spacing w:after="0" w:line="155" w:lineRule="exact"/>
              <w:rPr>
                <w:sz w:val="20"/>
                <w:szCs w:val="20"/>
                <w:color w:val="auto"/>
              </w:rPr>
            </w:pPr>
            <w:r>
              <w:rPr>
                <w:rFonts w:ascii="Arial" w:cs="Arial" w:eastAsia="Arial" w:hAnsi="Arial"/>
                <w:sz w:val="14"/>
                <w:szCs w:val="14"/>
                <w:color w:val="auto"/>
              </w:rPr>
              <w:t>215,599</w:t>
            </w:r>
          </w:p>
        </w:tc>
        <w:tc>
          <w:tcPr>
            <w:tcW w:w="640" w:type="dxa"/>
            <w:vAlign w:val="bottom"/>
          </w:tcPr>
          <w:p>
            <w:pPr>
              <w:spacing w:after="0"/>
              <w:rPr>
                <w:sz w:val="13"/>
                <w:szCs w:val="13"/>
                <w:color w:val="auto"/>
              </w:rPr>
            </w:pPr>
          </w:p>
        </w:tc>
        <w:tc>
          <w:tcPr>
            <w:tcW w:w="840" w:type="dxa"/>
            <w:vAlign w:val="bottom"/>
          </w:tcPr>
          <w:p>
            <w:pPr>
              <w:jc w:val="right"/>
              <w:ind w:right="31"/>
              <w:spacing w:after="0" w:line="155" w:lineRule="exact"/>
              <w:rPr>
                <w:sz w:val="20"/>
                <w:szCs w:val="20"/>
                <w:color w:val="auto"/>
              </w:rPr>
            </w:pPr>
            <w:r>
              <w:rPr>
                <w:rFonts w:ascii="Arial" w:cs="Arial" w:eastAsia="Arial" w:hAnsi="Arial"/>
                <w:sz w:val="14"/>
                <w:szCs w:val="14"/>
                <w:color w:val="auto"/>
              </w:rPr>
              <w:t>274,962</w:t>
            </w:r>
          </w:p>
        </w:tc>
        <w:tc>
          <w:tcPr>
            <w:tcW w:w="720" w:type="dxa"/>
            <w:vAlign w:val="bottom"/>
          </w:tcPr>
          <w:p>
            <w:pPr>
              <w:jc w:val="right"/>
              <w:ind w:right="32"/>
              <w:spacing w:after="0" w:line="155" w:lineRule="exact"/>
              <w:rPr>
                <w:sz w:val="20"/>
                <w:szCs w:val="20"/>
                <w:color w:val="auto"/>
              </w:rPr>
            </w:pPr>
            <w:r>
              <w:rPr>
                <w:rFonts w:ascii="Arial" w:cs="Arial" w:eastAsia="Arial" w:hAnsi="Arial"/>
                <w:sz w:val="14"/>
                <w:szCs w:val="14"/>
                <w:color w:val="auto"/>
              </w:rPr>
              <w:t>258,412</w:t>
            </w:r>
          </w:p>
        </w:tc>
        <w:tc>
          <w:tcPr>
            <w:tcW w:w="1200" w:type="dxa"/>
            <w:vAlign w:val="bottom"/>
          </w:tcPr>
          <w:p>
            <w:pPr>
              <w:spacing w:after="0"/>
              <w:rPr>
                <w:sz w:val="13"/>
                <w:szCs w:val="13"/>
                <w:color w:val="auto"/>
              </w:rPr>
            </w:pPr>
          </w:p>
        </w:tc>
        <w:tc>
          <w:tcPr>
            <w:tcW w:w="120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118,407</w:t>
            </w:r>
          </w:p>
        </w:tc>
        <w:tc>
          <w:tcPr>
            <w:tcW w:w="120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108,865</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976,246</w:t>
            </w:r>
          </w:p>
        </w:tc>
        <w:tc>
          <w:tcPr>
            <w:tcW w:w="0" w:type="dxa"/>
            <w:vAlign w:val="bottom"/>
          </w:tcPr>
          <w:p>
            <w:pPr>
              <w:spacing w:after="0"/>
              <w:rPr>
                <w:sz w:val="1"/>
                <w:szCs w:val="1"/>
                <w:color w:val="auto"/>
              </w:rPr>
            </w:pPr>
          </w:p>
        </w:tc>
      </w:tr>
      <w:tr>
        <w:trPr>
          <w:trHeight w:val="162"/>
        </w:trPr>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Skeffington</w:t>
            </w:r>
          </w:p>
        </w:tc>
        <w:tc>
          <w:tcPr>
            <w:tcW w:w="380" w:type="dxa"/>
            <w:vAlign w:val="bottom"/>
            <w:shd w:val="clear" w:color="auto" w:fill="F3EDF3"/>
          </w:tcPr>
          <w:p>
            <w:pPr>
              <w:ind w:left="40"/>
              <w:spacing w:after="0"/>
              <w:rPr>
                <w:sz w:val="20"/>
                <w:szCs w:val="20"/>
                <w:color w:val="auto"/>
              </w:rPr>
            </w:pPr>
            <w:r>
              <w:rPr>
                <w:rFonts w:ascii="Arial" w:cs="Arial" w:eastAsia="Arial" w:hAnsi="Arial"/>
                <w:sz w:val="14"/>
                <w:szCs w:val="14"/>
                <w:color w:val="auto"/>
              </w:rPr>
              <w:t>2016</w:t>
            </w:r>
          </w:p>
        </w:tc>
        <w:tc>
          <w:tcPr>
            <w:tcW w:w="1940" w:type="dxa"/>
            <w:vAlign w:val="bottom"/>
            <w:shd w:val="clear" w:color="auto" w:fill="F3EDF3"/>
          </w:tcPr>
          <w:p>
            <w:pPr>
              <w:spacing w:after="0"/>
              <w:rPr>
                <w:sz w:val="14"/>
                <w:szCs w:val="14"/>
                <w:color w:val="auto"/>
              </w:rPr>
            </w:pPr>
          </w:p>
        </w:tc>
        <w:tc>
          <w:tcPr>
            <w:tcW w:w="840" w:type="dxa"/>
            <w:vAlign w:val="bottom"/>
            <w:shd w:val="clear" w:color="auto" w:fill="F3EDF3"/>
          </w:tcPr>
          <w:p>
            <w:pPr>
              <w:spacing w:after="0"/>
              <w:rPr>
                <w:sz w:val="14"/>
                <w:szCs w:val="14"/>
                <w:color w:val="auto"/>
              </w:rPr>
            </w:pPr>
          </w:p>
        </w:tc>
        <w:tc>
          <w:tcPr>
            <w:tcW w:w="640" w:type="dxa"/>
            <w:vAlign w:val="bottom"/>
            <w:shd w:val="clear" w:color="auto" w:fill="F3EDF3"/>
          </w:tcPr>
          <w:p>
            <w:pPr>
              <w:spacing w:after="0"/>
              <w:rPr>
                <w:sz w:val="14"/>
                <w:szCs w:val="14"/>
                <w:color w:val="auto"/>
              </w:rPr>
            </w:pPr>
          </w:p>
        </w:tc>
        <w:tc>
          <w:tcPr>
            <w:tcW w:w="840" w:type="dxa"/>
            <w:vAlign w:val="bottom"/>
            <w:shd w:val="clear" w:color="auto" w:fill="F3EDF3"/>
          </w:tcPr>
          <w:p>
            <w:pPr>
              <w:spacing w:after="0"/>
              <w:rPr>
                <w:sz w:val="14"/>
                <w:szCs w:val="14"/>
                <w:color w:val="auto"/>
              </w:rPr>
            </w:pPr>
          </w:p>
        </w:tc>
        <w:tc>
          <w:tcPr>
            <w:tcW w:w="720" w:type="dxa"/>
            <w:vAlign w:val="bottom"/>
            <w:shd w:val="clear" w:color="auto" w:fill="F3EDF3"/>
          </w:tcPr>
          <w:p>
            <w:pPr>
              <w:spacing w:after="0"/>
              <w:rPr>
                <w:sz w:val="14"/>
                <w:szCs w:val="14"/>
                <w:color w:val="auto"/>
              </w:rPr>
            </w:pPr>
          </w:p>
        </w:tc>
        <w:tc>
          <w:tcPr>
            <w:tcW w:w="1200" w:type="dxa"/>
            <w:vAlign w:val="bottom"/>
            <w:shd w:val="clear" w:color="auto" w:fill="F3EDF3"/>
          </w:tcPr>
          <w:p>
            <w:pPr>
              <w:spacing w:after="0"/>
              <w:rPr>
                <w:sz w:val="14"/>
                <w:szCs w:val="14"/>
                <w:color w:val="auto"/>
              </w:rPr>
            </w:pPr>
          </w:p>
        </w:tc>
        <w:tc>
          <w:tcPr>
            <w:tcW w:w="1200" w:type="dxa"/>
            <w:vAlign w:val="bottom"/>
            <w:shd w:val="clear" w:color="auto" w:fill="F3EDF3"/>
          </w:tcPr>
          <w:p>
            <w:pPr>
              <w:spacing w:after="0"/>
              <w:rPr>
                <w:sz w:val="14"/>
                <w:szCs w:val="14"/>
                <w:color w:val="auto"/>
              </w:rPr>
            </w:pPr>
          </w:p>
        </w:tc>
        <w:tc>
          <w:tcPr>
            <w:tcW w:w="1200" w:type="dxa"/>
            <w:vAlign w:val="bottom"/>
            <w:shd w:val="clear" w:color="auto" w:fill="F3EDF3"/>
          </w:tcPr>
          <w:p>
            <w:pPr>
              <w:spacing w:after="0"/>
              <w:rPr>
                <w:sz w:val="14"/>
                <w:szCs w:val="14"/>
                <w:color w:val="auto"/>
              </w:rPr>
            </w:pPr>
          </w:p>
        </w:tc>
        <w:tc>
          <w:tcPr>
            <w:tcW w:w="800" w:type="dxa"/>
            <w:vAlign w:val="bottom"/>
            <w:shd w:val="clear" w:color="auto" w:fill="F3EDF3"/>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60" w:type="dxa"/>
            <w:vAlign w:val="bottom"/>
            <w:gridSpan w:val="2"/>
          </w:tcPr>
          <w:p>
            <w:pPr>
              <w:ind w:left="180"/>
              <w:spacing w:after="0"/>
              <w:rPr>
                <w:sz w:val="20"/>
                <w:szCs w:val="20"/>
                <w:color w:val="auto"/>
              </w:rPr>
            </w:pPr>
            <w:r>
              <w:rPr>
                <w:rFonts w:ascii="Arial" w:cs="Arial" w:eastAsia="Arial" w:hAnsi="Arial"/>
                <w:sz w:val="14"/>
                <w:szCs w:val="14"/>
                <w:color w:val="231F20"/>
              </w:rPr>
              <w:t>Senior Vice</w:t>
            </w:r>
          </w:p>
        </w:tc>
        <w:tc>
          <w:tcPr>
            <w:tcW w:w="380" w:type="dxa"/>
            <w:vAlign w:val="bottom"/>
          </w:tcPr>
          <w:p>
            <w:pPr>
              <w:ind w:left="40"/>
              <w:spacing w:after="0"/>
              <w:rPr>
                <w:sz w:val="20"/>
                <w:szCs w:val="20"/>
                <w:color w:val="auto"/>
              </w:rPr>
            </w:pPr>
            <w:r>
              <w:rPr>
                <w:rFonts w:ascii="Arial" w:cs="Arial" w:eastAsia="Arial" w:hAnsi="Arial"/>
                <w:sz w:val="14"/>
                <w:szCs w:val="14"/>
                <w:color w:val="231F20"/>
              </w:rPr>
              <w:t>2015</w:t>
            </w:r>
          </w:p>
        </w:tc>
        <w:tc>
          <w:tcPr>
            <w:tcW w:w="1940" w:type="dxa"/>
            <w:vAlign w:val="bottom"/>
          </w:tcPr>
          <w:p>
            <w:pPr>
              <w:ind w:left="20"/>
              <w:spacing w:after="0"/>
              <w:rPr>
                <w:sz w:val="20"/>
                <w:szCs w:val="20"/>
                <w:color w:val="auto"/>
              </w:rPr>
            </w:pPr>
            <w:r>
              <w:rPr>
                <w:rFonts w:ascii="Arial" w:cs="Arial" w:eastAsia="Arial" w:hAnsi="Arial"/>
                <w:sz w:val="14"/>
                <w:szCs w:val="14"/>
                <w:color w:val="231F20"/>
              </w:rPr>
              <w:t>Transition Period (April 25,</w:t>
            </w: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gridSpan w:val="2"/>
          </w:tcPr>
          <w:p>
            <w:pPr>
              <w:ind w:left="180"/>
              <w:spacing w:after="0"/>
              <w:rPr>
                <w:sz w:val="20"/>
                <w:szCs w:val="20"/>
                <w:color w:val="auto"/>
              </w:rPr>
            </w:pPr>
            <w:r>
              <w:rPr>
                <w:rFonts w:ascii="Arial" w:cs="Arial" w:eastAsia="Arial" w:hAnsi="Arial"/>
                <w:sz w:val="14"/>
                <w:szCs w:val="14"/>
                <w:color w:val="231F20"/>
              </w:rPr>
              <w:t>President, General</w:t>
            </w:r>
          </w:p>
        </w:tc>
        <w:tc>
          <w:tcPr>
            <w:tcW w:w="380" w:type="dxa"/>
            <w:vAlign w:val="bottom"/>
          </w:tcPr>
          <w:p>
            <w:pPr>
              <w:ind w:left="40"/>
              <w:spacing w:after="0"/>
              <w:rPr>
                <w:sz w:val="20"/>
                <w:szCs w:val="20"/>
                <w:color w:val="auto"/>
              </w:rPr>
            </w:pPr>
            <w:r>
              <w:rPr>
                <w:rFonts w:ascii="Arial" w:cs="Arial" w:eastAsia="Arial" w:hAnsi="Arial"/>
                <w:sz w:val="14"/>
                <w:szCs w:val="14"/>
                <w:color w:val="231F20"/>
              </w:rPr>
              <w:t>2015</w:t>
            </w:r>
          </w:p>
        </w:tc>
        <w:tc>
          <w:tcPr>
            <w:tcW w:w="1940" w:type="dxa"/>
            <w:vAlign w:val="bottom"/>
          </w:tcPr>
          <w:p>
            <w:pPr>
              <w:ind w:left="20"/>
              <w:spacing w:after="0"/>
              <w:rPr>
                <w:sz w:val="20"/>
                <w:szCs w:val="20"/>
                <w:color w:val="auto"/>
              </w:rPr>
            </w:pPr>
            <w:r>
              <w:rPr>
                <w:rFonts w:ascii="Arial" w:cs="Arial" w:eastAsia="Arial" w:hAnsi="Arial"/>
                <w:sz w:val="14"/>
                <w:szCs w:val="14"/>
                <w:color w:val="231F20"/>
              </w:rPr>
              <w:t>– December 31, 2015)</w:t>
            </w: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660" w:type="dxa"/>
            <w:vAlign w:val="bottom"/>
            <w:gridSpan w:val="2"/>
          </w:tcPr>
          <w:p>
            <w:pPr>
              <w:ind w:left="180"/>
              <w:spacing w:after="0"/>
              <w:rPr>
                <w:sz w:val="20"/>
                <w:szCs w:val="20"/>
                <w:color w:val="auto"/>
              </w:rPr>
            </w:pPr>
            <w:r>
              <w:rPr>
                <w:rFonts w:ascii="Arial" w:cs="Arial" w:eastAsia="Arial" w:hAnsi="Arial"/>
                <w:sz w:val="14"/>
                <w:szCs w:val="14"/>
                <w:color w:val="231F20"/>
              </w:rPr>
              <w:t>Counsel</w:t>
            </w:r>
          </w:p>
        </w:tc>
        <w:tc>
          <w:tcPr>
            <w:tcW w:w="3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200" w:type="dxa"/>
            <w:vAlign w:val="bottom"/>
            <w:tcBorders>
              <w:bottom w:val="single" w:sz="8" w:color="6F2875"/>
            </w:tcBorders>
          </w:tcPr>
          <w:p>
            <w:pPr>
              <w:spacing w:after="0"/>
              <w:rPr>
                <w:sz w:val="14"/>
                <w:szCs w:val="14"/>
                <w:color w:val="auto"/>
              </w:rPr>
            </w:pPr>
          </w:p>
        </w:tc>
        <w:tc>
          <w:tcPr>
            <w:tcW w:w="460" w:type="dxa"/>
            <w:vAlign w:val="bottom"/>
            <w:tcBorders>
              <w:bottom w:val="single" w:sz="8" w:color="6F2875"/>
            </w:tcBorders>
          </w:tcPr>
          <w:p>
            <w:pPr>
              <w:spacing w:after="0"/>
              <w:rPr>
                <w:sz w:val="14"/>
                <w:szCs w:val="14"/>
                <w:color w:val="auto"/>
              </w:rPr>
            </w:pPr>
          </w:p>
        </w:tc>
        <w:tc>
          <w:tcPr>
            <w:tcW w:w="2320" w:type="dxa"/>
            <w:vAlign w:val="bottom"/>
            <w:tcBorders>
              <w:bottom w:val="single" w:sz="8" w:color="6F2875"/>
            </w:tcBorders>
            <w:gridSpan w:val="2"/>
            <w:shd w:val="clear" w:color="auto" w:fill="F3EDF3"/>
          </w:tcPr>
          <w:p>
            <w:pPr>
              <w:ind w:left="40"/>
              <w:spacing w:after="0"/>
              <w:rPr>
                <w:sz w:val="20"/>
                <w:szCs w:val="20"/>
                <w:color w:val="auto"/>
              </w:rPr>
            </w:pPr>
            <w:r>
              <w:rPr>
                <w:rFonts w:ascii="Arial" w:cs="Arial" w:eastAsia="Arial" w:hAnsi="Arial"/>
                <w:sz w:val="14"/>
                <w:szCs w:val="14"/>
                <w:color w:val="auto"/>
              </w:rPr>
              <w:t>YE April 24, 2015</w:t>
            </w:r>
          </w:p>
        </w:tc>
        <w:tc>
          <w:tcPr>
            <w:tcW w:w="840" w:type="dxa"/>
            <w:vAlign w:val="bottom"/>
            <w:tcBorders>
              <w:bottom w:val="single" w:sz="8" w:color="6F2875"/>
            </w:tcBorders>
            <w:shd w:val="clear" w:color="auto" w:fill="F3EDF3"/>
          </w:tcPr>
          <w:p>
            <w:pPr>
              <w:spacing w:after="0"/>
              <w:rPr>
                <w:sz w:val="14"/>
                <w:szCs w:val="14"/>
                <w:color w:val="auto"/>
              </w:rPr>
            </w:pPr>
          </w:p>
        </w:tc>
        <w:tc>
          <w:tcPr>
            <w:tcW w:w="640" w:type="dxa"/>
            <w:vAlign w:val="bottom"/>
            <w:tcBorders>
              <w:bottom w:val="single" w:sz="8" w:color="6F2875"/>
            </w:tcBorders>
            <w:shd w:val="clear" w:color="auto" w:fill="F3EDF3"/>
          </w:tcPr>
          <w:p>
            <w:pPr>
              <w:spacing w:after="0"/>
              <w:rPr>
                <w:sz w:val="14"/>
                <w:szCs w:val="14"/>
                <w:color w:val="auto"/>
              </w:rPr>
            </w:pPr>
          </w:p>
        </w:tc>
        <w:tc>
          <w:tcPr>
            <w:tcW w:w="840" w:type="dxa"/>
            <w:vAlign w:val="bottom"/>
            <w:tcBorders>
              <w:bottom w:val="single" w:sz="8" w:color="6F2875"/>
            </w:tcBorders>
            <w:shd w:val="clear" w:color="auto" w:fill="F3EDF3"/>
          </w:tcPr>
          <w:p>
            <w:pPr>
              <w:spacing w:after="0"/>
              <w:rPr>
                <w:sz w:val="14"/>
                <w:szCs w:val="14"/>
                <w:color w:val="auto"/>
              </w:rPr>
            </w:pPr>
          </w:p>
        </w:tc>
        <w:tc>
          <w:tcPr>
            <w:tcW w:w="720" w:type="dxa"/>
            <w:vAlign w:val="bottom"/>
            <w:tcBorders>
              <w:bottom w:val="single" w:sz="8" w:color="6F2875"/>
            </w:tcBorders>
            <w:shd w:val="clear" w:color="auto" w:fill="F3EDF3"/>
          </w:tcPr>
          <w:p>
            <w:pPr>
              <w:spacing w:after="0"/>
              <w:rPr>
                <w:sz w:val="14"/>
                <w:szCs w:val="14"/>
                <w:color w:val="auto"/>
              </w:rPr>
            </w:pPr>
          </w:p>
        </w:tc>
        <w:tc>
          <w:tcPr>
            <w:tcW w:w="1200" w:type="dxa"/>
            <w:vAlign w:val="bottom"/>
            <w:tcBorders>
              <w:bottom w:val="single" w:sz="8" w:color="6F2875"/>
            </w:tcBorders>
            <w:shd w:val="clear" w:color="auto" w:fill="F3EDF3"/>
          </w:tcPr>
          <w:p>
            <w:pPr>
              <w:spacing w:after="0"/>
              <w:rPr>
                <w:sz w:val="14"/>
                <w:szCs w:val="14"/>
                <w:color w:val="auto"/>
              </w:rPr>
            </w:pPr>
          </w:p>
        </w:tc>
        <w:tc>
          <w:tcPr>
            <w:tcW w:w="1200" w:type="dxa"/>
            <w:vAlign w:val="bottom"/>
            <w:tcBorders>
              <w:bottom w:val="single" w:sz="8" w:color="6F2875"/>
            </w:tcBorders>
            <w:shd w:val="clear" w:color="auto" w:fill="F3EDF3"/>
          </w:tcPr>
          <w:p>
            <w:pPr>
              <w:spacing w:after="0"/>
              <w:rPr>
                <w:sz w:val="14"/>
                <w:szCs w:val="14"/>
                <w:color w:val="auto"/>
              </w:rPr>
            </w:pPr>
          </w:p>
        </w:tc>
        <w:tc>
          <w:tcPr>
            <w:tcW w:w="1200" w:type="dxa"/>
            <w:vAlign w:val="bottom"/>
            <w:tcBorders>
              <w:bottom w:val="single" w:sz="8" w:color="6F2875"/>
            </w:tcBorders>
            <w:shd w:val="clear" w:color="auto" w:fill="F3EDF3"/>
          </w:tcPr>
          <w:p>
            <w:pPr>
              <w:spacing w:after="0"/>
              <w:rPr>
                <w:sz w:val="14"/>
                <w:szCs w:val="14"/>
                <w:color w:val="auto"/>
              </w:rPr>
            </w:pPr>
          </w:p>
        </w:tc>
        <w:tc>
          <w:tcPr>
            <w:tcW w:w="800" w:type="dxa"/>
            <w:vAlign w:val="bottom"/>
            <w:tcBorders>
              <w:bottom w:val="single" w:sz="8" w:color="6F2875"/>
            </w:tcBorders>
            <w:shd w:val="clear" w:color="auto" w:fill="F3EDF3"/>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6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231F20"/>
              </w:rPr>
              <w:t>Douglas Manko</w:t>
            </w:r>
          </w:p>
        </w:tc>
        <w:tc>
          <w:tcPr>
            <w:tcW w:w="380" w:type="dxa"/>
            <w:vAlign w:val="bottom"/>
          </w:tcPr>
          <w:p>
            <w:pPr>
              <w:ind w:left="40"/>
              <w:spacing w:after="0" w:line="155" w:lineRule="exact"/>
              <w:rPr>
                <w:sz w:val="20"/>
                <w:szCs w:val="20"/>
                <w:color w:val="auto"/>
              </w:rPr>
            </w:pPr>
            <w:r>
              <w:rPr>
                <w:rFonts w:ascii="Arial" w:cs="Arial" w:eastAsia="Arial" w:hAnsi="Arial"/>
                <w:sz w:val="14"/>
                <w:szCs w:val="14"/>
                <w:color w:val="231F20"/>
              </w:rPr>
              <w:t>2017</w:t>
            </w:r>
          </w:p>
        </w:tc>
        <w:tc>
          <w:tcPr>
            <w:tcW w:w="1940" w:type="dxa"/>
            <w:vAlign w:val="bottom"/>
          </w:tcPr>
          <w:p>
            <w:pPr>
              <w:spacing w:after="0"/>
              <w:rPr>
                <w:sz w:val="13"/>
                <w:szCs w:val="13"/>
                <w:color w:val="auto"/>
              </w:rPr>
            </w:pPr>
          </w:p>
        </w:tc>
        <w:tc>
          <w:tcPr>
            <w:tcW w:w="840" w:type="dxa"/>
            <w:vAlign w:val="bottom"/>
          </w:tcPr>
          <w:p>
            <w:pPr>
              <w:jc w:val="right"/>
              <w:ind w:right="31"/>
              <w:spacing w:after="0" w:line="155" w:lineRule="exact"/>
              <w:rPr>
                <w:sz w:val="20"/>
                <w:szCs w:val="20"/>
                <w:color w:val="auto"/>
              </w:rPr>
            </w:pPr>
            <w:r>
              <w:rPr>
                <w:rFonts w:ascii="Arial" w:cs="Arial" w:eastAsia="Arial" w:hAnsi="Arial"/>
                <w:sz w:val="14"/>
                <w:szCs w:val="14"/>
                <w:color w:val="231F20"/>
              </w:rPr>
              <w:t>301,666</w:t>
            </w:r>
          </w:p>
        </w:tc>
        <w:tc>
          <w:tcPr>
            <w:tcW w:w="640" w:type="dxa"/>
            <w:vAlign w:val="bottom"/>
          </w:tcPr>
          <w:p>
            <w:pPr>
              <w:spacing w:after="0"/>
              <w:rPr>
                <w:sz w:val="13"/>
                <w:szCs w:val="13"/>
                <w:color w:val="auto"/>
              </w:rPr>
            </w:pPr>
          </w:p>
        </w:tc>
        <w:tc>
          <w:tcPr>
            <w:tcW w:w="840" w:type="dxa"/>
            <w:vAlign w:val="bottom"/>
          </w:tcPr>
          <w:p>
            <w:pPr>
              <w:jc w:val="right"/>
              <w:ind w:right="31"/>
              <w:spacing w:after="0" w:line="155" w:lineRule="exact"/>
              <w:rPr>
                <w:sz w:val="20"/>
                <w:szCs w:val="20"/>
                <w:color w:val="auto"/>
              </w:rPr>
            </w:pPr>
            <w:r>
              <w:rPr>
                <w:rFonts w:ascii="Arial" w:cs="Arial" w:eastAsia="Arial" w:hAnsi="Arial"/>
                <w:sz w:val="14"/>
                <w:szCs w:val="14"/>
                <w:color w:val="231F20"/>
              </w:rPr>
              <w:t>167,106</w:t>
            </w:r>
          </w:p>
        </w:tc>
        <w:tc>
          <w:tcPr>
            <w:tcW w:w="720" w:type="dxa"/>
            <w:vAlign w:val="bottom"/>
          </w:tcPr>
          <w:p>
            <w:pPr>
              <w:jc w:val="right"/>
              <w:ind w:right="32"/>
              <w:spacing w:after="0" w:line="155" w:lineRule="exact"/>
              <w:rPr>
                <w:sz w:val="20"/>
                <w:szCs w:val="20"/>
                <w:color w:val="auto"/>
              </w:rPr>
            </w:pPr>
            <w:r>
              <w:rPr>
                <w:rFonts w:ascii="Arial" w:cs="Arial" w:eastAsia="Arial" w:hAnsi="Arial"/>
                <w:sz w:val="14"/>
                <w:szCs w:val="14"/>
                <w:color w:val="231F20"/>
              </w:rPr>
              <w:t>167,130</w:t>
            </w:r>
          </w:p>
        </w:tc>
        <w:tc>
          <w:tcPr>
            <w:tcW w:w="1200" w:type="dxa"/>
            <w:vAlign w:val="bottom"/>
          </w:tcPr>
          <w:p>
            <w:pPr>
              <w:jc w:val="right"/>
              <w:ind w:right="28"/>
              <w:spacing w:after="0" w:line="155" w:lineRule="exact"/>
              <w:rPr>
                <w:sz w:val="20"/>
                <w:szCs w:val="20"/>
                <w:color w:val="auto"/>
              </w:rPr>
            </w:pPr>
            <w:r>
              <w:rPr>
                <w:rFonts w:ascii="Arial" w:cs="Arial" w:eastAsia="Arial" w:hAnsi="Arial"/>
                <w:sz w:val="14"/>
                <w:szCs w:val="14"/>
                <w:color w:val="231F20"/>
              </w:rPr>
              <w:t>2,378</w:t>
            </w:r>
          </w:p>
        </w:tc>
        <w:tc>
          <w:tcPr>
            <w:tcW w:w="1200" w:type="dxa"/>
            <w:vAlign w:val="bottom"/>
          </w:tcPr>
          <w:p>
            <w:pPr>
              <w:jc w:val="right"/>
              <w:ind w:right="31"/>
              <w:spacing w:after="0" w:line="155" w:lineRule="exact"/>
              <w:rPr>
                <w:sz w:val="20"/>
                <w:szCs w:val="20"/>
                <w:color w:val="auto"/>
              </w:rPr>
            </w:pPr>
            <w:r>
              <w:rPr>
                <w:rFonts w:ascii="Arial" w:cs="Arial" w:eastAsia="Arial" w:hAnsi="Arial"/>
                <w:sz w:val="14"/>
                <w:szCs w:val="14"/>
                <w:color w:val="231F20"/>
              </w:rPr>
              <w:t>119,460</w:t>
            </w:r>
          </w:p>
        </w:tc>
        <w:tc>
          <w:tcPr>
            <w:tcW w:w="1200" w:type="dxa"/>
            <w:vAlign w:val="bottom"/>
          </w:tcPr>
          <w:p>
            <w:pPr>
              <w:jc w:val="right"/>
              <w:ind w:right="31"/>
              <w:spacing w:after="0" w:line="155" w:lineRule="exact"/>
              <w:rPr>
                <w:sz w:val="20"/>
                <w:szCs w:val="20"/>
                <w:color w:val="auto"/>
              </w:rPr>
            </w:pPr>
            <w:r>
              <w:rPr>
                <w:rFonts w:ascii="Arial" w:cs="Arial" w:eastAsia="Arial" w:hAnsi="Arial"/>
                <w:sz w:val="14"/>
                <w:szCs w:val="14"/>
                <w:color w:val="231F20"/>
              </w:rPr>
              <w:t>43,430</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231F20"/>
              </w:rPr>
              <w:t>801,170</w:t>
            </w:r>
          </w:p>
        </w:tc>
        <w:tc>
          <w:tcPr>
            <w:tcW w:w="0" w:type="dxa"/>
            <w:vAlign w:val="bottom"/>
          </w:tcPr>
          <w:p>
            <w:pPr>
              <w:spacing w:after="0"/>
              <w:rPr>
                <w:sz w:val="1"/>
                <w:szCs w:val="1"/>
                <w:color w:val="auto"/>
              </w:rPr>
            </w:pPr>
          </w:p>
        </w:tc>
      </w:tr>
      <w:tr>
        <w:trPr>
          <w:trHeight w:val="167"/>
        </w:trPr>
        <w:tc>
          <w:tcPr>
            <w:tcW w:w="1660" w:type="dxa"/>
            <w:vAlign w:val="bottom"/>
            <w:gridSpan w:val="2"/>
          </w:tcPr>
          <w:p>
            <w:pPr>
              <w:ind w:left="180"/>
              <w:spacing w:after="0"/>
              <w:rPr>
                <w:sz w:val="20"/>
                <w:szCs w:val="20"/>
                <w:color w:val="auto"/>
              </w:rPr>
            </w:pPr>
            <w:r>
              <w:rPr>
                <w:rFonts w:ascii="Arial" w:cs="Arial" w:eastAsia="Arial" w:hAnsi="Arial"/>
                <w:sz w:val="14"/>
                <w:szCs w:val="14"/>
                <w:color w:val="auto"/>
              </w:rPr>
              <w:t>Chief Accounting</w:t>
            </w:r>
          </w:p>
        </w:tc>
        <w:tc>
          <w:tcPr>
            <w:tcW w:w="380" w:type="dxa"/>
            <w:vAlign w:val="bottom"/>
            <w:shd w:val="clear" w:color="auto" w:fill="F3EDF3"/>
          </w:tcPr>
          <w:p>
            <w:pPr>
              <w:ind w:left="40"/>
              <w:spacing w:after="0"/>
              <w:rPr>
                <w:sz w:val="20"/>
                <w:szCs w:val="20"/>
                <w:color w:val="auto"/>
              </w:rPr>
            </w:pPr>
            <w:r>
              <w:rPr>
                <w:rFonts w:ascii="Arial" w:cs="Arial" w:eastAsia="Arial" w:hAnsi="Arial"/>
                <w:sz w:val="14"/>
                <w:szCs w:val="14"/>
                <w:color w:val="auto"/>
              </w:rPr>
              <w:t>2016</w:t>
            </w:r>
          </w:p>
        </w:tc>
        <w:tc>
          <w:tcPr>
            <w:tcW w:w="1940" w:type="dxa"/>
            <w:vAlign w:val="bottom"/>
            <w:shd w:val="clear" w:color="auto" w:fill="F3EDF3"/>
          </w:tcPr>
          <w:p>
            <w:pPr>
              <w:spacing w:after="0"/>
              <w:rPr>
                <w:sz w:val="14"/>
                <w:szCs w:val="14"/>
                <w:color w:val="auto"/>
              </w:rPr>
            </w:pPr>
          </w:p>
        </w:tc>
        <w:tc>
          <w:tcPr>
            <w:tcW w:w="840" w:type="dxa"/>
            <w:vAlign w:val="bottom"/>
            <w:shd w:val="clear" w:color="auto" w:fill="F3EDF3"/>
          </w:tcPr>
          <w:p>
            <w:pPr>
              <w:spacing w:after="0"/>
              <w:rPr>
                <w:sz w:val="14"/>
                <w:szCs w:val="14"/>
                <w:color w:val="auto"/>
              </w:rPr>
            </w:pPr>
          </w:p>
        </w:tc>
        <w:tc>
          <w:tcPr>
            <w:tcW w:w="640" w:type="dxa"/>
            <w:vAlign w:val="bottom"/>
            <w:shd w:val="clear" w:color="auto" w:fill="F3EDF3"/>
          </w:tcPr>
          <w:p>
            <w:pPr>
              <w:spacing w:after="0"/>
              <w:rPr>
                <w:sz w:val="14"/>
                <w:szCs w:val="14"/>
                <w:color w:val="auto"/>
              </w:rPr>
            </w:pPr>
          </w:p>
        </w:tc>
        <w:tc>
          <w:tcPr>
            <w:tcW w:w="840" w:type="dxa"/>
            <w:vAlign w:val="bottom"/>
            <w:shd w:val="clear" w:color="auto" w:fill="F3EDF3"/>
          </w:tcPr>
          <w:p>
            <w:pPr>
              <w:spacing w:after="0"/>
              <w:rPr>
                <w:sz w:val="14"/>
                <w:szCs w:val="14"/>
                <w:color w:val="auto"/>
              </w:rPr>
            </w:pPr>
          </w:p>
        </w:tc>
        <w:tc>
          <w:tcPr>
            <w:tcW w:w="720" w:type="dxa"/>
            <w:vAlign w:val="bottom"/>
            <w:shd w:val="clear" w:color="auto" w:fill="F3EDF3"/>
          </w:tcPr>
          <w:p>
            <w:pPr>
              <w:spacing w:after="0"/>
              <w:rPr>
                <w:sz w:val="14"/>
                <w:szCs w:val="14"/>
                <w:color w:val="auto"/>
              </w:rPr>
            </w:pPr>
          </w:p>
        </w:tc>
        <w:tc>
          <w:tcPr>
            <w:tcW w:w="1200" w:type="dxa"/>
            <w:vAlign w:val="bottom"/>
            <w:shd w:val="clear" w:color="auto" w:fill="F3EDF3"/>
          </w:tcPr>
          <w:p>
            <w:pPr>
              <w:spacing w:after="0"/>
              <w:rPr>
                <w:sz w:val="14"/>
                <w:szCs w:val="14"/>
                <w:color w:val="auto"/>
              </w:rPr>
            </w:pPr>
          </w:p>
        </w:tc>
        <w:tc>
          <w:tcPr>
            <w:tcW w:w="1200" w:type="dxa"/>
            <w:vAlign w:val="bottom"/>
            <w:shd w:val="clear" w:color="auto" w:fill="F3EDF3"/>
          </w:tcPr>
          <w:p>
            <w:pPr>
              <w:spacing w:after="0"/>
              <w:rPr>
                <w:sz w:val="14"/>
                <w:szCs w:val="14"/>
                <w:color w:val="auto"/>
              </w:rPr>
            </w:pPr>
          </w:p>
        </w:tc>
        <w:tc>
          <w:tcPr>
            <w:tcW w:w="1200" w:type="dxa"/>
            <w:vAlign w:val="bottom"/>
            <w:shd w:val="clear" w:color="auto" w:fill="F3EDF3"/>
          </w:tcPr>
          <w:p>
            <w:pPr>
              <w:spacing w:after="0"/>
              <w:rPr>
                <w:sz w:val="14"/>
                <w:szCs w:val="14"/>
                <w:color w:val="auto"/>
              </w:rPr>
            </w:pPr>
          </w:p>
        </w:tc>
        <w:tc>
          <w:tcPr>
            <w:tcW w:w="800" w:type="dxa"/>
            <w:vAlign w:val="bottom"/>
            <w:shd w:val="clear" w:color="auto" w:fill="F3EDF3"/>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66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Officer</w:t>
            </w:r>
          </w:p>
        </w:tc>
        <w:tc>
          <w:tcPr>
            <w:tcW w:w="380" w:type="dxa"/>
            <w:vAlign w:val="bottom"/>
            <w:shd w:val="clear" w:color="auto" w:fill="F3EDF3"/>
          </w:tcPr>
          <w:p>
            <w:pPr>
              <w:spacing w:after="0"/>
              <w:rPr>
                <w:sz w:val="13"/>
                <w:szCs w:val="13"/>
                <w:color w:val="auto"/>
              </w:rPr>
            </w:pPr>
          </w:p>
        </w:tc>
        <w:tc>
          <w:tcPr>
            <w:tcW w:w="1940" w:type="dxa"/>
            <w:vAlign w:val="bottom"/>
            <w:shd w:val="clear" w:color="auto" w:fill="F3EDF3"/>
          </w:tcPr>
          <w:p>
            <w:pPr>
              <w:spacing w:after="0"/>
              <w:rPr>
                <w:sz w:val="13"/>
                <w:szCs w:val="13"/>
                <w:color w:val="auto"/>
              </w:rPr>
            </w:pPr>
          </w:p>
        </w:tc>
        <w:tc>
          <w:tcPr>
            <w:tcW w:w="840" w:type="dxa"/>
            <w:vAlign w:val="bottom"/>
            <w:shd w:val="clear" w:color="auto" w:fill="F3EDF3"/>
          </w:tcPr>
          <w:p>
            <w:pPr>
              <w:spacing w:after="0"/>
              <w:rPr>
                <w:sz w:val="13"/>
                <w:szCs w:val="13"/>
                <w:color w:val="auto"/>
              </w:rPr>
            </w:pPr>
          </w:p>
        </w:tc>
        <w:tc>
          <w:tcPr>
            <w:tcW w:w="640" w:type="dxa"/>
            <w:vAlign w:val="bottom"/>
            <w:shd w:val="clear" w:color="auto" w:fill="F3EDF3"/>
          </w:tcPr>
          <w:p>
            <w:pPr>
              <w:spacing w:after="0"/>
              <w:rPr>
                <w:sz w:val="13"/>
                <w:szCs w:val="13"/>
                <w:color w:val="auto"/>
              </w:rPr>
            </w:pPr>
          </w:p>
        </w:tc>
        <w:tc>
          <w:tcPr>
            <w:tcW w:w="840" w:type="dxa"/>
            <w:vAlign w:val="bottom"/>
            <w:shd w:val="clear" w:color="auto" w:fill="F3EDF3"/>
          </w:tcPr>
          <w:p>
            <w:pPr>
              <w:spacing w:after="0"/>
              <w:rPr>
                <w:sz w:val="13"/>
                <w:szCs w:val="13"/>
                <w:color w:val="auto"/>
              </w:rPr>
            </w:pPr>
          </w:p>
        </w:tc>
        <w:tc>
          <w:tcPr>
            <w:tcW w:w="720" w:type="dxa"/>
            <w:vAlign w:val="bottom"/>
            <w:shd w:val="clear" w:color="auto" w:fill="F3EDF3"/>
          </w:tcPr>
          <w:p>
            <w:pPr>
              <w:spacing w:after="0"/>
              <w:rPr>
                <w:sz w:val="13"/>
                <w:szCs w:val="13"/>
                <w:color w:val="auto"/>
              </w:rPr>
            </w:pPr>
          </w:p>
        </w:tc>
        <w:tc>
          <w:tcPr>
            <w:tcW w:w="1200" w:type="dxa"/>
            <w:vAlign w:val="bottom"/>
            <w:shd w:val="clear" w:color="auto" w:fill="F3EDF3"/>
          </w:tcPr>
          <w:p>
            <w:pPr>
              <w:spacing w:after="0"/>
              <w:rPr>
                <w:sz w:val="13"/>
                <w:szCs w:val="13"/>
                <w:color w:val="auto"/>
              </w:rPr>
            </w:pPr>
          </w:p>
        </w:tc>
        <w:tc>
          <w:tcPr>
            <w:tcW w:w="1200" w:type="dxa"/>
            <w:vAlign w:val="bottom"/>
            <w:shd w:val="clear" w:color="auto" w:fill="F3EDF3"/>
          </w:tcPr>
          <w:p>
            <w:pPr>
              <w:spacing w:after="0"/>
              <w:rPr>
                <w:sz w:val="13"/>
                <w:szCs w:val="13"/>
                <w:color w:val="auto"/>
              </w:rPr>
            </w:pPr>
          </w:p>
        </w:tc>
        <w:tc>
          <w:tcPr>
            <w:tcW w:w="1200" w:type="dxa"/>
            <w:vAlign w:val="bottom"/>
            <w:shd w:val="clear" w:color="auto" w:fill="F3EDF3"/>
          </w:tcPr>
          <w:p>
            <w:pPr>
              <w:spacing w:after="0"/>
              <w:rPr>
                <w:sz w:val="13"/>
                <w:szCs w:val="13"/>
                <w:color w:val="auto"/>
              </w:rPr>
            </w:pPr>
          </w:p>
        </w:tc>
        <w:tc>
          <w:tcPr>
            <w:tcW w:w="800" w:type="dxa"/>
            <w:vAlign w:val="bottom"/>
            <w:shd w:val="clear" w:color="auto" w:fill="F3EDF3"/>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231F20"/>
              </w:rPr>
              <w:t>2015</w:t>
            </w:r>
          </w:p>
        </w:tc>
        <w:tc>
          <w:tcPr>
            <w:tcW w:w="1940" w:type="dxa"/>
            <w:vAlign w:val="bottom"/>
          </w:tcPr>
          <w:p>
            <w:pPr>
              <w:ind w:left="20"/>
              <w:spacing w:after="0"/>
              <w:rPr>
                <w:sz w:val="20"/>
                <w:szCs w:val="20"/>
                <w:color w:val="auto"/>
              </w:rPr>
            </w:pPr>
            <w:r>
              <w:rPr>
                <w:rFonts w:ascii="Arial" w:cs="Arial" w:eastAsia="Arial" w:hAnsi="Arial"/>
                <w:sz w:val="14"/>
                <w:szCs w:val="14"/>
                <w:color w:val="231F20"/>
              </w:rPr>
              <w:t>Transition Period (April 25,</w:t>
            </w: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231F20"/>
              </w:rPr>
              <w:t>2015</w:t>
            </w:r>
          </w:p>
        </w:tc>
        <w:tc>
          <w:tcPr>
            <w:tcW w:w="1940" w:type="dxa"/>
            <w:vAlign w:val="bottom"/>
          </w:tcPr>
          <w:p>
            <w:pPr>
              <w:ind w:left="20"/>
              <w:spacing w:after="0"/>
              <w:rPr>
                <w:sz w:val="20"/>
                <w:szCs w:val="20"/>
                <w:color w:val="auto"/>
              </w:rPr>
            </w:pPr>
            <w:r>
              <w:rPr>
                <w:rFonts w:ascii="Arial" w:cs="Arial" w:eastAsia="Arial" w:hAnsi="Arial"/>
                <w:sz w:val="14"/>
                <w:szCs w:val="14"/>
                <w:color w:val="231F20"/>
              </w:rPr>
              <w:t>– December 31, 2015)</w:t>
            </w: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200" w:type="dxa"/>
            <w:vAlign w:val="bottom"/>
            <w:tcBorders>
              <w:bottom w:val="single" w:sz="8" w:color="6F2875"/>
            </w:tcBorders>
          </w:tcPr>
          <w:p>
            <w:pPr>
              <w:spacing w:after="0"/>
              <w:rPr>
                <w:sz w:val="14"/>
                <w:szCs w:val="14"/>
                <w:color w:val="auto"/>
              </w:rPr>
            </w:pPr>
          </w:p>
        </w:tc>
        <w:tc>
          <w:tcPr>
            <w:tcW w:w="460" w:type="dxa"/>
            <w:vAlign w:val="bottom"/>
            <w:tcBorders>
              <w:bottom w:val="single" w:sz="8" w:color="6F2875"/>
            </w:tcBorders>
          </w:tcPr>
          <w:p>
            <w:pPr>
              <w:spacing w:after="0"/>
              <w:rPr>
                <w:sz w:val="14"/>
                <w:szCs w:val="14"/>
                <w:color w:val="auto"/>
              </w:rPr>
            </w:pPr>
          </w:p>
        </w:tc>
        <w:tc>
          <w:tcPr>
            <w:tcW w:w="2320" w:type="dxa"/>
            <w:vAlign w:val="bottom"/>
            <w:tcBorders>
              <w:bottom w:val="single" w:sz="8" w:color="6F2875"/>
            </w:tcBorders>
            <w:gridSpan w:val="2"/>
            <w:shd w:val="clear" w:color="auto" w:fill="F3EDF3"/>
          </w:tcPr>
          <w:p>
            <w:pPr>
              <w:ind w:left="40"/>
              <w:spacing w:after="0"/>
              <w:rPr>
                <w:sz w:val="20"/>
                <w:szCs w:val="20"/>
                <w:color w:val="auto"/>
              </w:rPr>
            </w:pPr>
            <w:r>
              <w:rPr>
                <w:rFonts w:ascii="Arial" w:cs="Arial" w:eastAsia="Arial" w:hAnsi="Arial"/>
                <w:sz w:val="14"/>
                <w:szCs w:val="14"/>
                <w:color w:val="auto"/>
              </w:rPr>
              <w:t>YE April 24, 2015</w:t>
            </w:r>
          </w:p>
        </w:tc>
        <w:tc>
          <w:tcPr>
            <w:tcW w:w="840" w:type="dxa"/>
            <w:vAlign w:val="bottom"/>
            <w:tcBorders>
              <w:bottom w:val="single" w:sz="8" w:color="6F2875"/>
            </w:tcBorders>
            <w:shd w:val="clear" w:color="auto" w:fill="F3EDF3"/>
          </w:tcPr>
          <w:p>
            <w:pPr>
              <w:spacing w:after="0"/>
              <w:rPr>
                <w:sz w:val="14"/>
                <w:szCs w:val="14"/>
                <w:color w:val="auto"/>
              </w:rPr>
            </w:pPr>
          </w:p>
        </w:tc>
        <w:tc>
          <w:tcPr>
            <w:tcW w:w="640" w:type="dxa"/>
            <w:vAlign w:val="bottom"/>
            <w:tcBorders>
              <w:bottom w:val="single" w:sz="8" w:color="6F2875"/>
            </w:tcBorders>
            <w:shd w:val="clear" w:color="auto" w:fill="F3EDF3"/>
          </w:tcPr>
          <w:p>
            <w:pPr>
              <w:spacing w:after="0"/>
              <w:rPr>
                <w:sz w:val="14"/>
                <w:szCs w:val="14"/>
                <w:color w:val="auto"/>
              </w:rPr>
            </w:pPr>
          </w:p>
        </w:tc>
        <w:tc>
          <w:tcPr>
            <w:tcW w:w="840" w:type="dxa"/>
            <w:vAlign w:val="bottom"/>
            <w:tcBorders>
              <w:bottom w:val="single" w:sz="8" w:color="6F2875"/>
            </w:tcBorders>
            <w:shd w:val="clear" w:color="auto" w:fill="F3EDF3"/>
          </w:tcPr>
          <w:p>
            <w:pPr>
              <w:spacing w:after="0"/>
              <w:rPr>
                <w:sz w:val="14"/>
                <w:szCs w:val="14"/>
                <w:color w:val="auto"/>
              </w:rPr>
            </w:pPr>
          </w:p>
        </w:tc>
        <w:tc>
          <w:tcPr>
            <w:tcW w:w="720" w:type="dxa"/>
            <w:vAlign w:val="bottom"/>
            <w:tcBorders>
              <w:bottom w:val="single" w:sz="8" w:color="6F2875"/>
            </w:tcBorders>
            <w:shd w:val="clear" w:color="auto" w:fill="F3EDF3"/>
          </w:tcPr>
          <w:p>
            <w:pPr>
              <w:spacing w:after="0"/>
              <w:rPr>
                <w:sz w:val="14"/>
                <w:szCs w:val="14"/>
                <w:color w:val="auto"/>
              </w:rPr>
            </w:pPr>
          </w:p>
        </w:tc>
        <w:tc>
          <w:tcPr>
            <w:tcW w:w="1200" w:type="dxa"/>
            <w:vAlign w:val="bottom"/>
            <w:tcBorders>
              <w:bottom w:val="single" w:sz="8" w:color="6F2875"/>
            </w:tcBorders>
            <w:shd w:val="clear" w:color="auto" w:fill="F3EDF3"/>
          </w:tcPr>
          <w:p>
            <w:pPr>
              <w:spacing w:after="0"/>
              <w:rPr>
                <w:sz w:val="14"/>
                <w:szCs w:val="14"/>
                <w:color w:val="auto"/>
              </w:rPr>
            </w:pPr>
          </w:p>
        </w:tc>
        <w:tc>
          <w:tcPr>
            <w:tcW w:w="1200" w:type="dxa"/>
            <w:vAlign w:val="bottom"/>
            <w:tcBorders>
              <w:bottom w:val="single" w:sz="8" w:color="6F2875"/>
            </w:tcBorders>
            <w:shd w:val="clear" w:color="auto" w:fill="F3EDF3"/>
          </w:tcPr>
          <w:p>
            <w:pPr>
              <w:spacing w:after="0"/>
              <w:rPr>
                <w:sz w:val="14"/>
                <w:szCs w:val="14"/>
                <w:color w:val="auto"/>
              </w:rPr>
            </w:pPr>
          </w:p>
        </w:tc>
        <w:tc>
          <w:tcPr>
            <w:tcW w:w="1200" w:type="dxa"/>
            <w:vAlign w:val="bottom"/>
            <w:tcBorders>
              <w:bottom w:val="single" w:sz="8" w:color="6F2875"/>
            </w:tcBorders>
            <w:shd w:val="clear" w:color="auto" w:fill="F3EDF3"/>
          </w:tcPr>
          <w:p>
            <w:pPr>
              <w:spacing w:after="0"/>
              <w:rPr>
                <w:sz w:val="14"/>
                <w:szCs w:val="14"/>
                <w:color w:val="auto"/>
              </w:rPr>
            </w:pPr>
          </w:p>
        </w:tc>
        <w:tc>
          <w:tcPr>
            <w:tcW w:w="800" w:type="dxa"/>
            <w:vAlign w:val="bottom"/>
            <w:tcBorders>
              <w:bottom w:val="single" w:sz="8" w:color="6F2875"/>
            </w:tcBorders>
            <w:shd w:val="clear" w:color="auto" w:fill="F3EDF3"/>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60" w:type="dxa"/>
            <w:vAlign w:val="bottom"/>
            <w:gridSpan w:val="2"/>
          </w:tcPr>
          <w:p>
            <w:pPr>
              <w:ind w:left="60"/>
              <w:spacing w:after="0" w:line="183" w:lineRule="exact"/>
              <w:rPr>
                <w:sz w:val="20"/>
                <w:szCs w:val="20"/>
                <w:color w:val="auto"/>
              </w:rPr>
            </w:pPr>
            <w:r>
              <w:rPr>
                <w:rFonts w:ascii="Arial" w:cs="Arial" w:eastAsia="Arial" w:hAnsi="Arial"/>
                <w:sz w:val="13"/>
                <w:szCs w:val="13"/>
                <w:b w:val="1"/>
                <w:bCs w:val="1"/>
                <w:color w:val="231F20"/>
              </w:rPr>
              <w:t>Brian Sheridan</w:t>
            </w:r>
            <w:r>
              <w:rPr>
                <w:rFonts w:ascii="Arial" w:cs="Arial" w:eastAsia="Arial" w:hAnsi="Arial"/>
                <w:sz w:val="21"/>
                <w:szCs w:val="21"/>
                <w:b w:val="1"/>
                <w:bCs w:val="1"/>
                <w:color w:val="231F20"/>
                <w:vertAlign w:val="superscript"/>
              </w:rPr>
              <w:t>(3)</w:t>
            </w:r>
          </w:p>
        </w:tc>
        <w:tc>
          <w:tcPr>
            <w:tcW w:w="380" w:type="dxa"/>
            <w:vAlign w:val="bottom"/>
          </w:tcPr>
          <w:p>
            <w:pPr>
              <w:ind w:left="40"/>
              <w:spacing w:after="0"/>
              <w:rPr>
                <w:sz w:val="20"/>
                <w:szCs w:val="20"/>
                <w:color w:val="auto"/>
              </w:rPr>
            </w:pPr>
            <w:r>
              <w:rPr>
                <w:rFonts w:ascii="Arial" w:cs="Arial" w:eastAsia="Arial" w:hAnsi="Arial"/>
                <w:sz w:val="14"/>
                <w:szCs w:val="14"/>
                <w:color w:val="231F20"/>
              </w:rPr>
              <w:t>2017</w:t>
            </w:r>
          </w:p>
        </w:tc>
        <w:tc>
          <w:tcPr>
            <w:tcW w:w="1940" w:type="dxa"/>
            <w:vAlign w:val="bottom"/>
          </w:tcPr>
          <w:p>
            <w:pPr>
              <w:spacing w:after="0"/>
              <w:rPr>
                <w:sz w:val="15"/>
                <w:szCs w:val="15"/>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color w:val="231F20"/>
              </w:rPr>
              <w:t>206,717</w:t>
            </w: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jc w:val="right"/>
              <w:ind w:right="31"/>
              <w:spacing w:after="0"/>
              <w:rPr>
                <w:sz w:val="20"/>
                <w:szCs w:val="20"/>
                <w:color w:val="auto"/>
              </w:rPr>
            </w:pPr>
            <w:r>
              <w:rPr>
                <w:rFonts w:ascii="Arial" w:cs="Arial" w:eastAsia="Arial" w:hAnsi="Arial"/>
                <w:sz w:val="14"/>
                <w:szCs w:val="14"/>
                <w:color w:val="231F20"/>
              </w:rPr>
              <w:t>1,456,860</w:t>
            </w:r>
          </w:p>
        </w:tc>
        <w:tc>
          <w:tcPr>
            <w:tcW w:w="800" w:type="dxa"/>
            <w:vAlign w:val="bottom"/>
          </w:tcPr>
          <w:p>
            <w:pPr>
              <w:jc w:val="right"/>
              <w:spacing w:after="0"/>
              <w:rPr>
                <w:sz w:val="20"/>
                <w:szCs w:val="20"/>
                <w:color w:val="auto"/>
              </w:rPr>
            </w:pPr>
            <w:r>
              <w:rPr>
                <w:rFonts w:ascii="Arial" w:cs="Arial" w:eastAsia="Arial" w:hAnsi="Arial"/>
                <w:sz w:val="14"/>
                <w:szCs w:val="14"/>
                <w:color w:val="231F20"/>
              </w:rPr>
              <w:t>1,663,577</w:t>
            </w:r>
          </w:p>
        </w:tc>
        <w:tc>
          <w:tcPr>
            <w:tcW w:w="0" w:type="dxa"/>
            <w:vAlign w:val="bottom"/>
          </w:tcPr>
          <w:p>
            <w:pPr>
              <w:spacing w:after="0"/>
              <w:rPr>
                <w:sz w:val="1"/>
                <w:szCs w:val="1"/>
                <w:color w:val="auto"/>
              </w:rPr>
            </w:pPr>
          </w:p>
        </w:tc>
      </w:tr>
      <w:tr>
        <w:trPr>
          <w:trHeight w:val="167"/>
        </w:trPr>
        <w:tc>
          <w:tcPr>
            <w:tcW w:w="1660" w:type="dxa"/>
            <w:vAlign w:val="bottom"/>
            <w:gridSpan w:val="2"/>
          </w:tcPr>
          <w:p>
            <w:pPr>
              <w:ind w:left="180"/>
              <w:spacing w:after="0"/>
              <w:rPr>
                <w:sz w:val="20"/>
                <w:szCs w:val="20"/>
                <w:color w:val="auto"/>
              </w:rPr>
            </w:pPr>
            <w:r>
              <w:rPr>
                <w:rFonts w:ascii="Arial" w:cs="Arial" w:eastAsia="Arial" w:hAnsi="Arial"/>
                <w:sz w:val="14"/>
                <w:szCs w:val="14"/>
                <w:color w:val="auto"/>
              </w:rPr>
              <w:t>Senior Vice</w:t>
            </w:r>
          </w:p>
        </w:tc>
        <w:tc>
          <w:tcPr>
            <w:tcW w:w="380" w:type="dxa"/>
            <w:vAlign w:val="bottom"/>
            <w:vMerge w:val="restart"/>
            <w:shd w:val="clear" w:color="auto" w:fill="F3EDF3"/>
          </w:tcPr>
          <w:p>
            <w:pPr>
              <w:ind w:left="40"/>
              <w:spacing w:after="0"/>
              <w:rPr>
                <w:sz w:val="20"/>
                <w:szCs w:val="20"/>
                <w:color w:val="auto"/>
              </w:rPr>
            </w:pPr>
            <w:r>
              <w:rPr>
                <w:rFonts w:ascii="Arial" w:cs="Arial" w:eastAsia="Arial" w:hAnsi="Arial"/>
                <w:sz w:val="14"/>
                <w:szCs w:val="14"/>
                <w:color w:val="auto"/>
              </w:rPr>
              <w:t>2016</w:t>
            </w:r>
          </w:p>
        </w:tc>
        <w:tc>
          <w:tcPr>
            <w:tcW w:w="1940" w:type="dxa"/>
            <w:vAlign w:val="bottom"/>
            <w:shd w:val="clear" w:color="auto" w:fill="F3EDF3"/>
          </w:tcPr>
          <w:p>
            <w:pPr>
              <w:spacing w:after="0"/>
              <w:rPr>
                <w:sz w:val="14"/>
                <w:szCs w:val="14"/>
                <w:color w:val="auto"/>
              </w:rPr>
            </w:pPr>
          </w:p>
        </w:tc>
        <w:tc>
          <w:tcPr>
            <w:tcW w:w="840" w:type="dxa"/>
            <w:vAlign w:val="bottom"/>
            <w:vMerge w:val="restart"/>
            <w:shd w:val="clear" w:color="auto" w:fill="F3EDF3"/>
          </w:tcPr>
          <w:p>
            <w:pPr>
              <w:jc w:val="right"/>
              <w:ind w:right="31"/>
              <w:spacing w:after="0"/>
              <w:rPr>
                <w:sz w:val="20"/>
                <w:szCs w:val="20"/>
                <w:color w:val="auto"/>
              </w:rPr>
            </w:pPr>
            <w:r>
              <w:rPr>
                <w:rFonts w:ascii="Arial" w:cs="Arial" w:eastAsia="Arial" w:hAnsi="Arial"/>
                <w:sz w:val="14"/>
                <w:szCs w:val="14"/>
                <w:color w:val="auto"/>
              </w:rPr>
              <w:t>326,871</w:t>
            </w:r>
          </w:p>
        </w:tc>
        <w:tc>
          <w:tcPr>
            <w:tcW w:w="640" w:type="dxa"/>
            <w:vAlign w:val="bottom"/>
            <w:shd w:val="clear" w:color="auto" w:fill="F3EDF3"/>
          </w:tcPr>
          <w:p>
            <w:pPr>
              <w:spacing w:after="0"/>
              <w:rPr>
                <w:sz w:val="14"/>
                <w:szCs w:val="14"/>
                <w:color w:val="auto"/>
              </w:rPr>
            </w:pPr>
          </w:p>
        </w:tc>
        <w:tc>
          <w:tcPr>
            <w:tcW w:w="840" w:type="dxa"/>
            <w:vAlign w:val="bottom"/>
            <w:vMerge w:val="restart"/>
            <w:shd w:val="clear" w:color="auto" w:fill="F3EDF3"/>
          </w:tcPr>
          <w:p>
            <w:pPr>
              <w:jc w:val="right"/>
              <w:ind w:right="31"/>
              <w:spacing w:after="0"/>
              <w:rPr>
                <w:sz w:val="20"/>
                <w:szCs w:val="20"/>
                <w:color w:val="auto"/>
              </w:rPr>
            </w:pPr>
            <w:r>
              <w:rPr>
                <w:rFonts w:ascii="Arial" w:cs="Arial" w:eastAsia="Arial" w:hAnsi="Arial"/>
                <w:sz w:val="14"/>
                <w:szCs w:val="14"/>
                <w:color w:val="auto"/>
              </w:rPr>
              <w:t>1,499,962</w:t>
            </w:r>
          </w:p>
        </w:tc>
        <w:tc>
          <w:tcPr>
            <w:tcW w:w="720" w:type="dxa"/>
            <w:vAlign w:val="bottom"/>
            <w:shd w:val="clear" w:color="auto" w:fill="F3EDF3"/>
          </w:tcPr>
          <w:p>
            <w:pPr>
              <w:spacing w:after="0"/>
              <w:rPr>
                <w:sz w:val="14"/>
                <w:szCs w:val="14"/>
                <w:color w:val="auto"/>
              </w:rPr>
            </w:pPr>
          </w:p>
        </w:tc>
        <w:tc>
          <w:tcPr>
            <w:tcW w:w="1200" w:type="dxa"/>
            <w:vAlign w:val="bottom"/>
            <w:vMerge w:val="restart"/>
            <w:shd w:val="clear" w:color="auto" w:fill="F3EDF3"/>
          </w:tcPr>
          <w:p>
            <w:pPr>
              <w:jc w:val="right"/>
              <w:ind w:right="28"/>
              <w:spacing w:after="0"/>
              <w:rPr>
                <w:sz w:val="20"/>
                <w:szCs w:val="20"/>
                <w:color w:val="auto"/>
              </w:rPr>
            </w:pPr>
            <w:r>
              <w:rPr>
                <w:rFonts w:ascii="Arial" w:cs="Arial" w:eastAsia="Arial" w:hAnsi="Arial"/>
                <w:sz w:val="14"/>
                <w:szCs w:val="14"/>
                <w:color w:val="auto"/>
              </w:rPr>
              <w:t>671</w:t>
            </w:r>
          </w:p>
        </w:tc>
        <w:tc>
          <w:tcPr>
            <w:tcW w:w="1200" w:type="dxa"/>
            <w:vAlign w:val="bottom"/>
            <w:vMerge w:val="restart"/>
            <w:shd w:val="clear" w:color="auto" w:fill="F3EDF3"/>
          </w:tcPr>
          <w:p>
            <w:pPr>
              <w:jc w:val="right"/>
              <w:ind w:right="31"/>
              <w:spacing w:after="0"/>
              <w:rPr>
                <w:sz w:val="20"/>
                <w:szCs w:val="20"/>
                <w:color w:val="auto"/>
              </w:rPr>
            </w:pPr>
            <w:r>
              <w:rPr>
                <w:rFonts w:ascii="Arial" w:cs="Arial" w:eastAsia="Arial" w:hAnsi="Arial"/>
                <w:sz w:val="14"/>
                <w:szCs w:val="14"/>
                <w:color w:val="auto"/>
              </w:rPr>
              <w:t>161,402</w:t>
            </w:r>
          </w:p>
        </w:tc>
        <w:tc>
          <w:tcPr>
            <w:tcW w:w="1200" w:type="dxa"/>
            <w:vAlign w:val="bottom"/>
            <w:vMerge w:val="restart"/>
            <w:shd w:val="clear" w:color="auto" w:fill="F3EDF3"/>
          </w:tcPr>
          <w:p>
            <w:pPr>
              <w:jc w:val="right"/>
              <w:ind w:right="31"/>
              <w:spacing w:after="0"/>
              <w:rPr>
                <w:sz w:val="20"/>
                <w:szCs w:val="20"/>
                <w:color w:val="auto"/>
              </w:rPr>
            </w:pPr>
            <w:r>
              <w:rPr>
                <w:rFonts w:ascii="Arial" w:cs="Arial" w:eastAsia="Arial" w:hAnsi="Arial"/>
                <w:sz w:val="14"/>
                <w:szCs w:val="14"/>
                <w:color w:val="auto"/>
              </w:rPr>
              <w:t>110,165</w:t>
            </w:r>
          </w:p>
        </w:tc>
        <w:tc>
          <w:tcPr>
            <w:tcW w:w="800" w:type="dxa"/>
            <w:vAlign w:val="bottom"/>
            <w:vMerge w:val="restart"/>
            <w:shd w:val="clear" w:color="auto" w:fill="F3EDF3"/>
          </w:tcPr>
          <w:p>
            <w:pPr>
              <w:jc w:val="right"/>
              <w:spacing w:after="0"/>
              <w:rPr>
                <w:sz w:val="20"/>
                <w:szCs w:val="20"/>
                <w:color w:val="auto"/>
              </w:rPr>
            </w:pPr>
            <w:r>
              <w:rPr>
                <w:rFonts w:ascii="Arial" w:cs="Arial" w:eastAsia="Arial" w:hAnsi="Arial"/>
                <w:sz w:val="14"/>
                <w:szCs w:val="14"/>
                <w:color w:val="auto"/>
              </w:rPr>
              <w:t>2,099,071</w:t>
            </w:r>
          </w:p>
        </w:tc>
        <w:tc>
          <w:tcPr>
            <w:tcW w:w="0" w:type="dxa"/>
            <w:vAlign w:val="bottom"/>
          </w:tcPr>
          <w:p>
            <w:pPr>
              <w:spacing w:after="0"/>
              <w:rPr>
                <w:sz w:val="1"/>
                <w:szCs w:val="1"/>
                <w:color w:val="auto"/>
              </w:rPr>
            </w:pPr>
          </w:p>
        </w:tc>
      </w:tr>
      <w:tr>
        <w:trPr>
          <w:trHeight w:val="91"/>
        </w:trPr>
        <w:tc>
          <w:tcPr>
            <w:tcW w:w="1660" w:type="dxa"/>
            <w:vAlign w:val="bottom"/>
            <w:gridSpan w:val="2"/>
            <w:vMerge w:val="restart"/>
          </w:tcPr>
          <w:p>
            <w:pPr>
              <w:ind w:left="180"/>
              <w:spacing w:after="0" w:line="157" w:lineRule="exact"/>
              <w:rPr>
                <w:sz w:val="20"/>
                <w:szCs w:val="20"/>
                <w:color w:val="auto"/>
              </w:rPr>
            </w:pPr>
            <w:r>
              <w:rPr>
                <w:rFonts w:ascii="Arial" w:cs="Arial" w:eastAsia="Arial" w:hAnsi="Arial"/>
                <w:sz w:val="14"/>
                <w:szCs w:val="14"/>
                <w:color w:val="auto"/>
              </w:rPr>
              <w:t>President,</w:t>
            </w:r>
          </w:p>
        </w:tc>
        <w:tc>
          <w:tcPr>
            <w:tcW w:w="380" w:type="dxa"/>
            <w:vAlign w:val="bottom"/>
            <w:vMerge w:val="continue"/>
            <w:shd w:val="clear" w:color="auto" w:fill="F3EDF3"/>
          </w:tcPr>
          <w:p>
            <w:pPr>
              <w:spacing w:after="0"/>
              <w:rPr>
                <w:sz w:val="7"/>
                <w:szCs w:val="7"/>
                <w:color w:val="auto"/>
              </w:rPr>
            </w:pPr>
          </w:p>
        </w:tc>
        <w:tc>
          <w:tcPr>
            <w:tcW w:w="1940" w:type="dxa"/>
            <w:vAlign w:val="bottom"/>
            <w:shd w:val="clear" w:color="auto" w:fill="F3EDF3"/>
          </w:tcPr>
          <w:p>
            <w:pPr>
              <w:spacing w:after="0"/>
              <w:rPr>
                <w:sz w:val="7"/>
                <w:szCs w:val="7"/>
                <w:color w:val="auto"/>
              </w:rPr>
            </w:pPr>
          </w:p>
        </w:tc>
        <w:tc>
          <w:tcPr>
            <w:tcW w:w="840" w:type="dxa"/>
            <w:vAlign w:val="bottom"/>
            <w:vMerge w:val="continue"/>
            <w:shd w:val="clear" w:color="auto" w:fill="F3EDF3"/>
          </w:tcPr>
          <w:p>
            <w:pPr>
              <w:spacing w:after="0"/>
              <w:rPr>
                <w:sz w:val="7"/>
                <w:szCs w:val="7"/>
                <w:color w:val="auto"/>
              </w:rPr>
            </w:pPr>
          </w:p>
        </w:tc>
        <w:tc>
          <w:tcPr>
            <w:tcW w:w="640" w:type="dxa"/>
            <w:vAlign w:val="bottom"/>
            <w:shd w:val="clear" w:color="auto" w:fill="F3EDF3"/>
          </w:tcPr>
          <w:p>
            <w:pPr>
              <w:spacing w:after="0"/>
              <w:rPr>
                <w:sz w:val="7"/>
                <w:szCs w:val="7"/>
                <w:color w:val="auto"/>
              </w:rPr>
            </w:pPr>
          </w:p>
        </w:tc>
        <w:tc>
          <w:tcPr>
            <w:tcW w:w="840" w:type="dxa"/>
            <w:vAlign w:val="bottom"/>
            <w:vMerge w:val="continue"/>
            <w:shd w:val="clear" w:color="auto" w:fill="F3EDF3"/>
          </w:tcPr>
          <w:p>
            <w:pPr>
              <w:spacing w:after="0"/>
              <w:rPr>
                <w:sz w:val="7"/>
                <w:szCs w:val="7"/>
                <w:color w:val="auto"/>
              </w:rPr>
            </w:pPr>
          </w:p>
        </w:tc>
        <w:tc>
          <w:tcPr>
            <w:tcW w:w="720" w:type="dxa"/>
            <w:vAlign w:val="bottom"/>
            <w:shd w:val="clear" w:color="auto" w:fill="F3EDF3"/>
          </w:tcPr>
          <w:p>
            <w:pPr>
              <w:spacing w:after="0"/>
              <w:rPr>
                <w:sz w:val="7"/>
                <w:szCs w:val="7"/>
                <w:color w:val="auto"/>
              </w:rPr>
            </w:pPr>
          </w:p>
        </w:tc>
        <w:tc>
          <w:tcPr>
            <w:tcW w:w="1200" w:type="dxa"/>
            <w:vAlign w:val="bottom"/>
            <w:vMerge w:val="continue"/>
            <w:shd w:val="clear" w:color="auto" w:fill="F3EDF3"/>
          </w:tcPr>
          <w:p>
            <w:pPr>
              <w:spacing w:after="0"/>
              <w:rPr>
                <w:sz w:val="7"/>
                <w:szCs w:val="7"/>
                <w:color w:val="auto"/>
              </w:rPr>
            </w:pPr>
          </w:p>
        </w:tc>
        <w:tc>
          <w:tcPr>
            <w:tcW w:w="1200" w:type="dxa"/>
            <w:vAlign w:val="bottom"/>
            <w:vMerge w:val="continue"/>
            <w:shd w:val="clear" w:color="auto" w:fill="F3EDF3"/>
          </w:tcPr>
          <w:p>
            <w:pPr>
              <w:spacing w:after="0"/>
              <w:rPr>
                <w:sz w:val="7"/>
                <w:szCs w:val="7"/>
                <w:color w:val="auto"/>
              </w:rPr>
            </w:pPr>
          </w:p>
        </w:tc>
        <w:tc>
          <w:tcPr>
            <w:tcW w:w="1200" w:type="dxa"/>
            <w:vAlign w:val="bottom"/>
            <w:vMerge w:val="continue"/>
            <w:shd w:val="clear" w:color="auto" w:fill="F3EDF3"/>
          </w:tcPr>
          <w:p>
            <w:pPr>
              <w:spacing w:after="0"/>
              <w:rPr>
                <w:sz w:val="7"/>
                <w:szCs w:val="7"/>
                <w:color w:val="auto"/>
              </w:rPr>
            </w:pPr>
          </w:p>
        </w:tc>
        <w:tc>
          <w:tcPr>
            <w:tcW w:w="800" w:type="dxa"/>
            <w:vAlign w:val="bottom"/>
            <w:vMerge w:val="continue"/>
            <w:shd w:val="clear" w:color="auto" w:fill="F3EDF3"/>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660" w:type="dxa"/>
            <w:vAlign w:val="bottom"/>
            <w:gridSpan w:val="2"/>
            <w:vMerge w:val="continue"/>
          </w:tcPr>
          <w:p>
            <w:pPr>
              <w:spacing w:after="0"/>
              <w:rPr>
                <w:sz w:val="5"/>
                <w:szCs w:val="5"/>
                <w:color w:val="auto"/>
              </w:rPr>
            </w:pPr>
          </w:p>
        </w:tc>
        <w:tc>
          <w:tcPr>
            <w:tcW w:w="380" w:type="dxa"/>
            <w:vAlign w:val="bottom"/>
            <w:shd w:val="clear" w:color="auto" w:fill="F3EDF3"/>
          </w:tcPr>
          <w:p>
            <w:pPr>
              <w:spacing w:after="0"/>
              <w:rPr>
                <w:sz w:val="5"/>
                <w:szCs w:val="5"/>
                <w:color w:val="auto"/>
              </w:rPr>
            </w:pPr>
          </w:p>
        </w:tc>
        <w:tc>
          <w:tcPr>
            <w:tcW w:w="1940" w:type="dxa"/>
            <w:vAlign w:val="bottom"/>
            <w:shd w:val="clear" w:color="auto" w:fill="F3EDF3"/>
          </w:tcPr>
          <w:p>
            <w:pPr>
              <w:spacing w:after="0"/>
              <w:rPr>
                <w:sz w:val="5"/>
                <w:szCs w:val="5"/>
                <w:color w:val="auto"/>
              </w:rPr>
            </w:pPr>
          </w:p>
        </w:tc>
        <w:tc>
          <w:tcPr>
            <w:tcW w:w="840" w:type="dxa"/>
            <w:vAlign w:val="bottom"/>
            <w:shd w:val="clear" w:color="auto" w:fill="F3EDF3"/>
          </w:tcPr>
          <w:p>
            <w:pPr>
              <w:spacing w:after="0"/>
              <w:rPr>
                <w:sz w:val="5"/>
                <w:szCs w:val="5"/>
                <w:color w:val="auto"/>
              </w:rPr>
            </w:pPr>
          </w:p>
        </w:tc>
        <w:tc>
          <w:tcPr>
            <w:tcW w:w="640" w:type="dxa"/>
            <w:vAlign w:val="bottom"/>
            <w:shd w:val="clear" w:color="auto" w:fill="F3EDF3"/>
          </w:tcPr>
          <w:p>
            <w:pPr>
              <w:spacing w:after="0"/>
              <w:rPr>
                <w:sz w:val="5"/>
                <w:szCs w:val="5"/>
                <w:color w:val="auto"/>
              </w:rPr>
            </w:pPr>
          </w:p>
        </w:tc>
        <w:tc>
          <w:tcPr>
            <w:tcW w:w="840" w:type="dxa"/>
            <w:vAlign w:val="bottom"/>
            <w:shd w:val="clear" w:color="auto" w:fill="F3EDF3"/>
          </w:tcPr>
          <w:p>
            <w:pPr>
              <w:spacing w:after="0"/>
              <w:rPr>
                <w:sz w:val="5"/>
                <w:szCs w:val="5"/>
                <w:color w:val="auto"/>
              </w:rPr>
            </w:pPr>
          </w:p>
        </w:tc>
        <w:tc>
          <w:tcPr>
            <w:tcW w:w="720" w:type="dxa"/>
            <w:vAlign w:val="bottom"/>
            <w:shd w:val="clear" w:color="auto" w:fill="F3EDF3"/>
          </w:tcPr>
          <w:p>
            <w:pPr>
              <w:spacing w:after="0"/>
              <w:rPr>
                <w:sz w:val="5"/>
                <w:szCs w:val="5"/>
                <w:color w:val="auto"/>
              </w:rPr>
            </w:pPr>
          </w:p>
        </w:tc>
        <w:tc>
          <w:tcPr>
            <w:tcW w:w="1200" w:type="dxa"/>
            <w:vAlign w:val="bottom"/>
            <w:shd w:val="clear" w:color="auto" w:fill="F3EDF3"/>
          </w:tcPr>
          <w:p>
            <w:pPr>
              <w:spacing w:after="0"/>
              <w:rPr>
                <w:sz w:val="5"/>
                <w:szCs w:val="5"/>
                <w:color w:val="auto"/>
              </w:rPr>
            </w:pPr>
          </w:p>
        </w:tc>
        <w:tc>
          <w:tcPr>
            <w:tcW w:w="1200" w:type="dxa"/>
            <w:vAlign w:val="bottom"/>
            <w:shd w:val="clear" w:color="auto" w:fill="F3EDF3"/>
          </w:tcPr>
          <w:p>
            <w:pPr>
              <w:spacing w:after="0"/>
              <w:rPr>
                <w:sz w:val="5"/>
                <w:szCs w:val="5"/>
                <w:color w:val="auto"/>
              </w:rPr>
            </w:pPr>
          </w:p>
        </w:tc>
        <w:tc>
          <w:tcPr>
            <w:tcW w:w="1200" w:type="dxa"/>
            <w:vAlign w:val="bottom"/>
            <w:shd w:val="clear" w:color="auto" w:fill="F3EDF3"/>
          </w:tcPr>
          <w:p>
            <w:pPr>
              <w:spacing w:after="0"/>
              <w:rPr>
                <w:sz w:val="5"/>
                <w:szCs w:val="5"/>
                <w:color w:val="auto"/>
              </w:rPr>
            </w:pPr>
          </w:p>
        </w:tc>
        <w:tc>
          <w:tcPr>
            <w:tcW w:w="800" w:type="dxa"/>
            <w:vAlign w:val="bottom"/>
            <w:shd w:val="clear" w:color="auto" w:fill="F3EDF3"/>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660" w:type="dxa"/>
            <w:vAlign w:val="bottom"/>
            <w:gridSpan w:val="2"/>
          </w:tcPr>
          <w:p>
            <w:pPr>
              <w:ind w:left="180"/>
              <w:spacing w:after="0"/>
              <w:rPr>
                <w:sz w:val="20"/>
                <w:szCs w:val="20"/>
                <w:color w:val="auto"/>
              </w:rPr>
            </w:pPr>
            <w:r>
              <w:rPr>
                <w:rFonts w:ascii="Arial" w:cs="Arial" w:eastAsia="Arial" w:hAnsi="Arial"/>
                <w:sz w:val="14"/>
                <w:szCs w:val="14"/>
                <w:color w:val="231F20"/>
              </w:rPr>
              <w:t>General Counsel</w:t>
            </w:r>
          </w:p>
        </w:tc>
        <w:tc>
          <w:tcPr>
            <w:tcW w:w="380" w:type="dxa"/>
            <w:vAlign w:val="bottom"/>
          </w:tcPr>
          <w:p>
            <w:pPr>
              <w:ind w:left="40"/>
              <w:spacing w:after="0"/>
              <w:rPr>
                <w:sz w:val="20"/>
                <w:szCs w:val="20"/>
                <w:color w:val="auto"/>
              </w:rPr>
            </w:pPr>
            <w:r>
              <w:rPr>
                <w:rFonts w:ascii="Arial" w:cs="Arial" w:eastAsia="Arial" w:hAnsi="Arial"/>
                <w:sz w:val="14"/>
                <w:szCs w:val="14"/>
                <w:color w:val="231F20"/>
              </w:rPr>
              <w:t>2015</w:t>
            </w:r>
          </w:p>
        </w:tc>
        <w:tc>
          <w:tcPr>
            <w:tcW w:w="1940" w:type="dxa"/>
            <w:vAlign w:val="bottom"/>
          </w:tcPr>
          <w:p>
            <w:pPr>
              <w:ind w:left="20"/>
              <w:spacing w:after="0"/>
              <w:rPr>
                <w:sz w:val="20"/>
                <w:szCs w:val="20"/>
                <w:color w:val="auto"/>
              </w:rPr>
            </w:pPr>
            <w:r>
              <w:rPr>
                <w:rFonts w:ascii="Arial" w:cs="Arial" w:eastAsia="Arial" w:hAnsi="Arial"/>
                <w:sz w:val="14"/>
                <w:szCs w:val="14"/>
                <w:color w:val="231F20"/>
              </w:rPr>
              <w:t>Transition Period (April 25,</w:t>
            </w: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660" w:type="dxa"/>
            <w:vAlign w:val="bottom"/>
            <w:gridSpan w:val="2"/>
          </w:tcPr>
          <w:p>
            <w:pPr>
              <w:ind w:left="180"/>
              <w:spacing w:after="0" w:line="157" w:lineRule="exact"/>
              <w:rPr>
                <w:sz w:val="20"/>
                <w:szCs w:val="20"/>
                <w:color w:val="auto"/>
              </w:rPr>
            </w:pPr>
            <w:r>
              <w:rPr>
                <w:rFonts w:ascii="Arial" w:cs="Arial" w:eastAsia="Arial" w:hAnsi="Arial"/>
                <w:sz w:val="14"/>
                <w:szCs w:val="14"/>
                <w:color w:val="231F20"/>
              </w:rPr>
              <w:t>and Company</w:t>
            </w:r>
          </w:p>
        </w:tc>
        <w:tc>
          <w:tcPr>
            <w:tcW w:w="380" w:type="dxa"/>
            <w:vAlign w:val="bottom"/>
          </w:tcPr>
          <w:p>
            <w:pPr>
              <w:ind w:left="40"/>
              <w:spacing w:after="0" w:line="157" w:lineRule="exact"/>
              <w:rPr>
                <w:sz w:val="20"/>
                <w:szCs w:val="20"/>
                <w:color w:val="auto"/>
              </w:rPr>
            </w:pPr>
            <w:r>
              <w:rPr>
                <w:rFonts w:ascii="Arial" w:cs="Arial" w:eastAsia="Arial" w:hAnsi="Arial"/>
                <w:sz w:val="14"/>
                <w:szCs w:val="14"/>
                <w:color w:val="231F20"/>
              </w:rPr>
              <w:t>2015</w:t>
            </w:r>
          </w:p>
        </w:tc>
        <w:tc>
          <w:tcPr>
            <w:tcW w:w="1940" w:type="dxa"/>
            <w:vAlign w:val="bottom"/>
          </w:tcPr>
          <w:p>
            <w:pPr>
              <w:ind w:left="20"/>
              <w:spacing w:after="0" w:line="157" w:lineRule="exact"/>
              <w:rPr>
                <w:sz w:val="20"/>
                <w:szCs w:val="20"/>
                <w:color w:val="auto"/>
              </w:rPr>
            </w:pPr>
            <w:r>
              <w:rPr>
                <w:rFonts w:ascii="Arial" w:cs="Arial" w:eastAsia="Arial" w:hAnsi="Arial"/>
                <w:sz w:val="14"/>
                <w:szCs w:val="14"/>
                <w:color w:val="231F20"/>
              </w:rPr>
              <w:t>– December 31, 2015)</w:t>
            </w: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660" w:type="dxa"/>
            <w:vAlign w:val="bottom"/>
            <w:gridSpan w:val="2"/>
          </w:tcPr>
          <w:p>
            <w:pPr>
              <w:ind w:left="180"/>
              <w:spacing w:after="0" w:line="190" w:lineRule="exact"/>
              <w:rPr>
                <w:sz w:val="20"/>
                <w:szCs w:val="20"/>
                <w:color w:val="auto"/>
              </w:rPr>
            </w:pPr>
            <w:r>
              <w:rPr>
                <w:rFonts w:ascii="Arial" w:cs="Arial" w:eastAsia="Arial" w:hAnsi="Arial"/>
                <w:sz w:val="13"/>
                <w:szCs w:val="13"/>
                <w:color w:val="231F20"/>
              </w:rPr>
              <w:t>Secretary</w:t>
            </w:r>
            <w:r>
              <w:rPr>
                <w:rFonts w:ascii="Arial" w:cs="Arial" w:eastAsia="Arial" w:hAnsi="Arial"/>
                <w:sz w:val="21"/>
                <w:szCs w:val="21"/>
                <w:color w:val="231F20"/>
                <w:vertAlign w:val="superscript"/>
              </w:rPr>
              <w:t>(3)</w:t>
            </w:r>
          </w:p>
        </w:tc>
        <w:tc>
          <w:tcPr>
            <w:tcW w:w="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00" w:type="dxa"/>
            <w:vAlign w:val="bottom"/>
            <w:tcBorders>
              <w:bottom w:val="single" w:sz="8" w:color="6F2875"/>
            </w:tcBorders>
          </w:tcPr>
          <w:p>
            <w:pPr>
              <w:spacing w:after="0"/>
              <w:rPr>
                <w:sz w:val="14"/>
                <w:szCs w:val="14"/>
                <w:color w:val="auto"/>
              </w:rPr>
            </w:pPr>
          </w:p>
        </w:tc>
        <w:tc>
          <w:tcPr>
            <w:tcW w:w="460" w:type="dxa"/>
            <w:vAlign w:val="bottom"/>
            <w:tcBorders>
              <w:bottom w:val="single" w:sz="8" w:color="6F2875"/>
            </w:tcBorders>
          </w:tcPr>
          <w:p>
            <w:pPr>
              <w:spacing w:after="0"/>
              <w:rPr>
                <w:sz w:val="14"/>
                <w:szCs w:val="14"/>
                <w:color w:val="auto"/>
              </w:rPr>
            </w:pPr>
          </w:p>
        </w:tc>
        <w:tc>
          <w:tcPr>
            <w:tcW w:w="2320" w:type="dxa"/>
            <w:vAlign w:val="bottom"/>
            <w:tcBorders>
              <w:bottom w:val="single" w:sz="8" w:color="6F2875"/>
            </w:tcBorders>
            <w:gridSpan w:val="2"/>
            <w:shd w:val="clear" w:color="auto" w:fill="F3EDF3"/>
          </w:tcPr>
          <w:p>
            <w:pPr>
              <w:ind w:left="40"/>
              <w:spacing w:after="0"/>
              <w:rPr>
                <w:sz w:val="20"/>
                <w:szCs w:val="20"/>
                <w:color w:val="auto"/>
              </w:rPr>
            </w:pPr>
            <w:r>
              <w:rPr>
                <w:rFonts w:ascii="Arial" w:cs="Arial" w:eastAsia="Arial" w:hAnsi="Arial"/>
                <w:sz w:val="14"/>
                <w:szCs w:val="14"/>
                <w:color w:val="auto"/>
              </w:rPr>
              <w:t>YE April 24, 2015</w:t>
            </w:r>
          </w:p>
        </w:tc>
        <w:tc>
          <w:tcPr>
            <w:tcW w:w="840" w:type="dxa"/>
            <w:vAlign w:val="bottom"/>
            <w:tcBorders>
              <w:bottom w:val="single" w:sz="8" w:color="6F2875"/>
            </w:tcBorders>
            <w:shd w:val="clear" w:color="auto" w:fill="F3EDF3"/>
          </w:tcPr>
          <w:p>
            <w:pPr>
              <w:spacing w:after="0"/>
              <w:rPr>
                <w:sz w:val="14"/>
                <w:szCs w:val="14"/>
                <w:color w:val="auto"/>
              </w:rPr>
            </w:pPr>
          </w:p>
        </w:tc>
        <w:tc>
          <w:tcPr>
            <w:tcW w:w="640" w:type="dxa"/>
            <w:vAlign w:val="bottom"/>
            <w:tcBorders>
              <w:bottom w:val="single" w:sz="8" w:color="6F2875"/>
            </w:tcBorders>
            <w:shd w:val="clear" w:color="auto" w:fill="F3EDF3"/>
          </w:tcPr>
          <w:p>
            <w:pPr>
              <w:spacing w:after="0"/>
              <w:rPr>
                <w:sz w:val="14"/>
                <w:szCs w:val="14"/>
                <w:color w:val="auto"/>
              </w:rPr>
            </w:pPr>
          </w:p>
        </w:tc>
        <w:tc>
          <w:tcPr>
            <w:tcW w:w="840" w:type="dxa"/>
            <w:vAlign w:val="bottom"/>
            <w:tcBorders>
              <w:bottom w:val="single" w:sz="8" w:color="6F2875"/>
            </w:tcBorders>
            <w:shd w:val="clear" w:color="auto" w:fill="F3EDF3"/>
          </w:tcPr>
          <w:p>
            <w:pPr>
              <w:spacing w:after="0"/>
              <w:rPr>
                <w:sz w:val="14"/>
                <w:szCs w:val="14"/>
                <w:color w:val="auto"/>
              </w:rPr>
            </w:pPr>
          </w:p>
        </w:tc>
        <w:tc>
          <w:tcPr>
            <w:tcW w:w="720" w:type="dxa"/>
            <w:vAlign w:val="bottom"/>
            <w:tcBorders>
              <w:bottom w:val="single" w:sz="8" w:color="6F2875"/>
            </w:tcBorders>
            <w:shd w:val="clear" w:color="auto" w:fill="F3EDF3"/>
          </w:tcPr>
          <w:p>
            <w:pPr>
              <w:spacing w:after="0"/>
              <w:rPr>
                <w:sz w:val="14"/>
                <w:szCs w:val="14"/>
                <w:color w:val="auto"/>
              </w:rPr>
            </w:pPr>
          </w:p>
        </w:tc>
        <w:tc>
          <w:tcPr>
            <w:tcW w:w="1200" w:type="dxa"/>
            <w:vAlign w:val="bottom"/>
            <w:tcBorders>
              <w:bottom w:val="single" w:sz="8" w:color="6F2875"/>
            </w:tcBorders>
            <w:shd w:val="clear" w:color="auto" w:fill="F3EDF3"/>
          </w:tcPr>
          <w:p>
            <w:pPr>
              <w:spacing w:after="0"/>
              <w:rPr>
                <w:sz w:val="14"/>
                <w:szCs w:val="14"/>
                <w:color w:val="auto"/>
              </w:rPr>
            </w:pPr>
          </w:p>
        </w:tc>
        <w:tc>
          <w:tcPr>
            <w:tcW w:w="1200" w:type="dxa"/>
            <w:vAlign w:val="bottom"/>
            <w:tcBorders>
              <w:bottom w:val="single" w:sz="8" w:color="6F2875"/>
            </w:tcBorders>
            <w:shd w:val="clear" w:color="auto" w:fill="F3EDF3"/>
          </w:tcPr>
          <w:p>
            <w:pPr>
              <w:spacing w:after="0"/>
              <w:rPr>
                <w:sz w:val="14"/>
                <w:szCs w:val="14"/>
                <w:color w:val="auto"/>
              </w:rPr>
            </w:pPr>
          </w:p>
        </w:tc>
        <w:tc>
          <w:tcPr>
            <w:tcW w:w="1200" w:type="dxa"/>
            <w:vAlign w:val="bottom"/>
            <w:tcBorders>
              <w:bottom w:val="single" w:sz="8" w:color="6F2875"/>
            </w:tcBorders>
            <w:shd w:val="clear" w:color="auto" w:fill="F3EDF3"/>
          </w:tcPr>
          <w:p>
            <w:pPr>
              <w:spacing w:after="0"/>
              <w:rPr>
                <w:sz w:val="14"/>
                <w:szCs w:val="14"/>
                <w:color w:val="auto"/>
              </w:rPr>
            </w:pPr>
          </w:p>
        </w:tc>
        <w:tc>
          <w:tcPr>
            <w:tcW w:w="800" w:type="dxa"/>
            <w:vAlign w:val="bottom"/>
            <w:tcBorders>
              <w:bottom w:val="single" w:sz="8" w:color="6F2875"/>
            </w:tcBorders>
            <w:shd w:val="clear" w:color="auto" w:fill="F3EDF3"/>
          </w:tcPr>
          <w:p>
            <w:pPr>
              <w:spacing w:after="0"/>
              <w:rPr>
                <w:sz w:val="14"/>
                <w:szCs w:val="14"/>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40" w:hanging="332"/>
        <w:spacing w:after="0" w:line="279" w:lineRule="auto"/>
        <w:tabs>
          <w:tab w:leader="none" w:pos="340" w:val="left"/>
        </w:tabs>
        <w:numPr>
          <w:ilvl w:val="0"/>
          <w:numId w:val="30"/>
        </w:numPr>
        <w:rPr>
          <w:rFonts w:ascii="Arial" w:cs="Arial" w:eastAsia="Arial" w:hAnsi="Arial"/>
          <w:sz w:val="14"/>
          <w:szCs w:val="14"/>
          <w:i w:val="1"/>
          <w:iCs w:val="1"/>
          <w:color w:val="231F20"/>
        </w:rPr>
      </w:pPr>
      <w:r>
        <w:rPr>
          <w:rFonts w:ascii="Arial" w:cs="Arial" w:eastAsia="Arial" w:hAnsi="Arial"/>
          <w:sz w:val="14"/>
          <w:szCs w:val="14"/>
          <w:i w:val="1"/>
          <w:iCs w:val="1"/>
          <w:color w:val="231F20"/>
        </w:rPr>
        <w:t>For amounts paid in salary and bonus compensation in 2017, we used an exchange rate of $1.12976 per Euro and $1.28864 per British Pound, each of which reflects the applicable period average published rate from the OANDA Corporation currency database between January 1, 2017 and December 31, 2017.</w:t>
      </w:r>
    </w:p>
    <w:p>
      <w:pPr>
        <w:spacing w:after="0" w:line="3" w:lineRule="exact"/>
        <w:rPr>
          <w:rFonts w:ascii="Arial" w:cs="Arial" w:eastAsia="Arial" w:hAnsi="Arial"/>
          <w:sz w:val="14"/>
          <w:szCs w:val="14"/>
          <w:i w:val="1"/>
          <w:iCs w:val="1"/>
          <w:color w:val="231F20"/>
        </w:rPr>
      </w:pPr>
    </w:p>
    <w:p>
      <w:pPr>
        <w:ind w:left="340" w:hanging="332"/>
        <w:spacing w:after="0"/>
        <w:tabs>
          <w:tab w:leader="none" w:pos="340" w:val="left"/>
        </w:tabs>
        <w:numPr>
          <w:ilvl w:val="0"/>
          <w:numId w:val="30"/>
        </w:numPr>
        <w:rPr>
          <w:rFonts w:ascii="Arial" w:cs="Arial" w:eastAsia="Arial" w:hAnsi="Arial"/>
          <w:sz w:val="14"/>
          <w:szCs w:val="14"/>
          <w:i w:val="1"/>
          <w:iCs w:val="1"/>
          <w:color w:val="231F20"/>
        </w:rPr>
      </w:pPr>
      <w:r>
        <w:rPr>
          <w:rFonts w:ascii="Arial" w:cs="Arial" w:eastAsia="Arial" w:hAnsi="Arial"/>
          <w:sz w:val="14"/>
          <w:szCs w:val="14"/>
          <w:i w:val="1"/>
          <w:iCs w:val="1"/>
          <w:color w:val="231F20"/>
        </w:rPr>
        <w:t>Mr. Sehgal was chief financial officer from January 1, 2017 through May 31, 2017, when he left the Company.</w:t>
      </w:r>
    </w:p>
    <w:p>
      <w:pPr>
        <w:spacing w:after="0" w:line="55" w:lineRule="exact"/>
        <w:rPr>
          <w:rFonts w:ascii="Arial" w:cs="Arial" w:eastAsia="Arial" w:hAnsi="Arial"/>
          <w:sz w:val="14"/>
          <w:szCs w:val="14"/>
          <w:i w:val="1"/>
          <w:iCs w:val="1"/>
          <w:color w:val="231F20"/>
        </w:rPr>
      </w:pPr>
    </w:p>
    <w:p>
      <w:pPr>
        <w:ind w:left="340" w:hanging="332"/>
        <w:spacing w:after="0" w:line="279" w:lineRule="auto"/>
        <w:tabs>
          <w:tab w:leader="none" w:pos="340" w:val="left"/>
        </w:tabs>
        <w:numPr>
          <w:ilvl w:val="0"/>
          <w:numId w:val="30"/>
        </w:numPr>
        <w:rPr>
          <w:rFonts w:ascii="Arial" w:cs="Arial" w:eastAsia="Arial" w:hAnsi="Arial"/>
          <w:sz w:val="14"/>
          <w:szCs w:val="14"/>
          <w:i w:val="1"/>
          <w:iCs w:val="1"/>
          <w:color w:val="231F20"/>
        </w:rPr>
      </w:pPr>
      <w:r>
        <w:rPr>
          <w:rFonts w:ascii="Arial" w:cs="Arial" w:eastAsia="Arial" w:hAnsi="Arial"/>
          <w:sz w:val="14"/>
          <w:szCs w:val="14"/>
          <w:i w:val="1"/>
          <w:iCs w:val="1"/>
          <w:color w:val="231F20"/>
        </w:rPr>
        <w:t>Mr. Sheridan was Senior Vice President, General Counsel and Company Secretary from January 1, 2017 through February 8, 2017. He terminated his employment on June 30, 2017 and entered into a consulting agreement with the company.</w:t>
      </w:r>
    </w:p>
    <w:p>
      <w:pPr>
        <w:spacing w:after="0" w:line="3" w:lineRule="exact"/>
        <w:rPr>
          <w:rFonts w:ascii="Arial" w:cs="Arial" w:eastAsia="Arial" w:hAnsi="Arial"/>
          <w:sz w:val="14"/>
          <w:szCs w:val="14"/>
          <w:i w:val="1"/>
          <w:iCs w:val="1"/>
          <w:color w:val="231F20"/>
        </w:rPr>
      </w:pPr>
    </w:p>
    <w:p>
      <w:pPr>
        <w:jc w:val="both"/>
        <w:ind w:left="340" w:hanging="332"/>
        <w:spacing w:after="0" w:line="249" w:lineRule="auto"/>
        <w:tabs>
          <w:tab w:leader="none" w:pos="340" w:val="left"/>
        </w:tabs>
        <w:numPr>
          <w:ilvl w:val="0"/>
          <w:numId w:val="30"/>
        </w:numPr>
        <w:rPr>
          <w:rFonts w:ascii="Arial" w:cs="Arial" w:eastAsia="Arial" w:hAnsi="Arial"/>
          <w:sz w:val="14"/>
          <w:szCs w:val="14"/>
          <w:i w:val="1"/>
          <w:iCs w:val="1"/>
          <w:color w:val="231F20"/>
        </w:rPr>
      </w:pPr>
      <w:r>
        <w:rPr>
          <w:rFonts w:ascii="Arial" w:cs="Arial" w:eastAsia="Arial" w:hAnsi="Arial"/>
          <w:sz w:val="14"/>
          <w:szCs w:val="14"/>
          <w:i w:val="1"/>
          <w:iCs w:val="1"/>
          <w:color w:val="231F20"/>
        </w:rPr>
        <w:t>Amounts reflect the full grant-date fair value of restricted stock units and stock appreciation rights granted during 2017 computed in accordance with Federal Accounting Standards Board Accounting Standards Codification (“FASB ASC”) Topic 718, rather than the amounts paid to or realized by the named individual. We provide information regarding the assumptions used to calculate the value of all restricted stock units and stock appreciation rights awards made to executive officers in Note 2 to our audited financial statements in our Annual Report on Form 10-K for the year ended December 31, 2017 (“2017 Form 10-K”). For additional information regarding the restricted stock unit and stock appreciation rights awards reported herein, see “— Compensation Discussion and Analysis — 2017 Long Term Incentive Plan.” and “— 2017 Grants of Plan-Based Awards”.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Borders>
              <w:bottom w:val="single" w:sz="8" w:color="auto"/>
            </w:tcBorders>
          </w:tcPr>
          <w:p>
            <w:pPr>
              <w:spacing w:after="0"/>
              <w:rPr>
                <w:sz w:val="10"/>
                <w:szCs w:val="10"/>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35</w:t>
            </w:r>
          </w:p>
        </w:tc>
        <w:tc>
          <w:tcPr>
            <w:tcW w:w="0" w:type="dxa"/>
            <w:vAlign w:val="bottom"/>
          </w:tcPr>
          <w:p>
            <w:pPr>
              <w:spacing w:after="0"/>
              <w:rPr>
                <w:sz w:val="1"/>
                <w:szCs w:val="1"/>
                <w:color w:val="auto"/>
              </w:rPr>
            </w:pPr>
          </w:p>
        </w:tc>
      </w:tr>
      <w:tr>
        <w:trPr>
          <w:trHeight w:val="69"/>
        </w:trPr>
        <w:tc>
          <w:tcPr>
            <w:tcW w:w="40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81" w:lineRule="exact"/>
        <w:rPr>
          <w:sz w:val="20"/>
          <w:szCs w:val="20"/>
          <w:color w:val="auto"/>
        </w:rPr>
      </w:pPr>
    </w:p>
    <w:p>
      <w:pPr>
        <w:ind w:left="340" w:hanging="332"/>
        <w:spacing w:after="0" w:line="279" w:lineRule="auto"/>
        <w:tabs>
          <w:tab w:leader="none" w:pos="340" w:val="left"/>
        </w:tabs>
        <w:numPr>
          <w:ilvl w:val="0"/>
          <w:numId w:val="31"/>
        </w:numPr>
        <w:rPr>
          <w:rFonts w:ascii="Arial" w:cs="Arial" w:eastAsia="Arial" w:hAnsi="Arial"/>
          <w:sz w:val="14"/>
          <w:szCs w:val="14"/>
          <w:i w:val="1"/>
          <w:iCs w:val="1"/>
          <w:color w:val="231F20"/>
        </w:rPr>
      </w:pPr>
      <w:r>
        <w:rPr>
          <w:rFonts w:ascii="Arial" w:cs="Arial" w:eastAsia="Arial" w:hAnsi="Arial"/>
          <w:sz w:val="14"/>
          <w:szCs w:val="14"/>
          <w:i w:val="1"/>
          <w:iCs w:val="1"/>
          <w:color w:val="231F20"/>
        </w:rPr>
        <w:t>The amounts reported in the All Other Compensation column represent the aggregate dollar amount for all other benefits and payments received by our named executive officers. The following table shows the nature of the benefits and payments and specific amounts for each of our named executive officers: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b w:val="1"/>
                <w:bCs w:val="1"/>
                <w:color w:val="6F2875"/>
              </w:rPr>
              <w:t>Non qualified</w:t>
            </w: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b w:val="1"/>
                <w:bCs w:val="1"/>
                <w:color w:val="6F2875"/>
              </w:rPr>
              <w:t>deferred</w:t>
            </w: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b w:val="1"/>
                <w:bCs w:val="1"/>
                <w:color w:val="6F2875"/>
              </w:rPr>
              <w:t>compensation</w:t>
            </w: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jc w:val="right"/>
              <w:ind w:right="169"/>
              <w:spacing w:after="0"/>
              <w:rPr>
                <w:sz w:val="20"/>
                <w:szCs w:val="20"/>
                <w:color w:val="auto"/>
              </w:rPr>
            </w:pPr>
            <w:r>
              <w:rPr>
                <w:rFonts w:ascii="Arial" w:cs="Arial" w:eastAsia="Arial" w:hAnsi="Arial"/>
                <w:sz w:val="14"/>
                <w:szCs w:val="14"/>
                <w:b w:val="1"/>
                <w:bCs w:val="1"/>
                <w:color w:val="6F2875"/>
              </w:rPr>
              <w:t>Qualified</w:t>
            </w:r>
          </w:p>
        </w:tc>
        <w:tc>
          <w:tcPr>
            <w:tcW w:w="1400" w:type="dxa"/>
            <w:vAlign w:val="bottom"/>
          </w:tcPr>
          <w:p>
            <w:pPr>
              <w:jc w:val="right"/>
              <w:ind w:right="108"/>
              <w:spacing w:after="0"/>
              <w:rPr>
                <w:sz w:val="20"/>
                <w:szCs w:val="20"/>
                <w:color w:val="auto"/>
              </w:rPr>
            </w:pPr>
            <w:r>
              <w:rPr>
                <w:rFonts w:ascii="Arial" w:cs="Arial" w:eastAsia="Arial" w:hAnsi="Arial"/>
                <w:sz w:val="14"/>
                <w:szCs w:val="14"/>
                <w:b w:val="1"/>
                <w:bCs w:val="1"/>
                <w:color w:val="6F2875"/>
              </w:rPr>
              <w:t>and defined</w:t>
            </w: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5"/>
        </w:trPr>
        <w:tc>
          <w:tcPr>
            <w:tcW w:w="1620" w:type="dxa"/>
            <w:vAlign w:val="bottom"/>
          </w:tcPr>
          <w:p>
            <w:pPr>
              <w:spacing w:after="0"/>
              <w:rPr>
                <w:sz w:val="15"/>
                <w:szCs w:val="15"/>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b w:val="1"/>
                <w:bCs w:val="1"/>
                <w:color w:val="6F2875"/>
              </w:rPr>
              <w:t>Severance and</w:t>
            </w: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6F2875"/>
              </w:rPr>
              <w:t>Supplemental</w:t>
            </w:r>
          </w:p>
        </w:tc>
        <w:tc>
          <w:tcPr>
            <w:tcW w:w="880" w:type="dxa"/>
            <w:vAlign w:val="bottom"/>
          </w:tcPr>
          <w:p>
            <w:pPr>
              <w:jc w:val="right"/>
              <w:ind w:right="9"/>
              <w:spacing w:after="0"/>
              <w:rPr>
                <w:sz w:val="20"/>
                <w:szCs w:val="20"/>
                <w:color w:val="auto"/>
              </w:rPr>
            </w:pPr>
            <w:r>
              <w:rPr>
                <w:rFonts w:ascii="Arial" w:cs="Arial" w:eastAsia="Arial" w:hAnsi="Arial"/>
                <w:sz w:val="14"/>
                <w:szCs w:val="14"/>
                <w:b w:val="1"/>
                <w:bCs w:val="1"/>
                <w:color w:val="6F2875"/>
              </w:rPr>
              <w:t>Housing</w:t>
            </w: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6F2875"/>
              </w:rPr>
              <w:t>Car</w:t>
            </w:r>
          </w:p>
        </w:tc>
        <w:tc>
          <w:tcPr>
            <w:tcW w:w="1260" w:type="dxa"/>
            <w:vAlign w:val="bottom"/>
          </w:tcPr>
          <w:p>
            <w:pPr>
              <w:jc w:val="right"/>
              <w:ind w:right="169"/>
              <w:spacing w:after="0"/>
              <w:rPr>
                <w:sz w:val="20"/>
                <w:szCs w:val="20"/>
                <w:color w:val="auto"/>
              </w:rPr>
            </w:pPr>
            <w:r>
              <w:rPr>
                <w:rFonts w:ascii="Arial" w:cs="Arial" w:eastAsia="Arial" w:hAnsi="Arial"/>
                <w:sz w:val="14"/>
                <w:szCs w:val="14"/>
                <w:b w:val="1"/>
                <w:bCs w:val="1"/>
                <w:color w:val="6F2875"/>
              </w:rPr>
              <w:t>Supplemental</w:t>
            </w:r>
          </w:p>
        </w:tc>
        <w:tc>
          <w:tcPr>
            <w:tcW w:w="1400" w:type="dxa"/>
            <w:vAlign w:val="bottom"/>
          </w:tcPr>
          <w:p>
            <w:pPr>
              <w:jc w:val="right"/>
              <w:ind w:right="108"/>
              <w:spacing w:after="0"/>
              <w:rPr>
                <w:sz w:val="20"/>
                <w:szCs w:val="20"/>
                <w:color w:val="auto"/>
              </w:rPr>
            </w:pPr>
            <w:r>
              <w:rPr>
                <w:rFonts w:ascii="Arial" w:cs="Arial" w:eastAsia="Arial" w:hAnsi="Arial"/>
                <w:sz w:val="14"/>
                <w:szCs w:val="14"/>
                <w:b w:val="1"/>
                <w:bCs w:val="1"/>
                <w:color w:val="6F2875"/>
              </w:rPr>
              <w:t>contribution</w:t>
            </w: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62"/>
        </w:trPr>
        <w:tc>
          <w:tcPr>
            <w:tcW w:w="1620" w:type="dxa"/>
            <w:vAlign w:val="bottom"/>
          </w:tcPr>
          <w:p>
            <w:pPr>
              <w:spacing w:after="0"/>
              <w:rPr>
                <w:sz w:val="14"/>
                <w:szCs w:val="14"/>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b w:val="1"/>
                <w:bCs w:val="1"/>
                <w:color w:val="6F2875"/>
              </w:rPr>
              <w:t>Termination</w:t>
            </w: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6F2875"/>
              </w:rPr>
              <w:t>Health</w:t>
            </w:r>
          </w:p>
        </w:tc>
        <w:tc>
          <w:tcPr>
            <w:tcW w:w="880" w:type="dxa"/>
            <w:vAlign w:val="bottom"/>
          </w:tcPr>
          <w:p>
            <w:pPr>
              <w:jc w:val="right"/>
              <w:ind w:right="9"/>
              <w:spacing w:after="0"/>
              <w:rPr>
                <w:sz w:val="20"/>
                <w:szCs w:val="20"/>
                <w:color w:val="auto"/>
              </w:rPr>
            </w:pPr>
            <w:r>
              <w:rPr>
                <w:rFonts w:ascii="Arial" w:cs="Arial" w:eastAsia="Arial" w:hAnsi="Arial"/>
                <w:sz w:val="14"/>
                <w:szCs w:val="14"/>
                <w:b w:val="1"/>
                <w:bCs w:val="1"/>
                <w:color w:val="6F2875"/>
              </w:rPr>
              <w:t>Benefit or</w:t>
            </w: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6F2875"/>
              </w:rPr>
              <w:t>Benefit or</w:t>
            </w:r>
          </w:p>
        </w:tc>
        <w:tc>
          <w:tcPr>
            <w:tcW w:w="1260" w:type="dxa"/>
            <w:vAlign w:val="bottom"/>
          </w:tcPr>
          <w:p>
            <w:pPr>
              <w:jc w:val="right"/>
              <w:ind w:right="169"/>
              <w:spacing w:after="0"/>
              <w:rPr>
                <w:sz w:val="20"/>
                <w:szCs w:val="20"/>
                <w:color w:val="auto"/>
              </w:rPr>
            </w:pPr>
            <w:r>
              <w:rPr>
                <w:rFonts w:ascii="Arial" w:cs="Arial" w:eastAsia="Arial" w:hAnsi="Arial"/>
                <w:sz w:val="14"/>
                <w:szCs w:val="14"/>
                <w:b w:val="1"/>
                <w:bCs w:val="1"/>
                <w:color w:val="6F2875"/>
              </w:rPr>
              <w:t>Pension</w:t>
            </w:r>
          </w:p>
        </w:tc>
        <w:tc>
          <w:tcPr>
            <w:tcW w:w="1400" w:type="dxa"/>
            <w:vAlign w:val="bottom"/>
          </w:tcPr>
          <w:p>
            <w:pPr>
              <w:jc w:val="right"/>
              <w:ind w:right="108"/>
              <w:spacing w:after="0"/>
              <w:rPr>
                <w:sz w:val="20"/>
                <w:szCs w:val="20"/>
                <w:color w:val="auto"/>
              </w:rPr>
            </w:pPr>
            <w:r>
              <w:rPr>
                <w:rFonts w:ascii="Arial" w:cs="Arial" w:eastAsia="Arial" w:hAnsi="Arial"/>
                <w:sz w:val="14"/>
                <w:szCs w:val="14"/>
                <w:b w:val="1"/>
                <w:bCs w:val="1"/>
                <w:color w:val="6F2875"/>
              </w:rPr>
              <w:t>plan registrant</w:t>
            </w:r>
          </w:p>
        </w:tc>
        <w:tc>
          <w:tcPr>
            <w:tcW w:w="1120" w:type="dxa"/>
            <w:vAlign w:val="bottom"/>
          </w:tcPr>
          <w:p>
            <w:pPr>
              <w:jc w:val="right"/>
              <w:ind w:right="49"/>
              <w:spacing w:after="0"/>
              <w:rPr>
                <w:sz w:val="20"/>
                <w:szCs w:val="20"/>
                <w:color w:val="auto"/>
              </w:rPr>
            </w:pPr>
            <w:r>
              <w:rPr>
                <w:rFonts w:ascii="Arial" w:cs="Arial" w:eastAsia="Arial" w:hAnsi="Arial"/>
                <w:sz w:val="14"/>
                <w:szCs w:val="14"/>
                <w:b w:val="1"/>
                <w:bCs w:val="1"/>
                <w:color w:val="6F2875"/>
              </w:rPr>
              <w:t>Cash in lieu</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1620" w:type="dxa"/>
            <w:vAlign w:val="bottom"/>
          </w:tcPr>
          <w:p>
            <w:pPr>
              <w:spacing w:after="0"/>
              <w:rPr>
                <w:sz w:val="14"/>
                <w:szCs w:val="14"/>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b w:val="1"/>
                <w:bCs w:val="1"/>
                <w:color w:val="6F2875"/>
              </w:rPr>
              <w:t>Payments</w:t>
            </w: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6F2875"/>
              </w:rPr>
              <w:t>Insurance</w:t>
            </w:r>
          </w:p>
        </w:tc>
        <w:tc>
          <w:tcPr>
            <w:tcW w:w="880" w:type="dxa"/>
            <w:vAlign w:val="bottom"/>
          </w:tcPr>
          <w:p>
            <w:pPr>
              <w:jc w:val="right"/>
              <w:ind w:right="9"/>
              <w:spacing w:after="0"/>
              <w:rPr>
                <w:sz w:val="20"/>
                <w:szCs w:val="20"/>
                <w:color w:val="auto"/>
              </w:rPr>
            </w:pPr>
            <w:r>
              <w:rPr>
                <w:rFonts w:ascii="Arial" w:cs="Arial" w:eastAsia="Arial" w:hAnsi="Arial"/>
                <w:sz w:val="14"/>
                <w:szCs w:val="14"/>
                <w:b w:val="1"/>
                <w:bCs w:val="1"/>
                <w:color w:val="6F2875"/>
              </w:rPr>
              <w:t>Allowance</w:t>
            </w: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6F2875"/>
              </w:rPr>
              <w:t>Allowance</w:t>
            </w:r>
          </w:p>
        </w:tc>
        <w:tc>
          <w:tcPr>
            <w:tcW w:w="1260" w:type="dxa"/>
            <w:vAlign w:val="bottom"/>
          </w:tcPr>
          <w:p>
            <w:pPr>
              <w:jc w:val="right"/>
              <w:ind w:right="169"/>
              <w:spacing w:after="0"/>
              <w:rPr>
                <w:sz w:val="20"/>
                <w:szCs w:val="20"/>
                <w:color w:val="auto"/>
              </w:rPr>
            </w:pPr>
            <w:r>
              <w:rPr>
                <w:rFonts w:ascii="Arial" w:cs="Arial" w:eastAsia="Arial" w:hAnsi="Arial"/>
                <w:sz w:val="14"/>
                <w:szCs w:val="14"/>
                <w:b w:val="1"/>
                <w:bCs w:val="1"/>
                <w:color w:val="6F2875"/>
              </w:rPr>
              <w:t>Payments</w:t>
            </w:r>
          </w:p>
        </w:tc>
        <w:tc>
          <w:tcPr>
            <w:tcW w:w="1400" w:type="dxa"/>
            <w:vAlign w:val="bottom"/>
          </w:tcPr>
          <w:p>
            <w:pPr>
              <w:jc w:val="right"/>
              <w:ind w:right="108"/>
              <w:spacing w:after="0"/>
              <w:rPr>
                <w:sz w:val="20"/>
                <w:szCs w:val="20"/>
                <w:color w:val="auto"/>
              </w:rPr>
            </w:pPr>
            <w:r>
              <w:rPr>
                <w:rFonts w:ascii="Arial" w:cs="Arial" w:eastAsia="Arial" w:hAnsi="Arial"/>
                <w:sz w:val="14"/>
                <w:szCs w:val="14"/>
                <w:b w:val="1"/>
                <w:bCs w:val="1"/>
                <w:color w:val="6F2875"/>
              </w:rPr>
              <w:t>contribution</w:t>
            </w:r>
          </w:p>
        </w:tc>
        <w:tc>
          <w:tcPr>
            <w:tcW w:w="1120" w:type="dxa"/>
            <w:vAlign w:val="bottom"/>
          </w:tcPr>
          <w:p>
            <w:pPr>
              <w:jc w:val="right"/>
              <w:ind w:right="49"/>
              <w:spacing w:after="0"/>
              <w:rPr>
                <w:sz w:val="20"/>
                <w:szCs w:val="20"/>
                <w:color w:val="auto"/>
              </w:rPr>
            </w:pPr>
            <w:r>
              <w:rPr>
                <w:rFonts w:ascii="Arial" w:cs="Arial" w:eastAsia="Arial" w:hAnsi="Arial"/>
                <w:sz w:val="14"/>
                <w:szCs w:val="14"/>
                <w:b w:val="1"/>
                <w:bCs w:val="1"/>
                <w:color w:val="6F2875"/>
              </w:rPr>
              <w:t>of pension</w:t>
            </w:r>
          </w:p>
        </w:tc>
        <w:tc>
          <w:tcPr>
            <w:tcW w:w="720" w:type="dxa"/>
            <w:vAlign w:val="bottom"/>
          </w:tcPr>
          <w:p>
            <w:pPr>
              <w:jc w:val="right"/>
              <w:ind w:right="29"/>
              <w:spacing w:after="0"/>
              <w:rPr>
                <w:sz w:val="20"/>
                <w:szCs w:val="20"/>
                <w:color w:val="auto"/>
              </w:rPr>
            </w:pPr>
            <w:r>
              <w:rPr>
                <w:rFonts w:ascii="Arial" w:cs="Arial" w:eastAsia="Arial" w:hAnsi="Arial"/>
                <w:sz w:val="14"/>
                <w:szCs w:val="14"/>
                <w:b w:val="1"/>
                <w:bCs w:val="1"/>
                <w:color w:val="6F2875"/>
              </w:rPr>
              <w:t>Other</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6F2875"/>
              </w:rPr>
              <w:t>Total</w:t>
            </w:r>
          </w:p>
        </w:tc>
      </w:tr>
      <w:tr>
        <w:trPr>
          <w:trHeight w:val="189"/>
        </w:trPr>
        <w:tc>
          <w:tcPr>
            <w:tcW w:w="1620" w:type="dxa"/>
            <w:vAlign w:val="bottom"/>
            <w:tcBorders>
              <w:bottom w:val="single" w:sz="8" w:color="6F2875"/>
            </w:tcBorders>
          </w:tcPr>
          <w:p>
            <w:pPr>
              <w:spacing w:after="0"/>
              <w:rPr>
                <w:sz w:val="16"/>
                <w:szCs w:val="16"/>
                <w:color w:val="auto"/>
              </w:rPr>
            </w:pPr>
          </w:p>
        </w:tc>
        <w:tc>
          <w:tcPr>
            <w:tcW w:w="1620" w:type="dxa"/>
            <w:vAlign w:val="bottom"/>
            <w:tcBorders>
              <w:bottom w:val="single" w:sz="8" w:color="6F2875"/>
            </w:tcBorders>
          </w:tcPr>
          <w:p>
            <w:pPr>
              <w:jc w:val="right"/>
              <w:ind w:right="28"/>
              <w:spacing w:after="0" w:line="189" w:lineRule="exact"/>
              <w:rPr>
                <w:sz w:val="20"/>
                <w:szCs w:val="20"/>
                <w:color w:val="auto"/>
              </w:rPr>
            </w:pPr>
            <w:r>
              <w:rPr>
                <w:rFonts w:ascii="Arial" w:cs="Arial" w:eastAsia="Arial" w:hAnsi="Arial"/>
                <w:sz w:val="13"/>
                <w:szCs w:val="13"/>
                <w:b w:val="1"/>
                <w:bCs w:val="1"/>
                <w:color w:val="6F2875"/>
              </w:rPr>
              <w:t>($)</w:t>
            </w:r>
            <w:r>
              <w:rPr>
                <w:rFonts w:ascii="Arial" w:cs="Arial" w:eastAsia="Arial" w:hAnsi="Arial"/>
                <w:sz w:val="21"/>
                <w:szCs w:val="21"/>
                <w:b w:val="1"/>
                <w:bCs w:val="1"/>
                <w:color w:val="6F2875"/>
                <w:vertAlign w:val="superscript"/>
              </w:rPr>
              <w:t>(a)</w:t>
            </w:r>
          </w:p>
        </w:tc>
        <w:tc>
          <w:tcPr>
            <w:tcW w:w="1120" w:type="dxa"/>
            <w:vAlign w:val="bottom"/>
            <w:tcBorders>
              <w:bottom w:val="single" w:sz="8" w:color="6F2875"/>
            </w:tcBorders>
          </w:tcPr>
          <w:p>
            <w:pPr>
              <w:jc w:val="right"/>
              <w:ind w:right="28"/>
              <w:spacing w:after="0"/>
              <w:rPr>
                <w:sz w:val="20"/>
                <w:szCs w:val="20"/>
                <w:color w:val="auto"/>
              </w:rPr>
            </w:pPr>
            <w:r>
              <w:rPr>
                <w:rFonts w:ascii="Arial" w:cs="Arial" w:eastAsia="Arial" w:hAnsi="Arial"/>
                <w:sz w:val="14"/>
                <w:szCs w:val="14"/>
                <w:b w:val="1"/>
                <w:bCs w:val="1"/>
                <w:color w:val="6F2875"/>
              </w:rPr>
              <w:t>($)</w:t>
            </w:r>
          </w:p>
        </w:tc>
        <w:tc>
          <w:tcPr>
            <w:tcW w:w="880" w:type="dxa"/>
            <w:vAlign w:val="bottom"/>
            <w:tcBorders>
              <w:bottom w:val="single" w:sz="8" w:color="6F2875"/>
            </w:tcBorders>
          </w:tcPr>
          <w:p>
            <w:pPr>
              <w:jc w:val="right"/>
              <w:ind w:right="9"/>
              <w:spacing w:after="0" w:line="189" w:lineRule="exact"/>
              <w:rPr>
                <w:sz w:val="20"/>
                <w:szCs w:val="20"/>
                <w:color w:val="auto"/>
              </w:rPr>
            </w:pPr>
            <w:r>
              <w:rPr>
                <w:rFonts w:ascii="Arial" w:cs="Arial" w:eastAsia="Arial" w:hAnsi="Arial"/>
                <w:sz w:val="13"/>
                <w:szCs w:val="13"/>
                <w:b w:val="1"/>
                <w:bCs w:val="1"/>
                <w:color w:val="6F2875"/>
              </w:rPr>
              <w:t>($)</w:t>
            </w:r>
            <w:r>
              <w:rPr>
                <w:rFonts w:ascii="Arial" w:cs="Arial" w:eastAsia="Arial" w:hAnsi="Arial"/>
                <w:sz w:val="21"/>
                <w:szCs w:val="21"/>
                <w:b w:val="1"/>
                <w:bCs w:val="1"/>
                <w:color w:val="6F2875"/>
                <w:vertAlign w:val="superscript"/>
              </w:rPr>
              <w:t>(b)</w:t>
            </w:r>
          </w:p>
        </w:tc>
        <w:tc>
          <w:tcPr>
            <w:tcW w:w="900" w:type="dxa"/>
            <w:vAlign w:val="bottom"/>
            <w:tcBorders>
              <w:bottom w:val="single" w:sz="8" w:color="6F2875"/>
            </w:tcBorders>
          </w:tcPr>
          <w:p>
            <w:pPr>
              <w:jc w:val="right"/>
              <w:ind w:right="28"/>
              <w:spacing w:after="0" w:line="189" w:lineRule="exact"/>
              <w:rPr>
                <w:sz w:val="20"/>
                <w:szCs w:val="20"/>
                <w:color w:val="auto"/>
              </w:rPr>
            </w:pPr>
            <w:r>
              <w:rPr>
                <w:rFonts w:ascii="Arial" w:cs="Arial" w:eastAsia="Arial" w:hAnsi="Arial"/>
                <w:sz w:val="13"/>
                <w:szCs w:val="13"/>
                <w:b w:val="1"/>
                <w:bCs w:val="1"/>
                <w:color w:val="6F2875"/>
              </w:rPr>
              <w:t>($)</w:t>
            </w:r>
            <w:r>
              <w:rPr>
                <w:rFonts w:ascii="Arial" w:cs="Arial" w:eastAsia="Arial" w:hAnsi="Arial"/>
                <w:sz w:val="21"/>
                <w:szCs w:val="21"/>
                <w:b w:val="1"/>
                <w:bCs w:val="1"/>
                <w:color w:val="6F2875"/>
                <w:vertAlign w:val="superscript"/>
              </w:rPr>
              <w:t>(c)</w:t>
            </w:r>
          </w:p>
        </w:tc>
        <w:tc>
          <w:tcPr>
            <w:tcW w:w="1260" w:type="dxa"/>
            <w:vAlign w:val="bottom"/>
            <w:tcBorders>
              <w:bottom w:val="single" w:sz="8" w:color="6F2875"/>
            </w:tcBorders>
          </w:tcPr>
          <w:p>
            <w:pPr>
              <w:jc w:val="right"/>
              <w:ind w:right="169"/>
              <w:spacing w:after="0" w:line="189" w:lineRule="exact"/>
              <w:rPr>
                <w:sz w:val="20"/>
                <w:szCs w:val="20"/>
                <w:color w:val="auto"/>
              </w:rPr>
            </w:pPr>
            <w:r>
              <w:rPr>
                <w:rFonts w:ascii="Arial" w:cs="Arial" w:eastAsia="Arial" w:hAnsi="Arial"/>
                <w:sz w:val="13"/>
                <w:szCs w:val="13"/>
                <w:b w:val="1"/>
                <w:bCs w:val="1"/>
                <w:color w:val="6F2875"/>
              </w:rPr>
              <w:t>($)</w:t>
            </w:r>
            <w:r>
              <w:rPr>
                <w:rFonts w:ascii="Arial" w:cs="Arial" w:eastAsia="Arial" w:hAnsi="Arial"/>
                <w:sz w:val="21"/>
                <w:szCs w:val="21"/>
                <w:b w:val="1"/>
                <w:bCs w:val="1"/>
                <w:color w:val="6F2875"/>
                <w:vertAlign w:val="superscript"/>
              </w:rPr>
              <w:t>(d)</w:t>
            </w:r>
          </w:p>
        </w:tc>
        <w:tc>
          <w:tcPr>
            <w:tcW w:w="1400" w:type="dxa"/>
            <w:vAlign w:val="bottom"/>
            <w:tcBorders>
              <w:bottom w:val="single" w:sz="8" w:color="6F2875"/>
            </w:tcBorders>
          </w:tcPr>
          <w:p>
            <w:pPr>
              <w:jc w:val="right"/>
              <w:ind w:right="108"/>
              <w:spacing w:after="0" w:line="189" w:lineRule="exact"/>
              <w:rPr>
                <w:sz w:val="20"/>
                <w:szCs w:val="20"/>
                <w:color w:val="auto"/>
              </w:rPr>
            </w:pPr>
            <w:r>
              <w:rPr>
                <w:rFonts w:ascii="Arial" w:cs="Arial" w:eastAsia="Arial" w:hAnsi="Arial"/>
                <w:sz w:val="13"/>
                <w:szCs w:val="13"/>
                <w:b w:val="1"/>
                <w:bCs w:val="1"/>
                <w:color w:val="6F2875"/>
              </w:rPr>
              <w:t>($)</w:t>
            </w:r>
            <w:r>
              <w:rPr>
                <w:rFonts w:ascii="Arial" w:cs="Arial" w:eastAsia="Arial" w:hAnsi="Arial"/>
                <w:sz w:val="21"/>
                <w:szCs w:val="21"/>
                <w:b w:val="1"/>
                <w:bCs w:val="1"/>
                <w:color w:val="6F2875"/>
                <w:vertAlign w:val="superscript"/>
              </w:rPr>
              <w:t>(e)</w:t>
            </w:r>
          </w:p>
        </w:tc>
        <w:tc>
          <w:tcPr>
            <w:tcW w:w="1120" w:type="dxa"/>
            <w:vAlign w:val="bottom"/>
            <w:tcBorders>
              <w:bottom w:val="single" w:sz="8" w:color="6F2875"/>
            </w:tcBorders>
          </w:tcPr>
          <w:p>
            <w:pPr>
              <w:jc w:val="right"/>
              <w:ind w:right="49"/>
              <w:spacing w:after="0" w:line="189" w:lineRule="exact"/>
              <w:rPr>
                <w:sz w:val="20"/>
                <w:szCs w:val="20"/>
                <w:color w:val="auto"/>
              </w:rPr>
            </w:pPr>
            <w:r>
              <w:rPr>
                <w:rFonts w:ascii="Arial" w:cs="Arial" w:eastAsia="Arial" w:hAnsi="Arial"/>
                <w:sz w:val="13"/>
                <w:szCs w:val="13"/>
                <w:b w:val="1"/>
                <w:bCs w:val="1"/>
                <w:color w:val="6F2875"/>
              </w:rPr>
              <w:t>($)</w:t>
            </w:r>
            <w:r>
              <w:rPr>
                <w:rFonts w:ascii="Arial" w:cs="Arial" w:eastAsia="Arial" w:hAnsi="Arial"/>
                <w:sz w:val="21"/>
                <w:szCs w:val="21"/>
                <w:b w:val="1"/>
                <w:bCs w:val="1"/>
                <w:color w:val="6F2875"/>
                <w:vertAlign w:val="superscript"/>
              </w:rPr>
              <w:t>(f)</w:t>
            </w:r>
          </w:p>
        </w:tc>
        <w:tc>
          <w:tcPr>
            <w:tcW w:w="720" w:type="dxa"/>
            <w:vAlign w:val="bottom"/>
            <w:tcBorders>
              <w:bottom w:val="single" w:sz="8" w:color="6F2875"/>
            </w:tcBorders>
          </w:tcPr>
          <w:p>
            <w:pPr>
              <w:jc w:val="right"/>
              <w:ind w:right="29"/>
              <w:spacing w:after="0" w:line="189" w:lineRule="exact"/>
              <w:rPr>
                <w:sz w:val="20"/>
                <w:szCs w:val="20"/>
                <w:color w:val="auto"/>
              </w:rPr>
            </w:pPr>
            <w:r>
              <w:rPr>
                <w:rFonts w:ascii="Arial" w:cs="Arial" w:eastAsia="Arial" w:hAnsi="Arial"/>
                <w:sz w:val="13"/>
                <w:szCs w:val="13"/>
                <w:b w:val="1"/>
                <w:bCs w:val="1"/>
                <w:color w:val="6F2875"/>
              </w:rPr>
              <w:t>($)</w:t>
            </w:r>
            <w:r>
              <w:rPr>
                <w:rFonts w:ascii="Arial" w:cs="Arial" w:eastAsia="Arial" w:hAnsi="Arial"/>
                <w:sz w:val="21"/>
                <w:szCs w:val="21"/>
                <w:b w:val="1"/>
                <w:bCs w:val="1"/>
                <w:color w:val="6F2875"/>
                <w:vertAlign w:val="superscript"/>
              </w:rPr>
              <w:t>(g)</w:t>
            </w:r>
          </w:p>
        </w:tc>
        <w:tc>
          <w:tcPr>
            <w:tcW w:w="780" w:type="dxa"/>
            <w:vAlign w:val="bottom"/>
            <w:tcBorders>
              <w:bottom w:val="single" w:sz="8" w:color="6F2875"/>
            </w:tcBorders>
          </w:tcPr>
          <w:p>
            <w:pPr>
              <w:jc w:val="right"/>
              <w:spacing w:after="0"/>
              <w:rPr>
                <w:sz w:val="20"/>
                <w:szCs w:val="20"/>
                <w:color w:val="auto"/>
              </w:rPr>
            </w:pPr>
            <w:r>
              <w:rPr>
                <w:rFonts w:ascii="Arial" w:cs="Arial" w:eastAsia="Arial" w:hAnsi="Arial"/>
                <w:sz w:val="14"/>
                <w:szCs w:val="14"/>
                <w:b w:val="1"/>
                <w:bCs w:val="1"/>
                <w:color w:val="6F2875"/>
              </w:rPr>
              <w:t>($)</w:t>
            </w:r>
          </w:p>
        </w:tc>
      </w:tr>
      <w:tr>
        <w:trPr>
          <w:trHeight w:val="142"/>
        </w:trPr>
        <w:tc>
          <w:tcPr>
            <w:tcW w:w="1620" w:type="dxa"/>
            <w:vAlign w:val="bottom"/>
          </w:tcPr>
          <w:p>
            <w:pPr>
              <w:ind w:left="60"/>
              <w:spacing w:after="0" w:line="143" w:lineRule="exact"/>
              <w:rPr>
                <w:sz w:val="20"/>
                <w:szCs w:val="20"/>
                <w:color w:val="auto"/>
              </w:rPr>
            </w:pPr>
            <w:r>
              <w:rPr>
                <w:rFonts w:ascii="Arial" w:cs="Arial" w:eastAsia="Arial" w:hAnsi="Arial"/>
                <w:sz w:val="14"/>
                <w:szCs w:val="14"/>
                <w:b w:val="1"/>
                <w:bCs w:val="1"/>
                <w:color w:val="auto"/>
              </w:rPr>
              <w:t>Damien</w:t>
            </w: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5"/>
        </w:trPr>
        <w:tc>
          <w:tcPr>
            <w:tcW w:w="1620" w:type="dxa"/>
            <w:vAlign w:val="bottom"/>
          </w:tcPr>
          <w:p>
            <w:pPr>
              <w:ind w:left="60"/>
              <w:spacing w:after="0"/>
              <w:rPr>
                <w:sz w:val="20"/>
                <w:szCs w:val="20"/>
                <w:color w:val="auto"/>
              </w:rPr>
            </w:pPr>
            <w:r>
              <w:rPr>
                <w:rFonts w:ascii="Arial" w:cs="Arial" w:eastAsia="Arial" w:hAnsi="Arial"/>
                <w:sz w:val="14"/>
                <w:szCs w:val="14"/>
                <w:b w:val="1"/>
                <w:bCs w:val="1"/>
                <w:color w:val="auto"/>
              </w:rPr>
              <w:t>McDonald</w:t>
            </w: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22,344</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193,296</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22,873</w:t>
            </w:r>
          </w:p>
        </w:tc>
        <w:tc>
          <w:tcPr>
            <w:tcW w:w="1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jc w:val="right"/>
              <w:ind w:right="49"/>
              <w:spacing w:after="0"/>
              <w:rPr>
                <w:sz w:val="20"/>
                <w:szCs w:val="20"/>
                <w:color w:val="auto"/>
              </w:rPr>
            </w:pPr>
            <w:r>
              <w:rPr>
                <w:rFonts w:ascii="Arial" w:cs="Arial" w:eastAsia="Arial" w:hAnsi="Arial"/>
                <w:sz w:val="14"/>
                <w:szCs w:val="14"/>
                <w:color w:val="auto"/>
              </w:rPr>
              <w:t>215,170</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915,237</w:t>
            </w:r>
          </w:p>
        </w:tc>
        <w:tc>
          <w:tcPr>
            <w:tcW w:w="780" w:type="dxa"/>
            <w:vAlign w:val="bottom"/>
          </w:tcPr>
          <w:p>
            <w:pPr>
              <w:jc w:val="right"/>
              <w:spacing w:after="0"/>
              <w:rPr>
                <w:sz w:val="20"/>
                <w:szCs w:val="20"/>
                <w:color w:val="auto"/>
              </w:rPr>
            </w:pPr>
            <w:r>
              <w:rPr>
                <w:rFonts w:ascii="Arial" w:cs="Arial" w:eastAsia="Arial" w:hAnsi="Arial"/>
                <w:sz w:val="14"/>
                <w:szCs w:val="14"/>
                <w:color w:val="auto"/>
              </w:rPr>
              <w:t>1,368,920</w:t>
            </w:r>
          </w:p>
        </w:tc>
      </w:tr>
      <w:tr>
        <w:trPr>
          <w:trHeight w:val="162"/>
        </w:trPr>
        <w:tc>
          <w:tcPr>
            <w:tcW w:w="1620" w:type="dxa"/>
            <w:vAlign w:val="bottom"/>
            <w:shd w:val="clear" w:color="auto" w:fill="F3EDF3"/>
          </w:tcPr>
          <w:p>
            <w:pPr>
              <w:ind w:left="60"/>
              <w:spacing w:after="0"/>
              <w:rPr>
                <w:sz w:val="20"/>
                <w:szCs w:val="20"/>
                <w:color w:val="auto"/>
              </w:rPr>
            </w:pPr>
            <w:r>
              <w:rPr>
                <w:rFonts w:ascii="Arial" w:cs="Arial" w:eastAsia="Arial" w:hAnsi="Arial"/>
                <w:sz w:val="14"/>
                <w:szCs w:val="14"/>
                <w:b w:val="1"/>
                <w:bCs w:val="1"/>
                <w:color w:val="auto"/>
              </w:rPr>
              <w:t>Thad Huston</w:t>
            </w:r>
          </w:p>
        </w:tc>
        <w:tc>
          <w:tcPr>
            <w:tcW w:w="1620" w:type="dxa"/>
            <w:vAlign w:val="bottom"/>
            <w:shd w:val="clear" w:color="auto" w:fill="F3EDF3"/>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3EDF3"/>
          </w:tcPr>
          <w:p>
            <w:pPr>
              <w:jc w:val="right"/>
              <w:ind w:right="28"/>
              <w:spacing w:after="0"/>
              <w:rPr>
                <w:sz w:val="20"/>
                <w:szCs w:val="20"/>
                <w:color w:val="auto"/>
              </w:rPr>
            </w:pPr>
            <w:r>
              <w:rPr>
                <w:rFonts w:ascii="Arial" w:cs="Arial" w:eastAsia="Arial" w:hAnsi="Arial"/>
                <w:sz w:val="14"/>
                <w:szCs w:val="14"/>
                <w:color w:val="auto"/>
              </w:rPr>
              <w:t>9,977</w:t>
            </w:r>
          </w:p>
        </w:tc>
        <w:tc>
          <w:tcPr>
            <w:tcW w:w="880" w:type="dxa"/>
            <w:vAlign w:val="bottom"/>
            <w:shd w:val="clear" w:color="auto" w:fill="F3EDF3"/>
          </w:tcPr>
          <w:p>
            <w:pPr>
              <w:spacing w:after="0"/>
              <w:rPr>
                <w:sz w:val="14"/>
                <w:szCs w:val="14"/>
                <w:color w:val="auto"/>
              </w:rPr>
            </w:pPr>
          </w:p>
        </w:tc>
        <w:tc>
          <w:tcPr>
            <w:tcW w:w="900" w:type="dxa"/>
            <w:vAlign w:val="bottom"/>
            <w:shd w:val="clear" w:color="auto" w:fill="F3EDF3"/>
          </w:tcPr>
          <w:p>
            <w:pPr>
              <w:jc w:val="right"/>
              <w:ind w:right="28"/>
              <w:spacing w:after="0"/>
              <w:rPr>
                <w:sz w:val="20"/>
                <w:szCs w:val="20"/>
                <w:color w:val="auto"/>
              </w:rPr>
            </w:pPr>
            <w:r>
              <w:rPr>
                <w:rFonts w:ascii="Arial" w:cs="Arial" w:eastAsia="Arial" w:hAnsi="Arial"/>
                <w:sz w:val="14"/>
                <w:szCs w:val="14"/>
                <w:color w:val="auto"/>
              </w:rPr>
              <w:t>10,483</w:t>
            </w:r>
          </w:p>
        </w:tc>
        <w:tc>
          <w:tcPr>
            <w:tcW w:w="1260" w:type="dxa"/>
            <w:vAlign w:val="bottom"/>
            <w:shd w:val="clear" w:color="auto" w:fill="F3EDF3"/>
          </w:tcPr>
          <w:p>
            <w:pPr>
              <w:jc w:val="right"/>
              <w:ind w:right="169"/>
              <w:spacing w:after="0"/>
              <w:rPr>
                <w:sz w:val="20"/>
                <w:szCs w:val="20"/>
                <w:color w:val="auto"/>
              </w:rPr>
            </w:pPr>
            <w:r>
              <w:rPr>
                <w:rFonts w:ascii="Arial" w:cs="Arial" w:eastAsia="Arial" w:hAnsi="Arial"/>
                <w:sz w:val="14"/>
                <w:szCs w:val="14"/>
                <w:color w:val="auto"/>
              </w:rPr>
              <w:t>12,886</w:t>
            </w:r>
          </w:p>
        </w:tc>
        <w:tc>
          <w:tcPr>
            <w:tcW w:w="1400" w:type="dxa"/>
            <w:vAlign w:val="bottom"/>
            <w:shd w:val="clear" w:color="auto" w:fill="F3EDF3"/>
          </w:tcPr>
          <w:p>
            <w:pPr>
              <w:jc w:val="right"/>
              <w:ind w:right="108"/>
              <w:spacing w:after="0"/>
              <w:rPr>
                <w:sz w:val="20"/>
                <w:szCs w:val="20"/>
                <w:color w:val="auto"/>
              </w:rPr>
            </w:pPr>
            <w:r>
              <w:rPr>
                <w:rFonts w:ascii="Arial" w:cs="Arial" w:eastAsia="Arial" w:hAnsi="Arial"/>
                <w:sz w:val="14"/>
                <w:szCs w:val="14"/>
                <w:color w:val="auto"/>
              </w:rPr>
              <w:t>72,074</w:t>
            </w:r>
          </w:p>
        </w:tc>
        <w:tc>
          <w:tcPr>
            <w:tcW w:w="1120" w:type="dxa"/>
            <w:vAlign w:val="bottom"/>
            <w:shd w:val="clear" w:color="auto" w:fill="F3EDF3"/>
          </w:tcPr>
          <w:p>
            <w:pPr>
              <w:spacing w:after="0"/>
              <w:rPr>
                <w:sz w:val="14"/>
                <w:szCs w:val="14"/>
                <w:color w:val="auto"/>
              </w:rPr>
            </w:pPr>
          </w:p>
        </w:tc>
        <w:tc>
          <w:tcPr>
            <w:tcW w:w="720" w:type="dxa"/>
            <w:vAlign w:val="bottom"/>
            <w:shd w:val="clear" w:color="auto" w:fill="F3EDF3"/>
          </w:tcPr>
          <w:p>
            <w:pPr>
              <w:jc w:val="right"/>
              <w:ind w:right="29"/>
              <w:spacing w:after="0"/>
              <w:rPr>
                <w:sz w:val="20"/>
                <w:szCs w:val="20"/>
                <w:color w:val="auto"/>
              </w:rPr>
            </w:pPr>
            <w:r>
              <w:rPr>
                <w:rFonts w:ascii="Arial" w:cs="Arial" w:eastAsia="Arial" w:hAnsi="Arial"/>
                <w:sz w:val="14"/>
                <w:szCs w:val="14"/>
                <w:color w:val="auto"/>
              </w:rPr>
              <w:t>52,487</w:t>
            </w:r>
          </w:p>
        </w:tc>
        <w:tc>
          <w:tcPr>
            <w:tcW w:w="780" w:type="dxa"/>
            <w:vAlign w:val="bottom"/>
            <w:shd w:val="clear" w:color="auto" w:fill="F3EDF3"/>
          </w:tcPr>
          <w:p>
            <w:pPr>
              <w:jc w:val="right"/>
              <w:spacing w:after="0"/>
              <w:rPr>
                <w:sz w:val="20"/>
                <w:szCs w:val="20"/>
                <w:color w:val="auto"/>
              </w:rPr>
            </w:pPr>
            <w:r>
              <w:rPr>
                <w:rFonts w:ascii="Arial" w:cs="Arial" w:eastAsia="Arial" w:hAnsi="Arial"/>
                <w:sz w:val="14"/>
                <w:szCs w:val="14"/>
                <w:color w:val="auto"/>
              </w:rPr>
              <w:t>157,907</w:t>
            </w:r>
          </w:p>
        </w:tc>
      </w:tr>
      <w:tr>
        <w:trPr>
          <w:trHeight w:val="162"/>
        </w:trPr>
        <w:tc>
          <w:tcPr>
            <w:tcW w:w="1620" w:type="dxa"/>
            <w:vAlign w:val="bottom"/>
          </w:tcPr>
          <w:p>
            <w:pPr>
              <w:ind w:left="60"/>
              <w:spacing w:after="0"/>
              <w:rPr>
                <w:sz w:val="20"/>
                <w:szCs w:val="20"/>
                <w:color w:val="auto"/>
              </w:rPr>
            </w:pPr>
            <w:r>
              <w:rPr>
                <w:rFonts w:ascii="Arial" w:cs="Arial" w:eastAsia="Arial" w:hAnsi="Arial"/>
                <w:sz w:val="14"/>
                <w:szCs w:val="14"/>
                <w:b w:val="1"/>
                <w:bCs w:val="1"/>
                <w:color w:val="231F20"/>
              </w:rPr>
              <w:t>Vivid Sehgal</w:t>
            </w:r>
          </w:p>
        </w:tc>
        <w:tc>
          <w:tcPr>
            <w:tcW w:w="1620" w:type="dxa"/>
            <w:vAlign w:val="bottom"/>
          </w:tcPr>
          <w:p>
            <w:pPr>
              <w:jc w:val="right"/>
              <w:ind w:right="28"/>
              <w:spacing w:after="0"/>
              <w:rPr>
                <w:sz w:val="20"/>
                <w:szCs w:val="20"/>
                <w:color w:val="auto"/>
              </w:rPr>
            </w:pPr>
            <w:r>
              <w:rPr>
                <w:rFonts w:ascii="Arial" w:cs="Arial" w:eastAsia="Arial" w:hAnsi="Arial"/>
                <w:sz w:val="14"/>
                <w:szCs w:val="14"/>
                <w:color w:val="231F20"/>
              </w:rPr>
              <w:t>308,200</w:t>
            </w:r>
          </w:p>
        </w:tc>
        <w:tc>
          <w:tcPr>
            <w:tcW w:w="1120" w:type="dxa"/>
            <w:vAlign w:val="bottom"/>
          </w:tcPr>
          <w:p>
            <w:pPr>
              <w:jc w:val="right"/>
              <w:ind w:right="28"/>
              <w:spacing w:after="0"/>
              <w:rPr>
                <w:sz w:val="20"/>
                <w:szCs w:val="20"/>
                <w:color w:val="auto"/>
              </w:rPr>
            </w:pPr>
            <w:r>
              <w:rPr>
                <w:rFonts w:ascii="Arial" w:cs="Arial" w:eastAsia="Arial" w:hAnsi="Arial"/>
                <w:sz w:val="14"/>
                <w:szCs w:val="14"/>
                <w:color w:val="231F20"/>
              </w:rPr>
              <w:t>17,711</w:t>
            </w:r>
          </w:p>
        </w:tc>
        <w:tc>
          <w:tcPr>
            <w:tcW w:w="880" w:type="dxa"/>
            <w:vAlign w:val="bottom"/>
          </w:tcPr>
          <w:p>
            <w:pPr>
              <w:jc w:val="right"/>
              <w:ind w:right="9"/>
              <w:spacing w:after="0"/>
              <w:rPr>
                <w:sz w:val="20"/>
                <w:szCs w:val="20"/>
                <w:color w:val="auto"/>
              </w:rPr>
            </w:pPr>
            <w:r>
              <w:rPr>
                <w:rFonts w:ascii="Arial" w:cs="Arial" w:eastAsia="Arial" w:hAnsi="Arial"/>
                <w:sz w:val="14"/>
                <w:szCs w:val="14"/>
                <w:color w:val="231F20"/>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231F20"/>
              </w:rPr>
              <w:t>7,088</w:t>
            </w: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jc w:val="right"/>
              <w:ind w:right="49"/>
              <w:spacing w:after="0"/>
              <w:rPr>
                <w:sz w:val="20"/>
                <w:szCs w:val="20"/>
                <w:color w:val="auto"/>
              </w:rPr>
            </w:pPr>
            <w:r>
              <w:rPr>
                <w:rFonts w:ascii="Arial" w:cs="Arial" w:eastAsia="Arial" w:hAnsi="Arial"/>
                <w:sz w:val="14"/>
                <w:szCs w:val="14"/>
                <w:color w:val="231F20"/>
              </w:rPr>
              <w:t>25,773</w:t>
            </w:r>
          </w:p>
        </w:tc>
        <w:tc>
          <w:tcPr>
            <w:tcW w:w="720" w:type="dxa"/>
            <w:vAlign w:val="bottom"/>
          </w:tcPr>
          <w:p>
            <w:pPr>
              <w:jc w:val="right"/>
              <w:ind w:right="29"/>
              <w:spacing w:after="0"/>
              <w:rPr>
                <w:sz w:val="20"/>
                <w:szCs w:val="20"/>
                <w:color w:val="auto"/>
              </w:rPr>
            </w:pPr>
            <w:r>
              <w:rPr>
                <w:rFonts w:ascii="Arial" w:cs="Arial" w:eastAsia="Arial" w:hAnsi="Arial"/>
                <w:sz w:val="14"/>
                <w:szCs w:val="14"/>
                <w:color w:val="231F20"/>
              </w:rPr>
              <w:t>27,209</w:t>
            </w:r>
          </w:p>
        </w:tc>
        <w:tc>
          <w:tcPr>
            <w:tcW w:w="780" w:type="dxa"/>
            <w:vAlign w:val="bottom"/>
          </w:tcPr>
          <w:p>
            <w:pPr>
              <w:jc w:val="right"/>
              <w:spacing w:after="0"/>
              <w:rPr>
                <w:sz w:val="20"/>
                <w:szCs w:val="20"/>
                <w:color w:val="auto"/>
              </w:rPr>
            </w:pPr>
            <w:r>
              <w:rPr>
                <w:rFonts w:ascii="Arial" w:cs="Arial" w:eastAsia="Arial" w:hAnsi="Arial"/>
                <w:sz w:val="14"/>
                <w:szCs w:val="14"/>
                <w:color w:val="231F20"/>
              </w:rPr>
              <w:t>385,981</w:t>
            </w:r>
          </w:p>
        </w:tc>
      </w:tr>
      <w:tr>
        <w:trPr>
          <w:trHeight w:val="162"/>
        </w:trPr>
        <w:tc>
          <w:tcPr>
            <w:tcW w:w="1620" w:type="dxa"/>
            <w:vAlign w:val="bottom"/>
            <w:shd w:val="clear" w:color="auto" w:fill="F3EDF3"/>
          </w:tcPr>
          <w:p>
            <w:pPr>
              <w:ind w:left="60"/>
              <w:spacing w:after="0"/>
              <w:rPr>
                <w:sz w:val="20"/>
                <w:szCs w:val="20"/>
                <w:color w:val="auto"/>
              </w:rPr>
            </w:pPr>
            <w:r>
              <w:rPr>
                <w:rFonts w:ascii="Arial" w:cs="Arial" w:eastAsia="Arial" w:hAnsi="Arial"/>
                <w:sz w:val="14"/>
                <w:szCs w:val="14"/>
                <w:b w:val="1"/>
                <w:bCs w:val="1"/>
                <w:color w:val="auto"/>
              </w:rPr>
              <w:t>David Wise</w:t>
            </w:r>
          </w:p>
        </w:tc>
        <w:tc>
          <w:tcPr>
            <w:tcW w:w="1620" w:type="dxa"/>
            <w:vAlign w:val="bottom"/>
            <w:shd w:val="clear" w:color="auto" w:fill="F3EDF3"/>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3EDF3"/>
          </w:tcPr>
          <w:p>
            <w:pPr>
              <w:jc w:val="right"/>
              <w:ind w:right="28"/>
              <w:spacing w:after="0"/>
              <w:rPr>
                <w:sz w:val="20"/>
                <w:szCs w:val="20"/>
                <w:color w:val="auto"/>
              </w:rPr>
            </w:pPr>
            <w:r>
              <w:rPr>
                <w:rFonts w:ascii="Arial" w:cs="Arial" w:eastAsia="Arial" w:hAnsi="Arial"/>
                <w:sz w:val="14"/>
                <w:szCs w:val="14"/>
                <w:color w:val="auto"/>
              </w:rPr>
              <w:t>26,134</w:t>
            </w:r>
          </w:p>
        </w:tc>
        <w:tc>
          <w:tcPr>
            <w:tcW w:w="880" w:type="dxa"/>
            <w:vAlign w:val="bottom"/>
            <w:shd w:val="clear" w:color="auto" w:fill="F3EDF3"/>
          </w:tcPr>
          <w:p>
            <w:pPr>
              <w:jc w:val="right"/>
              <w:ind w:right="9"/>
              <w:spacing w:after="0"/>
              <w:rPr>
                <w:sz w:val="20"/>
                <w:szCs w:val="20"/>
                <w:color w:val="auto"/>
              </w:rPr>
            </w:pPr>
            <w:r>
              <w:rPr>
                <w:rFonts w:ascii="Arial" w:cs="Arial" w:eastAsia="Arial" w:hAnsi="Arial"/>
                <w:sz w:val="14"/>
                <w:szCs w:val="14"/>
                <w:color w:val="auto"/>
              </w:rPr>
              <w:t>—</w:t>
            </w:r>
          </w:p>
        </w:tc>
        <w:tc>
          <w:tcPr>
            <w:tcW w:w="900" w:type="dxa"/>
            <w:vAlign w:val="bottom"/>
            <w:shd w:val="clear" w:color="auto" w:fill="F3EDF3"/>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F3EDF3"/>
          </w:tcPr>
          <w:p>
            <w:pPr>
              <w:jc w:val="right"/>
              <w:ind w:right="169"/>
              <w:spacing w:after="0"/>
              <w:rPr>
                <w:sz w:val="20"/>
                <w:szCs w:val="20"/>
                <w:color w:val="auto"/>
              </w:rPr>
            </w:pPr>
            <w:r>
              <w:rPr>
                <w:rFonts w:ascii="Arial" w:cs="Arial" w:eastAsia="Arial" w:hAnsi="Arial"/>
                <w:sz w:val="14"/>
                <w:szCs w:val="14"/>
                <w:color w:val="auto"/>
              </w:rPr>
              <w:t>11,938</w:t>
            </w:r>
          </w:p>
        </w:tc>
        <w:tc>
          <w:tcPr>
            <w:tcW w:w="1400" w:type="dxa"/>
            <w:vAlign w:val="bottom"/>
            <w:shd w:val="clear" w:color="auto" w:fill="F3EDF3"/>
          </w:tcPr>
          <w:p>
            <w:pPr>
              <w:jc w:val="right"/>
              <w:ind w:right="108"/>
              <w:spacing w:after="0"/>
              <w:rPr>
                <w:sz w:val="20"/>
                <w:szCs w:val="20"/>
                <w:color w:val="auto"/>
              </w:rPr>
            </w:pPr>
            <w:r>
              <w:rPr>
                <w:rFonts w:ascii="Arial" w:cs="Arial" w:eastAsia="Arial" w:hAnsi="Arial"/>
                <w:sz w:val="14"/>
                <w:szCs w:val="14"/>
                <w:color w:val="auto"/>
              </w:rPr>
              <w:t>16,831</w:t>
            </w:r>
          </w:p>
        </w:tc>
        <w:tc>
          <w:tcPr>
            <w:tcW w:w="1120" w:type="dxa"/>
            <w:vAlign w:val="bottom"/>
            <w:shd w:val="clear" w:color="auto" w:fill="F3EDF3"/>
          </w:tcPr>
          <w:p>
            <w:pPr>
              <w:spacing w:after="0"/>
              <w:rPr>
                <w:sz w:val="14"/>
                <w:szCs w:val="14"/>
                <w:color w:val="auto"/>
              </w:rPr>
            </w:pPr>
          </w:p>
        </w:tc>
        <w:tc>
          <w:tcPr>
            <w:tcW w:w="720" w:type="dxa"/>
            <w:vAlign w:val="bottom"/>
            <w:shd w:val="clear" w:color="auto" w:fill="F3EDF3"/>
          </w:tcPr>
          <w:p>
            <w:pPr>
              <w:jc w:val="right"/>
              <w:ind w:right="29"/>
              <w:spacing w:after="0"/>
              <w:rPr>
                <w:sz w:val="20"/>
                <w:szCs w:val="20"/>
                <w:color w:val="auto"/>
              </w:rPr>
            </w:pPr>
            <w:r>
              <w:rPr>
                <w:rFonts w:ascii="Arial" w:cs="Arial" w:eastAsia="Arial" w:hAnsi="Arial"/>
                <w:sz w:val="14"/>
                <w:szCs w:val="14"/>
                <w:color w:val="auto"/>
              </w:rPr>
              <w:t>3,503</w:t>
            </w:r>
          </w:p>
        </w:tc>
        <w:tc>
          <w:tcPr>
            <w:tcW w:w="780" w:type="dxa"/>
            <w:vAlign w:val="bottom"/>
            <w:shd w:val="clear" w:color="auto" w:fill="F3EDF3"/>
          </w:tcPr>
          <w:p>
            <w:pPr>
              <w:jc w:val="right"/>
              <w:spacing w:after="0"/>
              <w:rPr>
                <w:sz w:val="20"/>
                <w:szCs w:val="20"/>
                <w:color w:val="auto"/>
              </w:rPr>
            </w:pPr>
            <w:r>
              <w:rPr>
                <w:rFonts w:ascii="Arial" w:cs="Arial" w:eastAsia="Arial" w:hAnsi="Arial"/>
                <w:sz w:val="14"/>
                <w:szCs w:val="14"/>
                <w:color w:val="auto"/>
              </w:rPr>
              <w:t>58,406</w:t>
            </w:r>
          </w:p>
        </w:tc>
      </w:tr>
      <w:tr>
        <w:trPr>
          <w:trHeight w:val="149"/>
        </w:trPr>
        <w:tc>
          <w:tcPr>
            <w:tcW w:w="1620" w:type="dxa"/>
            <w:vAlign w:val="bottom"/>
          </w:tcPr>
          <w:p>
            <w:pPr>
              <w:ind w:left="60"/>
              <w:spacing w:after="0" w:line="149" w:lineRule="exact"/>
              <w:rPr>
                <w:sz w:val="20"/>
                <w:szCs w:val="20"/>
                <w:color w:val="auto"/>
              </w:rPr>
            </w:pPr>
            <w:r>
              <w:rPr>
                <w:rFonts w:ascii="Arial" w:cs="Arial" w:eastAsia="Arial" w:hAnsi="Arial"/>
                <w:sz w:val="14"/>
                <w:szCs w:val="14"/>
                <w:b w:val="1"/>
                <w:bCs w:val="1"/>
                <w:color w:val="231F20"/>
              </w:rPr>
              <w:t>Keyna</w:t>
            </w: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5"/>
        </w:trPr>
        <w:tc>
          <w:tcPr>
            <w:tcW w:w="1620" w:type="dxa"/>
            <w:vAlign w:val="bottom"/>
          </w:tcPr>
          <w:p>
            <w:pPr>
              <w:ind w:left="60"/>
              <w:spacing w:after="0"/>
              <w:rPr>
                <w:sz w:val="20"/>
                <w:szCs w:val="20"/>
                <w:color w:val="auto"/>
              </w:rPr>
            </w:pPr>
            <w:r>
              <w:rPr>
                <w:rFonts w:ascii="Arial" w:cs="Arial" w:eastAsia="Arial" w:hAnsi="Arial"/>
                <w:sz w:val="14"/>
                <w:szCs w:val="14"/>
                <w:b w:val="1"/>
                <w:bCs w:val="1"/>
                <w:color w:val="231F20"/>
              </w:rPr>
              <w:t>Skeffington</w:t>
            </w:r>
          </w:p>
        </w:tc>
        <w:tc>
          <w:tcPr>
            <w:tcW w:w="1620" w:type="dxa"/>
            <w:vAlign w:val="bottom"/>
          </w:tcPr>
          <w:p>
            <w:pPr>
              <w:jc w:val="right"/>
              <w:ind w:right="28"/>
              <w:spacing w:after="0"/>
              <w:rPr>
                <w:sz w:val="20"/>
                <w:szCs w:val="20"/>
                <w:color w:val="auto"/>
              </w:rPr>
            </w:pPr>
            <w:r>
              <w:rPr>
                <w:rFonts w:ascii="Arial" w:cs="Arial" w:eastAsia="Arial" w:hAnsi="Arial"/>
                <w:sz w:val="14"/>
                <w:szCs w:val="14"/>
                <w:color w:val="231F20"/>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231F20"/>
              </w:rPr>
              <w:t>12,810</w:t>
            </w:r>
          </w:p>
        </w:tc>
        <w:tc>
          <w:tcPr>
            <w:tcW w:w="88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231F20"/>
              </w:rPr>
              <w:t>9,393</w:t>
            </w:r>
          </w:p>
        </w:tc>
        <w:tc>
          <w:tcPr>
            <w:tcW w:w="1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jc w:val="right"/>
              <w:ind w:right="49"/>
              <w:spacing w:after="0"/>
              <w:rPr>
                <w:sz w:val="20"/>
                <w:szCs w:val="20"/>
                <w:color w:val="auto"/>
              </w:rPr>
            </w:pPr>
            <w:r>
              <w:rPr>
                <w:rFonts w:ascii="Arial" w:cs="Arial" w:eastAsia="Arial" w:hAnsi="Arial"/>
                <w:sz w:val="14"/>
                <w:szCs w:val="14"/>
                <w:color w:val="231F20"/>
              </w:rPr>
              <w:t>44,026</w:t>
            </w:r>
          </w:p>
        </w:tc>
        <w:tc>
          <w:tcPr>
            <w:tcW w:w="720" w:type="dxa"/>
            <w:vAlign w:val="bottom"/>
          </w:tcPr>
          <w:p>
            <w:pPr>
              <w:jc w:val="right"/>
              <w:ind w:right="29"/>
              <w:spacing w:after="0"/>
              <w:rPr>
                <w:sz w:val="20"/>
                <w:szCs w:val="20"/>
                <w:color w:val="auto"/>
              </w:rPr>
            </w:pPr>
            <w:r>
              <w:rPr>
                <w:rFonts w:ascii="Arial" w:cs="Arial" w:eastAsia="Arial" w:hAnsi="Arial"/>
                <w:sz w:val="14"/>
                <w:szCs w:val="14"/>
                <w:color w:val="231F20"/>
              </w:rPr>
              <w:t>42,636</w:t>
            </w:r>
          </w:p>
        </w:tc>
        <w:tc>
          <w:tcPr>
            <w:tcW w:w="780" w:type="dxa"/>
            <w:vAlign w:val="bottom"/>
          </w:tcPr>
          <w:p>
            <w:pPr>
              <w:jc w:val="right"/>
              <w:spacing w:after="0"/>
              <w:rPr>
                <w:sz w:val="20"/>
                <w:szCs w:val="20"/>
                <w:color w:val="auto"/>
              </w:rPr>
            </w:pPr>
            <w:r>
              <w:rPr>
                <w:rFonts w:ascii="Arial" w:cs="Arial" w:eastAsia="Arial" w:hAnsi="Arial"/>
                <w:sz w:val="14"/>
                <w:szCs w:val="14"/>
                <w:color w:val="231F20"/>
              </w:rPr>
              <w:t>108,865</w:t>
            </w:r>
          </w:p>
        </w:tc>
      </w:tr>
      <w:tr>
        <w:trPr>
          <w:trHeight w:val="162"/>
        </w:trPr>
        <w:tc>
          <w:tcPr>
            <w:tcW w:w="1620" w:type="dxa"/>
            <w:vAlign w:val="bottom"/>
            <w:shd w:val="clear" w:color="auto" w:fill="F3EDF3"/>
          </w:tcPr>
          <w:p>
            <w:pPr>
              <w:ind w:left="60"/>
              <w:spacing w:after="0"/>
              <w:rPr>
                <w:sz w:val="20"/>
                <w:szCs w:val="20"/>
                <w:color w:val="auto"/>
              </w:rPr>
            </w:pPr>
            <w:r>
              <w:rPr>
                <w:rFonts w:ascii="Arial" w:cs="Arial" w:eastAsia="Arial" w:hAnsi="Arial"/>
                <w:sz w:val="14"/>
                <w:szCs w:val="14"/>
                <w:b w:val="1"/>
                <w:bCs w:val="1"/>
                <w:color w:val="auto"/>
              </w:rPr>
              <w:t>Douglas Manko</w:t>
            </w:r>
          </w:p>
        </w:tc>
        <w:tc>
          <w:tcPr>
            <w:tcW w:w="1620" w:type="dxa"/>
            <w:vAlign w:val="bottom"/>
            <w:shd w:val="clear" w:color="auto" w:fill="F3EDF3"/>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3EDF3"/>
          </w:tcPr>
          <w:p>
            <w:pPr>
              <w:jc w:val="right"/>
              <w:ind w:right="28"/>
              <w:spacing w:after="0"/>
              <w:rPr>
                <w:sz w:val="20"/>
                <w:szCs w:val="20"/>
                <w:color w:val="auto"/>
              </w:rPr>
            </w:pPr>
            <w:r>
              <w:rPr>
                <w:rFonts w:ascii="Arial" w:cs="Arial" w:eastAsia="Arial" w:hAnsi="Arial"/>
                <w:sz w:val="14"/>
                <w:szCs w:val="14"/>
                <w:color w:val="auto"/>
              </w:rPr>
              <w:t>20,019</w:t>
            </w:r>
          </w:p>
        </w:tc>
        <w:tc>
          <w:tcPr>
            <w:tcW w:w="880" w:type="dxa"/>
            <w:vAlign w:val="bottom"/>
            <w:shd w:val="clear" w:color="auto" w:fill="F3EDF3"/>
          </w:tcPr>
          <w:p>
            <w:pPr>
              <w:jc w:val="right"/>
              <w:ind w:right="9"/>
              <w:spacing w:after="0"/>
              <w:rPr>
                <w:sz w:val="20"/>
                <w:szCs w:val="20"/>
                <w:color w:val="auto"/>
              </w:rPr>
            </w:pPr>
            <w:r>
              <w:rPr>
                <w:rFonts w:ascii="Arial" w:cs="Arial" w:eastAsia="Arial" w:hAnsi="Arial"/>
                <w:sz w:val="14"/>
                <w:szCs w:val="14"/>
                <w:color w:val="auto"/>
              </w:rPr>
              <w:t>—</w:t>
            </w:r>
          </w:p>
        </w:tc>
        <w:tc>
          <w:tcPr>
            <w:tcW w:w="900" w:type="dxa"/>
            <w:vAlign w:val="bottom"/>
            <w:shd w:val="clear" w:color="auto" w:fill="F3EDF3"/>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F3EDF3"/>
          </w:tcPr>
          <w:p>
            <w:pPr>
              <w:jc w:val="right"/>
              <w:ind w:right="169"/>
              <w:spacing w:after="0"/>
              <w:rPr>
                <w:sz w:val="20"/>
                <w:szCs w:val="20"/>
                <w:color w:val="auto"/>
              </w:rPr>
            </w:pPr>
            <w:r>
              <w:rPr>
                <w:rFonts w:ascii="Arial" w:cs="Arial" w:eastAsia="Arial" w:hAnsi="Arial"/>
                <w:sz w:val="14"/>
                <w:szCs w:val="14"/>
                <w:color w:val="auto"/>
              </w:rPr>
              <w:t>10,866</w:t>
            </w:r>
          </w:p>
        </w:tc>
        <w:tc>
          <w:tcPr>
            <w:tcW w:w="1400" w:type="dxa"/>
            <w:vAlign w:val="bottom"/>
            <w:shd w:val="clear" w:color="auto" w:fill="F3EDF3"/>
          </w:tcPr>
          <w:p>
            <w:pPr>
              <w:jc w:val="right"/>
              <w:ind w:right="108"/>
              <w:spacing w:after="0"/>
              <w:rPr>
                <w:sz w:val="20"/>
                <w:szCs w:val="20"/>
                <w:color w:val="auto"/>
              </w:rPr>
            </w:pPr>
            <w:r>
              <w:rPr>
                <w:rFonts w:ascii="Arial" w:cs="Arial" w:eastAsia="Arial" w:hAnsi="Arial"/>
                <w:sz w:val="14"/>
                <w:szCs w:val="14"/>
                <w:color w:val="auto"/>
              </w:rPr>
              <w:t>12,062</w:t>
            </w:r>
          </w:p>
        </w:tc>
        <w:tc>
          <w:tcPr>
            <w:tcW w:w="1120" w:type="dxa"/>
            <w:vAlign w:val="bottom"/>
            <w:shd w:val="clear" w:color="auto" w:fill="F3EDF3"/>
          </w:tcPr>
          <w:p>
            <w:pPr>
              <w:spacing w:after="0"/>
              <w:rPr>
                <w:sz w:val="14"/>
                <w:szCs w:val="14"/>
                <w:color w:val="auto"/>
              </w:rPr>
            </w:pPr>
          </w:p>
        </w:tc>
        <w:tc>
          <w:tcPr>
            <w:tcW w:w="720" w:type="dxa"/>
            <w:vAlign w:val="bottom"/>
            <w:shd w:val="clear" w:color="auto" w:fill="F3EDF3"/>
          </w:tcPr>
          <w:p>
            <w:pPr>
              <w:jc w:val="right"/>
              <w:ind w:right="29"/>
              <w:spacing w:after="0"/>
              <w:rPr>
                <w:sz w:val="20"/>
                <w:szCs w:val="20"/>
                <w:color w:val="auto"/>
              </w:rPr>
            </w:pPr>
            <w:r>
              <w:rPr>
                <w:rFonts w:ascii="Arial" w:cs="Arial" w:eastAsia="Arial" w:hAnsi="Arial"/>
                <w:sz w:val="14"/>
                <w:szCs w:val="14"/>
                <w:color w:val="auto"/>
              </w:rPr>
              <w:t>483</w:t>
            </w:r>
          </w:p>
        </w:tc>
        <w:tc>
          <w:tcPr>
            <w:tcW w:w="780" w:type="dxa"/>
            <w:vAlign w:val="bottom"/>
            <w:shd w:val="clear" w:color="auto" w:fill="F3EDF3"/>
          </w:tcPr>
          <w:p>
            <w:pPr>
              <w:jc w:val="right"/>
              <w:spacing w:after="0"/>
              <w:rPr>
                <w:sz w:val="20"/>
                <w:szCs w:val="20"/>
                <w:color w:val="auto"/>
              </w:rPr>
            </w:pPr>
            <w:r>
              <w:rPr>
                <w:rFonts w:ascii="Arial" w:cs="Arial" w:eastAsia="Arial" w:hAnsi="Arial"/>
                <w:sz w:val="14"/>
                <w:szCs w:val="14"/>
                <w:color w:val="auto"/>
              </w:rPr>
              <w:t>43,430</w:t>
            </w:r>
          </w:p>
        </w:tc>
      </w:tr>
      <w:tr>
        <w:trPr>
          <w:trHeight w:val="162"/>
        </w:trPr>
        <w:tc>
          <w:tcPr>
            <w:tcW w:w="1620" w:type="dxa"/>
            <w:vAlign w:val="bottom"/>
            <w:tcBorders>
              <w:bottom w:val="single" w:sz="8" w:color="6F2875"/>
            </w:tcBorders>
          </w:tcPr>
          <w:p>
            <w:pPr>
              <w:ind w:left="60"/>
              <w:spacing w:after="0"/>
              <w:rPr>
                <w:sz w:val="20"/>
                <w:szCs w:val="20"/>
                <w:color w:val="auto"/>
              </w:rPr>
            </w:pPr>
            <w:r>
              <w:rPr>
                <w:rFonts w:ascii="Arial" w:cs="Arial" w:eastAsia="Arial" w:hAnsi="Arial"/>
                <w:sz w:val="14"/>
                <w:szCs w:val="14"/>
                <w:b w:val="1"/>
                <w:bCs w:val="1"/>
                <w:color w:val="231F20"/>
              </w:rPr>
              <w:t>Brian Sheridan</w:t>
            </w:r>
          </w:p>
        </w:tc>
        <w:tc>
          <w:tcPr>
            <w:tcW w:w="1620" w:type="dxa"/>
            <w:vAlign w:val="bottom"/>
            <w:tcBorders>
              <w:bottom w:val="single" w:sz="8" w:color="6F2875"/>
            </w:tcBorders>
          </w:tcPr>
          <w:p>
            <w:pPr>
              <w:jc w:val="right"/>
              <w:ind w:right="28"/>
              <w:spacing w:after="0"/>
              <w:rPr>
                <w:sz w:val="20"/>
                <w:szCs w:val="20"/>
                <w:color w:val="auto"/>
              </w:rPr>
            </w:pPr>
            <w:r>
              <w:rPr>
                <w:rFonts w:ascii="Arial" w:cs="Arial" w:eastAsia="Arial" w:hAnsi="Arial"/>
                <w:sz w:val="14"/>
                <w:szCs w:val="14"/>
                <w:color w:val="231F20"/>
              </w:rPr>
              <w:t>1,174,950</w:t>
            </w:r>
          </w:p>
        </w:tc>
        <w:tc>
          <w:tcPr>
            <w:tcW w:w="1120" w:type="dxa"/>
            <w:vAlign w:val="bottom"/>
            <w:tcBorders>
              <w:bottom w:val="single" w:sz="8" w:color="6F2875"/>
            </w:tcBorders>
          </w:tcPr>
          <w:p>
            <w:pPr>
              <w:jc w:val="right"/>
              <w:ind w:right="28"/>
              <w:spacing w:after="0"/>
              <w:rPr>
                <w:sz w:val="20"/>
                <w:szCs w:val="20"/>
                <w:color w:val="auto"/>
              </w:rPr>
            </w:pPr>
            <w:r>
              <w:rPr>
                <w:rFonts w:ascii="Arial" w:cs="Arial" w:eastAsia="Arial" w:hAnsi="Arial"/>
                <w:sz w:val="14"/>
                <w:szCs w:val="14"/>
                <w:color w:val="231F20"/>
              </w:rPr>
              <w:t>2,325</w:t>
            </w:r>
          </w:p>
        </w:tc>
        <w:tc>
          <w:tcPr>
            <w:tcW w:w="880" w:type="dxa"/>
            <w:vAlign w:val="bottom"/>
            <w:tcBorders>
              <w:bottom w:val="single" w:sz="8" w:color="6F2875"/>
            </w:tcBorders>
          </w:tcPr>
          <w:p>
            <w:pPr>
              <w:jc w:val="right"/>
              <w:ind w:right="9"/>
              <w:spacing w:after="0"/>
              <w:rPr>
                <w:sz w:val="20"/>
                <w:szCs w:val="20"/>
                <w:color w:val="auto"/>
              </w:rPr>
            </w:pPr>
            <w:r>
              <w:rPr>
                <w:rFonts w:ascii="Arial" w:cs="Arial" w:eastAsia="Arial" w:hAnsi="Arial"/>
                <w:sz w:val="14"/>
                <w:szCs w:val="14"/>
                <w:color w:val="231F20"/>
              </w:rPr>
              <w:t>—</w:t>
            </w:r>
          </w:p>
        </w:tc>
        <w:tc>
          <w:tcPr>
            <w:tcW w:w="900" w:type="dxa"/>
            <w:vAlign w:val="bottom"/>
            <w:tcBorders>
              <w:bottom w:val="single" w:sz="8" w:color="6F2875"/>
            </w:tcBorders>
          </w:tcPr>
          <w:p>
            <w:pPr>
              <w:jc w:val="right"/>
              <w:ind w:right="28"/>
              <w:spacing w:after="0"/>
              <w:rPr>
                <w:sz w:val="20"/>
                <w:szCs w:val="20"/>
                <w:color w:val="auto"/>
              </w:rPr>
            </w:pPr>
            <w:r>
              <w:rPr>
                <w:rFonts w:ascii="Arial" w:cs="Arial" w:eastAsia="Arial" w:hAnsi="Arial"/>
                <w:sz w:val="14"/>
                <w:szCs w:val="14"/>
                <w:color w:val="231F20"/>
              </w:rPr>
              <w:t>2,000</w:t>
            </w:r>
          </w:p>
        </w:tc>
        <w:tc>
          <w:tcPr>
            <w:tcW w:w="1260" w:type="dxa"/>
            <w:vAlign w:val="bottom"/>
            <w:tcBorders>
              <w:bottom w:val="single" w:sz="8" w:color="6F2875"/>
            </w:tcBorders>
          </w:tcPr>
          <w:p>
            <w:pPr>
              <w:jc w:val="right"/>
              <w:ind w:right="169"/>
              <w:spacing w:after="0"/>
              <w:rPr>
                <w:sz w:val="20"/>
                <w:szCs w:val="20"/>
                <w:color w:val="auto"/>
              </w:rPr>
            </w:pPr>
            <w:r>
              <w:rPr>
                <w:rFonts w:ascii="Arial" w:cs="Arial" w:eastAsia="Arial" w:hAnsi="Arial"/>
                <w:sz w:val="14"/>
                <w:szCs w:val="14"/>
                <w:color w:val="231F20"/>
              </w:rPr>
              <w:t>5,834</w:t>
            </w:r>
          </w:p>
        </w:tc>
        <w:tc>
          <w:tcPr>
            <w:tcW w:w="1400" w:type="dxa"/>
            <w:vAlign w:val="bottom"/>
            <w:tcBorders>
              <w:bottom w:val="single" w:sz="8" w:color="6F2875"/>
            </w:tcBorders>
          </w:tcPr>
          <w:p>
            <w:pPr>
              <w:jc w:val="right"/>
              <w:ind w:right="108"/>
              <w:spacing w:after="0"/>
              <w:rPr>
                <w:sz w:val="20"/>
                <w:szCs w:val="20"/>
                <w:color w:val="auto"/>
              </w:rPr>
            </w:pPr>
            <w:r>
              <w:rPr>
                <w:rFonts w:ascii="Arial" w:cs="Arial" w:eastAsia="Arial" w:hAnsi="Arial"/>
                <w:sz w:val="14"/>
                <w:szCs w:val="14"/>
                <w:color w:val="231F20"/>
              </w:rPr>
              <w:t>33,472</w:t>
            </w:r>
          </w:p>
        </w:tc>
        <w:tc>
          <w:tcPr>
            <w:tcW w:w="1120" w:type="dxa"/>
            <w:vAlign w:val="bottom"/>
            <w:tcBorders>
              <w:bottom w:val="single" w:sz="8" w:color="6F2875"/>
            </w:tcBorders>
          </w:tcPr>
          <w:p>
            <w:pPr>
              <w:spacing w:after="0"/>
              <w:rPr>
                <w:sz w:val="14"/>
                <w:szCs w:val="14"/>
                <w:color w:val="auto"/>
              </w:rPr>
            </w:pPr>
          </w:p>
        </w:tc>
        <w:tc>
          <w:tcPr>
            <w:tcW w:w="720" w:type="dxa"/>
            <w:vAlign w:val="bottom"/>
            <w:tcBorders>
              <w:bottom w:val="single" w:sz="8" w:color="6F2875"/>
            </w:tcBorders>
          </w:tcPr>
          <w:p>
            <w:pPr>
              <w:jc w:val="right"/>
              <w:ind w:right="29"/>
              <w:spacing w:after="0"/>
              <w:rPr>
                <w:sz w:val="20"/>
                <w:szCs w:val="20"/>
                <w:color w:val="auto"/>
              </w:rPr>
            </w:pPr>
            <w:r>
              <w:rPr>
                <w:rFonts w:ascii="Arial" w:cs="Arial" w:eastAsia="Arial" w:hAnsi="Arial"/>
                <w:sz w:val="14"/>
                <w:szCs w:val="14"/>
                <w:color w:val="231F20"/>
              </w:rPr>
              <w:t>238,279</w:t>
            </w:r>
          </w:p>
        </w:tc>
        <w:tc>
          <w:tcPr>
            <w:tcW w:w="780" w:type="dxa"/>
            <w:vAlign w:val="bottom"/>
            <w:tcBorders>
              <w:bottom w:val="single" w:sz="8" w:color="6F2875"/>
            </w:tcBorders>
          </w:tcPr>
          <w:p>
            <w:pPr>
              <w:jc w:val="right"/>
              <w:spacing w:after="0"/>
              <w:rPr>
                <w:sz w:val="20"/>
                <w:szCs w:val="20"/>
                <w:color w:val="auto"/>
              </w:rPr>
            </w:pPr>
            <w:r>
              <w:rPr>
                <w:rFonts w:ascii="Arial" w:cs="Arial" w:eastAsia="Arial" w:hAnsi="Arial"/>
                <w:sz w:val="14"/>
                <w:szCs w:val="14"/>
                <w:color w:val="231F20"/>
              </w:rPr>
              <w:t>1,456,860</w:t>
            </w:r>
          </w:p>
        </w:tc>
      </w:tr>
    </w:tbl>
    <w:p>
      <w:pPr>
        <w:spacing w:after="0" w:line="45" w:lineRule="exact"/>
        <w:rPr>
          <w:sz w:val="20"/>
          <w:szCs w:val="20"/>
          <w:color w:val="auto"/>
        </w:rPr>
      </w:pPr>
    </w:p>
    <w:p>
      <w:pPr>
        <w:ind w:left="340" w:hanging="332"/>
        <w:spacing w:after="0" w:line="279" w:lineRule="auto"/>
        <w:tabs>
          <w:tab w:leader="none" w:pos="340" w:val="left"/>
        </w:tabs>
        <w:numPr>
          <w:ilvl w:val="0"/>
          <w:numId w:val="32"/>
        </w:numPr>
        <w:rPr>
          <w:rFonts w:ascii="Arial" w:cs="Arial" w:eastAsia="Arial" w:hAnsi="Arial"/>
          <w:sz w:val="14"/>
          <w:szCs w:val="14"/>
          <w:i w:val="1"/>
          <w:iCs w:val="1"/>
          <w:color w:val="231F20"/>
        </w:rPr>
      </w:pPr>
      <w:r>
        <w:rPr>
          <w:rFonts w:ascii="Arial" w:cs="Arial" w:eastAsia="Arial" w:hAnsi="Arial"/>
          <w:sz w:val="14"/>
          <w:szCs w:val="14"/>
          <w:i w:val="1"/>
          <w:iCs w:val="1"/>
          <w:color w:val="231F20"/>
        </w:rPr>
        <w:t>Represents respectively the payment in lieu of notice (i) in the case of Mr. Sehgal, four months of base salary, supplemental pension contribution and auto allowance and five months of 2017 target bonus, and (ii) in the case of Mr. Sheridan, the payments pursuant Mr. Sheridan’s settlement agreement.</w:t>
      </w:r>
    </w:p>
    <w:p>
      <w:pPr>
        <w:spacing w:after="0" w:line="3" w:lineRule="exact"/>
        <w:rPr>
          <w:rFonts w:ascii="Arial" w:cs="Arial" w:eastAsia="Arial" w:hAnsi="Arial"/>
          <w:sz w:val="14"/>
          <w:szCs w:val="14"/>
          <w:i w:val="1"/>
          <w:iCs w:val="1"/>
          <w:color w:val="231F20"/>
        </w:rPr>
      </w:pPr>
    </w:p>
    <w:p>
      <w:pPr>
        <w:ind w:left="340" w:hanging="332"/>
        <w:spacing w:after="0"/>
        <w:tabs>
          <w:tab w:leader="none" w:pos="340" w:val="left"/>
        </w:tabs>
        <w:numPr>
          <w:ilvl w:val="0"/>
          <w:numId w:val="32"/>
        </w:numPr>
        <w:rPr>
          <w:rFonts w:ascii="Arial" w:cs="Arial" w:eastAsia="Arial" w:hAnsi="Arial"/>
          <w:sz w:val="14"/>
          <w:szCs w:val="14"/>
          <w:i w:val="1"/>
          <w:iCs w:val="1"/>
          <w:color w:val="231F20"/>
        </w:rPr>
      </w:pPr>
      <w:r>
        <w:rPr>
          <w:rFonts w:ascii="Arial" w:cs="Arial" w:eastAsia="Arial" w:hAnsi="Arial"/>
          <w:sz w:val="14"/>
          <w:szCs w:val="14"/>
          <w:i w:val="1"/>
          <w:iCs w:val="1"/>
          <w:color w:val="231F20"/>
        </w:rPr>
        <w:t>Represents the housing allowance to Mr. McDonald under the terms of his service agreement.</w:t>
      </w:r>
    </w:p>
    <w:p>
      <w:pPr>
        <w:spacing w:after="0" w:line="55" w:lineRule="exact"/>
        <w:rPr>
          <w:rFonts w:ascii="Arial" w:cs="Arial" w:eastAsia="Arial" w:hAnsi="Arial"/>
          <w:sz w:val="14"/>
          <w:szCs w:val="14"/>
          <w:i w:val="1"/>
          <w:iCs w:val="1"/>
          <w:color w:val="231F20"/>
        </w:rPr>
      </w:pPr>
    </w:p>
    <w:p>
      <w:pPr>
        <w:jc w:val="both"/>
        <w:ind w:left="340" w:hanging="332"/>
        <w:spacing w:after="0" w:line="260" w:lineRule="auto"/>
        <w:tabs>
          <w:tab w:leader="none" w:pos="340" w:val="left"/>
        </w:tabs>
        <w:numPr>
          <w:ilvl w:val="0"/>
          <w:numId w:val="32"/>
        </w:numPr>
        <w:rPr>
          <w:rFonts w:ascii="Arial" w:cs="Arial" w:eastAsia="Arial" w:hAnsi="Arial"/>
          <w:sz w:val="14"/>
          <w:szCs w:val="14"/>
          <w:i w:val="1"/>
          <w:iCs w:val="1"/>
          <w:color w:val="231F20"/>
        </w:rPr>
      </w:pPr>
      <w:r>
        <w:rPr>
          <w:rFonts w:ascii="Arial" w:cs="Arial" w:eastAsia="Arial" w:hAnsi="Arial"/>
          <w:sz w:val="14"/>
          <w:szCs w:val="14"/>
          <w:i w:val="1"/>
          <w:iCs w:val="1"/>
          <w:color w:val="231F20"/>
        </w:rPr>
        <w:t>Represents the incremental cost of the personal use of a Company-owned or Company-leased car or a car allowance in lieu, measured in accordance with applicable local methods, for each of Messrs. McDonald, Huston, Sehgal and Sheridan and Ms. Skeffington. These benefits and allowances are customary in UK and Italian executive compensation packages.</w:t>
      </w:r>
    </w:p>
    <w:p>
      <w:pPr>
        <w:spacing w:after="0" w:line="16" w:lineRule="exact"/>
        <w:rPr>
          <w:rFonts w:ascii="Arial" w:cs="Arial" w:eastAsia="Arial" w:hAnsi="Arial"/>
          <w:sz w:val="14"/>
          <w:szCs w:val="14"/>
          <w:i w:val="1"/>
          <w:iCs w:val="1"/>
          <w:color w:val="231F20"/>
        </w:rPr>
      </w:pPr>
    </w:p>
    <w:p>
      <w:pPr>
        <w:ind w:left="340" w:hanging="332"/>
        <w:spacing w:after="0"/>
        <w:tabs>
          <w:tab w:leader="none" w:pos="340" w:val="left"/>
        </w:tabs>
        <w:numPr>
          <w:ilvl w:val="0"/>
          <w:numId w:val="32"/>
        </w:numPr>
        <w:rPr>
          <w:rFonts w:ascii="Arial" w:cs="Arial" w:eastAsia="Arial" w:hAnsi="Arial"/>
          <w:sz w:val="14"/>
          <w:szCs w:val="14"/>
          <w:i w:val="1"/>
          <w:iCs w:val="1"/>
          <w:color w:val="231F20"/>
        </w:rPr>
      </w:pPr>
      <w:r>
        <w:rPr>
          <w:rFonts w:ascii="Arial" w:cs="Arial" w:eastAsia="Arial" w:hAnsi="Arial"/>
          <w:sz w:val="14"/>
          <w:szCs w:val="14"/>
          <w:i w:val="1"/>
          <w:iCs w:val="1"/>
          <w:color w:val="231F20"/>
        </w:rPr>
        <w:t>Represents company contributions on behalf of our NEOs to tax-qualified defined contribution plans. (see - 2017 Pension Benefits).</w:t>
      </w:r>
    </w:p>
    <w:p>
      <w:pPr>
        <w:spacing w:after="0" w:line="55" w:lineRule="exact"/>
        <w:rPr>
          <w:rFonts w:ascii="Arial" w:cs="Arial" w:eastAsia="Arial" w:hAnsi="Arial"/>
          <w:sz w:val="14"/>
          <w:szCs w:val="14"/>
          <w:i w:val="1"/>
          <w:iCs w:val="1"/>
          <w:color w:val="231F20"/>
        </w:rPr>
      </w:pPr>
    </w:p>
    <w:p>
      <w:pPr>
        <w:ind w:left="340" w:right="20" w:hanging="332"/>
        <w:spacing w:after="0" w:line="279" w:lineRule="auto"/>
        <w:tabs>
          <w:tab w:leader="none" w:pos="340" w:val="left"/>
        </w:tabs>
        <w:numPr>
          <w:ilvl w:val="0"/>
          <w:numId w:val="32"/>
        </w:numPr>
        <w:rPr>
          <w:rFonts w:ascii="Arial" w:cs="Arial" w:eastAsia="Arial" w:hAnsi="Arial"/>
          <w:sz w:val="14"/>
          <w:szCs w:val="14"/>
          <w:i w:val="1"/>
          <w:iCs w:val="1"/>
          <w:color w:val="231F20"/>
        </w:rPr>
      </w:pPr>
      <w:r>
        <w:rPr>
          <w:rFonts w:ascii="Arial" w:cs="Arial" w:eastAsia="Arial" w:hAnsi="Arial"/>
          <w:sz w:val="14"/>
          <w:szCs w:val="14"/>
          <w:i w:val="1"/>
          <w:iCs w:val="1"/>
          <w:color w:val="231F20"/>
        </w:rPr>
        <w:t>Represents company contributions to a partially non-qualified defined contribution plan equal to the amount of company contributions made on behalf of the executive officer on top of the maximum amounts that may be tax-qualified under the supplemental pension plan. (see - 2017 Pension Benefits).</w:t>
      </w:r>
    </w:p>
    <w:p>
      <w:pPr>
        <w:spacing w:after="0" w:line="3" w:lineRule="exact"/>
        <w:rPr>
          <w:rFonts w:ascii="Arial" w:cs="Arial" w:eastAsia="Arial" w:hAnsi="Arial"/>
          <w:sz w:val="14"/>
          <w:szCs w:val="14"/>
          <w:i w:val="1"/>
          <w:iCs w:val="1"/>
          <w:color w:val="231F20"/>
        </w:rPr>
      </w:pPr>
    </w:p>
    <w:p>
      <w:pPr>
        <w:ind w:left="340" w:hanging="332"/>
        <w:spacing w:after="0"/>
        <w:tabs>
          <w:tab w:leader="none" w:pos="340" w:val="left"/>
        </w:tabs>
        <w:numPr>
          <w:ilvl w:val="0"/>
          <w:numId w:val="32"/>
        </w:numPr>
        <w:rPr>
          <w:rFonts w:ascii="Arial" w:cs="Arial" w:eastAsia="Arial" w:hAnsi="Arial"/>
          <w:sz w:val="14"/>
          <w:szCs w:val="14"/>
          <w:i w:val="1"/>
          <w:iCs w:val="1"/>
          <w:color w:val="231F20"/>
        </w:rPr>
      </w:pPr>
      <w:r>
        <w:rPr>
          <w:rFonts w:ascii="Arial" w:cs="Arial" w:eastAsia="Arial" w:hAnsi="Arial"/>
          <w:sz w:val="14"/>
          <w:szCs w:val="14"/>
          <w:i w:val="1"/>
          <w:iCs w:val="1"/>
          <w:color w:val="231F20"/>
        </w:rPr>
        <w:t>Represents cash received in lieu of pension (see - 2017 Pension Benefits).</w:t>
      </w:r>
    </w:p>
    <w:p>
      <w:pPr>
        <w:spacing w:after="0" w:line="55" w:lineRule="exact"/>
        <w:rPr>
          <w:rFonts w:ascii="Arial" w:cs="Arial" w:eastAsia="Arial" w:hAnsi="Arial"/>
          <w:sz w:val="14"/>
          <w:szCs w:val="14"/>
          <w:i w:val="1"/>
          <w:iCs w:val="1"/>
          <w:color w:val="231F20"/>
        </w:rPr>
      </w:pPr>
    </w:p>
    <w:p>
      <w:pPr>
        <w:jc w:val="both"/>
        <w:ind w:left="340" w:hanging="332"/>
        <w:spacing w:after="0" w:line="246" w:lineRule="auto"/>
        <w:tabs>
          <w:tab w:leader="none" w:pos="340" w:val="left"/>
        </w:tabs>
        <w:numPr>
          <w:ilvl w:val="0"/>
          <w:numId w:val="32"/>
        </w:numPr>
        <w:rPr>
          <w:rFonts w:ascii="Arial" w:cs="Arial" w:eastAsia="Arial" w:hAnsi="Arial"/>
          <w:sz w:val="14"/>
          <w:szCs w:val="14"/>
          <w:i w:val="1"/>
          <w:iCs w:val="1"/>
          <w:color w:val="231F20"/>
        </w:rPr>
      </w:pPr>
      <w:r>
        <w:rPr>
          <w:rFonts w:ascii="Arial" w:cs="Arial" w:eastAsia="Arial" w:hAnsi="Arial"/>
          <w:sz w:val="14"/>
          <w:szCs w:val="14"/>
          <w:i w:val="1"/>
          <w:iCs w:val="1"/>
          <w:color w:val="231F20"/>
        </w:rPr>
        <w:t>As to Mr. McDonald, this represents a school tuition fee allowance in respect of Mr. McDonald’s children ($41,172), reimbursement of expenses incurred in connection with the purchase of a principal residence in the UK ($459,078) and related gross-ups ($407,106), and other relocation costs ($7,881). As to Mr. Huston, this represents a relocation allowance ($19,330), gym membership ($564), temporary housing ($12,004), house search assistance cost ($3,853) and other relocation costs ($16,736). As to Mr. Sehgal, this represents holiday pay ($26,011), and gym membership ($1,198). As to Mr. Wise, this represents Group Term Life ($3,503). As to Ms. Skeffington, this represents a relocation allowance ($19,330), temporary housing ($10,692) and other relocation costs ($12,614). As to Mr. Manko, this represents Group Term Life ($483). As to Mr. Sheridan this represents a relocation allowance and related gross-up ($11,035), a school tuition fee allowance in respect of Mr. Sheridan’s children and related gross-ups ($136,674), holiday pay ($13,095), meal vouchers ($78), travel allowance ($3,985), legal fees ($22,595), gym membership ($817), and payment of the consulting fees related to the services provided as a consultant following the end of the employment agreement ($50,000).</w:t>
      </w:r>
    </w:p>
    <w:p>
      <w:pPr>
        <w:spacing w:after="0" w:line="170" w:lineRule="exact"/>
        <w:rPr>
          <w:sz w:val="20"/>
          <w:szCs w:val="20"/>
          <w:color w:val="auto"/>
        </w:rPr>
      </w:pPr>
    </w:p>
    <w:p>
      <w:pPr>
        <w:spacing w:after="0"/>
        <w:tabs>
          <w:tab w:leader="none" w:pos="4220" w:val="left"/>
          <w:tab w:leader="none" w:pos="9960" w:val="left"/>
        </w:tabs>
        <w:rPr>
          <w:sz w:val="20"/>
          <w:szCs w:val="20"/>
          <w:color w:val="auto"/>
        </w:rPr>
      </w:pPr>
      <w:r>
        <w:rPr>
          <w:rFonts w:ascii="Arial" w:cs="Arial" w:eastAsia="Arial" w:hAnsi="Arial"/>
          <w:sz w:val="16"/>
          <w:szCs w:val="16"/>
          <w:b w:val="1"/>
          <w:bCs w:val="1"/>
          <w:color w:val="auto"/>
        </w:rPr>
        <w:t>36</w:t>
      </w:r>
      <w:r>
        <w:rPr>
          <w:sz w:val="20"/>
          <w:szCs w:val="20"/>
          <w:color w:val="auto"/>
        </w:rPr>
        <w:tab/>
      </w: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r>
        <w:rPr>
          <w:sz w:val="20"/>
          <w:szCs w:val="20"/>
          <w:color w:val="auto"/>
        </w:rPr>
        <w:tab/>
      </w:r>
      <w:r>
        <w:rPr>
          <w:rFonts w:ascii="Arial" w:cs="Arial" w:eastAsia="Arial" w:hAnsi="Arial"/>
          <w:sz w:val="16"/>
          <w:szCs w:val="16"/>
          <w:b w:val="1"/>
          <w:bCs w:val="1"/>
          <w:color w:val="6F2875"/>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-36195</wp:posOffset>
            </wp:positionV>
            <wp:extent cx="1663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-36195</wp:posOffset>
            </wp:positionV>
            <wp:extent cx="23241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2017 Grants of Plan-Based Awards Table</w:t>
      </w:r>
    </w:p>
    <w:p>
      <w:pPr>
        <w:spacing w:after="0" w:line="339"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The following table provides supplemental information relating to grants of plan-based awards made during 2017 to help explain information provided above in our Summary Compensation Table. This table presents information regarding all grants of plan-based awards occurring during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6F2875"/>
              </w:rPr>
              <w:t>All Other</w:t>
            </w:r>
          </w:p>
        </w:tc>
        <w:tc>
          <w:tcPr>
            <w:tcW w:w="1100" w:type="dxa"/>
            <w:vAlign w:val="bottom"/>
          </w:tcPr>
          <w:p>
            <w:pPr>
              <w:jc w:val="right"/>
              <w:ind w:right="148"/>
              <w:spacing w:after="0"/>
              <w:rPr>
                <w:sz w:val="20"/>
                <w:szCs w:val="20"/>
                <w:color w:val="auto"/>
              </w:rPr>
            </w:pPr>
            <w:r>
              <w:rPr>
                <w:rFonts w:ascii="Arial" w:cs="Arial" w:eastAsia="Arial" w:hAnsi="Arial"/>
                <w:sz w:val="14"/>
                <w:szCs w:val="14"/>
                <w:b w:val="1"/>
                <w:bCs w:val="1"/>
                <w:color w:val="6F2875"/>
              </w:rPr>
              <w:t>All Other</w:t>
            </w: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4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6F2875"/>
              </w:rPr>
              <w:t>Estimated Future Payouts</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6F2875"/>
              </w:rPr>
              <w:t>Stock</w:t>
            </w:r>
          </w:p>
        </w:tc>
        <w:tc>
          <w:tcPr>
            <w:tcW w:w="1100" w:type="dxa"/>
            <w:vAlign w:val="bottom"/>
          </w:tcPr>
          <w:p>
            <w:pPr>
              <w:jc w:val="right"/>
              <w:ind w:right="148"/>
              <w:spacing w:after="0"/>
              <w:rPr>
                <w:sz w:val="20"/>
                <w:szCs w:val="20"/>
                <w:color w:val="auto"/>
              </w:rPr>
            </w:pPr>
            <w:r>
              <w:rPr>
                <w:rFonts w:ascii="Arial" w:cs="Arial" w:eastAsia="Arial" w:hAnsi="Arial"/>
                <w:sz w:val="14"/>
                <w:szCs w:val="14"/>
                <w:b w:val="1"/>
                <w:bCs w:val="1"/>
                <w:color w:val="6F2875"/>
              </w:rPr>
              <w:t>Option</w:t>
            </w: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6F2875"/>
              </w:rPr>
              <w:t>Awards:</w:t>
            </w:r>
          </w:p>
        </w:tc>
        <w:tc>
          <w:tcPr>
            <w:tcW w:w="110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6F2875"/>
              </w:rPr>
              <w:t>Awards:</w:t>
            </w:r>
          </w:p>
        </w:tc>
        <w:tc>
          <w:tcPr>
            <w:tcW w:w="96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6F2875"/>
              </w:rPr>
              <w:t>Exercise</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6F2875"/>
              </w:rPr>
              <w:t>Under Non-Equity</w:t>
            </w:r>
          </w:p>
        </w:tc>
        <w:tc>
          <w:tcPr>
            <w:tcW w:w="2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6F2875"/>
              </w:rPr>
              <w:t>All Other Stock Awards:</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6F2875"/>
              </w:rPr>
              <w:t>Number</w:t>
            </w:r>
          </w:p>
        </w:tc>
        <w:tc>
          <w:tcPr>
            <w:tcW w:w="1100" w:type="dxa"/>
            <w:vAlign w:val="bottom"/>
          </w:tcPr>
          <w:p>
            <w:pPr>
              <w:jc w:val="right"/>
              <w:ind w:right="148"/>
              <w:spacing w:after="0"/>
              <w:rPr>
                <w:sz w:val="20"/>
                <w:szCs w:val="20"/>
                <w:color w:val="auto"/>
              </w:rPr>
            </w:pPr>
            <w:r>
              <w:rPr>
                <w:rFonts w:ascii="Arial" w:cs="Arial" w:eastAsia="Arial" w:hAnsi="Arial"/>
                <w:sz w:val="14"/>
                <w:szCs w:val="14"/>
                <w:b w:val="1"/>
                <w:bCs w:val="1"/>
                <w:color w:val="6F2875"/>
              </w:rPr>
              <w:t>Number of</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6F2875"/>
              </w:rPr>
              <w:t>or Base</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6F2875"/>
              </w:rPr>
              <w:t>Grant Date</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40" w:type="dxa"/>
            <w:vAlign w:val="bottom"/>
            <w:gridSpan w:val="4"/>
          </w:tcPr>
          <w:p>
            <w:pPr>
              <w:jc w:val="center"/>
              <w:ind w:right="120"/>
              <w:spacing w:after="0" w:line="189" w:lineRule="exact"/>
              <w:rPr>
                <w:sz w:val="20"/>
                <w:szCs w:val="20"/>
                <w:color w:val="auto"/>
              </w:rPr>
            </w:pPr>
            <w:r>
              <w:rPr>
                <w:rFonts w:ascii="Arial" w:cs="Arial" w:eastAsia="Arial" w:hAnsi="Arial"/>
                <w:sz w:val="13"/>
                <w:szCs w:val="13"/>
                <w:b w:val="1"/>
                <w:bCs w:val="1"/>
                <w:color w:val="6F2875"/>
              </w:rPr>
              <w:t>Incentive Plan Awards</w:t>
            </w:r>
            <w:r>
              <w:rPr>
                <w:rFonts w:ascii="Arial" w:cs="Arial" w:eastAsia="Arial" w:hAnsi="Arial"/>
                <w:sz w:val="21"/>
                <w:szCs w:val="21"/>
                <w:b w:val="1"/>
                <w:bCs w:val="1"/>
                <w:color w:val="6F2875"/>
                <w:vertAlign w:val="superscript"/>
              </w:rPr>
              <w:t>(1)</w:t>
            </w:r>
          </w:p>
        </w:tc>
        <w:tc>
          <w:tcPr>
            <w:tcW w:w="26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6F2875"/>
              </w:rPr>
              <w:t>Performance based RSUs (#)</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6F2875"/>
              </w:rPr>
              <w:t>of Shares</w:t>
            </w:r>
          </w:p>
        </w:tc>
        <w:tc>
          <w:tcPr>
            <w:tcW w:w="1100" w:type="dxa"/>
            <w:vAlign w:val="bottom"/>
          </w:tcPr>
          <w:p>
            <w:pPr>
              <w:jc w:val="right"/>
              <w:ind w:right="148"/>
              <w:spacing w:after="0"/>
              <w:rPr>
                <w:sz w:val="20"/>
                <w:szCs w:val="20"/>
                <w:color w:val="auto"/>
              </w:rPr>
            </w:pPr>
            <w:r>
              <w:rPr>
                <w:rFonts w:ascii="Arial" w:cs="Arial" w:eastAsia="Arial" w:hAnsi="Arial"/>
                <w:sz w:val="14"/>
                <w:szCs w:val="14"/>
                <w:b w:val="1"/>
                <w:bCs w:val="1"/>
                <w:color w:val="6F2875"/>
              </w:rPr>
              <w:t>Securities</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6F2875"/>
              </w:rPr>
              <w:t>Price</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6F2875"/>
              </w:rPr>
              <w:t>Fair value of</w:t>
            </w: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Borders>
              <w:top w:val="single" w:sz="8" w:color="6F2875"/>
            </w:tcBorders>
          </w:tcPr>
          <w:p>
            <w:pPr>
              <w:spacing w:after="0"/>
              <w:rPr>
                <w:sz w:val="12"/>
                <w:szCs w:val="12"/>
                <w:color w:val="auto"/>
              </w:rPr>
            </w:pPr>
          </w:p>
        </w:tc>
        <w:tc>
          <w:tcPr>
            <w:tcW w:w="740" w:type="dxa"/>
            <w:vAlign w:val="bottom"/>
            <w:tcBorders>
              <w:top w:val="single" w:sz="8" w:color="6F2875"/>
            </w:tcBorders>
          </w:tcPr>
          <w:p>
            <w:pPr>
              <w:spacing w:after="0"/>
              <w:rPr>
                <w:sz w:val="12"/>
                <w:szCs w:val="12"/>
                <w:color w:val="auto"/>
              </w:rPr>
            </w:pPr>
          </w:p>
        </w:tc>
        <w:tc>
          <w:tcPr>
            <w:tcW w:w="720" w:type="dxa"/>
            <w:vAlign w:val="bottom"/>
            <w:tcBorders>
              <w:top w:val="single" w:sz="8" w:color="6F2875"/>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top w:val="single" w:sz="8" w:color="6F2875"/>
            </w:tcBorders>
          </w:tcPr>
          <w:p>
            <w:pPr>
              <w:spacing w:after="0"/>
              <w:rPr>
                <w:sz w:val="12"/>
                <w:szCs w:val="12"/>
                <w:color w:val="auto"/>
              </w:rPr>
            </w:pPr>
          </w:p>
        </w:tc>
        <w:tc>
          <w:tcPr>
            <w:tcW w:w="800" w:type="dxa"/>
            <w:vAlign w:val="bottom"/>
            <w:tcBorders>
              <w:top w:val="single" w:sz="8" w:color="6F2875"/>
            </w:tcBorders>
          </w:tcPr>
          <w:p>
            <w:pPr>
              <w:spacing w:after="0"/>
              <w:rPr>
                <w:sz w:val="12"/>
                <w:szCs w:val="12"/>
                <w:color w:val="auto"/>
              </w:rPr>
            </w:pPr>
          </w:p>
        </w:tc>
        <w:tc>
          <w:tcPr>
            <w:tcW w:w="780" w:type="dxa"/>
            <w:vAlign w:val="bottom"/>
            <w:tcBorders>
              <w:top w:val="single" w:sz="8" w:color="6F2875"/>
            </w:tcBorders>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6F2875"/>
              </w:rPr>
              <w:t>of Service</w:t>
            </w:r>
          </w:p>
        </w:tc>
        <w:tc>
          <w:tcPr>
            <w:tcW w:w="110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6F2875"/>
              </w:rPr>
              <w:t>Underlying</w:t>
            </w:r>
          </w:p>
        </w:tc>
        <w:tc>
          <w:tcPr>
            <w:tcW w:w="96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6F2875"/>
              </w:rPr>
              <w:t>of SAR</w:t>
            </w:r>
          </w:p>
        </w:tc>
        <w:tc>
          <w:tcPr>
            <w:tcW w:w="1080" w:type="dxa"/>
            <w:vAlign w:val="bottom"/>
          </w:tcPr>
          <w:p>
            <w:pPr>
              <w:jc w:val="right"/>
              <w:spacing w:after="0" w:line="142" w:lineRule="exact"/>
              <w:rPr>
                <w:sz w:val="20"/>
                <w:szCs w:val="20"/>
                <w:color w:val="auto"/>
              </w:rPr>
            </w:pPr>
            <w:r>
              <w:rPr>
                <w:rFonts w:ascii="Arial" w:cs="Arial" w:eastAsia="Arial" w:hAnsi="Arial"/>
                <w:sz w:val="14"/>
                <w:szCs w:val="14"/>
                <w:b w:val="1"/>
                <w:bCs w:val="1"/>
                <w:color w:val="6F2875"/>
              </w:rPr>
              <w:t>RSU and</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b w:val="1"/>
                <w:bCs w:val="1"/>
                <w:color w:val="6F2875"/>
              </w:rPr>
              <w:t>Threshold</w:t>
            </w: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6F2875"/>
              </w:rPr>
              <w:t>Target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6F2875"/>
              </w:rPr>
              <w:t>Maximum</w:t>
            </w:r>
          </w:p>
        </w:tc>
        <w:tc>
          <w:tcPr>
            <w:tcW w:w="1020" w:type="dxa"/>
            <w:vAlign w:val="bottom"/>
          </w:tcPr>
          <w:p>
            <w:pPr>
              <w:jc w:val="right"/>
              <w:ind w:right="168"/>
              <w:spacing w:after="0"/>
              <w:rPr>
                <w:sz w:val="20"/>
                <w:szCs w:val="20"/>
                <w:color w:val="auto"/>
              </w:rPr>
            </w:pPr>
            <w:r>
              <w:rPr>
                <w:rFonts w:ascii="Arial" w:cs="Arial" w:eastAsia="Arial" w:hAnsi="Arial"/>
                <w:sz w:val="14"/>
                <w:szCs w:val="14"/>
                <w:b w:val="1"/>
                <w:bCs w:val="1"/>
                <w:color w:val="6F2875"/>
              </w:rPr>
              <w:t>Threshold</w:t>
            </w: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6F2875"/>
              </w:rPr>
              <w:t>Target</w:t>
            </w: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6F2875"/>
              </w:rPr>
              <w:t>Maximum</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6F2875"/>
              </w:rPr>
              <w:t>based RSUs</w:t>
            </w:r>
          </w:p>
        </w:tc>
        <w:tc>
          <w:tcPr>
            <w:tcW w:w="1100" w:type="dxa"/>
            <w:vAlign w:val="bottom"/>
          </w:tcPr>
          <w:p>
            <w:pPr>
              <w:jc w:val="right"/>
              <w:ind w:right="148"/>
              <w:spacing w:after="0"/>
              <w:rPr>
                <w:sz w:val="20"/>
                <w:szCs w:val="20"/>
                <w:color w:val="auto"/>
              </w:rPr>
            </w:pPr>
            <w:r>
              <w:rPr>
                <w:rFonts w:ascii="Arial" w:cs="Arial" w:eastAsia="Arial" w:hAnsi="Arial"/>
                <w:sz w:val="14"/>
                <w:szCs w:val="14"/>
                <w:b w:val="1"/>
                <w:bCs w:val="1"/>
                <w:color w:val="6F2875"/>
              </w:rPr>
              <w:t>SARs</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6F2875"/>
              </w:rPr>
              <w:t>Awards</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6F2875"/>
              </w:rPr>
              <w:t>SAR Awards</w:t>
            </w:r>
          </w:p>
        </w:tc>
        <w:tc>
          <w:tcPr>
            <w:tcW w:w="0" w:type="dxa"/>
            <w:vAlign w:val="bottom"/>
          </w:tcPr>
          <w:p>
            <w:pPr>
              <w:spacing w:after="0"/>
              <w:rPr>
                <w:sz w:val="1"/>
                <w:szCs w:val="1"/>
                <w:color w:val="auto"/>
              </w:rPr>
            </w:pPr>
          </w:p>
        </w:tc>
      </w:tr>
      <w:tr>
        <w:trPr>
          <w:trHeight w:val="189"/>
        </w:trPr>
        <w:tc>
          <w:tcPr>
            <w:tcW w:w="1060" w:type="dxa"/>
            <w:vAlign w:val="bottom"/>
            <w:tcBorders>
              <w:bottom w:val="single" w:sz="8" w:color="6F2875"/>
            </w:tcBorders>
          </w:tcPr>
          <w:p>
            <w:pPr>
              <w:ind w:left="60"/>
              <w:spacing w:after="0"/>
              <w:rPr>
                <w:sz w:val="20"/>
                <w:szCs w:val="20"/>
                <w:color w:val="auto"/>
              </w:rPr>
            </w:pPr>
            <w:r>
              <w:rPr>
                <w:rFonts w:ascii="Arial" w:cs="Arial" w:eastAsia="Arial" w:hAnsi="Arial"/>
                <w:sz w:val="14"/>
                <w:szCs w:val="14"/>
                <w:b w:val="1"/>
                <w:bCs w:val="1"/>
                <w:color w:val="6F2875"/>
              </w:rPr>
              <w:t>Name</w:t>
            </w:r>
          </w:p>
        </w:tc>
        <w:tc>
          <w:tcPr>
            <w:tcW w:w="1040" w:type="dxa"/>
            <w:vAlign w:val="bottom"/>
            <w:tcBorders>
              <w:bottom w:val="single" w:sz="8" w:color="6F2875"/>
            </w:tcBorders>
            <w:gridSpan w:val="2"/>
          </w:tcPr>
          <w:p>
            <w:pPr>
              <w:ind w:left="100"/>
              <w:spacing w:after="0"/>
              <w:rPr>
                <w:sz w:val="20"/>
                <w:szCs w:val="20"/>
                <w:color w:val="auto"/>
              </w:rPr>
            </w:pPr>
            <w:r>
              <w:rPr>
                <w:rFonts w:ascii="Arial" w:cs="Arial" w:eastAsia="Arial" w:hAnsi="Arial"/>
                <w:sz w:val="14"/>
                <w:szCs w:val="14"/>
                <w:b w:val="1"/>
                <w:bCs w:val="1"/>
                <w:color w:val="6F2875"/>
              </w:rPr>
              <w:t>Grant Date</w:t>
            </w:r>
          </w:p>
        </w:tc>
        <w:tc>
          <w:tcPr>
            <w:tcW w:w="860" w:type="dxa"/>
            <w:vAlign w:val="bottom"/>
            <w:tcBorders>
              <w:bottom w:val="single" w:sz="8" w:color="6F2875"/>
            </w:tcBorders>
          </w:tcPr>
          <w:p>
            <w:pPr>
              <w:jc w:val="right"/>
              <w:ind w:right="69"/>
              <w:spacing w:after="0"/>
              <w:rPr>
                <w:sz w:val="20"/>
                <w:szCs w:val="20"/>
                <w:color w:val="auto"/>
              </w:rPr>
            </w:pPr>
            <w:r>
              <w:rPr>
                <w:rFonts w:ascii="Arial" w:cs="Arial" w:eastAsia="Arial" w:hAnsi="Arial"/>
                <w:sz w:val="14"/>
                <w:szCs w:val="14"/>
                <w:b w:val="1"/>
                <w:bCs w:val="1"/>
                <w:color w:val="6F2875"/>
              </w:rPr>
              <w:t>($)</w:t>
            </w:r>
          </w:p>
        </w:tc>
        <w:tc>
          <w:tcPr>
            <w:tcW w:w="740" w:type="dxa"/>
            <w:vAlign w:val="bottom"/>
            <w:tcBorders>
              <w:bottom w:val="single" w:sz="8" w:color="6F2875"/>
            </w:tcBorders>
          </w:tcPr>
          <w:p>
            <w:pPr>
              <w:jc w:val="right"/>
              <w:ind w:right="8"/>
              <w:spacing w:after="0"/>
              <w:rPr>
                <w:sz w:val="20"/>
                <w:szCs w:val="20"/>
                <w:color w:val="auto"/>
              </w:rPr>
            </w:pPr>
            <w:r>
              <w:rPr>
                <w:rFonts w:ascii="Arial" w:cs="Arial" w:eastAsia="Arial" w:hAnsi="Arial"/>
                <w:sz w:val="14"/>
                <w:szCs w:val="14"/>
                <w:b w:val="1"/>
                <w:bCs w:val="1"/>
                <w:color w:val="6F2875"/>
              </w:rPr>
              <w:t>($)</w:t>
            </w:r>
          </w:p>
        </w:tc>
        <w:tc>
          <w:tcPr>
            <w:tcW w:w="840" w:type="dxa"/>
            <w:vAlign w:val="bottom"/>
            <w:tcBorders>
              <w:bottom w:val="single" w:sz="8" w:color="6F2875"/>
            </w:tcBorders>
            <w:gridSpan w:val="2"/>
          </w:tcPr>
          <w:p>
            <w:pPr>
              <w:jc w:val="right"/>
              <w:ind w:right="120"/>
              <w:spacing w:after="0"/>
              <w:rPr>
                <w:sz w:val="20"/>
                <w:szCs w:val="20"/>
                <w:color w:val="auto"/>
              </w:rPr>
            </w:pPr>
            <w:r>
              <w:rPr>
                <w:rFonts w:ascii="Arial" w:cs="Arial" w:eastAsia="Arial" w:hAnsi="Arial"/>
                <w:sz w:val="14"/>
                <w:szCs w:val="14"/>
                <w:b w:val="1"/>
                <w:bCs w:val="1"/>
                <w:color w:val="6F2875"/>
              </w:rPr>
              <w:t>($)</w:t>
            </w:r>
          </w:p>
        </w:tc>
        <w:tc>
          <w:tcPr>
            <w:tcW w:w="1020" w:type="dxa"/>
            <w:vAlign w:val="bottom"/>
            <w:tcBorders>
              <w:bottom w:val="single" w:sz="8" w:color="6F2875"/>
            </w:tcBorders>
          </w:tcPr>
          <w:p>
            <w:pPr>
              <w:jc w:val="right"/>
              <w:ind w:right="168"/>
              <w:spacing w:after="0"/>
              <w:rPr>
                <w:sz w:val="20"/>
                <w:szCs w:val="20"/>
                <w:color w:val="auto"/>
              </w:rPr>
            </w:pPr>
            <w:r>
              <w:rPr>
                <w:rFonts w:ascii="Arial" w:cs="Arial" w:eastAsia="Arial" w:hAnsi="Arial"/>
                <w:sz w:val="14"/>
                <w:szCs w:val="14"/>
                <w:b w:val="1"/>
                <w:bCs w:val="1"/>
                <w:color w:val="6F2875"/>
              </w:rPr>
              <w:t>($)</w:t>
            </w:r>
          </w:p>
        </w:tc>
        <w:tc>
          <w:tcPr>
            <w:tcW w:w="800" w:type="dxa"/>
            <w:vAlign w:val="bottom"/>
            <w:tcBorders>
              <w:bottom w:val="single" w:sz="8" w:color="6F2875"/>
            </w:tcBorders>
          </w:tcPr>
          <w:p>
            <w:pPr>
              <w:jc w:val="right"/>
              <w:ind w:right="48"/>
              <w:spacing w:after="0"/>
              <w:rPr>
                <w:sz w:val="20"/>
                <w:szCs w:val="20"/>
                <w:color w:val="auto"/>
              </w:rPr>
            </w:pPr>
            <w:r>
              <w:rPr>
                <w:rFonts w:ascii="Arial" w:cs="Arial" w:eastAsia="Arial" w:hAnsi="Arial"/>
                <w:sz w:val="14"/>
                <w:szCs w:val="14"/>
                <w:b w:val="1"/>
                <w:bCs w:val="1"/>
                <w:color w:val="6F2875"/>
              </w:rPr>
              <w:t>($)</w:t>
            </w:r>
          </w:p>
        </w:tc>
        <w:tc>
          <w:tcPr>
            <w:tcW w:w="860" w:type="dxa"/>
            <w:vAlign w:val="bottom"/>
            <w:tcBorders>
              <w:bottom w:val="single" w:sz="8" w:color="6F2875"/>
            </w:tcBorders>
            <w:gridSpan w:val="2"/>
          </w:tcPr>
          <w:p>
            <w:pPr>
              <w:jc w:val="right"/>
              <w:ind w:right="80"/>
              <w:spacing w:after="0"/>
              <w:rPr>
                <w:sz w:val="20"/>
                <w:szCs w:val="20"/>
                <w:color w:val="auto"/>
              </w:rPr>
            </w:pPr>
            <w:r>
              <w:rPr>
                <w:rFonts w:ascii="Arial" w:cs="Arial" w:eastAsia="Arial" w:hAnsi="Arial"/>
                <w:sz w:val="14"/>
                <w:szCs w:val="14"/>
                <w:b w:val="1"/>
                <w:bCs w:val="1"/>
                <w:color w:val="6F2875"/>
              </w:rPr>
              <w:t>($)</w:t>
            </w:r>
          </w:p>
        </w:tc>
        <w:tc>
          <w:tcPr>
            <w:tcW w:w="1060" w:type="dxa"/>
            <w:vAlign w:val="bottom"/>
            <w:tcBorders>
              <w:bottom w:val="single" w:sz="8" w:color="6F2875"/>
            </w:tcBorders>
          </w:tcPr>
          <w:p>
            <w:pPr>
              <w:jc w:val="right"/>
              <w:ind w:right="48"/>
              <w:spacing w:after="0"/>
              <w:rPr>
                <w:sz w:val="20"/>
                <w:szCs w:val="20"/>
                <w:color w:val="auto"/>
              </w:rPr>
            </w:pPr>
            <w:r>
              <w:rPr>
                <w:rFonts w:ascii="Arial" w:cs="Arial" w:eastAsia="Arial" w:hAnsi="Arial"/>
                <w:sz w:val="14"/>
                <w:szCs w:val="14"/>
                <w:b w:val="1"/>
                <w:bCs w:val="1"/>
                <w:color w:val="6F2875"/>
              </w:rPr>
              <w:t>(#)</w:t>
            </w:r>
          </w:p>
        </w:tc>
        <w:tc>
          <w:tcPr>
            <w:tcW w:w="1100" w:type="dxa"/>
            <w:vAlign w:val="bottom"/>
            <w:tcBorders>
              <w:bottom w:val="single" w:sz="8" w:color="6F2875"/>
            </w:tcBorders>
          </w:tcPr>
          <w:p>
            <w:pPr>
              <w:jc w:val="right"/>
              <w:ind w:right="148"/>
              <w:spacing w:after="0"/>
              <w:rPr>
                <w:sz w:val="20"/>
                <w:szCs w:val="20"/>
                <w:color w:val="auto"/>
              </w:rPr>
            </w:pPr>
            <w:r>
              <w:rPr>
                <w:rFonts w:ascii="Arial" w:cs="Arial" w:eastAsia="Arial" w:hAnsi="Arial"/>
                <w:sz w:val="14"/>
                <w:szCs w:val="14"/>
                <w:b w:val="1"/>
                <w:bCs w:val="1"/>
                <w:color w:val="6F2875"/>
              </w:rPr>
              <w:t>(#)</w:t>
            </w:r>
          </w:p>
        </w:tc>
        <w:tc>
          <w:tcPr>
            <w:tcW w:w="960" w:type="dxa"/>
            <w:vAlign w:val="bottom"/>
            <w:tcBorders>
              <w:bottom w:val="single" w:sz="8" w:color="6F2875"/>
            </w:tcBorders>
          </w:tcPr>
          <w:p>
            <w:pPr>
              <w:jc w:val="right"/>
              <w:ind w:right="88"/>
              <w:spacing w:after="0"/>
              <w:rPr>
                <w:sz w:val="20"/>
                <w:szCs w:val="20"/>
                <w:color w:val="auto"/>
              </w:rPr>
            </w:pPr>
            <w:r>
              <w:rPr>
                <w:rFonts w:ascii="Arial" w:cs="Arial" w:eastAsia="Arial" w:hAnsi="Arial"/>
                <w:sz w:val="14"/>
                <w:szCs w:val="14"/>
                <w:b w:val="1"/>
                <w:bCs w:val="1"/>
                <w:color w:val="6F2875"/>
              </w:rPr>
              <w:t>($/Sh)</w:t>
            </w:r>
          </w:p>
        </w:tc>
        <w:tc>
          <w:tcPr>
            <w:tcW w:w="1080" w:type="dxa"/>
            <w:vAlign w:val="bottom"/>
            <w:tcBorders>
              <w:bottom w:val="single" w:sz="8" w:color="6F2875"/>
            </w:tcBorders>
          </w:tcPr>
          <w:p>
            <w:pPr>
              <w:jc w:val="right"/>
              <w:spacing w:after="0" w:line="189" w:lineRule="exact"/>
              <w:rPr>
                <w:sz w:val="20"/>
                <w:szCs w:val="20"/>
                <w:color w:val="auto"/>
              </w:rPr>
            </w:pPr>
            <w:r>
              <w:rPr>
                <w:rFonts w:ascii="Arial" w:cs="Arial" w:eastAsia="Arial" w:hAnsi="Arial"/>
                <w:sz w:val="13"/>
                <w:szCs w:val="13"/>
                <w:b w:val="1"/>
                <w:bCs w:val="1"/>
                <w:color w:val="6F2875"/>
              </w:rPr>
              <w:t>($)</w:t>
            </w:r>
            <w:r>
              <w:rPr>
                <w:rFonts w:ascii="Arial" w:cs="Arial" w:eastAsia="Arial" w:hAnsi="Arial"/>
                <w:sz w:val="21"/>
                <w:szCs w:val="21"/>
                <w:b w:val="1"/>
                <w:bCs w:val="1"/>
                <w:color w:val="6F2875"/>
                <w:vertAlign w:val="superscript"/>
              </w:rPr>
              <w:t>(2)</w:t>
            </w:r>
          </w:p>
        </w:tc>
        <w:tc>
          <w:tcPr>
            <w:tcW w:w="0" w:type="dxa"/>
            <w:vAlign w:val="bottom"/>
          </w:tcPr>
          <w:p>
            <w:pPr>
              <w:spacing w:after="0"/>
              <w:rPr>
                <w:sz w:val="1"/>
                <w:szCs w:val="1"/>
                <w:color w:val="auto"/>
              </w:rPr>
            </w:pPr>
          </w:p>
        </w:tc>
      </w:tr>
      <w:tr>
        <w:trPr>
          <w:trHeight w:val="156"/>
        </w:trPr>
        <w:tc>
          <w:tcPr>
            <w:tcW w:w="1060" w:type="dxa"/>
            <w:vAlign w:val="bottom"/>
          </w:tcPr>
          <w:p>
            <w:pPr>
              <w:ind w:left="60"/>
              <w:spacing w:after="0" w:line="155" w:lineRule="exact"/>
              <w:rPr>
                <w:sz w:val="20"/>
                <w:szCs w:val="20"/>
                <w:color w:val="auto"/>
              </w:rPr>
            </w:pPr>
            <w:r>
              <w:rPr>
                <w:rFonts w:ascii="Arial" w:cs="Arial" w:eastAsia="Arial" w:hAnsi="Arial"/>
                <w:sz w:val="14"/>
                <w:szCs w:val="14"/>
                <w:b w:val="1"/>
                <w:bCs w:val="1"/>
                <w:color w:val="231F20"/>
              </w:rPr>
              <w:t>Damien</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jc w:val="right"/>
              <w:ind w:right="69"/>
              <w:spacing w:after="0" w:line="155" w:lineRule="exact"/>
              <w:rPr>
                <w:sz w:val="20"/>
                <w:szCs w:val="20"/>
                <w:color w:val="auto"/>
              </w:rPr>
            </w:pPr>
            <w:r>
              <w:rPr>
                <w:rFonts w:ascii="Arial" w:cs="Arial" w:eastAsia="Arial" w:hAnsi="Arial"/>
                <w:sz w:val="14"/>
                <w:szCs w:val="14"/>
                <w:color w:val="231F20"/>
              </w:rPr>
              <w:t>—</w:t>
            </w:r>
          </w:p>
        </w:tc>
        <w:tc>
          <w:tcPr>
            <w:tcW w:w="740" w:type="dxa"/>
            <w:vAlign w:val="bottom"/>
          </w:tcPr>
          <w:p>
            <w:pPr>
              <w:jc w:val="right"/>
              <w:ind w:right="8"/>
              <w:spacing w:after="0" w:line="155" w:lineRule="exact"/>
              <w:rPr>
                <w:sz w:val="20"/>
                <w:szCs w:val="20"/>
                <w:color w:val="auto"/>
              </w:rPr>
            </w:pPr>
            <w:r>
              <w:rPr>
                <w:rFonts w:ascii="Arial" w:cs="Arial" w:eastAsia="Arial" w:hAnsi="Arial"/>
                <w:sz w:val="14"/>
                <w:szCs w:val="14"/>
                <w:color w:val="231F20"/>
              </w:rPr>
              <w:t>919,286</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231F20"/>
              </w:rPr>
              <w:t>1,608,751</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60" w:type="dxa"/>
            <w:vAlign w:val="bottom"/>
          </w:tcPr>
          <w:p>
            <w:pPr>
              <w:ind w:left="60"/>
              <w:spacing w:after="0"/>
              <w:rPr>
                <w:sz w:val="20"/>
                <w:szCs w:val="20"/>
                <w:color w:val="auto"/>
              </w:rPr>
            </w:pPr>
            <w:r>
              <w:rPr>
                <w:rFonts w:ascii="Arial" w:cs="Arial" w:eastAsia="Arial" w:hAnsi="Arial"/>
                <w:sz w:val="14"/>
                <w:szCs w:val="14"/>
                <w:b w:val="1"/>
                <w:bCs w:val="1"/>
                <w:color w:val="231F20"/>
              </w:rPr>
              <w:t>McDonald</w:t>
            </w:r>
          </w:p>
        </w:tc>
        <w:tc>
          <w:tcPr>
            <w:tcW w:w="100" w:type="dxa"/>
            <w:vAlign w:val="bottom"/>
          </w:tcPr>
          <w:p>
            <w:pPr>
              <w:spacing w:after="0"/>
              <w:rPr>
                <w:sz w:val="14"/>
                <w:szCs w:val="14"/>
                <w:color w:val="auto"/>
              </w:rPr>
            </w:pPr>
          </w:p>
        </w:tc>
        <w:tc>
          <w:tcPr>
            <w:tcW w:w="940" w:type="dxa"/>
            <w:vAlign w:val="bottom"/>
            <w:shd w:val="clear" w:color="auto" w:fill="F3EDF3"/>
          </w:tcPr>
          <w:p>
            <w:pPr>
              <w:spacing w:after="0"/>
              <w:rPr>
                <w:sz w:val="20"/>
                <w:szCs w:val="20"/>
                <w:color w:val="auto"/>
              </w:rPr>
            </w:pPr>
            <w:r>
              <w:rPr>
                <w:rFonts w:ascii="Arial" w:cs="Arial" w:eastAsia="Arial" w:hAnsi="Arial"/>
                <w:sz w:val="14"/>
                <w:szCs w:val="14"/>
                <w:color w:val="231F20"/>
              </w:rPr>
              <w:t>05/05/2017</w:t>
            </w:r>
          </w:p>
        </w:tc>
        <w:tc>
          <w:tcPr>
            <w:tcW w:w="860" w:type="dxa"/>
            <w:vAlign w:val="bottom"/>
            <w:shd w:val="clear" w:color="auto" w:fill="F3EDF3"/>
          </w:tcPr>
          <w:p>
            <w:pPr>
              <w:spacing w:after="0"/>
              <w:rPr>
                <w:sz w:val="14"/>
                <w:szCs w:val="14"/>
                <w:color w:val="auto"/>
              </w:rPr>
            </w:pPr>
          </w:p>
        </w:tc>
        <w:tc>
          <w:tcPr>
            <w:tcW w:w="740" w:type="dxa"/>
            <w:vAlign w:val="bottom"/>
            <w:shd w:val="clear" w:color="auto" w:fill="F3EDF3"/>
          </w:tcPr>
          <w:p>
            <w:pPr>
              <w:spacing w:after="0"/>
              <w:rPr>
                <w:sz w:val="14"/>
                <w:szCs w:val="14"/>
                <w:color w:val="auto"/>
              </w:rPr>
            </w:pPr>
          </w:p>
        </w:tc>
        <w:tc>
          <w:tcPr>
            <w:tcW w:w="720" w:type="dxa"/>
            <w:vAlign w:val="bottom"/>
            <w:shd w:val="clear" w:color="auto" w:fill="F3EDF3"/>
          </w:tcPr>
          <w:p>
            <w:pPr>
              <w:spacing w:after="0"/>
              <w:rPr>
                <w:sz w:val="14"/>
                <w:szCs w:val="14"/>
                <w:color w:val="auto"/>
              </w:rPr>
            </w:pPr>
          </w:p>
        </w:tc>
        <w:tc>
          <w:tcPr>
            <w:tcW w:w="120" w:type="dxa"/>
            <w:vAlign w:val="bottom"/>
            <w:shd w:val="clear" w:color="auto" w:fill="F3EDF3"/>
          </w:tcPr>
          <w:p>
            <w:pPr>
              <w:spacing w:after="0"/>
              <w:rPr>
                <w:sz w:val="14"/>
                <w:szCs w:val="14"/>
                <w:color w:val="auto"/>
              </w:rPr>
            </w:pPr>
          </w:p>
        </w:tc>
        <w:tc>
          <w:tcPr>
            <w:tcW w:w="1020" w:type="dxa"/>
            <w:vAlign w:val="bottom"/>
            <w:shd w:val="clear" w:color="auto" w:fill="F3EDF3"/>
          </w:tcPr>
          <w:p>
            <w:pPr>
              <w:jc w:val="right"/>
              <w:ind w:right="168"/>
              <w:spacing w:after="0"/>
              <w:rPr>
                <w:sz w:val="20"/>
                <w:szCs w:val="20"/>
                <w:color w:val="auto"/>
              </w:rPr>
            </w:pPr>
            <w:r>
              <w:rPr>
                <w:rFonts w:ascii="Arial" w:cs="Arial" w:eastAsia="Arial" w:hAnsi="Arial"/>
                <w:sz w:val="14"/>
                <w:szCs w:val="14"/>
                <w:color w:val="231F20"/>
              </w:rPr>
              <w:t>—</w:t>
            </w:r>
          </w:p>
        </w:tc>
        <w:tc>
          <w:tcPr>
            <w:tcW w:w="800" w:type="dxa"/>
            <w:vAlign w:val="bottom"/>
            <w:shd w:val="clear" w:color="auto" w:fill="F3EDF3"/>
          </w:tcPr>
          <w:p>
            <w:pPr>
              <w:jc w:val="right"/>
              <w:ind w:right="48"/>
              <w:spacing w:after="0"/>
              <w:rPr>
                <w:sz w:val="20"/>
                <w:szCs w:val="20"/>
                <w:color w:val="auto"/>
              </w:rPr>
            </w:pPr>
            <w:r>
              <w:rPr>
                <w:rFonts w:ascii="Arial" w:cs="Arial" w:eastAsia="Arial" w:hAnsi="Arial"/>
                <w:sz w:val="14"/>
                <w:szCs w:val="14"/>
                <w:color w:val="231F20"/>
              </w:rPr>
              <w:t>53,409</w:t>
            </w:r>
          </w:p>
        </w:tc>
        <w:tc>
          <w:tcPr>
            <w:tcW w:w="860" w:type="dxa"/>
            <w:vAlign w:val="bottom"/>
            <w:gridSpan w:val="2"/>
            <w:shd w:val="clear" w:color="auto" w:fill="F3EDF3"/>
          </w:tcPr>
          <w:p>
            <w:pPr>
              <w:jc w:val="right"/>
              <w:ind w:right="80"/>
              <w:spacing w:after="0"/>
              <w:rPr>
                <w:sz w:val="20"/>
                <w:szCs w:val="20"/>
                <w:color w:val="auto"/>
              </w:rPr>
            </w:pPr>
            <w:r>
              <w:rPr>
                <w:rFonts w:ascii="Arial" w:cs="Arial" w:eastAsia="Arial" w:hAnsi="Arial"/>
                <w:sz w:val="14"/>
                <w:szCs w:val="14"/>
                <w:color w:val="231F20"/>
              </w:rPr>
              <w:t>53,409</w:t>
            </w:r>
          </w:p>
        </w:tc>
        <w:tc>
          <w:tcPr>
            <w:tcW w:w="1060" w:type="dxa"/>
            <w:vAlign w:val="bottom"/>
            <w:shd w:val="clear" w:color="auto" w:fill="F3EDF3"/>
          </w:tcPr>
          <w:p>
            <w:pPr>
              <w:spacing w:after="0"/>
              <w:rPr>
                <w:sz w:val="14"/>
                <w:szCs w:val="14"/>
                <w:color w:val="auto"/>
              </w:rPr>
            </w:pPr>
          </w:p>
        </w:tc>
        <w:tc>
          <w:tcPr>
            <w:tcW w:w="1100" w:type="dxa"/>
            <w:vAlign w:val="bottom"/>
            <w:shd w:val="clear" w:color="auto" w:fill="F3EDF3"/>
          </w:tcPr>
          <w:p>
            <w:pPr>
              <w:jc w:val="right"/>
              <w:ind w:right="148"/>
              <w:spacing w:after="0"/>
              <w:rPr>
                <w:sz w:val="20"/>
                <w:szCs w:val="20"/>
                <w:color w:val="auto"/>
              </w:rPr>
            </w:pPr>
            <w:r>
              <w:rPr>
                <w:rFonts w:ascii="Arial" w:cs="Arial" w:eastAsia="Arial" w:hAnsi="Arial"/>
                <w:sz w:val="14"/>
                <w:szCs w:val="14"/>
                <w:color w:val="231F20"/>
              </w:rPr>
              <w:t>—</w:t>
            </w:r>
          </w:p>
        </w:tc>
        <w:tc>
          <w:tcPr>
            <w:tcW w:w="960" w:type="dxa"/>
            <w:vAlign w:val="bottom"/>
            <w:shd w:val="clear" w:color="auto" w:fill="F3EDF3"/>
          </w:tcPr>
          <w:p>
            <w:pPr>
              <w:spacing w:after="0"/>
              <w:rPr>
                <w:sz w:val="14"/>
                <w:szCs w:val="14"/>
                <w:color w:val="auto"/>
              </w:rPr>
            </w:pPr>
          </w:p>
        </w:tc>
        <w:tc>
          <w:tcPr>
            <w:tcW w:w="1080" w:type="dxa"/>
            <w:vAlign w:val="bottom"/>
            <w:shd w:val="clear" w:color="auto" w:fill="F3EDF3"/>
          </w:tcPr>
          <w:p>
            <w:pPr>
              <w:jc w:val="right"/>
              <w:spacing w:after="0"/>
              <w:rPr>
                <w:sz w:val="20"/>
                <w:szCs w:val="20"/>
                <w:color w:val="auto"/>
              </w:rPr>
            </w:pPr>
            <w:r>
              <w:rPr>
                <w:rFonts w:ascii="Arial" w:cs="Arial" w:eastAsia="Arial" w:hAnsi="Arial"/>
                <w:sz w:val="14"/>
                <w:szCs w:val="14"/>
                <w:color w:val="231F20"/>
              </w:rPr>
              <w:t>1,350,826</w:t>
            </w:r>
          </w:p>
        </w:tc>
        <w:tc>
          <w:tcPr>
            <w:tcW w:w="0" w:type="dxa"/>
            <w:vAlign w:val="bottom"/>
          </w:tcPr>
          <w:p>
            <w:pPr>
              <w:spacing w:after="0"/>
              <w:rPr>
                <w:sz w:val="1"/>
                <w:szCs w:val="1"/>
                <w:color w:val="auto"/>
              </w:rPr>
            </w:pPr>
          </w:p>
        </w:tc>
      </w:tr>
      <w:tr>
        <w:trPr>
          <w:trHeight w:val="176"/>
        </w:trPr>
        <w:tc>
          <w:tcPr>
            <w:tcW w:w="1060" w:type="dxa"/>
            <w:vAlign w:val="bottom"/>
            <w:tcBorders>
              <w:bottom w:val="single" w:sz="8" w:color="6F2875"/>
            </w:tcBorders>
          </w:tcPr>
          <w:p>
            <w:pPr>
              <w:spacing w:after="0"/>
              <w:rPr>
                <w:sz w:val="15"/>
                <w:szCs w:val="15"/>
                <w:color w:val="auto"/>
              </w:rPr>
            </w:pPr>
          </w:p>
        </w:tc>
        <w:tc>
          <w:tcPr>
            <w:tcW w:w="1040" w:type="dxa"/>
            <w:vAlign w:val="bottom"/>
            <w:tcBorders>
              <w:bottom w:val="single" w:sz="8" w:color="6F2875"/>
            </w:tcBorders>
            <w:gridSpan w:val="2"/>
          </w:tcPr>
          <w:p>
            <w:pPr>
              <w:ind w:left="100"/>
              <w:spacing w:after="0"/>
              <w:rPr>
                <w:sz w:val="20"/>
                <w:szCs w:val="20"/>
                <w:color w:val="auto"/>
              </w:rPr>
            </w:pPr>
            <w:r>
              <w:rPr>
                <w:rFonts w:ascii="Arial" w:cs="Arial" w:eastAsia="Arial" w:hAnsi="Arial"/>
                <w:sz w:val="14"/>
                <w:szCs w:val="14"/>
                <w:color w:val="231F20"/>
              </w:rPr>
              <w:t>05/05/2017</w:t>
            </w:r>
          </w:p>
        </w:tc>
        <w:tc>
          <w:tcPr>
            <w:tcW w:w="860" w:type="dxa"/>
            <w:vAlign w:val="bottom"/>
            <w:tcBorders>
              <w:bottom w:val="single" w:sz="8" w:color="6F2875"/>
            </w:tcBorders>
          </w:tcPr>
          <w:p>
            <w:pPr>
              <w:spacing w:after="0"/>
              <w:rPr>
                <w:sz w:val="15"/>
                <w:szCs w:val="15"/>
                <w:color w:val="auto"/>
              </w:rPr>
            </w:pPr>
          </w:p>
        </w:tc>
        <w:tc>
          <w:tcPr>
            <w:tcW w:w="740" w:type="dxa"/>
            <w:vAlign w:val="bottom"/>
            <w:tcBorders>
              <w:bottom w:val="single" w:sz="8" w:color="6F2875"/>
            </w:tcBorders>
          </w:tcPr>
          <w:p>
            <w:pPr>
              <w:spacing w:after="0"/>
              <w:rPr>
                <w:sz w:val="15"/>
                <w:szCs w:val="15"/>
                <w:color w:val="auto"/>
              </w:rPr>
            </w:pPr>
          </w:p>
        </w:tc>
        <w:tc>
          <w:tcPr>
            <w:tcW w:w="720" w:type="dxa"/>
            <w:vAlign w:val="bottom"/>
            <w:tcBorders>
              <w:bottom w:val="single" w:sz="8" w:color="6F2875"/>
            </w:tcBorders>
          </w:tcPr>
          <w:p>
            <w:pPr>
              <w:spacing w:after="0"/>
              <w:rPr>
                <w:sz w:val="15"/>
                <w:szCs w:val="15"/>
                <w:color w:val="auto"/>
              </w:rPr>
            </w:pPr>
          </w:p>
        </w:tc>
        <w:tc>
          <w:tcPr>
            <w:tcW w:w="120" w:type="dxa"/>
            <w:vAlign w:val="bottom"/>
            <w:tcBorders>
              <w:bottom w:val="single" w:sz="8" w:color="6F2875"/>
            </w:tcBorders>
          </w:tcPr>
          <w:p>
            <w:pPr>
              <w:spacing w:after="0"/>
              <w:rPr>
                <w:sz w:val="15"/>
                <w:szCs w:val="15"/>
                <w:color w:val="auto"/>
              </w:rPr>
            </w:pPr>
          </w:p>
        </w:tc>
        <w:tc>
          <w:tcPr>
            <w:tcW w:w="1020" w:type="dxa"/>
            <w:vAlign w:val="bottom"/>
            <w:tcBorders>
              <w:bottom w:val="single" w:sz="8" w:color="6F2875"/>
            </w:tcBorders>
          </w:tcPr>
          <w:p>
            <w:pPr>
              <w:spacing w:after="0"/>
              <w:rPr>
                <w:sz w:val="15"/>
                <w:szCs w:val="15"/>
                <w:color w:val="auto"/>
              </w:rPr>
            </w:pPr>
          </w:p>
        </w:tc>
        <w:tc>
          <w:tcPr>
            <w:tcW w:w="800" w:type="dxa"/>
            <w:vAlign w:val="bottom"/>
            <w:tcBorders>
              <w:bottom w:val="single" w:sz="8" w:color="6F2875"/>
            </w:tcBorders>
          </w:tcPr>
          <w:p>
            <w:pPr>
              <w:spacing w:after="0"/>
              <w:rPr>
                <w:sz w:val="15"/>
                <w:szCs w:val="15"/>
                <w:color w:val="auto"/>
              </w:rPr>
            </w:pPr>
          </w:p>
        </w:tc>
        <w:tc>
          <w:tcPr>
            <w:tcW w:w="780" w:type="dxa"/>
            <w:vAlign w:val="bottom"/>
            <w:tcBorders>
              <w:bottom w:val="single" w:sz="8" w:color="6F2875"/>
            </w:tcBorders>
          </w:tcPr>
          <w:p>
            <w:pPr>
              <w:spacing w:after="0"/>
              <w:rPr>
                <w:sz w:val="15"/>
                <w:szCs w:val="15"/>
                <w:color w:val="auto"/>
              </w:rPr>
            </w:pPr>
          </w:p>
        </w:tc>
        <w:tc>
          <w:tcPr>
            <w:tcW w:w="80" w:type="dxa"/>
            <w:vAlign w:val="bottom"/>
            <w:tcBorders>
              <w:bottom w:val="single" w:sz="8" w:color="6F2875"/>
            </w:tcBorders>
          </w:tcPr>
          <w:p>
            <w:pPr>
              <w:spacing w:after="0"/>
              <w:rPr>
                <w:sz w:val="15"/>
                <w:szCs w:val="15"/>
                <w:color w:val="auto"/>
              </w:rPr>
            </w:pPr>
          </w:p>
        </w:tc>
        <w:tc>
          <w:tcPr>
            <w:tcW w:w="1060" w:type="dxa"/>
            <w:vAlign w:val="bottom"/>
            <w:tcBorders>
              <w:bottom w:val="single" w:sz="8" w:color="6F2875"/>
            </w:tcBorders>
          </w:tcPr>
          <w:p>
            <w:pPr>
              <w:jc w:val="right"/>
              <w:ind w:right="48"/>
              <w:spacing w:after="0"/>
              <w:rPr>
                <w:sz w:val="20"/>
                <w:szCs w:val="20"/>
                <w:color w:val="auto"/>
              </w:rPr>
            </w:pPr>
            <w:r>
              <w:rPr>
                <w:rFonts w:ascii="Arial" w:cs="Arial" w:eastAsia="Arial" w:hAnsi="Arial"/>
                <w:sz w:val="14"/>
                <w:szCs w:val="14"/>
                <w:color w:val="231F20"/>
              </w:rPr>
              <w:t>17,803</w:t>
            </w:r>
          </w:p>
        </w:tc>
        <w:tc>
          <w:tcPr>
            <w:tcW w:w="1100" w:type="dxa"/>
            <w:vAlign w:val="bottom"/>
            <w:tcBorders>
              <w:bottom w:val="single" w:sz="8" w:color="6F2875"/>
            </w:tcBorders>
          </w:tcPr>
          <w:p>
            <w:pPr>
              <w:spacing w:after="0"/>
              <w:rPr>
                <w:sz w:val="15"/>
                <w:szCs w:val="15"/>
                <w:color w:val="auto"/>
              </w:rPr>
            </w:pPr>
          </w:p>
        </w:tc>
        <w:tc>
          <w:tcPr>
            <w:tcW w:w="960" w:type="dxa"/>
            <w:vAlign w:val="bottom"/>
            <w:tcBorders>
              <w:bottom w:val="single" w:sz="8" w:color="6F2875"/>
            </w:tcBorders>
          </w:tcPr>
          <w:p>
            <w:pPr>
              <w:spacing w:after="0"/>
              <w:rPr>
                <w:sz w:val="15"/>
                <w:szCs w:val="15"/>
                <w:color w:val="auto"/>
              </w:rPr>
            </w:pPr>
          </w:p>
        </w:tc>
        <w:tc>
          <w:tcPr>
            <w:tcW w:w="1080" w:type="dxa"/>
            <w:vAlign w:val="bottom"/>
            <w:tcBorders>
              <w:bottom w:val="single" w:sz="8" w:color="6F2875"/>
            </w:tcBorders>
          </w:tcPr>
          <w:p>
            <w:pPr>
              <w:jc w:val="right"/>
              <w:spacing w:after="0"/>
              <w:rPr>
                <w:sz w:val="20"/>
                <w:szCs w:val="20"/>
                <w:color w:val="auto"/>
              </w:rPr>
            </w:pPr>
            <w:r>
              <w:rPr>
                <w:rFonts w:ascii="Arial" w:cs="Arial" w:eastAsia="Arial" w:hAnsi="Arial"/>
                <w:sz w:val="14"/>
                <w:szCs w:val="14"/>
                <w:color w:val="231F20"/>
              </w:rPr>
              <w:t>999,995</w:t>
            </w:r>
          </w:p>
        </w:tc>
        <w:tc>
          <w:tcPr>
            <w:tcW w:w="0" w:type="dxa"/>
            <w:vAlign w:val="bottom"/>
          </w:tcPr>
          <w:p>
            <w:pPr>
              <w:spacing w:after="0"/>
              <w:rPr>
                <w:sz w:val="1"/>
                <w:szCs w:val="1"/>
                <w:color w:val="auto"/>
              </w:rPr>
            </w:pPr>
          </w:p>
        </w:tc>
      </w:tr>
      <w:tr>
        <w:trPr>
          <w:trHeight w:val="156"/>
        </w:trPr>
        <w:tc>
          <w:tcPr>
            <w:tcW w:w="1060" w:type="dxa"/>
            <w:vAlign w:val="bottom"/>
          </w:tcPr>
          <w:p>
            <w:pPr>
              <w:ind w:left="60"/>
              <w:spacing w:after="0" w:line="155" w:lineRule="exact"/>
              <w:rPr>
                <w:sz w:val="20"/>
                <w:szCs w:val="20"/>
                <w:color w:val="auto"/>
              </w:rPr>
            </w:pPr>
            <w:r>
              <w:rPr>
                <w:rFonts w:ascii="Arial" w:cs="Arial" w:eastAsia="Arial" w:hAnsi="Arial"/>
                <w:sz w:val="14"/>
                <w:szCs w:val="14"/>
                <w:b w:val="1"/>
                <w:bCs w:val="1"/>
                <w:color w:val="231F20"/>
              </w:rPr>
              <w:t>Thad Huston</w:t>
            </w:r>
          </w:p>
        </w:tc>
        <w:tc>
          <w:tcPr>
            <w:tcW w:w="100" w:type="dxa"/>
            <w:vAlign w:val="bottom"/>
          </w:tcPr>
          <w:p>
            <w:pPr>
              <w:spacing w:after="0"/>
              <w:rPr>
                <w:sz w:val="13"/>
                <w:szCs w:val="13"/>
                <w:color w:val="auto"/>
              </w:rPr>
            </w:pPr>
          </w:p>
        </w:tc>
        <w:tc>
          <w:tcPr>
            <w:tcW w:w="940" w:type="dxa"/>
            <w:vAlign w:val="bottom"/>
            <w:shd w:val="clear" w:color="auto" w:fill="F3EDF3"/>
          </w:tcPr>
          <w:p>
            <w:pPr>
              <w:spacing w:after="0"/>
              <w:rPr>
                <w:sz w:val="13"/>
                <w:szCs w:val="13"/>
                <w:color w:val="auto"/>
              </w:rPr>
            </w:pPr>
          </w:p>
        </w:tc>
        <w:tc>
          <w:tcPr>
            <w:tcW w:w="860" w:type="dxa"/>
            <w:vAlign w:val="bottom"/>
            <w:shd w:val="clear" w:color="auto" w:fill="F3EDF3"/>
          </w:tcPr>
          <w:p>
            <w:pPr>
              <w:jc w:val="right"/>
              <w:ind w:right="69"/>
              <w:spacing w:after="0" w:line="155" w:lineRule="exact"/>
              <w:rPr>
                <w:sz w:val="20"/>
                <w:szCs w:val="20"/>
                <w:color w:val="auto"/>
              </w:rPr>
            </w:pPr>
            <w:r>
              <w:rPr>
                <w:rFonts w:ascii="Arial" w:cs="Arial" w:eastAsia="Arial" w:hAnsi="Arial"/>
                <w:sz w:val="14"/>
                <w:szCs w:val="14"/>
                <w:color w:val="231F20"/>
              </w:rPr>
              <w:t>—</w:t>
            </w:r>
          </w:p>
        </w:tc>
        <w:tc>
          <w:tcPr>
            <w:tcW w:w="740" w:type="dxa"/>
            <w:vAlign w:val="bottom"/>
            <w:shd w:val="clear" w:color="auto" w:fill="F3EDF3"/>
          </w:tcPr>
          <w:p>
            <w:pPr>
              <w:jc w:val="right"/>
              <w:ind w:right="8"/>
              <w:spacing w:after="0" w:line="155" w:lineRule="exact"/>
              <w:rPr>
                <w:sz w:val="20"/>
                <w:szCs w:val="20"/>
                <w:color w:val="auto"/>
              </w:rPr>
            </w:pPr>
            <w:r>
              <w:rPr>
                <w:rFonts w:ascii="Arial" w:cs="Arial" w:eastAsia="Arial" w:hAnsi="Arial"/>
                <w:sz w:val="14"/>
                <w:szCs w:val="14"/>
                <w:color w:val="231F20"/>
              </w:rPr>
              <w:t>444,746</w:t>
            </w:r>
          </w:p>
        </w:tc>
        <w:tc>
          <w:tcPr>
            <w:tcW w:w="840" w:type="dxa"/>
            <w:vAlign w:val="bottom"/>
            <w:gridSpan w:val="2"/>
            <w:shd w:val="clear" w:color="auto" w:fill="F3EDF3"/>
          </w:tcPr>
          <w:p>
            <w:pPr>
              <w:jc w:val="right"/>
              <w:ind w:right="120"/>
              <w:spacing w:after="0" w:line="155" w:lineRule="exact"/>
              <w:rPr>
                <w:sz w:val="20"/>
                <w:szCs w:val="20"/>
                <w:color w:val="auto"/>
              </w:rPr>
            </w:pPr>
            <w:r>
              <w:rPr>
                <w:rFonts w:ascii="Arial" w:cs="Arial" w:eastAsia="Arial" w:hAnsi="Arial"/>
                <w:sz w:val="14"/>
                <w:szCs w:val="14"/>
                <w:color w:val="231F20"/>
              </w:rPr>
              <w:t>711,594</w:t>
            </w:r>
          </w:p>
        </w:tc>
        <w:tc>
          <w:tcPr>
            <w:tcW w:w="1020" w:type="dxa"/>
            <w:vAlign w:val="bottom"/>
            <w:shd w:val="clear" w:color="auto" w:fill="F3EDF3"/>
          </w:tcPr>
          <w:p>
            <w:pPr>
              <w:spacing w:after="0"/>
              <w:rPr>
                <w:sz w:val="13"/>
                <w:szCs w:val="13"/>
                <w:color w:val="auto"/>
              </w:rPr>
            </w:pPr>
          </w:p>
        </w:tc>
        <w:tc>
          <w:tcPr>
            <w:tcW w:w="800" w:type="dxa"/>
            <w:vAlign w:val="bottom"/>
            <w:shd w:val="clear" w:color="auto" w:fill="F3EDF3"/>
          </w:tcPr>
          <w:p>
            <w:pPr>
              <w:spacing w:after="0"/>
              <w:rPr>
                <w:sz w:val="13"/>
                <w:szCs w:val="13"/>
                <w:color w:val="auto"/>
              </w:rPr>
            </w:pPr>
          </w:p>
        </w:tc>
        <w:tc>
          <w:tcPr>
            <w:tcW w:w="780" w:type="dxa"/>
            <w:vAlign w:val="bottom"/>
            <w:shd w:val="clear" w:color="auto" w:fill="F3EDF3"/>
          </w:tcPr>
          <w:p>
            <w:pPr>
              <w:spacing w:after="0"/>
              <w:rPr>
                <w:sz w:val="13"/>
                <w:szCs w:val="13"/>
                <w:color w:val="auto"/>
              </w:rPr>
            </w:pPr>
          </w:p>
        </w:tc>
        <w:tc>
          <w:tcPr>
            <w:tcW w:w="80" w:type="dxa"/>
            <w:vAlign w:val="bottom"/>
            <w:shd w:val="clear" w:color="auto" w:fill="F3EDF3"/>
          </w:tcPr>
          <w:p>
            <w:pPr>
              <w:spacing w:after="0"/>
              <w:rPr>
                <w:sz w:val="13"/>
                <w:szCs w:val="13"/>
                <w:color w:val="auto"/>
              </w:rPr>
            </w:pPr>
          </w:p>
        </w:tc>
        <w:tc>
          <w:tcPr>
            <w:tcW w:w="1060" w:type="dxa"/>
            <w:vAlign w:val="bottom"/>
            <w:shd w:val="clear" w:color="auto" w:fill="F3EDF3"/>
          </w:tcPr>
          <w:p>
            <w:pPr>
              <w:spacing w:after="0"/>
              <w:rPr>
                <w:sz w:val="13"/>
                <w:szCs w:val="13"/>
                <w:color w:val="auto"/>
              </w:rPr>
            </w:pPr>
          </w:p>
        </w:tc>
        <w:tc>
          <w:tcPr>
            <w:tcW w:w="1100" w:type="dxa"/>
            <w:vAlign w:val="bottom"/>
            <w:shd w:val="clear" w:color="auto" w:fill="F3EDF3"/>
          </w:tcPr>
          <w:p>
            <w:pPr>
              <w:spacing w:after="0"/>
              <w:rPr>
                <w:sz w:val="13"/>
                <w:szCs w:val="13"/>
                <w:color w:val="auto"/>
              </w:rPr>
            </w:pPr>
          </w:p>
        </w:tc>
        <w:tc>
          <w:tcPr>
            <w:tcW w:w="960" w:type="dxa"/>
            <w:vAlign w:val="bottom"/>
            <w:shd w:val="clear" w:color="auto" w:fill="F3EDF3"/>
          </w:tcPr>
          <w:p>
            <w:pPr>
              <w:spacing w:after="0"/>
              <w:rPr>
                <w:sz w:val="13"/>
                <w:szCs w:val="13"/>
                <w:color w:val="auto"/>
              </w:rPr>
            </w:pPr>
          </w:p>
        </w:tc>
        <w:tc>
          <w:tcPr>
            <w:tcW w:w="1080" w:type="dxa"/>
            <w:vAlign w:val="bottom"/>
            <w:shd w:val="clear" w:color="auto" w:fill="F3EDF3"/>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color w:val="231F20"/>
              </w:rPr>
              <w:t>05/20/2017</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color w:val="231F20"/>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231F20"/>
              </w:rPr>
              <w:t>19,135</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231F20"/>
              </w:rPr>
              <w:t>19,135</w:t>
            </w:r>
          </w:p>
        </w:tc>
        <w:tc>
          <w:tcPr>
            <w:tcW w:w="10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Arial" w:cs="Arial" w:eastAsia="Arial" w:hAnsi="Arial"/>
                <w:sz w:val="14"/>
                <w:szCs w:val="14"/>
                <w:color w:val="231F20"/>
              </w:rPr>
              <w:t>—</w:t>
            </w:r>
          </w:p>
        </w:tc>
        <w:tc>
          <w:tcPr>
            <w:tcW w:w="9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231F20"/>
              </w:rPr>
              <w:t>483,964</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shd w:val="clear" w:color="auto" w:fill="F3EDF3"/>
          </w:tcPr>
          <w:p>
            <w:pPr>
              <w:spacing w:after="0"/>
              <w:rPr>
                <w:sz w:val="20"/>
                <w:szCs w:val="20"/>
                <w:color w:val="auto"/>
              </w:rPr>
            </w:pPr>
            <w:r>
              <w:rPr>
                <w:rFonts w:ascii="Arial" w:cs="Arial" w:eastAsia="Arial" w:hAnsi="Arial"/>
                <w:sz w:val="14"/>
                <w:szCs w:val="14"/>
                <w:color w:val="231F20"/>
              </w:rPr>
              <w:t>05/20/2017</w:t>
            </w:r>
          </w:p>
        </w:tc>
        <w:tc>
          <w:tcPr>
            <w:tcW w:w="860" w:type="dxa"/>
            <w:vAlign w:val="bottom"/>
            <w:shd w:val="clear" w:color="auto" w:fill="F3EDF3"/>
          </w:tcPr>
          <w:p>
            <w:pPr>
              <w:spacing w:after="0"/>
              <w:rPr>
                <w:sz w:val="14"/>
                <w:szCs w:val="14"/>
                <w:color w:val="auto"/>
              </w:rPr>
            </w:pPr>
          </w:p>
        </w:tc>
        <w:tc>
          <w:tcPr>
            <w:tcW w:w="740" w:type="dxa"/>
            <w:vAlign w:val="bottom"/>
            <w:shd w:val="clear" w:color="auto" w:fill="F3EDF3"/>
          </w:tcPr>
          <w:p>
            <w:pPr>
              <w:spacing w:after="0"/>
              <w:rPr>
                <w:sz w:val="14"/>
                <w:szCs w:val="14"/>
                <w:color w:val="auto"/>
              </w:rPr>
            </w:pPr>
          </w:p>
        </w:tc>
        <w:tc>
          <w:tcPr>
            <w:tcW w:w="720" w:type="dxa"/>
            <w:vAlign w:val="bottom"/>
            <w:shd w:val="clear" w:color="auto" w:fill="F3EDF3"/>
          </w:tcPr>
          <w:p>
            <w:pPr>
              <w:spacing w:after="0"/>
              <w:rPr>
                <w:sz w:val="14"/>
                <w:szCs w:val="14"/>
                <w:color w:val="auto"/>
              </w:rPr>
            </w:pPr>
          </w:p>
        </w:tc>
        <w:tc>
          <w:tcPr>
            <w:tcW w:w="120" w:type="dxa"/>
            <w:vAlign w:val="bottom"/>
            <w:shd w:val="clear" w:color="auto" w:fill="F3EDF3"/>
          </w:tcPr>
          <w:p>
            <w:pPr>
              <w:spacing w:after="0"/>
              <w:rPr>
                <w:sz w:val="14"/>
                <w:szCs w:val="14"/>
                <w:color w:val="auto"/>
              </w:rPr>
            </w:pPr>
          </w:p>
        </w:tc>
        <w:tc>
          <w:tcPr>
            <w:tcW w:w="1020" w:type="dxa"/>
            <w:vAlign w:val="bottom"/>
            <w:shd w:val="clear" w:color="auto" w:fill="F3EDF3"/>
          </w:tcPr>
          <w:p>
            <w:pPr>
              <w:spacing w:after="0"/>
              <w:rPr>
                <w:sz w:val="14"/>
                <w:szCs w:val="14"/>
                <w:color w:val="auto"/>
              </w:rPr>
            </w:pPr>
          </w:p>
        </w:tc>
        <w:tc>
          <w:tcPr>
            <w:tcW w:w="800" w:type="dxa"/>
            <w:vAlign w:val="bottom"/>
            <w:shd w:val="clear" w:color="auto" w:fill="F3EDF3"/>
          </w:tcPr>
          <w:p>
            <w:pPr>
              <w:spacing w:after="0"/>
              <w:rPr>
                <w:sz w:val="14"/>
                <w:szCs w:val="14"/>
                <w:color w:val="auto"/>
              </w:rPr>
            </w:pPr>
          </w:p>
        </w:tc>
        <w:tc>
          <w:tcPr>
            <w:tcW w:w="780" w:type="dxa"/>
            <w:vAlign w:val="bottom"/>
            <w:shd w:val="clear" w:color="auto" w:fill="F3EDF3"/>
          </w:tcPr>
          <w:p>
            <w:pPr>
              <w:spacing w:after="0"/>
              <w:rPr>
                <w:sz w:val="14"/>
                <w:szCs w:val="14"/>
                <w:color w:val="auto"/>
              </w:rPr>
            </w:pPr>
          </w:p>
        </w:tc>
        <w:tc>
          <w:tcPr>
            <w:tcW w:w="80" w:type="dxa"/>
            <w:vAlign w:val="bottom"/>
            <w:shd w:val="clear" w:color="auto" w:fill="F3EDF3"/>
          </w:tcPr>
          <w:p>
            <w:pPr>
              <w:spacing w:after="0"/>
              <w:rPr>
                <w:sz w:val="14"/>
                <w:szCs w:val="14"/>
                <w:color w:val="auto"/>
              </w:rPr>
            </w:pPr>
          </w:p>
        </w:tc>
        <w:tc>
          <w:tcPr>
            <w:tcW w:w="1060" w:type="dxa"/>
            <w:vAlign w:val="bottom"/>
            <w:shd w:val="clear" w:color="auto" w:fill="F3EDF3"/>
          </w:tcPr>
          <w:p>
            <w:pPr>
              <w:jc w:val="right"/>
              <w:ind w:right="48"/>
              <w:spacing w:after="0"/>
              <w:rPr>
                <w:sz w:val="20"/>
                <w:szCs w:val="20"/>
                <w:color w:val="auto"/>
              </w:rPr>
            </w:pPr>
            <w:r>
              <w:rPr>
                <w:rFonts w:ascii="Arial" w:cs="Arial" w:eastAsia="Arial" w:hAnsi="Arial"/>
                <w:sz w:val="14"/>
                <w:szCs w:val="14"/>
                <w:color w:val="231F20"/>
              </w:rPr>
              <w:t>6,378</w:t>
            </w:r>
          </w:p>
        </w:tc>
        <w:tc>
          <w:tcPr>
            <w:tcW w:w="1100" w:type="dxa"/>
            <w:vAlign w:val="bottom"/>
            <w:shd w:val="clear" w:color="auto" w:fill="F3EDF3"/>
          </w:tcPr>
          <w:p>
            <w:pPr>
              <w:jc w:val="right"/>
              <w:ind w:right="148"/>
              <w:spacing w:after="0"/>
              <w:rPr>
                <w:sz w:val="20"/>
                <w:szCs w:val="20"/>
                <w:color w:val="auto"/>
              </w:rPr>
            </w:pPr>
            <w:r>
              <w:rPr>
                <w:rFonts w:ascii="Arial" w:cs="Arial" w:eastAsia="Arial" w:hAnsi="Arial"/>
                <w:sz w:val="14"/>
                <w:szCs w:val="14"/>
                <w:color w:val="231F20"/>
              </w:rPr>
              <w:t>—</w:t>
            </w:r>
          </w:p>
        </w:tc>
        <w:tc>
          <w:tcPr>
            <w:tcW w:w="960" w:type="dxa"/>
            <w:vAlign w:val="bottom"/>
            <w:shd w:val="clear" w:color="auto" w:fill="F3EDF3"/>
          </w:tcPr>
          <w:p>
            <w:pPr>
              <w:spacing w:after="0"/>
              <w:rPr>
                <w:sz w:val="14"/>
                <w:szCs w:val="14"/>
                <w:color w:val="auto"/>
              </w:rPr>
            </w:pPr>
          </w:p>
        </w:tc>
        <w:tc>
          <w:tcPr>
            <w:tcW w:w="1080" w:type="dxa"/>
            <w:vAlign w:val="bottom"/>
            <w:shd w:val="clear" w:color="auto" w:fill="F3EDF3"/>
          </w:tcPr>
          <w:p>
            <w:pPr>
              <w:jc w:val="right"/>
              <w:spacing w:after="0"/>
              <w:rPr>
                <w:sz w:val="20"/>
                <w:szCs w:val="20"/>
                <w:color w:val="auto"/>
              </w:rPr>
            </w:pPr>
            <w:r>
              <w:rPr>
                <w:rFonts w:ascii="Arial" w:cs="Arial" w:eastAsia="Arial" w:hAnsi="Arial"/>
                <w:sz w:val="14"/>
                <w:szCs w:val="14"/>
                <w:color w:val="231F20"/>
              </w:rPr>
              <w:t>374,963</w:t>
            </w:r>
          </w:p>
        </w:tc>
        <w:tc>
          <w:tcPr>
            <w:tcW w:w="0" w:type="dxa"/>
            <w:vAlign w:val="bottom"/>
          </w:tcPr>
          <w:p>
            <w:pPr>
              <w:spacing w:after="0"/>
              <w:rPr>
                <w:sz w:val="1"/>
                <w:szCs w:val="1"/>
                <w:color w:val="auto"/>
              </w:rPr>
            </w:pPr>
          </w:p>
        </w:tc>
      </w:tr>
      <w:tr>
        <w:trPr>
          <w:trHeight w:val="176"/>
        </w:trPr>
        <w:tc>
          <w:tcPr>
            <w:tcW w:w="1060" w:type="dxa"/>
            <w:vAlign w:val="bottom"/>
            <w:tcBorders>
              <w:bottom w:val="single" w:sz="8" w:color="6F2875"/>
            </w:tcBorders>
          </w:tcPr>
          <w:p>
            <w:pPr>
              <w:spacing w:after="0"/>
              <w:rPr>
                <w:sz w:val="15"/>
                <w:szCs w:val="15"/>
                <w:color w:val="auto"/>
              </w:rPr>
            </w:pPr>
          </w:p>
        </w:tc>
        <w:tc>
          <w:tcPr>
            <w:tcW w:w="1040" w:type="dxa"/>
            <w:vAlign w:val="bottom"/>
            <w:tcBorders>
              <w:bottom w:val="single" w:sz="8" w:color="6F2875"/>
            </w:tcBorders>
            <w:gridSpan w:val="2"/>
          </w:tcPr>
          <w:p>
            <w:pPr>
              <w:ind w:left="100"/>
              <w:spacing w:after="0"/>
              <w:rPr>
                <w:sz w:val="20"/>
                <w:szCs w:val="20"/>
                <w:color w:val="auto"/>
              </w:rPr>
            </w:pPr>
            <w:r>
              <w:rPr>
                <w:rFonts w:ascii="Arial" w:cs="Arial" w:eastAsia="Arial" w:hAnsi="Arial"/>
                <w:sz w:val="14"/>
                <w:szCs w:val="14"/>
                <w:color w:val="231F20"/>
              </w:rPr>
              <w:t>05/23/2017</w:t>
            </w:r>
          </w:p>
        </w:tc>
        <w:tc>
          <w:tcPr>
            <w:tcW w:w="860" w:type="dxa"/>
            <w:vAlign w:val="bottom"/>
            <w:tcBorders>
              <w:bottom w:val="single" w:sz="8" w:color="6F2875"/>
            </w:tcBorders>
          </w:tcPr>
          <w:p>
            <w:pPr>
              <w:spacing w:after="0"/>
              <w:rPr>
                <w:sz w:val="15"/>
                <w:szCs w:val="15"/>
                <w:color w:val="auto"/>
              </w:rPr>
            </w:pPr>
          </w:p>
        </w:tc>
        <w:tc>
          <w:tcPr>
            <w:tcW w:w="740" w:type="dxa"/>
            <w:vAlign w:val="bottom"/>
            <w:tcBorders>
              <w:bottom w:val="single" w:sz="8" w:color="6F2875"/>
            </w:tcBorders>
          </w:tcPr>
          <w:p>
            <w:pPr>
              <w:spacing w:after="0"/>
              <w:rPr>
                <w:sz w:val="15"/>
                <w:szCs w:val="15"/>
                <w:color w:val="auto"/>
              </w:rPr>
            </w:pPr>
          </w:p>
        </w:tc>
        <w:tc>
          <w:tcPr>
            <w:tcW w:w="720" w:type="dxa"/>
            <w:vAlign w:val="bottom"/>
            <w:tcBorders>
              <w:bottom w:val="single" w:sz="8" w:color="6F2875"/>
            </w:tcBorders>
          </w:tcPr>
          <w:p>
            <w:pPr>
              <w:spacing w:after="0"/>
              <w:rPr>
                <w:sz w:val="15"/>
                <w:szCs w:val="15"/>
                <w:color w:val="auto"/>
              </w:rPr>
            </w:pPr>
          </w:p>
        </w:tc>
        <w:tc>
          <w:tcPr>
            <w:tcW w:w="120" w:type="dxa"/>
            <w:vAlign w:val="bottom"/>
            <w:tcBorders>
              <w:bottom w:val="single" w:sz="8" w:color="6F2875"/>
            </w:tcBorders>
          </w:tcPr>
          <w:p>
            <w:pPr>
              <w:spacing w:after="0"/>
              <w:rPr>
                <w:sz w:val="15"/>
                <w:szCs w:val="15"/>
                <w:color w:val="auto"/>
              </w:rPr>
            </w:pPr>
          </w:p>
        </w:tc>
        <w:tc>
          <w:tcPr>
            <w:tcW w:w="1020" w:type="dxa"/>
            <w:vAlign w:val="bottom"/>
            <w:tcBorders>
              <w:bottom w:val="single" w:sz="8" w:color="6F2875"/>
            </w:tcBorders>
          </w:tcPr>
          <w:p>
            <w:pPr>
              <w:spacing w:after="0"/>
              <w:rPr>
                <w:sz w:val="15"/>
                <w:szCs w:val="15"/>
                <w:color w:val="auto"/>
              </w:rPr>
            </w:pPr>
          </w:p>
        </w:tc>
        <w:tc>
          <w:tcPr>
            <w:tcW w:w="800" w:type="dxa"/>
            <w:vAlign w:val="bottom"/>
            <w:tcBorders>
              <w:bottom w:val="single" w:sz="8" w:color="6F2875"/>
            </w:tcBorders>
          </w:tcPr>
          <w:p>
            <w:pPr>
              <w:spacing w:after="0"/>
              <w:rPr>
                <w:sz w:val="15"/>
                <w:szCs w:val="15"/>
                <w:color w:val="auto"/>
              </w:rPr>
            </w:pPr>
          </w:p>
        </w:tc>
        <w:tc>
          <w:tcPr>
            <w:tcW w:w="780" w:type="dxa"/>
            <w:vAlign w:val="bottom"/>
            <w:tcBorders>
              <w:bottom w:val="single" w:sz="8" w:color="6F2875"/>
            </w:tcBorders>
          </w:tcPr>
          <w:p>
            <w:pPr>
              <w:spacing w:after="0"/>
              <w:rPr>
                <w:sz w:val="15"/>
                <w:szCs w:val="15"/>
                <w:color w:val="auto"/>
              </w:rPr>
            </w:pPr>
          </w:p>
        </w:tc>
        <w:tc>
          <w:tcPr>
            <w:tcW w:w="80" w:type="dxa"/>
            <w:vAlign w:val="bottom"/>
            <w:tcBorders>
              <w:bottom w:val="single" w:sz="8" w:color="6F2875"/>
            </w:tcBorders>
          </w:tcPr>
          <w:p>
            <w:pPr>
              <w:spacing w:after="0"/>
              <w:rPr>
                <w:sz w:val="15"/>
                <w:szCs w:val="15"/>
                <w:color w:val="auto"/>
              </w:rPr>
            </w:pPr>
          </w:p>
        </w:tc>
        <w:tc>
          <w:tcPr>
            <w:tcW w:w="1060" w:type="dxa"/>
            <w:vAlign w:val="bottom"/>
            <w:tcBorders>
              <w:bottom w:val="single" w:sz="8" w:color="6F2875"/>
            </w:tcBorders>
          </w:tcPr>
          <w:p>
            <w:pPr>
              <w:jc w:val="right"/>
              <w:ind w:right="48"/>
              <w:spacing w:after="0"/>
              <w:rPr>
                <w:sz w:val="20"/>
                <w:szCs w:val="20"/>
                <w:color w:val="auto"/>
              </w:rPr>
            </w:pPr>
            <w:r>
              <w:rPr>
                <w:rFonts w:ascii="Arial" w:cs="Arial" w:eastAsia="Arial" w:hAnsi="Arial"/>
                <w:sz w:val="14"/>
                <w:szCs w:val="14"/>
                <w:color w:val="231F20"/>
              </w:rPr>
              <w:t>39,627</w:t>
            </w:r>
          </w:p>
        </w:tc>
        <w:tc>
          <w:tcPr>
            <w:tcW w:w="1100" w:type="dxa"/>
            <w:vAlign w:val="bottom"/>
            <w:tcBorders>
              <w:bottom w:val="single" w:sz="8" w:color="6F2875"/>
            </w:tcBorders>
          </w:tcPr>
          <w:p>
            <w:pPr>
              <w:spacing w:after="0"/>
              <w:rPr>
                <w:sz w:val="15"/>
                <w:szCs w:val="15"/>
                <w:color w:val="auto"/>
              </w:rPr>
            </w:pPr>
          </w:p>
        </w:tc>
        <w:tc>
          <w:tcPr>
            <w:tcW w:w="960" w:type="dxa"/>
            <w:vAlign w:val="bottom"/>
            <w:tcBorders>
              <w:bottom w:val="single" w:sz="8" w:color="6F2875"/>
            </w:tcBorders>
          </w:tcPr>
          <w:p>
            <w:pPr>
              <w:spacing w:after="0"/>
              <w:rPr>
                <w:sz w:val="15"/>
                <w:szCs w:val="15"/>
                <w:color w:val="auto"/>
              </w:rPr>
            </w:pPr>
          </w:p>
        </w:tc>
        <w:tc>
          <w:tcPr>
            <w:tcW w:w="1080" w:type="dxa"/>
            <w:vAlign w:val="bottom"/>
            <w:tcBorders>
              <w:bottom w:val="single" w:sz="8" w:color="6F2875"/>
            </w:tcBorders>
          </w:tcPr>
          <w:p>
            <w:pPr>
              <w:jc w:val="right"/>
              <w:spacing w:after="0"/>
              <w:rPr>
                <w:sz w:val="20"/>
                <w:szCs w:val="20"/>
                <w:color w:val="auto"/>
              </w:rPr>
            </w:pPr>
            <w:r>
              <w:rPr>
                <w:rFonts w:ascii="Arial" w:cs="Arial" w:eastAsia="Arial" w:hAnsi="Arial"/>
                <w:sz w:val="14"/>
                <w:szCs w:val="14"/>
                <w:color w:val="231F20"/>
              </w:rPr>
              <w:t>2,299,951</w:t>
            </w:r>
          </w:p>
        </w:tc>
        <w:tc>
          <w:tcPr>
            <w:tcW w:w="0" w:type="dxa"/>
            <w:vAlign w:val="bottom"/>
          </w:tcPr>
          <w:p>
            <w:pPr>
              <w:spacing w:after="0"/>
              <w:rPr>
                <w:sz w:val="1"/>
                <w:szCs w:val="1"/>
                <w:color w:val="auto"/>
              </w:rPr>
            </w:pPr>
          </w:p>
        </w:tc>
      </w:tr>
      <w:tr>
        <w:trPr>
          <w:trHeight w:val="156"/>
        </w:trPr>
        <w:tc>
          <w:tcPr>
            <w:tcW w:w="1060" w:type="dxa"/>
            <w:vAlign w:val="bottom"/>
          </w:tcPr>
          <w:p>
            <w:pPr>
              <w:ind w:left="60"/>
              <w:spacing w:after="0" w:line="155" w:lineRule="exact"/>
              <w:rPr>
                <w:sz w:val="20"/>
                <w:szCs w:val="20"/>
                <w:color w:val="auto"/>
              </w:rPr>
            </w:pPr>
            <w:r>
              <w:rPr>
                <w:rFonts w:ascii="Arial" w:cs="Arial" w:eastAsia="Arial" w:hAnsi="Arial"/>
                <w:sz w:val="14"/>
                <w:szCs w:val="14"/>
                <w:b w:val="1"/>
                <w:bCs w:val="1"/>
                <w:color w:val="231F20"/>
              </w:rPr>
              <w:t>David Wise</w:t>
            </w:r>
          </w:p>
        </w:tc>
        <w:tc>
          <w:tcPr>
            <w:tcW w:w="100" w:type="dxa"/>
            <w:vAlign w:val="bottom"/>
          </w:tcPr>
          <w:p>
            <w:pPr>
              <w:spacing w:after="0"/>
              <w:rPr>
                <w:sz w:val="13"/>
                <w:szCs w:val="13"/>
                <w:color w:val="auto"/>
              </w:rPr>
            </w:pPr>
          </w:p>
        </w:tc>
        <w:tc>
          <w:tcPr>
            <w:tcW w:w="940" w:type="dxa"/>
            <w:vAlign w:val="bottom"/>
            <w:shd w:val="clear" w:color="auto" w:fill="F3EDF3"/>
          </w:tcPr>
          <w:p>
            <w:pPr>
              <w:spacing w:after="0"/>
              <w:rPr>
                <w:sz w:val="13"/>
                <w:szCs w:val="13"/>
                <w:color w:val="auto"/>
              </w:rPr>
            </w:pPr>
          </w:p>
        </w:tc>
        <w:tc>
          <w:tcPr>
            <w:tcW w:w="860" w:type="dxa"/>
            <w:vAlign w:val="bottom"/>
            <w:shd w:val="clear" w:color="auto" w:fill="F3EDF3"/>
          </w:tcPr>
          <w:p>
            <w:pPr>
              <w:jc w:val="right"/>
              <w:ind w:right="69"/>
              <w:spacing w:after="0" w:line="155" w:lineRule="exact"/>
              <w:rPr>
                <w:sz w:val="20"/>
                <w:szCs w:val="20"/>
                <w:color w:val="auto"/>
              </w:rPr>
            </w:pPr>
            <w:r>
              <w:rPr>
                <w:rFonts w:ascii="Arial" w:cs="Arial" w:eastAsia="Arial" w:hAnsi="Arial"/>
                <w:sz w:val="14"/>
                <w:szCs w:val="14"/>
                <w:color w:val="231F20"/>
              </w:rPr>
              <w:t>—</w:t>
            </w:r>
          </w:p>
        </w:tc>
        <w:tc>
          <w:tcPr>
            <w:tcW w:w="740" w:type="dxa"/>
            <w:vAlign w:val="bottom"/>
            <w:shd w:val="clear" w:color="auto" w:fill="F3EDF3"/>
          </w:tcPr>
          <w:p>
            <w:pPr>
              <w:jc w:val="right"/>
              <w:ind w:right="8"/>
              <w:spacing w:after="0" w:line="155" w:lineRule="exact"/>
              <w:rPr>
                <w:sz w:val="20"/>
                <w:szCs w:val="20"/>
                <w:color w:val="auto"/>
              </w:rPr>
            </w:pPr>
            <w:r>
              <w:rPr>
                <w:rFonts w:ascii="Arial" w:cs="Arial" w:eastAsia="Arial" w:hAnsi="Arial"/>
                <w:sz w:val="14"/>
                <w:szCs w:val="14"/>
                <w:color w:val="231F20"/>
              </w:rPr>
              <w:t>322,911</w:t>
            </w:r>
          </w:p>
        </w:tc>
        <w:tc>
          <w:tcPr>
            <w:tcW w:w="840" w:type="dxa"/>
            <w:vAlign w:val="bottom"/>
            <w:gridSpan w:val="2"/>
            <w:shd w:val="clear" w:color="auto" w:fill="F3EDF3"/>
          </w:tcPr>
          <w:p>
            <w:pPr>
              <w:jc w:val="right"/>
              <w:ind w:right="120"/>
              <w:spacing w:after="0" w:line="155" w:lineRule="exact"/>
              <w:rPr>
                <w:sz w:val="20"/>
                <w:szCs w:val="20"/>
                <w:color w:val="auto"/>
              </w:rPr>
            </w:pPr>
            <w:r>
              <w:rPr>
                <w:rFonts w:ascii="Arial" w:cs="Arial" w:eastAsia="Arial" w:hAnsi="Arial"/>
                <w:sz w:val="14"/>
                <w:szCs w:val="14"/>
                <w:color w:val="231F20"/>
              </w:rPr>
              <w:t>516,658</w:t>
            </w:r>
          </w:p>
        </w:tc>
        <w:tc>
          <w:tcPr>
            <w:tcW w:w="1020" w:type="dxa"/>
            <w:vAlign w:val="bottom"/>
            <w:shd w:val="clear" w:color="auto" w:fill="F3EDF3"/>
          </w:tcPr>
          <w:p>
            <w:pPr>
              <w:spacing w:after="0"/>
              <w:rPr>
                <w:sz w:val="13"/>
                <w:szCs w:val="13"/>
                <w:color w:val="auto"/>
              </w:rPr>
            </w:pPr>
          </w:p>
        </w:tc>
        <w:tc>
          <w:tcPr>
            <w:tcW w:w="800" w:type="dxa"/>
            <w:vAlign w:val="bottom"/>
            <w:shd w:val="clear" w:color="auto" w:fill="F3EDF3"/>
          </w:tcPr>
          <w:p>
            <w:pPr>
              <w:spacing w:after="0"/>
              <w:rPr>
                <w:sz w:val="13"/>
                <w:szCs w:val="13"/>
                <w:color w:val="auto"/>
              </w:rPr>
            </w:pPr>
          </w:p>
        </w:tc>
        <w:tc>
          <w:tcPr>
            <w:tcW w:w="780" w:type="dxa"/>
            <w:vAlign w:val="bottom"/>
            <w:shd w:val="clear" w:color="auto" w:fill="F3EDF3"/>
          </w:tcPr>
          <w:p>
            <w:pPr>
              <w:spacing w:after="0"/>
              <w:rPr>
                <w:sz w:val="13"/>
                <w:szCs w:val="13"/>
                <w:color w:val="auto"/>
              </w:rPr>
            </w:pPr>
          </w:p>
        </w:tc>
        <w:tc>
          <w:tcPr>
            <w:tcW w:w="80" w:type="dxa"/>
            <w:vAlign w:val="bottom"/>
            <w:shd w:val="clear" w:color="auto" w:fill="F3EDF3"/>
          </w:tcPr>
          <w:p>
            <w:pPr>
              <w:spacing w:after="0"/>
              <w:rPr>
                <w:sz w:val="13"/>
                <w:szCs w:val="13"/>
                <w:color w:val="auto"/>
              </w:rPr>
            </w:pPr>
          </w:p>
        </w:tc>
        <w:tc>
          <w:tcPr>
            <w:tcW w:w="1060" w:type="dxa"/>
            <w:vAlign w:val="bottom"/>
            <w:shd w:val="clear" w:color="auto" w:fill="F3EDF3"/>
          </w:tcPr>
          <w:p>
            <w:pPr>
              <w:spacing w:after="0"/>
              <w:rPr>
                <w:sz w:val="13"/>
                <w:szCs w:val="13"/>
                <w:color w:val="auto"/>
              </w:rPr>
            </w:pPr>
          </w:p>
        </w:tc>
        <w:tc>
          <w:tcPr>
            <w:tcW w:w="1100" w:type="dxa"/>
            <w:vAlign w:val="bottom"/>
            <w:shd w:val="clear" w:color="auto" w:fill="F3EDF3"/>
          </w:tcPr>
          <w:p>
            <w:pPr>
              <w:spacing w:after="0"/>
              <w:rPr>
                <w:sz w:val="13"/>
                <w:szCs w:val="13"/>
                <w:color w:val="auto"/>
              </w:rPr>
            </w:pPr>
          </w:p>
        </w:tc>
        <w:tc>
          <w:tcPr>
            <w:tcW w:w="960" w:type="dxa"/>
            <w:vAlign w:val="bottom"/>
            <w:shd w:val="clear" w:color="auto" w:fill="F3EDF3"/>
          </w:tcPr>
          <w:p>
            <w:pPr>
              <w:spacing w:after="0"/>
              <w:rPr>
                <w:sz w:val="13"/>
                <w:szCs w:val="13"/>
                <w:color w:val="auto"/>
              </w:rPr>
            </w:pPr>
          </w:p>
        </w:tc>
        <w:tc>
          <w:tcPr>
            <w:tcW w:w="1080" w:type="dxa"/>
            <w:vAlign w:val="bottom"/>
            <w:shd w:val="clear" w:color="auto" w:fill="F3EDF3"/>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color w:val="231F20"/>
              </w:rPr>
              <w:t>05/05/2017</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color w:val="231F20"/>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231F20"/>
              </w:rPr>
              <w:t>10,515</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231F20"/>
              </w:rPr>
              <w:t>10,515</w:t>
            </w:r>
          </w:p>
        </w:tc>
        <w:tc>
          <w:tcPr>
            <w:tcW w:w="10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Arial" w:cs="Arial" w:eastAsia="Arial" w:hAnsi="Arial"/>
                <w:sz w:val="14"/>
                <w:szCs w:val="14"/>
                <w:color w:val="231F20"/>
              </w:rPr>
              <w:t>—</w:t>
            </w:r>
          </w:p>
        </w:tc>
        <w:tc>
          <w:tcPr>
            <w:tcW w:w="9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231F20"/>
              </w:rPr>
              <w:t>265,946</w:t>
            </w:r>
          </w:p>
        </w:tc>
        <w:tc>
          <w:tcPr>
            <w:tcW w:w="0" w:type="dxa"/>
            <w:vAlign w:val="bottom"/>
          </w:tcPr>
          <w:p>
            <w:pPr>
              <w:spacing w:after="0"/>
              <w:rPr>
                <w:sz w:val="1"/>
                <w:szCs w:val="1"/>
                <w:color w:val="auto"/>
              </w:rPr>
            </w:pPr>
          </w:p>
        </w:tc>
      </w:tr>
      <w:tr>
        <w:trPr>
          <w:trHeight w:val="176"/>
        </w:trPr>
        <w:tc>
          <w:tcPr>
            <w:tcW w:w="1060" w:type="dxa"/>
            <w:vAlign w:val="bottom"/>
            <w:tcBorders>
              <w:bottom w:val="single" w:sz="8" w:color="6F2875"/>
            </w:tcBorders>
          </w:tcPr>
          <w:p>
            <w:pPr>
              <w:spacing w:after="0"/>
              <w:rPr>
                <w:sz w:val="15"/>
                <w:szCs w:val="15"/>
                <w:color w:val="auto"/>
              </w:rPr>
            </w:pPr>
          </w:p>
        </w:tc>
        <w:tc>
          <w:tcPr>
            <w:tcW w:w="100" w:type="dxa"/>
            <w:vAlign w:val="bottom"/>
            <w:tcBorders>
              <w:bottom w:val="single" w:sz="8" w:color="6F2875"/>
            </w:tcBorders>
          </w:tcPr>
          <w:p>
            <w:pPr>
              <w:spacing w:after="0"/>
              <w:rPr>
                <w:sz w:val="15"/>
                <w:szCs w:val="15"/>
                <w:color w:val="auto"/>
              </w:rPr>
            </w:pPr>
          </w:p>
        </w:tc>
        <w:tc>
          <w:tcPr>
            <w:tcW w:w="940" w:type="dxa"/>
            <w:vAlign w:val="bottom"/>
            <w:tcBorders>
              <w:bottom w:val="single" w:sz="8" w:color="6F2875"/>
            </w:tcBorders>
            <w:shd w:val="clear" w:color="auto" w:fill="F3EDF3"/>
          </w:tcPr>
          <w:p>
            <w:pPr>
              <w:spacing w:after="0"/>
              <w:rPr>
                <w:sz w:val="20"/>
                <w:szCs w:val="20"/>
                <w:color w:val="auto"/>
              </w:rPr>
            </w:pPr>
            <w:r>
              <w:rPr>
                <w:rFonts w:ascii="Arial" w:cs="Arial" w:eastAsia="Arial" w:hAnsi="Arial"/>
                <w:sz w:val="14"/>
                <w:szCs w:val="14"/>
                <w:color w:val="231F20"/>
              </w:rPr>
              <w:t>05/05/2017</w:t>
            </w:r>
          </w:p>
        </w:tc>
        <w:tc>
          <w:tcPr>
            <w:tcW w:w="860" w:type="dxa"/>
            <w:vAlign w:val="bottom"/>
            <w:tcBorders>
              <w:bottom w:val="single" w:sz="8" w:color="6F2875"/>
            </w:tcBorders>
            <w:shd w:val="clear" w:color="auto" w:fill="F3EDF3"/>
          </w:tcPr>
          <w:p>
            <w:pPr>
              <w:spacing w:after="0"/>
              <w:rPr>
                <w:sz w:val="15"/>
                <w:szCs w:val="15"/>
                <w:color w:val="auto"/>
              </w:rPr>
            </w:pPr>
          </w:p>
        </w:tc>
        <w:tc>
          <w:tcPr>
            <w:tcW w:w="740" w:type="dxa"/>
            <w:vAlign w:val="bottom"/>
            <w:tcBorders>
              <w:bottom w:val="single" w:sz="8" w:color="6F2875"/>
            </w:tcBorders>
            <w:shd w:val="clear" w:color="auto" w:fill="F3EDF3"/>
          </w:tcPr>
          <w:p>
            <w:pPr>
              <w:spacing w:after="0"/>
              <w:rPr>
                <w:sz w:val="15"/>
                <w:szCs w:val="15"/>
                <w:color w:val="auto"/>
              </w:rPr>
            </w:pPr>
          </w:p>
        </w:tc>
        <w:tc>
          <w:tcPr>
            <w:tcW w:w="720" w:type="dxa"/>
            <w:vAlign w:val="bottom"/>
            <w:tcBorders>
              <w:bottom w:val="single" w:sz="8" w:color="6F2875"/>
            </w:tcBorders>
            <w:shd w:val="clear" w:color="auto" w:fill="F3EDF3"/>
          </w:tcPr>
          <w:p>
            <w:pPr>
              <w:spacing w:after="0"/>
              <w:rPr>
                <w:sz w:val="15"/>
                <w:szCs w:val="15"/>
                <w:color w:val="auto"/>
              </w:rPr>
            </w:pPr>
          </w:p>
        </w:tc>
        <w:tc>
          <w:tcPr>
            <w:tcW w:w="120" w:type="dxa"/>
            <w:vAlign w:val="bottom"/>
            <w:tcBorders>
              <w:bottom w:val="single" w:sz="8" w:color="6F2875"/>
            </w:tcBorders>
            <w:shd w:val="clear" w:color="auto" w:fill="F3EDF3"/>
          </w:tcPr>
          <w:p>
            <w:pPr>
              <w:spacing w:after="0"/>
              <w:rPr>
                <w:sz w:val="15"/>
                <w:szCs w:val="15"/>
                <w:color w:val="auto"/>
              </w:rPr>
            </w:pPr>
          </w:p>
        </w:tc>
        <w:tc>
          <w:tcPr>
            <w:tcW w:w="1020" w:type="dxa"/>
            <w:vAlign w:val="bottom"/>
            <w:tcBorders>
              <w:bottom w:val="single" w:sz="8" w:color="6F2875"/>
            </w:tcBorders>
            <w:shd w:val="clear" w:color="auto" w:fill="F3EDF3"/>
          </w:tcPr>
          <w:p>
            <w:pPr>
              <w:spacing w:after="0"/>
              <w:rPr>
                <w:sz w:val="15"/>
                <w:szCs w:val="15"/>
                <w:color w:val="auto"/>
              </w:rPr>
            </w:pPr>
          </w:p>
        </w:tc>
        <w:tc>
          <w:tcPr>
            <w:tcW w:w="800" w:type="dxa"/>
            <w:vAlign w:val="bottom"/>
            <w:tcBorders>
              <w:bottom w:val="single" w:sz="8" w:color="6F2875"/>
            </w:tcBorders>
            <w:shd w:val="clear" w:color="auto" w:fill="F3EDF3"/>
          </w:tcPr>
          <w:p>
            <w:pPr>
              <w:spacing w:after="0"/>
              <w:rPr>
                <w:sz w:val="15"/>
                <w:szCs w:val="15"/>
                <w:color w:val="auto"/>
              </w:rPr>
            </w:pPr>
          </w:p>
        </w:tc>
        <w:tc>
          <w:tcPr>
            <w:tcW w:w="780" w:type="dxa"/>
            <w:vAlign w:val="bottom"/>
            <w:tcBorders>
              <w:bottom w:val="single" w:sz="8" w:color="6F2875"/>
            </w:tcBorders>
            <w:shd w:val="clear" w:color="auto" w:fill="F3EDF3"/>
          </w:tcPr>
          <w:p>
            <w:pPr>
              <w:spacing w:after="0"/>
              <w:rPr>
                <w:sz w:val="15"/>
                <w:szCs w:val="15"/>
                <w:color w:val="auto"/>
              </w:rPr>
            </w:pPr>
          </w:p>
        </w:tc>
        <w:tc>
          <w:tcPr>
            <w:tcW w:w="80" w:type="dxa"/>
            <w:vAlign w:val="bottom"/>
            <w:tcBorders>
              <w:bottom w:val="single" w:sz="8" w:color="6F2875"/>
            </w:tcBorders>
            <w:shd w:val="clear" w:color="auto" w:fill="F3EDF3"/>
          </w:tcPr>
          <w:p>
            <w:pPr>
              <w:spacing w:after="0"/>
              <w:rPr>
                <w:sz w:val="15"/>
                <w:szCs w:val="15"/>
                <w:color w:val="auto"/>
              </w:rPr>
            </w:pPr>
          </w:p>
        </w:tc>
        <w:tc>
          <w:tcPr>
            <w:tcW w:w="1060" w:type="dxa"/>
            <w:vAlign w:val="bottom"/>
            <w:tcBorders>
              <w:bottom w:val="single" w:sz="8" w:color="6F2875"/>
            </w:tcBorders>
            <w:shd w:val="clear" w:color="auto" w:fill="F3EDF3"/>
          </w:tcPr>
          <w:p>
            <w:pPr>
              <w:jc w:val="right"/>
              <w:ind w:right="48"/>
              <w:spacing w:after="0"/>
              <w:rPr>
                <w:sz w:val="20"/>
                <w:szCs w:val="20"/>
                <w:color w:val="auto"/>
              </w:rPr>
            </w:pPr>
            <w:r>
              <w:rPr>
                <w:rFonts w:ascii="Arial" w:cs="Arial" w:eastAsia="Arial" w:hAnsi="Arial"/>
                <w:sz w:val="14"/>
                <w:szCs w:val="14"/>
                <w:color w:val="231F20"/>
              </w:rPr>
              <w:t>3,505</w:t>
            </w:r>
          </w:p>
        </w:tc>
        <w:tc>
          <w:tcPr>
            <w:tcW w:w="1100" w:type="dxa"/>
            <w:vAlign w:val="bottom"/>
            <w:tcBorders>
              <w:bottom w:val="single" w:sz="8" w:color="6F2875"/>
            </w:tcBorders>
            <w:shd w:val="clear" w:color="auto" w:fill="F3EDF3"/>
          </w:tcPr>
          <w:p>
            <w:pPr>
              <w:jc w:val="right"/>
              <w:ind w:right="148"/>
              <w:spacing w:after="0"/>
              <w:rPr>
                <w:sz w:val="20"/>
                <w:szCs w:val="20"/>
                <w:color w:val="auto"/>
              </w:rPr>
            </w:pPr>
            <w:r>
              <w:rPr>
                <w:rFonts w:ascii="Arial" w:cs="Arial" w:eastAsia="Arial" w:hAnsi="Arial"/>
                <w:sz w:val="14"/>
                <w:szCs w:val="14"/>
                <w:color w:val="231F20"/>
              </w:rPr>
              <w:t>—</w:t>
            </w:r>
          </w:p>
        </w:tc>
        <w:tc>
          <w:tcPr>
            <w:tcW w:w="960" w:type="dxa"/>
            <w:vAlign w:val="bottom"/>
            <w:tcBorders>
              <w:bottom w:val="single" w:sz="8" w:color="6F2875"/>
            </w:tcBorders>
            <w:shd w:val="clear" w:color="auto" w:fill="F3EDF3"/>
          </w:tcPr>
          <w:p>
            <w:pPr>
              <w:spacing w:after="0"/>
              <w:rPr>
                <w:sz w:val="15"/>
                <w:szCs w:val="15"/>
                <w:color w:val="auto"/>
              </w:rPr>
            </w:pPr>
          </w:p>
        </w:tc>
        <w:tc>
          <w:tcPr>
            <w:tcW w:w="1080" w:type="dxa"/>
            <w:vAlign w:val="bottom"/>
            <w:tcBorders>
              <w:bottom w:val="single" w:sz="8" w:color="6F2875"/>
            </w:tcBorders>
            <w:shd w:val="clear" w:color="auto" w:fill="F3EDF3"/>
          </w:tcPr>
          <w:p>
            <w:pPr>
              <w:jc w:val="right"/>
              <w:spacing w:after="0"/>
              <w:rPr>
                <w:sz w:val="20"/>
                <w:szCs w:val="20"/>
                <w:color w:val="auto"/>
              </w:rPr>
            </w:pPr>
            <w:r>
              <w:rPr>
                <w:rFonts w:ascii="Arial" w:cs="Arial" w:eastAsia="Arial" w:hAnsi="Arial"/>
                <w:sz w:val="14"/>
                <w:szCs w:val="14"/>
                <w:color w:val="231F20"/>
              </w:rPr>
              <w:t>196,876</w:t>
            </w:r>
          </w:p>
        </w:tc>
        <w:tc>
          <w:tcPr>
            <w:tcW w:w="0" w:type="dxa"/>
            <w:vAlign w:val="bottom"/>
          </w:tcPr>
          <w:p>
            <w:pPr>
              <w:spacing w:after="0"/>
              <w:rPr>
                <w:sz w:val="1"/>
                <w:szCs w:val="1"/>
                <w:color w:val="auto"/>
              </w:rPr>
            </w:pPr>
          </w:p>
        </w:tc>
      </w:tr>
      <w:tr>
        <w:trPr>
          <w:trHeight w:val="156"/>
        </w:trPr>
        <w:tc>
          <w:tcPr>
            <w:tcW w:w="1060" w:type="dxa"/>
            <w:vAlign w:val="bottom"/>
          </w:tcPr>
          <w:p>
            <w:pPr>
              <w:ind w:left="60"/>
              <w:spacing w:after="0" w:line="155" w:lineRule="exact"/>
              <w:rPr>
                <w:sz w:val="20"/>
                <w:szCs w:val="20"/>
                <w:color w:val="auto"/>
              </w:rPr>
            </w:pPr>
            <w:r>
              <w:rPr>
                <w:rFonts w:ascii="Arial" w:cs="Arial" w:eastAsia="Arial" w:hAnsi="Arial"/>
                <w:sz w:val="14"/>
                <w:szCs w:val="14"/>
                <w:b w:val="1"/>
                <w:bCs w:val="1"/>
                <w:color w:val="231F20"/>
              </w:rPr>
              <w:t>Keyna</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jc w:val="right"/>
              <w:ind w:right="69"/>
              <w:spacing w:after="0" w:line="155" w:lineRule="exact"/>
              <w:rPr>
                <w:sz w:val="20"/>
                <w:szCs w:val="20"/>
                <w:color w:val="auto"/>
              </w:rPr>
            </w:pPr>
            <w:r>
              <w:rPr>
                <w:rFonts w:ascii="Arial" w:cs="Arial" w:eastAsia="Arial" w:hAnsi="Arial"/>
                <w:sz w:val="14"/>
                <w:szCs w:val="14"/>
                <w:color w:val="231F20"/>
              </w:rPr>
              <w:t>—</w:t>
            </w:r>
          </w:p>
        </w:tc>
        <w:tc>
          <w:tcPr>
            <w:tcW w:w="740" w:type="dxa"/>
            <w:vAlign w:val="bottom"/>
          </w:tcPr>
          <w:p>
            <w:pPr>
              <w:jc w:val="right"/>
              <w:ind w:right="8"/>
              <w:spacing w:after="0" w:line="155" w:lineRule="exact"/>
              <w:rPr>
                <w:sz w:val="20"/>
                <w:szCs w:val="20"/>
                <w:color w:val="auto"/>
              </w:rPr>
            </w:pPr>
            <w:r>
              <w:rPr>
                <w:rFonts w:ascii="Arial" w:cs="Arial" w:eastAsia="Arial" w:hAnsi="Arial"/>
                <w:sz w:val="14"/>
                <w:szCs w:val="14"/>
                <w:color w:val="231F20"/>
              </w:rPr>
              <w:t>233,014</w:t>
            </w:r>
          </w:p>
        </w:tc>
        <w:tc>
          <w:tcPr>
            <w:tcW w:w="8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231F20"/>
              </w:rPr>
              <w:t>372,822</w:t>
            </w: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60" w:type="dxa"/>
            <w:vAlign w:val="bottom"/>
          </w:tcPr>
          <w:p>
            <w:pPr>
              <w:ind w:left="60"/>
              <w:spacing w:after="0"/>
              <w:rPr>
                <w:sz w:val="20"/>
                <w:szCs w:val="20"/>
                <w:color w:val="auto"/>
              </w:rPr>
            </w:pPr>
            <w:r>
              <w:rPr>
                <w:rFonts w:ascii="Arial" w:cs="Arial" w:eastAsia="Arial" w:hAnsi="Arial"/>
                <w:sz w:val="14"/>
                <w:szCs w:val="14"/>
                <w:b w:val="1"/>
                <w:bCs w:val="1"/>
                <w:color w:val="231F20"/>
              </w:rPr>
              <w:t>Skeffington</w:t>
            </w:r>
          </w:p>
        </w:tc>
        <w:tc>
          <w:tcPr>
            <w:tcW w:w="100" w:type="dxa"/>
            <w:vAlign w:val="bottom"/>
          </w:tcPr>
          <w:p>
            <w:pPr>
              <w:spacing w:after="0"/>
              <w:rPr>
                <w:sz w:val="14"/>
                <w:szCs w:val="14"/>
                <w:color w:val="auto"/>
              </w:rPr>
            </w:pPr>
          </w:p>
        </w:tc>
        <w:tc>
          <w:tcPr>
            <w:tcW w:w="940" w:type="dxa"/>
            <w:vAlign w:val="bottom"/>
            <w:shd w:val="clear" w:color="auto" w:fill="F3EDF3"/>
          </w:tcPr>
          <w:p>
            <w:pPr>
              <w:spacing w:after="0"/>
              <w:rPr>
                <w:sz w:val="20"/>
                <w:szCs w:val="20"/>
                <w:color w:val="auto"/>
              </w:rPr>
            </w:pPr>
            <w:r>
              <w:rPr>
                <w:rFonts w:ascii="Arial" w:cs="Arial" w:eastAsia="Arial" w:hAnsi="Arial"/>
                <w:sz w:val="14"/>
                <w:szCs w:val="14"/>
                <w:color w:val="231F20"/>
              </w:rPr>
              <w:t>06/12/2017</w:t>
            </w:r>
          </w:p>
        </w:tc>
        <w:tc>
          <w:tcPr>
            <w:tcW w:w="860" w:type="dxa"/>
            <w:vAlign w:val="bottom"/>
            <w:shd w:val="clear" w:color="auto" w:fill="F3EDF3"/>
          </w:tcPr>
          <w:p>
            <w:pPr>
              <w:spacing w:after="0"/>
              <w:rPr>
                <w:sz w:val="14"/>
                <w:szCs w:val="14"/>
                <w:color w:val="auto"/>
              </w:rPr>
            </w:pPr>
          </w:p>
        </w:tc>
        <w:tc>
          <w:tcPr>
            <w:tcW w:w="740" w:type="dxa"/>
            <w:vAlign w:val="bottom"/>
            <w:shd w:val="clear" w:color="auto" w:fill="F3EDF3"/>
          </w:tcPr>
          <w:p>
            <w:pPr>
              <w:spacing w:after="0"/>
              <w:rPr>
                <w:sz w:val="14"/>
                <w:szCs w:val="14"/>
                <w:color w:val="auto"/>
              </w:rPr>
            </w:pPr>
          </w:p>
        </w:tc>
        <w:tc>
          <w:tcPr>
            <w:tcW w:w="720" w:type="dxa"/>
            <w:vAlign w:val="bottom"/>
            <w:shd w:val="clear" w:color="auto" w:fill="F3EDF3"/>
          </w:tcPr>
          <w:p>
            <w:pPr>
              <w:spacing w:after="0"/>
              <w:rPr>
                <w:sz w:val="14"/>
                <w:szCs w:val="14"/>
                <w:color w:val="auto"/>
              </w:rPr>
            </w:pPr>
          </w:p>
        </w:tc>
        <w:tc>
          <w:tcPr>
            <w:tcW w:w="120" w:type="dxa"/>
            <w:vAlign w:val="bottom"/>
            <w:shd w:val="clear" w:color="auto" w:fill="F3EDF3"/>
          </w:tcPr>
          <w:p>
            <w:pPr>
              <w:spacing w:after="0"/>
              <w:rPr>
                <w:sz w:val="14"/>
                <w:szCs w:val="14"/>
                <w:color w:val="auto"/>
              </w:rPr>
            </w:pPr>
          </w:p>
        </w:tc>
        <w:tc>
          <w:tcPr>
            <w:tcW w:w="1020" w:type="dxa"/>
            <w:vAlign w:val="bottom"/>
            <w:shd w:val="clear" w:color="auto" w:fill="F3EDF3"/>
          </w:tcPr>
          <w:p>
            <w:pPr>
              <w:spacing w:after="0"/>
              <w:rPr>
                <w:sz w:val="14"/>
                <w:szCs w:val="14"/>
                <w:color w:val="auto"/>
              </w:rPr>
            </w:pPr>
          </w:p>
        </w:tc>
        <w:tc>
          <w:tcPr>
            <w:tcW w:w="800" w:type="dxa"/>
            <w:vAlign w:val="bottom"/>
            <w:shd w:val="clear" w:color="auto" w:fill="F3EDF3"/>
          </w:tcPr>
          <w:p>
            <w:pPr>
              <w:spacing w:after="0"/>
              <w:rPr>
                <w:sz w:val="14"/>
                <w:szCs w:val="14"/>
                <w:color w:val="auto"/>
              </w:rPr>
            </w:pPr>
          </w:p>
        </w:tc>
        <w:tc>
          <w:tcPr>
            <w:tcW w:w="780" w:type="dxa"/>
            <w:vAlign w:val="bottom"/>
            <w:shd w:val="clear" w:color="auto" w:fill="F3EDF3"/>
          </w:tcPr>
          <w:p>
            <w:pPr>
              <w:spacing w:after="0"/>
              <w:rPr>
                <w:sz w:val="14"/>
                <w:szCs w:val="14"/>
                <w:color w:val="auto"/>
              </w:rPr>
            </w:pPr>
          </w:p>
        </w:tc>
        <w:tc>
          <w:tcPr>
            <w:tcW w:w="80" w:type="dxa"/>
            <w:vAlign w:val="bottom"/>
            <w:shd w:val="clear" w:color="auto" w:fill="F3EDF3"/>
          </w:tcPr>
          <w:p>
            <w:pPr>
              <w:spacing w:after="0"/>
              <w:rPr>
                <w:sz w:val="14"/>
                <w:szCs w:val="14"/>
                <w:color w:val="auto"/>
              </w:rPr>
            </w:pPr>
          </w:p>
        </w:tc>
        <w:tc>
          <w:tcPr>
            <w:tcW w:w="1060" w:type="dxa"/>
            <w:vAlign w:val="bottom"/>
            <w:shd w:val="clear" w:color="auto" w:fill="F3EDF3"/>
          </w:tcPr>
          <w:p>
            <w:pPr>
              <w:jc w:val="right"/>
              <w:ind w:right="48"/>
              <w:spacing w:after="0"/>
              <w:rPr>
                <w:sz w:val="20"/>
                <w:szCs w:val="20"/>
                <w:color w:val="auto"/>
              </w:rPr>
            </w:pPr>
            <w:r>
              <w:rPr>
                <w:rFonts w:ascii="Arial" w:cs="Arial" w:eastAsia="Arial" w:hAnsi="Arial"/>
                <w:sz w:val="14"/>
                <w:szCs w:val="14"/>
                <w:color w:val="231F20"/>
              </w:rPr>
              <w:t>4,585</w:t>
            </w:r>
          </w:p>
        </w:tc>
        <w:tc>
          <w:tcPr>
            <w:tcW w:w="1100" w:type="dxa"/>
            <w:vAlign w:val="bottom"/>
            <w:shd w:val="clear" w:color="auto" w:fill="F3EDF3"/>
          </w:tcPr>
          <w:p>
            <w:pPr>
              <w:jc w:val="right"/>
              <w:ind w:right="148"/>
              <w:spacing w:after="0"/>
              <w:rPr>
                <w:sz w:val="20"/>
                <w:szCs w:val="20"/>
                <w:color w:val="auto"/>
              </w:rPr>
            </w:pPr>
            <w:r>
              <w:rPr>
                <w:rFonts w:ascii="Arial" w:cs="Arial" w:eastAsia="Arial" w:hAnsi="Arial"/>
                <w:sz w:val="14"/>
                <w:szCs w:val="14"/>
                <w:color w:val="231F20"/>
              </w:rPr>
              <w:t>—</w:t>
            </w:r>
          </w:p>
        </w:tc>
        <w:tc>
          <w:tcPr>
            <w:tcW w:w="960" w:type="dxa"/>
            <w:vAlign w:val="bottom"/>
            <w:shd w:val="clear" w:color="auto" w:fill="F3EDF3"/>
          </w:tcPr>
          <w:p>
            <w:pPr>
              <w:spacing w:after="0"/>
              <w:rPr>
                <w:sz w:val="14"/>
                <w:szCs w:val="14"/>
                <w:color w:val="auto"/>
              </w:rPr>
            </w:pPr>
          </w:p>
        </w:tc>
        <w:tc>
          <w:tcPr>
            <w:tcW w:w="1080" w:type="dxa"/>
            <w:vAlign w:val="bottom"/>
            <w:shd w:val="clear" w:color="auto" w:fill="F3EDF3"/>
          </w:tcPr>
          <w:p>
            <w:pPr>
              <w:jc w:val="right"/>
              <w:spacing w:after="0"/>
              <w:rPr>
                <w:sz w:val="20"/>
                <w:szCs w:val="20"/>
                <w:color w:val="auto"/>
              </w:rPr>
            </w:pPr>
            <w:r>
              <w:rPr>
                <w:rFonts w:ascii="Arial" w:cs="Arial" w:eastAsia="Arial" w:hAnsi="Arial"/>
                <w:sz w:val="14"/>
                <w:szCs w:val="14"/>
                <w:color w:val="231F20"/>
              </w:rPr>
              <w:t>274,962</w:t>
            </w:r>
          </w:p>
        </w:tc>
        <w:tc>
          <w:tcPr>
            <w:tcW w:w="0" w:type="dxa"/>
            <w:vAlign w:val="bottom"/>
          </w:tcPr>
          <w:p>
            <w:pPr>
              <w:spacing w:after="0"/>
              <w:rPr>
                <w:sz w:val="1"/>
                <w:szCs w:val="1"/>
                <w:color w:val="auto"/>
              </w:rPr>
            </w:pPr>
          </w:p>
        </w:tc>
      </w:tr>
      <w:tr>
        <w:trPr>
          <w:trHeight w:val="176"/>
        </w:trPr>
        <w:tc>
          <w:tcPr>
            <w:tcW w:w="1060" w:type="dxa"/>
            <w:vAlign w:val="bottom"/>
            <w:tcBorders>
              <w:bottom w:val="single" w:sz="8" w:color="6F2875"/>
            </w:tcBorders>
          </w:tcPr>
          <w:p>
            <w:pPr>
              <w:spacing w:after="0"/>
              <w:rPr>
                <w:sz w:val="15"/>
                <w:szCs w:val="15"/>
                <w:color w:val="auto"/>
              </w:rPr>
            </w:pPr>
          </w:p>
        </w:tc>
        <w:tc>
          <w:tcPr>
            <w:tcW w:w="1040" w:type="dxa"/>
            <w:vAlign w:val="bottom"/>
            <w:tcBorders>
              <w:bottom w:val="single" w:sz="8" w:color="6F2875"/>
            </w:tcBorders>
            <w:gridSpan w:val="2"/>
          </w:tcPr>
          <w:p>
            <w:pPr>
              <w:ind w:left="100"/>
              <w:spacing w:after="0"/>
              <w:rPr>
                <w:sz w:val="20"/>
                <w:szCs w:val="20"/>
                <w:color w:val="auto"/>
              </w:rPr>
            </w:pPr>
            <w:r>
              <w:rPr>
                <w:rFonts w:ascii="Arial" w:cs="Arial" w:eastAsia="Arial" w:hAnsi="Arial"/>
                <w:sz w:val="14"/>
                <w:szCs w:val="14"/>
                <w:color w:val="231F20"/>
              </w:rPr>
              <w:t>06/12/2017</w:t>
            </w:r>
          </w:p>
        </w:tc>
        <w:tc>
          <w:tcPr>
            <w:tcW w:w="860" w:type="dxa"/>
            <w:vAlign w:val="bottom"/>
            <w:tcBorders>
              <w:bottom w:val="single" w:sz="8" w:color="6F2875"/>
            </w:tcBorders>
          </w:tcPr>
          <w:p>
            <w:pPr>
              <w:spacing w:after="0"/>
              <w:rPr>
                <w:sz w:val="15"/>
                <w:szCs w:val="15"/>
                <w:color w:val="auto"/>
              </w:rPr>
            </w:pPr>
          </w:p>
        </w:tc>
        <w:tc>
          <w:tcPr>
            <w:tcW w:w="740" w:type="dxa"/>
            <w:vAlign w:val="bottom"/>
            <w:tcBorders>
              <w:bottom w:val="single" w:sz="8" w:color="6F2875"/>
            </w:tcBorders>
          </w:tcPr>
          <w:p>
            <w:pPr>
              <w:spacing w:after="0"/>
              <w:rPr>
                <w:sz w:val="15"/>
                <w:szCs w:val="15"/>
                <w:color w:val="auto"/>
              </w:rPr>
            </w:pPr>
          </w:p>
        </w:tc>
        <w:tc>
          <w:tcPr>
            <w:tcW w:w="720" w:type="dxa"/>
            <w:vAlign w:val="bottom"/>
            <w:tcBorders>
              <w:bottom w:val="single" w:sz="8" w:color="6F2875"/>
            </w:tcBorders>
          </w:tcPr>
          <w:p>
            <w:pPr>
              <w:spacing w:after="0"/>
              <w:rPr>
                <w:sz w:val="15"/>
                <w:szCs w:val="15"/>
                <w:color w:val="auto"/>
              </w:rPr>
            </w:pPr>
          </w:p>
        </w:tc>
        <w:tc>
          <w:tcPr>
            <w:tcW w:w="120" w:type="dxa"/>
            <w:vAlign w:val="bottom"/>
            <w:tcBorders>
              <w:bottom w:val="single" w:sz="8" w:color="6F2875"/>
            </w:tcBorders>
          </w:tcPr>
          <w:p>
            <w:pPr>
              <w:spacing w:after="0"/>
              <w:rPr>
                <w:sz w:val="15"/>
                <w:szCs w:val="15"/>
                <w:color w:val="auto"/>
              </w:rPr>
            </w:pPr>
          </w:p>
        </w:tc>
        <w:tc>
          <w:tcPr>
            <w:tcW w:w="1020" w:type="dxa"/>
            <w:vAlign w:val="bottom"/>
            <w:tcBorders>
              <w:bottom w:val="single" w:sz="8" w:color="6F2875"/>
            </w:tcBorders>
          </w:tcPr>
          <w:p>
            <w:pPr>
              <w:spacing w:after="0"/>
              <w:rPr>
                <w:sz w:val="15"/>
                <w:szCs w:val="15"/>
                <w:color w:val="auto"/>
              </w:rPr>
            </w:pPr>
          </w:p>
        </w:tc>
        <w:tc>
          <w:tcPr>
            <w:tcW w:w="800" w:type="dxa"/>
            <w:vAlign w:val="bottom"/>
            <w:tcBorders>
              <w:bottom w:val="single" w:sz="8" w:color="6F2875"/>
            </w:tcBorders>
          </w:tcPr>
          <w:p>
            <w:pPr>
              <w:spacing w:after="0"/>
              <w:rPr>
                <w:sz w:val="15"/>
                <w:szCs w:val="15"/>
                <w:color w:val="auto"/>
              </w:rPr>
            </w:pPr>
          </w:p>
        </w:tc>
        <w:tc>
          <w:tcPr>
            <w:tcW w:w="780" w:type="dxa"/>
            <w:vAlign w:val="bottom"/>
            <w:tcBorders>
              <w:bottom w:val="single" w:sz="8" w:color="6F2875"/>
            </w:tcBorders>
          </w:tcPr>
          <w:p>
            <w:pPr>
              <w:spacing w:after="0"/>
              <w:rPr>
                <w:sz w:val="15"/>
                <w:szCs w:val="15"/>
                <w:color w:val="auto"/>
              </w:rPr>
            </w:pPr>
          </w:p>
        </w:tc>
        <w:tc>
          <w:tcPr>
            <w:tcW w:w="80" w:type="dxa"/>
            <w:vAlign w:val="bottom"/>
            <w:tcBorders>
              <w:bottom w:val="single" w:sz="8" w:color="6F2875"/>
            </w:tcBorders>
          </w:tcPr>
          <w:p>
            <w:pPr>
              <w:spacing w:after="0"/>
              <w:rPr>
                <w:sz w:val="15"/>
                <w:szCs w:val="15"/>
                <w:color w:val="auto"/>
              </w:rPr>
            </w:pPr>
          </w:p>
        </w:tc>
        <w:tc>
          <w:tcPr>
            <w:tcW w:w="1060" w:type="dxa"/>
            <w:vAlign w:val="bottom"/>
            <w:tcBorders>
              <w:bottom w:val="single" w:sz="8" w:color="6F2875"/>
            </w:tcBorders>
          </w:tcPr>
          <w:p>
            <w:pPr>
              <w:jc w:val="right"/>
              <w:ind w:right="48"/>
              <w:spacing w:after="0"/>
              <w:rPr>
                <w:sz w:val="20"/>
                <w:szCs w:val="20"/>
                <w:color w:val="auto"/>
              </w:rPr>
            </w:pPr>
            <w:r>
              <w:rPr>
                <w:rFonts w:ascii="Arial" w:cs="Arial" w:eastAsia="Arial" w:hAnsi="Arial"/>
                <w:sz w:val="14"/>
                <w:szCs w:val="14"/>
                <w:color w:val="231F20"/>
              </w:rPr>
              <w:t>—</w:t>
            </w:r>
          </w:p>
        </w:tc>
        <w:tc>
          <w:tcPr>
            <w:tcW w:w="1100" w:type="dxa"/>
            <w:vAlign w:val="bottom"/>
            <w:tcBorders>
              <w:bottom w:val="single" w:sz="8" w:color="6F2875"/>
            </w:tcBorders>
          </w:tcPr>
          <w:p>
            <w:pPr>
              <w:jc w:val="right"/>
              <w:ind w:right="148"/>
              <w:spacing w:after="0"/>
              <w:rPr>
                <w:sz w:val="20"/>
                <w:szCs w:val="20"/>
                <w:color w:val="auto"/>
              </w:rPr>
            </w:pPr>
            <w:r>
              <w:rPr>
                <w:rFonts w:ascii="Arial" w:cs="Arial" w:eastAsia="Arial" w:hAnsi="Arial"/>
                <w:sz w:val="14"/>
                <w:szCs w:val="14"/>
                <w:color w:val="231F20"/>
              </w:rPr>
              <w:t>15,203</w:t>
            </w:r>
          </w:p>
        </w:tc>
        <w:tc>
          <w:tcPr>
            <w:tcW w:w="960" w:type="dxa"/>
            <w:vAlign w:val="bottom"/>
            <w:tcBorders>
              <w:bottom w:val="single" w:sz="8" w:color="6F2875"/>
            </w:tcBorders>
          </w:tcPr>
          <w:p>
            <w:pPr>
              <w:jc w:val="right"/>
              <w:ind w:right="88"/>
              <w:spacing w:after="0"/>
              <w:rPr>
                <w:sz w:val="20"/>
                <w:szCs w:val="20"/>
                <w:color w:val="auto"/>
              </w:rPr>
            </w:pPr>
            <w:r>
              <w:rPr>
                <w:rFonts w:ascii="Arial" w:cs="Arial" w:eastAsia="Arial" w:hAnsi="Arial"/>
                <w:sz w:val="14"/>
                <w:szCs w:val="14"/>
                <w:color w:val="231F20"/>
              </w:rPr>
              <w:t>59.97</w:t>
            </w:r>
          </w:p>
        </w:tc>
        <w:tc>
          <w:tcPr>
            <w:tcW w:w="1080" w:type="dxa"/>
            <w:vAlign w:val="bottom"/>
            <w:tcBorders>
              <w:bottom w:val="single" w:sz="8" w:color="6F2875"/>
            </w:tcBorders>
          </w:tcPr>
          <w:p>
            <w:pPr>
              <w:jc w:val="right"/>
              <w:spacing w:after="0"/>
              <w:rPr>
                <w:sz w:val="20"/>
                <w:szCs w:val="20"/>
                <w:color w:val="auto"/>
              </w:rPr>
            </w:pPr>
            <w:r>
              <w:rPr>
                <w:rFonts w:ascii="Arial" w:cs="Arial" w:eastAsia="Arial" w:hAnsi="Arial"/>
                <w:sz w:val="14"/>
                <w:szCs w:val="14"/>
                <w:color w:val="231F20"/>
              </w:rPr>
              <w:t>258,412</w:t>
            </w:r>
          </w:p>
        </w:tc>
        <w:tc>
          <w:tcPr>
            <w:tcW w:w="0" w:type="dxa"/>
            <w:vAlign w:val="bottom"/>
          </w:tcPr>
          <w:p>
            <w:pPr>
              <w:spacing w:after="0"/>
              <w:rPr>
                <w:sz w:val="1"/>
                <w:szCs w:val="1"/>
                <w:color w:val="auto"/>
              </w:rPr>
            </w:pPr>
          </w:p>
        </w:tc>
      </w:tr>
      <w:tr>
        <w:trPr>
          <w:trHeight w:val="156"/>
        </w:trPr>
        <w:tc>
          <w:tcPr>
            <w:tcW w:w="1060" w:type="dxa"/>
            <w:vAlign w:val="bottom"/>
          </w:tcPr>
          <w:p>
            <w:pPr>
              <w:ind w:left="60"/>
              <w:spacing w:after="0" w:line="155" w:lineRule="exact"/>
              <w:rPr>
                <w:sz w:val="20"/>
                <w:szCs w:val="20"/>
                <w:color w:val="auto"/>
              </w:rPr>
            </w:pPr>
            <w:r>
              <w:rPr>
                <w:rFonts w:ascii="Arial" w:cs="Arial" w:eastAsia="Arial" w:hAnsi="Arial"/>
                <w:sz w:val="14"/>
                <w:szCs w:val="14"/>
                <w:b w:val="1"/>
                <w:bCs w:val="1"/>
                <w:color w:val="231F20"/>
              </w:rPr>
              <w:t>Douglas</w:t>
            </w:r>
          </w:p>
        </w:tc>
        <w:tc>
          <w:tcPr>
            <w:tcW w:w="100" w:type="dxa"/>
            <w:vAlign w:val="bottom"/>
          </w:tcPr>
          <w:p>
            <w:pPr>
              <w:spacing w:after="0"/>
              <w:rPr>
                <w:sz w:val="13"/>
                <w:szCs w:val="13"/>
                <w:color w:val="auto"/>
              </w:rPr>
            </w:pPr>
          </w:p>
        </w:tc>
        <w:tc>
          <w:tcPr>
            <w:tcW w:w="940" w:type="dxa"/>
            <w:vAlign w:val="bottom"/>
            <w:shd w:val="clear" w:color="auto" w:fill="F3EDF3"/>
          </w:tcPr>
          <w:p>
            <w:pPr>
              <w:spacing w:after="0"/>
              <w:rPr>
                <w:sz w:val="13"/>
                <w:szCs w:val="13"/>
                <w:color w:val="auto"/>
              </w:rPr>
            </w:pPr>
          </w:p>
        </w:tc>
        <w:tc>
          <w:tcPr>
            <w:tcW w:w="860" w:type="dxa"/>
            <w:vAlign w:val="bottom"/>
            <w:shd w:val="clear" w:color="auto" w:fill="F3EDF3"/>
          </w:tcPr>
          <w:p>
            <w:pPr>
              <w:jc w:val="right"/>
              <w:ind w:right="69"/>
              <w:spacing w:after="0" w:line="155" w:lineRule="exact"/>
              <w:rPr>
                <w:sz w:val="20"/>
                <w:szCs w:val="20"/>
                <w:color w:val="auto"/>
              </w:rPr>
            </w:pPr>
            <w:r>
              <w:rPr>
                <w:rFonts w:ascii="Arial" w:cs="Arial" w:eastAsia="Arial" w:hAnsi="Arial"/>
                <w:sz w:val="14"/>
                <w:szCs w:val="14"/>
                <w:color w:val="231F20"/>
              </w:rPr>
              <w:t>—</w:t>
            </w:r>
          </w:p>
        </w:tc>
        <w:tc>
          <w:tcPr>
            <w:tcW w:w="740" w:type="dxa"/>
            <w:vAlign w:val="bottom"/>
            <w:shd w:val="clear" w:color="auto" w:fill="F3EDF3"/>
          </w:tcPr>
          <w:p>
            <w:pPr>
              <w:jc w:val="right"/>
              <w:ind w:right="8"/>
              <w:spacing w:after="0" w:line="155" w:lineRule="exact"/>
              <w:rPr>
                <w:sz w:val="20"/>
                <w:szCs w:val="20"/>
                <w:color w:val="auto"/>
              </w:rPr>
            </w:pPr>
            <w:r>
              <w:rPr>
                <w:rFonts w:ascii="Arial" w:cs="Arial" w:eastAsia="Arial" w:hAnsi="Arial"/>
                <w:sz w:val="14"/>
                <w:szCs w:val="14"/>
                <w:color w:val="231F20"/>
              </w:rPr>
              <w:t>124,296</w:t>
            </w:r>
          </w:p>
        </w:tc>
        <w:tc>
          <w:tcPr>
            <w:tcW w:w="840" w:type="dxa"/>
            <w:vAlign w:val="bottom"/>
            <w:gridSpan w:val="2"/>
            <w:shd w:val="clear" w:color="auto" w:fill="F3EDF3"/>
          </w:tcPr>
          <w:p>
            <w:pPr>
              <w:jc w:val="right"/>
              <w:ind w:right="120"/>
              <w:spacing w:after="0" w:line="155" w:lineRule="exact"/>
              <w:rPr>
                <w:sz w:val="20"/>
                <w:szCs w:val="20"/>
                <w:color w:val="auto"/>
              </w:rPr>
            </w:pPr>
            <w:r>
              <w:rPr>
                <w:rFonts w:ascii="Arial" w:cs="Arial" w:eastAsia="Arial" w:hAnsi="Arial"/>
                <w:sz w:val="14"/>
                <w:szCs w:val="14"/>
                <w:color w:val="231F20"/>
              </w:rPr>
              <w:t>198,874</w:t>
            </w:r>
          </w:p>
        </w:tc>
        <w:tc>
          <w:tcPr>
            <w:tcW w:w="1020" w:type="dxa"/>
            <w:vAlign w:val="bottom"/>
            <w:shd w:val="clear" w:color="auto" w:fill="F3EDF3"/>
          </w:tcPr>
          <w:p>
            <w:pPr>
              <w:spacing w:after="0"/>
              <w:rPr>
                <w:sz w:val="13"/>
                <w:szCs w:val="13"/>
                <w:color w:val="auto"/>
              </w:rPr>
            </w:pPr>
          </w:p>
        </w:tc>
        <w:tc>
          <w:tcPr>
            <w:tcW w:w="800" w:type="dxa"/>
            <w:vAlign w:val="bottom"/>
            <w:shd w:val="clear" w:color="auto" w:fill="F3EDF3"/>
          </w:tcPr>
          <w:p>
            <w:pPr>
              <w:spacing w:after="0"/>
              <w:rPr>
                <w:sz w:val="13"/>
                <w:szCs w:val="13"/>
                <w:color w:val="auto"/>
              </w:rPr>
            </w:pPr>
          </w:p>
        </w:tc>
        <w:tc>
          <w:tcPr>
            <w:tcW w:w="780" w:type="dxa"/>
            <w:vAlign w:val="bottom"/>
            <w:shd w:val="clear" w:color="auto" w:fill="F3EDF3"/>
          </w:tcPr>
          <w:p>
            <w:pPr>
              <w:spacing w:after="0"/>
              <w:rPr>
                <w:sz w:val="13"/>
                <w:szCs w:val="13"/>
                <w:color w:val="auto"/>
              </w:rPr>
            </w:pPr>
          </w:p>
        </w:tc>
        <w:tc>
          <w:tcPr>
            <w:tcW w:w="80" w:type="dxa"/>
            <w:vAlign w:val="bottom"/>
            <w:shd w:val="clear" w:color="auto" w:fill="F3EDF3"/>
          </w:tcPr>
          <w:p>
            <w:pPr>
              <w:spacing w:after="0"/>
              <w:rPr>
                <w:sz w:val="13"/>
                <w:szCs w:val="13"/>
                <w:color w:val="auto"/>
              </w:rPr>
            </w:pPr>
          </w:p>
        </w:tc>
        <w:tc>
          <w:tcPr>
            <w:tcW w:w="1060" w:type="dxa"/>
            <w:vAlign w:val="bottom"/>
            <w:shd w:val="clear" w:color="auto" w:fill="F3EDF3"/>
          </w:tcPr>
          <w:p>
            <w:pPr>
              <w:spacing w:after="0"/>
              <w:rPr>
                <w:sz w:val="13"/>
                <w:szCs w:val="13"/>
                <w:color w:val="auto"/>
              </w:rPr>
            </w:pPr>
          </w:p>
        </w:tc>
        <w:tc>
          <w:tcPr>
            <w:tcW w:w="1100" w:type="dxa"/>
            <w:vAlign w:val="bottom"/>
            <w:shd w:val="clear" w:color="auto" w:fill="F3EDF3"/>
          </w:tcPr>
          <w:p>
            <w:pPr>
              <w:spacing w:after="0"/>
              <w:rPr>
                <w:sz w:val="13"/>
                <w:szCs w:val="13"/>
                <w:color w:val="auto"/>
              </w:rPr>
            </w:pPr>
          </w:p>
        </w:tc>
        <w:tc>
          <w:tcPr>
            <w:tcW w:w="960" w:type="dxa"/>
            <w:vAlign w:val="bottom"/>
            <w:shd w:val="clear" w:color="auto" w:fill="F3EDF3"/>
          </w:tcPr>
          <w:p>
            <w:pPr>
              <w:spacing w:after="0"/>
              <w:rPr>
                <w:sz w:val="13"/>
                <w:szCs w:val="13"/>
                <w:color w:val="auto"/>
              </w:rPr>
            </w:pPr>
          </w:p>
        </w:tc>
        <w:tc>
          <w:tcPr>
            <w:tcW w:w="1080" w:type="dxa"/>
            <w:vAlign w:val="bottom"/>
            <w:shd w:val="clear" w:color="auto" w:fill="F3EDF3"/>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60" w:type="dxa"/>
            <w:vAlign w:val="bottom"/>
          </w:tcPr>
          <w:p>
            <w:pPr>
              <w:ind w:left="60"/>
              <w:spacing w:after="0"/>
              <w:rPr>
                <w:sz w:val="20"/>
                <w:szCs w:val="20"/>
                <w:color w:val="auto"/>
              </w:rPr>
            </w:pPr>
            <w:r>
              <w:rPr>
                <w:rFonts w:ascii="Arial" w:cs="Arial" w:eastAsia="Arial" w:hAnsi="Arial"/>
                <w:sz w:val="14"/>
                <w:szCs w:val="14"/>
                <w:b w:val="1"/>
                <w:bCs w:val="1"/>
                <w:color w:val="231F20"/>
              </w:rPr>
              <w:t>Manko</w:t>
            </w:r>
          </w:p>
        </w:tc>
        <w:tc>
          <w:tcPr>
            <w:tcW w:w="1040" w:type="dxa"/>
            <w:vAlign w:val="bottom"/>
            <w:gridSpan w:val="2"/>
          </w:tcPr>
          <w:p>
            <w:pPr>
              <w:ind w:left="100"/>
              <w:spacing w:after="0"/>
              <w:rPr>
                <w:sz w:val="20"/>
                <w:szCs w:val="20"/>
                <w:color w:val="auto"/>
              </w:rPr>
            </w:pPr>
            <w:r>
              <w:rPr>
                <w:rFonts w:ascii="Arial" w:cs="Arial" w:eastAsia="Arial" w:hAnsi="Arial"/>
                <w:sz w:val="14"/>
                <w:szCs w:val="14"/>
                <w:color w:val="231F20"/>
              </w:rPr>
              <w:t>05/05/2017</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color w:val="231F20"/>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231F20"/>
              </w:rPr>
              <w:t>2,975</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231F20"/>
              </w:rPr>
              <w:t>5,206</w:t>
            </w:r>
          </w:p>
        </w:tc>
        <w:tc>
          <w:tcPr>
            <w:tcW w:w="10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Arial" w:cs="Arial" w:eastAsia="Arial" w:hAnsi="Arial"/>
                <w:sz w:val="14"/>
                <w:szCs w:val="14"/>
                <w:color w:val="231F20"/>
              </w:rPr>
              <w:t>—</w:t>
            </w:r>
          </w:p>
        </w:tc>
        <w:tc>
          <w:tcPr>
            <w:tcW w:w="9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231F20"/>
              </w:rPr>
              <w:t>167,106</w:t>
            </w:r>
          </w:p>
        </w:tc>
        <w:tc>
          <w:tcPr>
            <w:tcW w:w="0" w:type="dxa"/>
            <w:vAlign w:val="bottom"/>
          </w:tcPr>
          <w:p>
            <w:pPr>
              <w:spacing w:after="0"/>
              <w:rPr>
                <w:sz w:val="1"/>
                <w:szCs w:val="1"/>
                <w:color w:val="auto"/>
              </w:rPr>
            </w:pPr>
          </w:p>
        </w:tc>
      </w:tr>
      <w:tr>
        <w:trPr>
          <w:trHeight w:val="176"/>
        </w:trPr>
        <w:tc>
          <w:tcPr>
            <w:tcW w:w="1060" w:type="dxa"/>
            <w:vAlign w:val="bottom"/>
            <w:tcBorders>
              <w:bottom w:val="single" w:sz="8" w:color="6F2875"/>
            </w:tcBorders>
          </w:tcPr>
          <w:p>
            <w:pPr>
              <w:spacing w:after="0"/>
              <w:rPr>
                <w:sz w:val="15"/>
                <w:szCs w:val="15"/>
                <w:color w:val="auto"/>
              </w:rPr>
            </w:pPr>
          </w:p>
        </w:tc>
        <w:tc>
          <w:tcPr>
            <w:tcW w:w="100" w:type="dxa"/>
            <w:vAlign w:val="bottom"/>
            <w:tcBorders>
              <w:bottom w:val="single" w:sz="8" w:color="6F2875"/>
            </w:tcBorders>
          </w:tcPr>
          <w:p>
            <w:pPr>
              <w:spacing w:after="0"/>
              <w:rPr>
                <w:sz w:val="15"/>
                <w:szCs w:val="15"/>
                <w:color w:val="auto"/>
              </w:rPr>
            </w:pPr>
          </w:p>
        </w:tc>
        <w:tc>
          <w:tcPr>
            <w:tcW w:w="940" w:type="dxa"/>
            <w:vAlign w:val="bottom"/>
            <w:tcBorders>
              <w:bottom w:val="single" w:sz="8" w:color="6F2875"/>
            </w:tcBorders>
            <w:shd w:val="clear" w:color="auto" w:fill="F3EDF3"/>
          </w:tcPr>
          <w:p>
            <w:pPr>
              <w:spacing w:after="0"/>
              <w:rPr>
                <w:sz w:val="20"/>
                <w:szCs w:val="20"/>
                <w:color w:val="auto"/>
              </w:rPr>
            </w:pPr>
            <w:r>
              <w:rPr>
                <w:rFonts w:ascii="Arial" w:cs="Arial" w:eastAsia="Arial" w:hAnsi="Arial"/>
                <w:sz w:val="14"/>
                <w:szCs w:val="14"/>
                <w:color w:val="231F20"/>
              </w:rPr>
              <w:t>05/05/2017</w:t>
            </w:r>
          </w:p>
        </w:tc>
        <w:tc>
          <w:tcPr>
            <w:tcW w:w="860" w:type="dxa"/>
            <w:vAlign w:val="bottom"/>
            <w:tcBorders>
              <w:bottom w:val="single" w:sz="8" w:color="6F2875"/>
            </w:tcBorders>
            <w:shd w:val="clear" w:color="auto" w:fill="F3EDF3"/>
          </w:tcPr>
          <w:p>
            <w:pPr>
              <w:spacing w:after="0"/>
              <w:rPr>
                <w:sz w:val="15"/>
                <w:szCs w:val="15"/>
                <w:color w:val="auto"/>
              </w:rPr>
            </w:pPr>
          </w:p>
        </w:tc>
        <w:tc>
          <w:tcPr>
            <w:tcW w:w="740" w:type="dxa"/>
            <w:vAlign w:val="bottom"/>
            <w:tcBorders>
              <w:bottom w:val="single" w:sz="8" w:color="6F2875"/>
            </w:tcBorders>
            <w:shd w:val="clear" w:color="auto" w:fill="F3EDF3"/>
          </w:tcPr>
          <w:p>
            <w:pPr>
              <w:spacing w:after="0"/>
              <w:rPr>
                <w:sz w:val="15"/>
                <w:szCs w:val="15"/>
                <w:color w:val="auto"/>
              </w:rPr>
            </w:pPr>
          </w:p>
        </w:tc>
        <w:tc>
          <w:tcPr>
            <w:tcW w:w="720" w:type="dxa"/>
            <w:vAlign w:val="bottom"/>
            <w:tcBorders>
              <w:bottom w:val="single" w:sz="8" w:color="6F2875"/>
            </w:tcBorders>
            <w:shd w:val="clear" w:color="auto" w:fill="F3EDF3"/>
          </w:tcPr>
          <w:p>
            <w:pPr>
              <w:spacing w:after="0"/>
              <w:rPr>
                <w:sz w:val="15"/>
                <w:szCs w:val="15"/>
                <w:color w:val="auto"/>
              </w:rPr>
            </w:pPr>
          </w:p>
        </w:tc>
        <w:tc>
          <w:tcPr>
            <w:tcW w:w="120" w:type="dxa"/>
            <w:vAlign w:val="bottom"/>
            <w:tcBorders>
              <w:bottom w:val="single" w:sz="8" w:color="6F2875"/>
            </w:tcBorders>
            <w:shd w:val="clear" w:color="auto" w:fill="F3EDF3"/>
          </w:tcPr>
          <w:p>
            <w:pPr>
              <w:spacing w:after="0"/>
              <w:rPr>
                <w:sz w:val="15"/>
                <w:szCs w:val="15"/>
                <w:color w:val="auto"/>
              </w:rPr>
            </w:pPr>
          </w:p>
        </w:tc>
        <w:tc>
          <w:tcPr>
            <w:tcW w:w="1020" w:type="dxa"/>
            <w:vAlign w:val="bottom"/>
            <w:tcBorders>
              <w:bottom w:val="single" w:sz="8" w:color="6F2875"/>
            </w:tcBorders>
            <w:shd w:val="clear" w:color="auto" w:fill="F3EDF3"/>
          </w:tcPr>
          <w:p>
            <w:pPr>
              <w:spacing w:after="0"/>
              <w:rPr>
                <w:sz w:val="15"/>
                <w:szCs w:val="15"/>
                <w:color w:val="auto"/>
              </w:rPr>
            </w:pPr>
          </w:p>
        </w:tc>
        <w:tc>
          <w:tcPr>
            <w:tcW w:w="800" w:type="dxa"/>
            <w:vAlign w:val="bottom"/>
            <w:tcBorders>
              <w:bottom w:val="single" w:sz="8" w:color="6F2875"/>
            </w:tcBorders>
            <w:shd w:val="clear" w:color="auto" w:fill="F3EDF3"/>
          </w:tcPr>
          <w:p>
            <w:pPr>
              <w:spacing w:after="0"/>
              <w:rPr>
                <w:sz w:val="15"/>
                <w:szCs w:val="15"/>
                <w:color w:val="auto"/>
              </w:rPr>
            </w:pPr>
          </w:p>
        </w:tc>
        <w:tc>
          <w:tcPr>
            <w:tcW w:w="780" w:type="dxa"/>
            <w:vAlign w:val="bottom"/>
            <w:tcBorders>
              <w:bottom w:val="single" w:sz="8" w:color="6F2875"/>
            </w:tcBorders>
            <w:shd w:val="clear" w:color="auto" w:fill="F3EDF3"/>
          </w:tcPr>
          <w:p>
            <w:pPr>
              <w:spacing w:after="0"/>
              <w:rPr>
                <w:sz w:val="15"/>
                <w:szCs w:val="15"/>
                <w:color w:val="auto"/>
              </w:rPr>
            </w:pPr>
          </w:p>
        </w:tc>
        <w:tc>
          <w:tcPr>
            <w:tcW w:w="80" w:type="dxa"/>
            <w:vAlign w:val="bottom"/>
            <w:tcBorders>
              <w:bottom w:val="single" w:sz="8" w:color="6F2875"/>
            </w:tcBorders>
            <w:shd w:val="clear" w:color="auto" w:fill="F3EDF3"/>
          </w:tcPr>
          <w:p>
            <w:pPr>
              <w:spacing w:after="0"/>
              <w:rPr>
                <w:sz w:val="15"/>
                <w:szCs w:val="15"/>
                <w:color w:val="auto"/>
              </w:rPr>
            </w:pPr>
          </w:p>
        </w:tc>
        <w:tc>
          <w:tcPr>
            <w:tcW w:w="1060" w:type="dxa"/>
            <w:vAlign w:val="bottom"/>
            <w:tcBorders>
              <w:bottom w:val="single" w:sz="8" w:color="6F2875"/>
            </w:tcBorders>
            <w:shd w:val="clear" w:color="auto" w:fill="F3EDF3"/>
          </w:tcPr>
          <w:p>
            <w:pPr>
              <w:spacing w:after="0"/>
              <w:rPr>
                <w:sz w:val="15"/>
                <w:szCs w:val="15"/>
                <w:color w:val="auto"/>
              </w:rPr>
            </w:pPr>
          </w:p>
        </w:tc>
        <w:tc>
          <w:tcPr>
            <w:tcW w:w="1100" w:type="dxa"/>
            <w:vAlign w:val="bottom"/>
            <w:tcBorders>
              <w:bottom w:val="single" w:sz="8" w:color="6F2875"/>
            </w:tcBorders>
            <w:shd w:val="clear" w:color="auto" w:fill="F3EDF3"/>
          </w:tcPr>
          <w:p>
            <w:pPr>
              <w:jc w:val="right"/>
              <w:ind w:right="148"/>
              <w:spacing w:after="0"/>
              <w:rPr>
                <w:sz w:val="20"/>
                <w:szCs w:val="20"/>
                <w:color w:val="auto"/>
              </w:rPr>
            </w:pPr>
            <w:r>
              <w:rPr>
                <w:rFonts w:ascii="Arial" w:cs="Arial" w:eastAsia="Arial" w:hAnsi="Arial"/>
                <w:sz w:val="14"/>
                <w:szCs w:val="14"/>
                <w:color w:val="231F20"/>
              </w:rPr>
              <w:t>10,439</w:t>
            </w:r>
          </w:p>
        </w:tc>
        <w:tc>
          <w:tcPr>
            <w:tcW w:w="960" w:type="dxa"/>
            <w:vAlign w:val="bottom"/>
            <w:tcBorders>
              <w:bottom w:val="single" w:sz="8" w:color="6F2875"/>
            </w:tcBorders>
            <w:shd w:val="clear" w:color="auto" w:fill="F3EDF3"/>
          </w:tcPr>
          <w:p>
            <w:pPr>
              <w:jc w:val="right"/>
              <w:ind w:right="88"/>
              <w:spacing w:after="0"/>
              <w:rPr>
                <w:sz w:val="20"/>
                <w:szCs w:val="20"/>
                <w:color w:val="auto"/>
              </w:rPr>
            </w:pPr>
            <w:r>
              <w:rPr>
                <w:rFonts w:ascii="Arial" w:cs="Arial" w:eastAsia="Arial" w:hAnsi="Arial"/>
                <w:sz w:val="14"/>
                <w:szCs w:val="14"/>
                <w:color w:val="231F20"/>
              </w:rPr>
              <w:t>56.17</w:t>
            </w:r>
          </w:p>
        </w:tc>
        <w:tc>
          <w:tcPr>
            <w:tcW w:w="1080" w:type="dxa"/>
            <w:vAlign w:val="bottom"/>
            <w:tcBorders>
              <w:bottom w:val="single" w:sz="8" w:color="6F2875"/>
            </w:tcBorders>
            <w:shd w:val="clear" w:color="auto" w:fill="F3EDF3"/>
          </w:tcPr>
          <w:p>
            <w:pPr>
              <w:jc w:val="right"/>
              <w:spacing w:after="0"/>
              <w:rPr>
                <w:sz w:val="20"/>
                <w:szCs w:val="20"/>
                <w:color w:val="auto"/>
              </w:rPr>
            </w:pPr>
            <w:r>
              <w:rPr>
                <w:rFonts w:ascii="Arial" w:cs="Arial" w:eastAsia="Arial" w:hAnsi="Arial"/>
                <w:sz w:val="14"/>
                <w:szCs w:val="14"/>
                <w:color w:val="231F20"/>
              </w:rPr>
              <w:t>167,130</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line="279" w:lineRule="auto"/>
        <w:tabs>
          <w:tab w:leader="none" w:pos="340" w:val="left"/>
        </w:tabs>
        <w:numPr>
          <w:ilvl w:val="0"/>
          <w:numId w:val="33"/>
        </w:numPr>
        <w:rPr>
          <w:rFonts w:ascii="Arial" w:cs="Arial" w:eastAsia="Arial" w:hAnsi="Arial"/>
          <w:sz w:val="14"/>
          <w:szCs w:val="14"/>
          <w:i w:val="1"/>
          <w:iCs w:val="1"/>
          <w:color w:val="231F20"/>
        </w:rPr>
      </w:pPr>
      <w:r>
        <w:rPr>
          <w:rFonts w:ascii="Arial" w:cs="Arial" w:eastAsia="Arial" w:hAnsi="Arial"/>
          <w:sz w:val="14"/>
          <w:szCs w:val="14"/>
          <w:i w:val="1"/>
          <w:iCs w:val="1"/>
          <w:color w:val="231F20"/>
        </w:rPr>
        <w:t>For the amounts in this table, we used an exchange rate of $1.28864 per British Pound, which reflects the applicable period average published rate from the OANDA Corporation currency database between January 1, 2017 and December 31, 2017.</w:t>
      </w:r>
    </w:p>
    <w:p>
      <w:pPr>
        <w:spacing w:after="0" w:line="17" w:lineRule="exact"/>
        <w:rPr>
          <w:rFonts w:ascii="Arial" w:cs="Arial" w:eastAsia="Arial" w:hAnsi="Arial"/>
          <w:sz w:val="14"/>
          <w:szCs w:val="14"/>
          <w:i w:val="1"/>
          <w:iCs w:val="1"/>
          <w:color w:val="231F20"/>
        </w:rPr>
      </w:pPr>
    </w:p>
    <w:p>
      <w:pPr>
        <w:jc w:val="both"/>
        <w:ind w:left="340" w:hanging="332"/>
        <w:spacing w:after="0" w:line="249" w:lineRule="auto"/>
        <w:tabs>
          <w:tab w:leader="none" w:pos="340" w:val="left"/>
        </w:tabs>
        <w:numPr>
          <w:ilvl w:val="0"/>
          <w:numId w:val="33"/>
        </w:numPr>
        <w:rPr>
          <w:rFonts w:ascii="Arial" w:cs="Arial" w:eastAsia="Arial" w:hAnsi="Arial"/>
          <w:sz w:val="14"/>
          <w:szCs w:val="14"/>
          <w:i w:val="1"/>
          <w:iCs w:val="1"/>
          <w:color w:val="231F20"/>
        </w:rPr>
      </w:pPr>
      <w:r>
        <w:rPr>
          <w:rFonts w:ascii="Arial" w:cs="Arial" w:eastAsia="Arial" w:hAnsi="Arial"/>
          <w:sz w:val="14"/>
          <w:szCs w:val="14"/>
          <w:i w:val="1"/>
          <w:iCs w:val="1"/>
          <w:color w:val="231F20"/>
        </w:rPr>
        <w:t>The amounts reported represent the fair value of the restricted stock unit and stock appreciation rights awards computed in accordance with FASB ASC Topic 718 on the grant date. The fair value for restricted stock unit awards is calculated by multiplying the number of units in each award by the closing price of an Ordinary Share of our stock on NASDAQ on the grant date, eventually discounted in case of a market price condition. The fair value for stock appreciation rights awards is calculated by multiplying the number of rights subject to the award by the Black-Scholes value of an option for an Ordinary Share of our stock on the grant date. For a further discussion of the accounting treatment of the RSU and SAR awards, see “Note 2. Basis of Presentation, Use of Accounting Estimates and Significant Accounting Policies” included in the consolidated financial statements accompanying our 2017 Form 10-K.</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Borders>
              <w:bottom w:val="single" w:sz="8" w:color="auto"/>
            </w:tcBorders>
          </w:tcPr>
          <w:p>
            <w:pPr>
              <w:spacing w:after="0"/>
              <w:rPr>
                <w:sz w:val="10"/>
                <w:szCs w:val="10"/>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37</w:t>
            </w:r>
          </w:p>
        </w:tc>
        <w:tc>
          <w:tcPr>
            <w:tcW w:w="0" w:type="dxa"/>
            <w:vAlign w:val="bottom"/>
          </w:tcPr>
          <w:p>
            <w:pPr>
              <w:spacing w:after="0"/>
              <w:rPr>
                <w:sz w:val="1"/>
                <w:szCs w:val="1"/>
                <w:color w:val="auto"/>
              </w:rPr>
            </w:pPr>
          </w:p>
        </w:tc>
      </w:tr>
      <w:tr>
        <w:trPr>
          <w:trHeight w:val="69"/>
        </w:trPr>
        <w:tc>
          <w:tcPr>
            <w:tcW w:w="40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2017 Outstanding Equity Awards at Year End</w:t>
      </w:r>
    </w:p>
    <w:p>
      <w:pPr>
        <w:spacing w:after="0" w:line="23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231F20"/>
        </w:rPr>
        <w:t>The following table summarizes the number of Ordinary Shares of our stock underlying outstanding equity incentive plan awards for each NEO as of December 31,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8"/>
                <w:szCs w:val="18"/>
                <w:color w:val="auto"/>
              </w:rPr>
            </w:pPr>
          </w:p>
        </w:tc>
        <w:tc>
          <w:tcPr>
            <w:tcW w:w="1520" w:type="dxa"/>
            <w:vAlign w:val="bottom"/>
            <w:tcBorders>
              <w:bottom w:val="single" w:sz="8" w:color="6F2875"/>
            </w:tcBorders>
          </w:tcPr>
          <w:p>
            <w:pPr>
              <w:spacing w:after="0"/>
              <w:rPr>
                <w:sz w:val="18"/>
                <w:szCs w:val="18"/>
                <w:color w:val="auto"/>
              </w:rPr>
            </w:pPr>
          </w:p>
        </w:tc>
        <w:tc>
          <w:tcPr>
            <w:tcW w:w="1660" w:type="dxa"/>
            <w:vAlign w:val="bottom"/>
            <w:tcBorders>
              <w:bottom w:val="single" w:sz="8" w:color="6F2875"/>
            </w:tcBorders>
          </w:tcPr>
          <w:p>
            <w:pPr>
              <w:jc w:val="right"/>
              <w:spacing w:after="0"/>
              <w:rPr>
                <w:sz w:val="20"/>
                <w:szCs w:val="20"/>
                <w:color w:val="auto"/>
              </w:rPr>
            </w:pPr>
            <w:r>
              <w:rPr>
                <w:rFonts w:ascii="Arial" w:cs="Arial" w:eastAsia="Arial" w:hAnsi="Arial"/>
                <w:sz w:val="16"/>
                <w:szCs w:val="16"/>
                <w:b w:val="1"/>
                <w:bCs w:val="1"/>
                <w:color w:val="6F2875"/>
              </w:rPr>
              <w:t>Option Awards</w:t>
            </w:r>
          </w:p>
        </w:tc>
        <w:tc>
          <w:tcPr>
            <w:tcW w:w="900" w:type="dxa"/>
            <w:vAlign w:val="bottom"/>
            <w:tcBorders>
              <w:bottom w:val="single" w:sz="8" w:color="6F2875"/>
            </w:tcBorders>
          </w:tcPr>
          <w:p>
            <w:pPr>
              <w:spacing w:after="0"/>
              <w:rPr>
                <w:sz w:val="18"/>
                <w:szCs w:val="18"/>
                <w:color w:val="auto"/>
              </w:rPr>
            </w:pPr>
          </w:p>
        </w:tc>
        <w:tc>
          <w:tcPr>
            <w:tcW w:w="980" w:type="dxa"/>
            <w:vAlign w:val="bottom"/>
            <w:tcBorders>
              <w:bottom w:val="single" w:sz="8" w:color="6F2875"/>
            </w:tcBorders>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Borders>
              <w:bottom w:val="single" w:sz="8" w:color="6F2875"/>
            </w:tcBorders>
            <w:gridSpan w:val="2"/>
          </w:tcPr>
          <w:p>
            <w:pPr>
              <w:jc w:val="right"/>
              <w:ind w:right="860"/>
              <w:spacing w:after="0"/>
              <w:rPr>
                <w:sz w:val="20"/>
                <w:szCs w:val="20"/>
                <w:color w:val="auto"/>
              </w:rPr>
            </w:pPr>
            <w:r>
              <w:rPr>
                <w:rFonts w:ascii="Arial" w:cs="Arial" w:eastAsia="Arial" w:hAnsi="Arial"/>
                <w:sz w:val="16"/>
                <w:szCs w:val="16"/>
                <w:b w:val="1"/>
                <w:bCs w:val="1"/>
                <w:color w:val="6F2875"/>
              </w:rPr>
              <w:t>Stock Awards</w:t>
            </w:r>
          </w:p>
        </w:tc>
      </w:tr>
      <w:tr>
        <w:trPr>
          <w:trHeight w:val="183"/>
        </w:trPr>
        <w:tc>
          <w:tcPr>
            <w:tcW w:w="3200" w:type="dxa"/>
            <w:vAlign w:val="bottom"/>
          </w:tcPr>
          <w:p>
            <w:pPr>
              <w:spacing w:after="0"/>
              <w:rPr>
                <w:sz w:val="15"/>
                <w:szCs w:val="15"/>
                <w:color w:val="auto"/>
              </w:rPr>
            </w:pPr>
          </w:p>
        </w:tc>
        <w:tc>
          <w:tcPr>
            <w:tcW w:w="1520" w:type="dxa"/>
            <w:vAlign w:val="bottom"/>
          </w:tcPr>
          <w:p>
            <w:pPr>
              <w:jc w:val="right"/>
              <w:ind w:right="59"/>
              <w:spacing w:after="0" w:line="183" w:lineRule="exact"/>
              <w:rPr>
                <w:sz w:val="20"/>
                <w:szCs w:val="20"/>
                <w:color w:val="auto"/>
              </w:rPr>
            </w:pPr>
            <w:r>
              <w:rPr>
                <w:rFonts w:ascii="Arial" w:cs="Arial" w:eastAsia="Arial" w:hAnsi="Arial"/>
                <w:sz w:val="16"/>
                <w:szCs w:val="16"/>
                <w:b w:val="1"/>
                <w:bCs w:val="1"/>
                <w:color w:val="6F2875"/>
              </w:rPr>
              <w:t>Number of</w:t>
            </w:r>
          </w:p>
        </w:tc>
        <w:tc>
          <w:tcPr>
            <w:tcW w:w="1660" w:type="dxa"/>
            <w:vAlign w:val="bottom"/>
          </w:tcPr>
          <w:p>
            <w:pPr>
              <w:jc w:val="right"/>
              <w:ind w:right="339"/>
              <w:spacing w:after="0" w:line="183" w:lineRule="exact"/>
              <w:rPr>
                <w:sz w:val="20"/>
                <w:szCs w:val="20"/>
                <w:color w:val="auto"/>
              </w:rPr>
            </w:pPr>
            <w:r>
              <w:rPr>
                <w:rFonts w:ascii="Arial" w:cs="Arial" w:eastAsia="Arial" w:hAnsi="Arial"/>
                <w:sz w:val="16"/>
                <w:szCs w:val="16"/>
                <w:b w:val="1"/>
                <w:bCs w:val="1"/>
                <w:color w:val="6F2875"/>
              </w:rPr>
              <w:t>Number of</w:t>
            </w: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60" w:type="dxa"/>
            <w:vAlign w:val="bottom"/>
          </w:tcPr>
          <w:p>
            <w:pPr>
              <w:jc w:val="right"/>
              <w:spacing w:after="0" w:line="183" w:lineRule="exact"/>
              <w:rPr>
                <w:sz w:val="20"/>
                <w:szCs w:val="20"/>
                <w:color w:val="auto"/>
              </w:rPr>
            </w:pPr>
            <w:r>
              <w:rPr>
                <w:rFonts w:ascii="Arial" w:cs="Arial" w:eastAsia="Arial" w:hAnsi="Arial"/>
                <w:sz w:val="16"/>
                <w:szCs w:val="16"/>
                <w:b w:val="1"/>
                <w:bCs w:val="1"/>
                <w:color w:val="6F2875"/>
              </w:rPr>
              <w:t>Market Value</w:t>
            </w:r>
          </w:p>
        </w:tc>
      </w:tr>
      <w:tr>
        <w:trPr>
          <w:trHeight w:val="189"/>
        </w:trPr>
        <w:tc>
          <w:tcPr>
            <w:tcW w:w="3200" w:type="dxa"/>
            <w:vAlign w:val="bottom"/>
          </w:tcPr>
          <w:p>
            <w:pPr>
              <w:spacing w:after="0"/>
              <w:rPr>
                <w:sz w:val="16"/>
                <w:szCs w:val="16"/>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b w:val="1"/>
                <w:bCs w:val="1"/>
                <w:color w:val="6F2875"/>
              </w:rPr>
              <w:t>Securities</w:t>
            </w:r>
          </w:p>
        </w:tc>
        <w:tc>
          <w:tcPr>
            <w:tcW w:w="1660" w:type="dxa"/>
            <w:vAlign w:val="bottom"/>
          </w:tcPr>
          <w:p>
            <w:pPr>
              <w:jc w:val="right"/>
              <w:ind w:right="339"/>
              <w:spacing w:after="0"/>
              <w:rPr>
                <w:sz w:val="20"/>
                <w:szCs w:val="20"/>
                <w:color w:val="auto"/>
              </w:rPr>
            </w:pPr>
            <w:r>
              <w:rPr>
                <w:rFonts w:ascii="Arial" w:cs="Arial" w:eastAsia="Arial" w:hAnsi="Arial"/>
                <w:sz w:val="16"/>
                <w:szCs w:val="16"/>
                <w:b w:val="1"/>
                <w:bCs w:val="1"/>
                <w:color w:val="6F2875"/>
              </w:rPr>
              <w:t>Securities</w:t>
            </w: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ind w:right="139"/>
              <w:spacing w:after="0"/>
              <w:rPr>
                <w:sz w:val="20"/>
                <w:szCs w:val="20"/>
                <w:color w:val="auto"/>
              </w:rPr>
            </w:pPr>
            <w:r>
              <w:rPr>
                <w:rFonts w:ascii="Arial" w:cs="Arial" w:eastAsia="Arial" w:hAnsi="Arial"/>
                <w:sz w:val="16"/>
                <w:szCs w:val="16"/>
                <w:b w:val="1"/>
                <w:bCs w:val="1"/>
                <w:color w:val="6F2875"/>
              </w:rPr>
              <w:t>Number of</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6F2875"/>
              </w:rPr>
              <w:t>of Shares or</w:t>
            </w:r>
          </w:p>
        </w:tc>
      </w:tr>
      <w:tr>
        <w:trPr>
          <w:trHeight w:val="189"/>
        </w:trPr>
        <w:tc>
          <w:tcPr>
            <w:tcW w:w="3200" w:type="dxa"/>
            <w:vAlign w:val="bottom"/>
          </w:tcPr>
          <w:p>
            <w:pPr>
              <w:spacing w:after="0"/>
              <w:rPr>
                <w:sz w:val="16"/>
                <w:szCs w:val="16"/>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b w:val="1"/>
                <w:bCs w:val="1"/>
                <w:color w:val="6F2875"/>
              </w:rPr>
              <w:t>Underlying</w:t>
            </w:r>
          </w:p>
        </w:tc>
        <w:tc>
          <w:tcPr>
            <w:tcW w:w="1660" w:type="dxa"/>
            <w:vAlign w:val="bottom"/>
          </w:tcPr>
          <w:p>
            <w:pPr>
              <w:jc w:val="right"/>
              <w:ind w:right="339"/>
              <w:spacing w:after="0"/>
              <w:rPr>
                <w:sz w:val="20"/>
                <w:szCs w:val="20"/>
                <w:color w:val="auto"/>
              </w:rPr>
            </w:pPr>
            <w:r>
              <w:rPr>
                <w:rFonts w:ascii="Arial" w:cs="Arial" w:eastAsia="Arial" w:hAnsi="Arial"/>
                <w:sz w:val="16"/>
                <w:szCs w:val="16"/>
                <w:b w:val="1"/>
                <w:bCs w:val="1"/>
                <w:color w:val="6F2875"/>
              </w:rPr>
              <w:t>Underlying</w:t>
            </w: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6F2875"/>
              </w:rPr>
              <w:t>Option</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ind w:right="139"/>
              <w:spacing w:after="0"/>
              <w:rPr>
                <w:sz w:val="20"/>
                <w:szCs w:val="20"/>
                <w:color w:val="auto"/>
              </w:rPr>
            </w:pPr>
            <w:r>
              <w:rPr>
                <w:rFonts w:ascii="Arial" w:cs="Arial" w:eastAsia="Arial" w:hAnsi="Arial"/>
                <w:sz w:val="16"/>
                <w:szCs w:val="16"/>
                <w:b w:val="1"/>
                <w:bCs w:val="1"/>
                <w:color w:val="6F2875"/>
              </w:rPr>
              <w:t>Shares or Units</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6F2875"/>
              </w:rPr>
              <w:t>Units of Stock</w:t>
            </w:r>
          </w:p>
        </w:tc>
      </w:tr>
      <w:tr>
        <w:trPr>
          <w:trHeight w:val="189"/>
        </w:trPr>
        <w:tc>
          <w:tcPr>
            <w:tcW w:w="3200" w:type="dxa"/>
            <w:vAlign w:val="bottom"/>
          </w:tcPr>
          <w:p>
            <w:pPr>
              <w:spacing w:after="0"/>
              <w:rPr>
                <w:sz w:val="16"/>
                <w:szCs w:val="16"/>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b w:val="1"/>
                <w:bCs w:val="1"/>
                <w:color w:val="6F2875"/>
              </w:rPr>
              <w:t>Unexercised</w:t>
            </w:r>
          </w:p>
        </w:tc>
        <w:tc>
          <w:tcPr>
            <w:tcW w:w="1660" w:type="dxa"/>
            <w:vAlign w:val="bottom"/>
          </w:tcPr>
          <w:p>
            <w:pPr>
              <w:jc w:val="right"/>
              <w:ind w:right="339"/>
              <w:spacing w:after="0"/>
              <w:rPr>
                <w:sz w:val="20"/>
                <w:szCs w:val="20"/>
                <w:color w:val="auto"/>
              </w:rPr>
            </w:pPr>
            <w:r>
              <w:rPr>
                <w:rFonts w:ascii="Arial" w:cs="Arial" w:eastAsia="Arial" w:hAnsi="Arial"/>
                <w:sz w:val="16"/>
                <w:szCs w:val="16"/>
                <w:b w:val="1"/>
                <w:bCs w:val="1"/>
                <w:color w:val="6F2875"/>
              </w:rPr>
              <w:t>Unexercised</w:t>
            </w: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6F2875"/>
              </w:rPr>
              <w:t>Exercise</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6F2875"/>
              </w:rPr>
              <w:t>Option</w:t>
            </w:r>
          </w:p>
        </w:tc>
        <w:tc>
          <w:tcPr>
            <w:tcW w:w="1580" w:type="dxa"/>
            <w:vAlign w:val="bottom"/>
          </w:tcPr>
          <w:p>
            <w:pPr>
              <w:jc w:val="right"/>
              <w:ind w:right="139"/>
              <w:spacing w:after="0"/>
              <w:rPr>
                <w:sz w:val="20"/>
                <w:szCs w:val="20"/>
                <w:color w:val="auto"/>
              </w:rPr>
            </w:pPr>
            <w:r>
              <w:rPr>
                <w:rFonts w:ascii="Arial" w:cs="Arial" w:eastAsia="Arial" w:hAnsi="Arial"/>
                <w:sz w:val="16"/>
                <w:szCs w:val="16"/>
                <w:b w:val="1"/>
                <w:bCs w:val="1"/>
                <w:color w:val="6F2875"/>
              </w:rPr>
              <w:t>of Stock That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6F2875"/>
              </w:rPr>
              <w:t>That Have Not</w:t>
            </w:r>
          </w:p>
        </w:tc>
      </w:tr>
      <w:tr>
        <w:trPr>
          <w:trHeight w:val="189"/>
        </w:trPr>
        <w:tc>
          <w:tcPr>
            <w:tcW w:w="3200" w:type="dxa"/>
            <w:vAlign w:val="bottom"/>
          </w:tcPr>
          <w:p>
            <w:pPr>
              <w:spacing w:after="0"/>
              <w:rPr>
                <w:sz w:val="16"/>
                <w:szCs w:val="16"/>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b w:val="1"/>
                <w:bCs w:val="1"/>
                <w:color w:val="6F2875"/>
              </w:rPr>
              <w:t>Options (#)</w:t>
            </w:r>
          </w:p>
        </w:tc>
        <w:tc>
          <w:tcPr>
            <w:tcW w:w="1660" w:type="dxa"/>
            <w:vAlign w:val="bottom"/>
          </w:tcPr>
          <w:p>
            <w:pPr>
              <w:jc w:val="right"/>
              <w:ind w:right="339"/>
              <w:spacing w:after="0"/>
              <w:rPr>
                <w:sz w:val="20"/>
                <w:szCs w:val="20"/>
                <w:color w:val="auto"/>
              </w:rPr>
            </w:pPr>
            <w:r>
              <w:rPr>
                <w:rFonts w:ascii="Arial" w:cs="Arial" w:eastAsia="Arial" w:hAnsi="Arial"/>
                <w:sz w:val="16"/>
                <w:szCs w:val="16"/>
                <w:b w:val="1"/>
                <w:bCs w:val="1"/>
                <w:color w:val="6F2875"/>
              </w:rPr>
              <w:t>Options (#)</w:t>
            </w: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6F2875"/>
              </w:rPr>
              <w:t>Price</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6F2875"/>
              </w:rPr>
              <w:t>Expiration</w:t>
            </w:r>
          </w:p>
        </w:tc>
        <w:tc>
          <w:tcPr>
            <w:tcW w:w="1580" w:type="dxa"/>
            <w:vAlign w:val="bottom"/>
          </w:tcPr>
          <w:p>
            <w:pPr>
              <w:jc w:val="right"/>
              <w:ind w:right="139"/>
              <w:spacing w:after="0"/>
              <w:rPr>
                <w:sz w:val="20"/>
                <w:szCs w:val="20"/>
                <w:color w:val="auto"/>
              </w:rPr>
            </w:pPr>
            <w:r>
              <w:rPr>
                <w:rFonts w:ascii="Arial" w:cs="Arial" w:eastAsia="Arial" w:hAnsi="Arial"/>
                <w:sz w:val="16"/>
                <w:szCs w:val="16"/>
                <w:b w:val="1"/>
                <w:bCs w:val="1"/>
                <w:color w:val="6F2875"/>
              </w:rPr>
              <w:t>Have Not Vested</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6F2875"/>
              </w:rPr>
              <w:t>Vested</w:t>
            </w:r>
          </w:p>
        </w:tc>
      </w:tr>
      <w:tr>
        <w:trPr>
          <w:trHeight w:val="230"/>
        </w:trPr>
        <w:tc>
          <w:tcPr>
            <w:tcW w:w="3200" w:type="dxa"/>
            <w:vAlign w:val="bottom"/>
            <w:tcBorders>
              <w:bottom w:val="single" w:sz="8" w:color="6F2875"/>
            </w:tcBorders>
          </w:tcPr>
          <w:p>
            <w:pPr>
              <w:ind w:left="60"/>
              <w:spacing w:after="0"/>
              <w:rPr>
                <w:sz w:val="20"/>
                <w:szCs w:val="20"/>
                <w:color w:val="auto"/>
              </w:rPr>
            </w:pPr>
            <w:r>
              <w:rPr>
                <w:rFonts w:ascii="Arial" w:cs="Arial" w:eastAsia="Arial" w:hAnsi="Arial"/>
                <w:sz w:val="16"/>
                <w:szCs w:val="16"/>
                <w:b w:val="1"/>
                <w:bCs w:val="1"/>
                <w:color w:val="6F2875"/>
              </w:rPr>
              <w:t>Name</w:t>
            </w:r>
          </w:p>
        </w:tc>
        <w:tc>
          <w:tcPr>
            <w:tcW w:w="1520" w:type="dxa"/>
            <w:vAlign w:val="bottom"/>
            <w:tcBorders>
              <w:bottom w:val="single" w:sz="8" w:color="6F2875"/>
            </w:tcBorders>
          </w:tcPr>
          <w:p>
            <w:pPr>
              <w:jc w:val="right"/>
              <w:ind w:right="59"/>
              <w:spacing w:after="0"/>
              <w:rPr>
                <w:sz w:val="20"/>
                <w:szCs w:val="20"/>
                <w:color w:val="auto"/>
              </w:rPr>
            </w:pPr>
            <w:r>
              <w:rPr>
                <w:rFonts w:ascii="Arial" w:cs="Arial" w:eastAsia="Arial" w:hAnsi="Arial"/>
                <w:sz w:val="16"/>
                <w:szCs w:val="16"/>
                <w:b w:val="1"/>
                <w:bCs w:val="1"/>
                <w:color w:val="6F2875"/>
              </w:rPr>
              <w:t>Exercisable</w:t>
            </w:r>
          </w:p>
        </w:tc>
        <w:tc>
          <w:tcPr>
            <w:tcW w:w="1660" w:type="dxa"/>
            <w:vAlign w:val="bottom"/>
            <w:tcBorders>
              <w:bottom w:val="single" w:sz="8" w:color="6F2875"/>
            </w:tcBorders>
          </w:tcPr>
          <w:p>
            <w:pPr>
              <w:jc w:val="right"/>
              <w:ind w:right="339"/>
              <w:spacing w:after="0"/>
              <w:rPr>
                <w:sz w:val="20"/>
                <w:szCs w:val="20"/>
                <w:color w:val="auto"/>
              </w:rPr>
            </w:pPr>
            <w:r>
              <w:rPr>
                <w:rFonts w:ascii="Arial" w:cs="Arial" w:eastAsia="Arial" w:hAnsi="Arial"/>
                <w:sz w:val="16"/>
                <w:szCs w:val="16"/>
                <w:b w:val="1"/>
                <w:bCs w:val="1"/>
                <w:color w:val="6F2875"/>
              </w:rPr>
              <w:t>Unexercisable</w:t>
            </w:r>
          </w:p>
        </w:tc>
        <w:tc>
          <w:tcPr>
            <w:tcW w:w="900" w:type="dxa"/>
            <w:vAlign w:val="bottom"/>
            <w:tcBorders>
              <w:bottom w:val="single" w:sz="8" w:color="6F2875"/>
            </w:tcBorders>
          </w:tcPr>
          <w:p>
            <w:pPr>
              <w:jc w:val="right"/>
              <w:ind w:right="79"/>
              <w:spacing w:after="0"/>
              <w:rPr>
                <w:sz w:val="20"/>
                <w:szCs w:val="20"/>
                <w:color w:val="auto"/>
              </w:rPr>
            </w:pPr>
            <w:r>
              <w:rPr>
                <w:rFonts w:ascii="Arial" w:cs="Arial" w:eastAsia="Arial" w:hAnsi="Arial"/>
                <w:sz w:val="16"/>
                <w:szCs w:val="16"/>
                <w:b w:val="1"/>
                <w:bCs w:val="1"/>
                <w:color w:val="6F2875"/>
              </w:rPr>
              <w:t>($)</w:t>
            </w:r>
          </w:p>
        </w:tc>
        <w:tc>
          <w:tcPr>
            <w:tcW w:w="1200" w:type="dxa"/>
            <w:vAlign w:val="bottom"/>
            <w:tcBorders>
              <w:bottom w:val="single" w:sz="8" w:color="6F2875"/>
            </w:tcBorders>
            <w:gridSpan w:val="2"/>
          </w:tcPr>
          <w:p>
            <w:pPr>
              <w:jc w:val="right"/>
              <w:ind w:right="220"/>
              <w:spacing w:after="0"/>
              <w:rPr>
                <w:sz w:val="20"/>
                <w:szCs w:val="20"/>
                <w:color w:val="auto"/>
              </w:rPr>
            </w:pPr>
            <w:r>
              <w:rPr>
                <w:rFonts w:ascii="Arial" w:cs="Arial" w:eastAsia="Arial" w:hAnsi="Arial"/>
                <w:sz w:val="16"/>
                <w:szCs w:val="16"/>
                <w:b w:val="1"/>
                <w:bCs w:val="1"/>
                <w:color w:val="6F2875"/>
              </w:rPr>
              <w:t>Date</w:t>
            </w:r>
          </w:p>
        </w:tc>
        <w:tc>
          <w:tcPr>
            <w:tcW w:w="1580" w:type="dxa"/>
            <w:vAlign w:val="bottom"/>
            <w:tcBorders>
              <w:bottom w:val="single" w:sz="8" w:color="6F2875"/>
            </w:tcBorders>
          </w:tcPr>
          <w:p>
            <w:pPr>
              <w:jc w:val="right"/>
              <w:ind w:right="139"/>
              <w:spacing w:after="0"/>
              <w:rPr>
                <w:sz w:val="20"/>
                <w:szCs w:val="20"/>
                <w:color w:val="auto"/>
              </w:rPr>
            </w:pPr>
            <w:r>
              <w:rPr>
                <w:rFonts w:ascii="Arial" w:cs="Arial" w:eastAsia="Arial" w:hAnsi="Arial"/>
                <w:sz w:val="16"/>
                <w:szCs w:val="16"/>
                <w:b w:val="1"/>
                <w:bCs w:val="1"/>
                <w:color w:val="6F2875"/>
              </w:rPr>
              <w:t>(#)</w:t>
            </w:r>
          </w:p>
        </w:tc>
        <w:tc>
          <w:tcPr>
            <w:tcW w:w="1360" w:type="dxa"/>
            <w:vAlign w:val="bottom"/>
            <w:tcBorders>
              <w:bottom w:val="single" w:sz="8" w:color="6F2875"/>
            </w:tcBorders>
          </w:tcPr>
          <w:p>
            <w:pPr>
              <w:jc w:val="right"/>
              <w:spacing w:after="0" w:line="230" w:lineRule="exact"/>
              <w:rPr>
                <w:sz w:val="20"/>
                <w:szCs w:val="20"/>
                <w:color w:val="auto"/>
              </w:rPr>
            </w:pPr>
            <w:r>
              <w:rPr>
                <w:rFonts w:ascii="Arial" w:cs="Arial" w:eastAsia="Arial" w:hAnsi="Arial"/>
                <w:sz w:val="26"/>
                <w:szCs w:val="26"/>
                <w:b w:val="1"/>
                <w:bCs w:val="1"/>
                <w:color w:val="6F2875"/>
                <w:vertAlign w:val="subscript"/>
              </w:rPr>
              <w:t>($)</w:t>
            </w:r>
            <w:r>
              <w:rPr>
                <w:rFonts w:ascii="Arial" w:cs="Arial" w:eastAsia="Arial" w:hAnsi="Arial"/>
                <w:sz w:val="12"/>
                <w:szCs w:val="12"/>
                <w:b w:val="1"/>
                <w:bCs w:val="1"/>
                <w:color w:val="6F2875"/>
              </w:rPr>
              <w:t>(1)</w:t>
            </w:r>
          </w:p>
        </w:tc>
      </w:tr>
      <w:tr>
        <w:trPr>
          <w:trHeight w:val="183"/>
        </w:trPr>
        <w:tc>
          <w:tcPr>
            <w:tcW w:w="3200" w:type="dxa"/>
            <w:vAlign w:val="bottom"/>
          </w:tcPr>
          <w:p>
            <w:pPr>
              <w:ind w:left="60"/>
              <w:spacing w:after="0" w:line="183" w:lineRule="exact"/>
              <w:rPr>
                <w:sz w:val="20"/>
                <w:szCs w:val="20"/>
                <w:color w:val="auto"/>
              </w:rPr>
            </w:pPr>
            <w:r>
              <w:rPr>
                <w:rFonts w:ascii="Arial" w:cs="Arial" w:eastAsia="Arial" w:hAnsi="Arial"/>
                <w:sz w:val="16"/>
                <w:szCs w:val="16"/>
                <w:b w:val="1"/>
                <w:bCs w:val="1"/>
                <w:color w:val="231F20"/>
              </w:rPr>
              <w:t>Damien McDonald</w:t>
            </w:r>
          </w:p>
        </w:tc>
        <w:tc>
          <w:tcPr>
            <w:tcW w:w="1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right"/>
              <w:ind w:right="139"/>
              <w:spacing w:after="0" w:line="183" w:lineRule="exact"/>
              <w:rPr>
                <w:sz w:val="20"/>
                <w:szCs w:val="20"/>
                <w:color w:val="auto"/>
              </w:rPr>
            </w:pPr>
            <w:r>
              <w:rPr>
                <w:rFonts w:ascii="Arial" w:cs="Arial" w:eastAsia="Arial" w:hAnsi="Arial"/>
                <w:sz w:val="16"/>
                <w:szCs w:val="16"/>
                <w:color w:val="231F20"/>
              </w:rPr>
              <w:t>50,234</w:t>
            </w: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231F20"/>
              </w:rPr>
              <w:t>4,014,701</w:t>
            </w:r>
          </w:p>
        </w:tc>
      </w:tr>
      <w:tr>
        <w:trPr>
          <w:trHeight w:val="189"/>
        </w:trPr>
        <w:tc>
          <w:tcPr>
            <w:tcW w:w="3200" w:type="dxa"/>
            <w:vAlign w:val="bottom"/>
          </w:tcPr>
          <w:p>
            <w:pPr>
              <w:spacing w:after="0"/>
              <w:rPr>
                <w:sz w:val="16"/>
                <w:szCs w:val="16"/>
                <w:color w:val="auto"/>
              </w:rPr>
            </w:pPr>
          </w:p>
        </w:tc>
        <w:tc>
          <w:tcPr>
            <w:tcW w:w="1520" w:type="dxa"/>
            <w:vAlign w:val="bottom"/>
            <w:shd w:val="clear" w:color="auto" w:fill="F3EDF3"/>
          </w:tcPr>
          <w:p>
            <w:pPr>
              <w:jc w:val="right"/>
              <w:ind w:right="59"/>
              <w:spacing w:after="0"/>
              <w:rPr>
                <w:sz w:val="20"/>
                <w:szCs w:val="20"/>
                <w:color w:val="auto"/>
              </w:rPr>
            </w:pPr>
            <w:r>
              <w:rPr>
                <w:rFonts w:ascii="Arial" w:cs="Arial" w:eastAsia="Arial" w:hAnsi="Arial"/>
                <w:sz w:val="16"/>
                <w:szCs w:val="16"/>
                <w:color w:val="231F20"/>
              </w:rPr>
              <w:t>43,557</w:t>
            </w:r>
          </w:p>
        </w:tc>
        <w:tc>
          <w:tcPr>
            <w:tcW w:w="1660" w:type="dxa"/>
            <w:vAlign w:val="bottom"/>
            <w:shd w:val="clear" w:color="auto" w:fill="F3EDF3"/>
          </w:tcPr>
          <w:p>
            <w:pPr>
              <w:jc w:val="right"/>
              <w:ind w:right="339"/>
              <w:spacing w:after="0"/>
              <w:rPr>
                <w:sz w:val="20"/>
                <w:szCs w:val="20"/>
                <w:color w:val="auto"/>
              </w:rPr>
            </w:pPr>
            <w:r>
              <w:rPr>
                <w:rFonts w:ascii="Arial" w:cs="Arial" w:eastAsia="Arial" w:hAnsi="Arial"/>
                <w:sz w:val="16"/>
                <w:szCs w:val="16"/>
                <w:color w:val="231F20"/>
              </w:rPr>
              <w:t>130,670</w:t>
            </w:r>
          </w:p>
        </w:tc>
        <w:tc>
          <w:tcPr>
            <w:tcW w:w="900" w:type="dxa"/>
            <w:vAlign w:val="bottom"/>
            <w:shd w:val="clear" w:color="auto" w:fill="F3EDF3"/>
          </w:tcPr>
          <w:p>
            <w:pPr>
              <w:jc w:val="right"/>
              <w:ind w:right="79"/>
              <w:spacing w:after="0"/>
              <w:rPr>
                <w:sz w:val="20"/>
                <w:szCs w:val="20"/>
                <w:color w:val="auto"/>
              </w:rPr>
            </w:pPr>
            <w:r>
              <w:rPr>
                <w:rFonts w:ascii="Arial" w:cs="Arial" w:eastAsia="Arial" w:hAnsi="Arial"/>
                <w:sz w:val="16"/>
                <w:szCs w:val="16"/>
                <w:color w:val="231F20"/>
              </w:rPr>
              <w:t>44.79</w:t>
            </w:r>
          </w:p>
        </w:tc>
        <w:tc>
          <w:tcPr>
            <w:tcW w:w="98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11-04-2026</w:t>
            </w:r>
          </w:p>
        </w:tc>
        <w:tc>
          <w:tcPr>
            <w:tcW w:w="220" w:type="dxa"/>
            <w:vAlign w:val="bottom"/>
            <w:shd w:val="clear" w:color="auto" w:fill="F3EDF3"/>
          </w:tcPr>
          <w:p>
            <w:pPr>
              <w:spacing w:after="0"/>
              <w:rPr>
                <w:sz w:val="16"/>
                <w:szCs w:val="16"/>
                <w:color w:val="auto"/>
              </w:rPr>
            </w:pPr>
          </w:p>
        </w:tc>
        <w:tc>
          <w:tcPr>
            <w:tcW w:w="1580" w:type="dxa"/>
            <w:vAlign w:val="bottom"/>
            <w:shd w:val="clear" w:color="auto" w:fill="F3EDF3"/>
          </w:tcPr>
          <w:p>
            <w:pPr>
              <w:spacing w:after="0"/>
              <w:rPr>
                <w:sz w:val="16"/>
                <w:szCs w:val="16"/>
                <w:color w:val="auto"/>
              </w:rPr>
            </w:pPr>
          </w:p>
        </w:tc>
        <w:tc>
          <w:tcPr>
            <w:tcW w:w="1360" w:type="dxa"/>
            <w:vAlign w:val="bottom"/>
            <w:shd w:val="clear" w:color="auto" w:fill="F3EDF3"/>
          </w:tcPr>
          <w:p>
            <w:pPr>
              <w:spacing w:after="0"/>
              <w:rPr>
                <w:sz w:val="16"/>
                <w:szCs w:val="16"/>
                <w:color w:val="auto"/>
              </w:rPr>
            </w:pPr>
          </w:p>
        </w:tc>
      </w:tr>
      <w:tr>
        <w:trPr>
          <w:trHeight w:val="189"/>
        </w:trPr>
        <w:tc>
          <w:tcPr>
            <w:tcW w:w="3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ind w:right="139"/>
              <w:spacing w:after="0"/>
              <w:rPr>
                <w:sz w:val="20"/>
                <w:szCs w:val="20"/>
                <w:color w:val="auto"/>
              </w:rPr>
            </w:pPr>
            <w:r>
              <w:rPr>
                <w:rFonts w:ascii="Arial" w:cs="Arial" w:eastAsia="Arial" w:hAnsi="Arial"/>
                <w:sz w:val="16"/>
                <w:szCs w:val="16"/>
                <w:color w:val="231F20"/>
              </w:rPr>
              <w:t>53,409</w:t>
            </w:r>
          </w:p>
        </w:tc>
        <w:tc>
          <w:tcPr>
            <w:tcW w:w="1360" w:type="dxa"/>
            <w:vAlign w:val="bottom"/>
          </w:tcPr>
          <w:p>
            <w:pPr>
              <w:jc w:val="right"/>
              <w:spacing w:after="0"/>
              <w:rPr>
                <w:sz w:val="20"/>
                <w:szCs w:val="20"/>
                <w:color w:val="auto"/>
              </w:rPr>
            </w:pPr>
            <w:r>
              <w:rPr>
                <w:rFonts w:ascii="Arial" w:cs="Arial" w:eastAsia="Arial" w:hAnsi="Arial"/>
                <w:sz w:val="16"/>
                <w:szCs w:val="16"/>
                <w:color w:val="231F20"/>
              </w:rPr>
              <w:t>4,268,447</w:t>
            </w:r>
          </w:p>
        </w:tc>
      </w:tr>
      <w:tr>
        <w:trPr>
          <w:trHeight w:val="189"/>
        </w:trPr>
        <w:tc>
          <w:tcPr>
            <w:tcW w:w="3200" w:type="dxa"/>
            <w:vAlign w:val="bottom"/>
            <w:tcBorders>
              <w:bottom w:val="single" w:sz="8" w:color="6F2875"/>
            </w:tcBorders>
          </w:tcPr>
          <w:p>
            <w:pPr>
              <w:spacing w:after="0"/>
              <w:rPr>
                <w:sz w:val="16"/>
                <w:szCs w:val="16"/>
                <w:color w:val="auto"/>
              </w:rPr>
            </w:pPr>
          </w:p>
        </w:tc>
        <w:tc>
          <w:tcPr>
            <w:tcW w:w="1520" w:type="dxa"/>
            <w:vAlign w:val="bottom"/>
            <w:tcBorders>
              <w:bottom w:val="single" w:sz="8" w:color="6F2875"/>
            </w:tcBorders>
            <w:shd w:val="clear" w:color="auto" w:fill="F3EDF3"/>
          </w:tcPr>
          <w:p>
            <w:pPr>
              <w:spacing w:after="0"/>
              <w:rPr>
                <w:sz w:val="16"/>
                <w:szCs w:val="16"/>
                <w:color w:val="auto"/>
              </w:rPr>
            </w:pPr>
          </w:p>
        </w:tc>
        <w:tc>
          <w:tcPr>
            <w:tcW w:w="1660" w:type="dxa"/>
            <w:vAlign w:val="bottom"/>
            <w:tcBorders>
              <w:bottom w:val="single" w:sz="8" w:color="6F2875"/>
            </w:tcBorders>
            <w:shd w:val="clear" w:color="auto" w:fill="F3EDF3"/>
          </w:tcPr>
          <w:p>
            <w:pPr>
              <w:spacing w:after="0"/>
              <w:rPr>
                <w:sz w:val="16"/>
                <w:szCs w:val="16"/>
                <w:color w:val="auto"/>
              </w:rPr>
            </w:pPr>
          </w:p>
        </w:tc>
        <w:tc>
          <w:tcPr>
            <w:tcW w:w="900" w:type="dxa"/>
            <w:vAlign w:val="bottom"/>
            <w:tcBorders>
              <w:bottom w:val="single" w:sz="8" w:color="6F2875"/>
            </w:tcBorders>
            <w:shd w:val="clear" w:color="auto" w:fill="F3EDF3"/>
          </w:tcPr>
          <w:p>
            <w:pPr>
              <w:spacing w:after="0"/>
              <w:rPr>
                <w:sz w:val="16"/>
                <w:szCs w:val="16"/>
                <w:color w:val="auto"/>
              </w:rPr>
            </w:pPr>
          </w:p>
        </w:tc>
        <w:tc>
          <w:tcPr>
            <w:tcW w:w="980" w:type="dxa"/>
            <w:vAlign w:val="bottom"/>
            <w:tcBorders>
              <w:bottom w:val="single" w:sz="8" w:color="6F2875"/>
            </w:tcBorders>
            <w:shd w:val="clear" w:color="auto" w:fill="F3EDF3"/>
          </w:tcPr>
          <w:p>
            <w:pPr>
              <w:spacing w:after="0"/>
              <w:rPr>
                <w:sz w:val="16"/>
                <w:szCs w:val="16"/>
                <w:color w:val="auto"/>
              </w:rPr>
            </w:pPr>
          </w:p>
        </w:tc>
        <w:tc>
          <w:tcPr>
            <w:tcW w:w="220" w:type="dxa"/>
            <w:vAlign w:val="bottom"/>
            <w:tcBorders>
              <w:bottom w:val="single" w:sz="8" w:color="6F2875"/>
            </w:tcBorders>
            <w:shd w:val="clear" w:color="auto" w:fill="F3EDF3"/>
          </w:tcPr>
          <w:p>
            <w:pPr>
              <w:spacing w:after="0"/>
              <w:rPr>
                <w:sz w:val="16"/>
                <w:szCs w:val="16"/>
                <w:color w:val="auto"/>
              </w:rPr>
            </w:pPr>
          </w:p>
        </w:tc>
        <w:tc>
          <w:tcPr>
            <w:tcW w:w="1580" w:type="dxa"/>
            <w:vAlign w:val="bottom"/>
            <w:tcBorders>
              <w:bottom w:val="single" w:sz="8" w:color="6F2875"/>
            </w:tcBorders>
            <w:shd w:val="clear" w:color="auto" w:fill="F3EDF3"/>
          </w:tcPr>
          <w:p>
            <w:pPr>
              <w:jc w:val="right"/>
              <w:ind w:right="139"/>
              <w:spacing w:after="0"/>
              <w:rPr>
                <w:sz w:val="20"/>
                <w:szCs w:val="20"/>
                <w:color w:val="auto"/>
              </w:rPr>
            </w:pPr>
            <w:r>
              <w:rPr>
                <w:rFonts w:ascii="Arial" w:cs="Arial" w:eastAsia="Arial" w:hAnsi="Arial"/>
                <w:sz w:val="16"/>
                <w:szCs w:val="16"/>
                <w:color w:val="231F20"/>
              </w:rPr>
              <w:t>17,803</w:t>
            </w:r>
          </w:p>
        </w:tc>
        <w:tc>
          <w:tcPr>
            <w:tcW w:w="1360" w:type="dxa"/>
            <w:vAlign w:val="bottom"/>
            <w:tcBorders>
              <w:bottom w:val="single" w:sz="8" w:color="6F2875"/>
            </w:tcBorders>
            <w:shd w:val="clear" w:color="auto" w:fill="F3EDF3"/>
          </w:tcPr>
          <w:p>
            <w:pPr>
              <w:jc w:val="right"/>
              <w:spacing w:after="0"/>
              <w:rPr>
                <w:sz w:val="20"/>
                <w:szCs w:val="20"/>
                <w:color w:val="auto"/>
              </w:rPr>
            </w:pPr>
            <w:r>
              <w:rPr>
                <w:rFonts w:ascii="Arial" w:cs="Arial" w:eastAsia="Arial" w:hAnsi="Arial"/>
                <w:sz w:val="16"/>
                <w:szCs w:val="16"/>
                <w:color w:val="231F20"/>
              </w:rPr>
              <w:t>1,422,816</w:t>
            </w:r>
          </w:p>
        </w:tc>
      </w:tr>
      <w:tr>
        <w:trPr>
          <w:trHeight w:val="183"/>
        </w:trPr>
        <w:tc>
          <w:tcPr>
            <w:tcW w:w="3200" w:type="dxa"/>
            <w:vAlign w:val="bottom"/>
          </w:tcPr>
          <w:p>
            <w:pPr>
              <w:ind w:left="60"/>
              <w:spacing w:after="0" w:line="183" w:lineRule="exact"/>
              <w:rPr>
                <w:sz w:val="20"/>
                <w:szCs w:val="20"/>
                <w:color w:val="auto"/>
              </w:rPr>
            </w:pPr>
            <w:r>
              <w:rPr>
                <w:rFonts w:ascii="Arial" w:cs="Arial" w:eastAsia="Arial" w:hAnsi="Arial"/>
                <w:sz w:val="16"/>
                <w:szCs w:val="16"/>
                <w:b w:val="1"/>
                <w:bCs w:val="1"/>
                <w:color w:val="231F20"/>
              </w:rPr>
              <w:t>Thad Huston</w:t>
            </w:r>
          </w:p>
        </w:tc>
        <w:tc>
          <w:tcPr>
            <w:tcW w:w="1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right"/>
              <w:ind w:right="139"/>
              <w:spacing w:after="0" w:line="183" w:lineRule="exact"/>
              <w:rPr>
                <w:sz w:val="20"/>
                <w:szCs w:val="20"/>
                <w:color w:val="auto"/>
              </w:rPr>
            </w:pPr>
            <w:r>
              <w:rPr>
                <w:rFonts w:ascii="Arial" w:cs="Arial" w:eastAsia="Arial" w:hAnsi="Arial"/>
                <w:sz w:val="16"/>
                <w:szCs w:val="16"/>
                <w:color w:val="231F20"/>
              </w:rPr>
              <w:t>39,627</w:t>
            </w: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231F20"/>
              </w:rPr>
              <w:t>3,166,990</w:t>
            </w:r>
          </w:p>
        </w:tc>
      </w:tr>
      <w:tr>
        <w:trPr>
          <w:trHeight w:val="189"/>
        </w:trPr>
        <w:tc>
          <w:tcPr>
            <w:tcW w:w="3200" w:type="dxa"/>
            <w:vAlign w:val="bottom"/>
          </w:tcPr>
          <w:p>
            <w:pPr>
              <w:spacing w:after="0"/>
              <w:rPr>
                <w:sz w:val="16"/>
                <w:szCs w:val="16"/>
                <w:color w:val="auto"/>
              </w:rPr>
            </w:pPr>
          </w:p>
        </w:tc>
        <w:tc>
          <w:tcPr>
            <w:tcW w:w="1520" w:type="dxa"/>
            <w:vAlign w:val="bottom"/>
            <w:shd w:val="clear" w:color="auto" w:fill="F3EDF3"/>
          </w:tcPr>
          <w:p>
            <w:pPr>
              <w:spacing w:after="0"/>
              <w:rPr>
                <w:sz w:val="16"/>
                <w:szCs w:val="16"/>
                <w:color w:val="auto"/>
              </w:rPr>
            </w:pPr>
          </w:p>
        </w:tc>
        <w:tc>
          <w:tcPr>
            <w:tcW w:w="1660" w:type="dxa"/>
            <w:vAlign w:val="bottom"/>
            <w:shd w:val="clear" w:color="auto" w:fill="F3EDF3"/>
          </w:tcPr>
          <w:p>
            <w:pPr>
              <w:spacing w:after="0"/>
              <w:rPr>
                <w:sz w:val="16"/>
                <w:szCs w:val="16"/>
                <w:color w:val="auto"/>
              </w:rPr>
            </w:pPr>
          </w:p>
        </w:tc>
        <w:tc>
          <w:tcPr>
            <w:tcW w:w="900" w:type="dxa"/>
            <w:vAlign w:val="bottom"/>
            <w:shd w:val="clear" w:color="auto" w:fill="F3EDF3"/>
          </w:tcPr>
          <w:p>
            <w:pPr>
              <w:spacing w:after="0"/>
              <w:rPr>
                <w:sz w:val="16"/>
                <w:szCs w:val="16"/>
                <w:color w:val="auto"/>
              </w:rPr>
            </w:pPr>
          </w:p>
        </w:tc>
        <w:tc>
          <w:tcPr>
            <w:tcW w:w="980" w:type="dxa"/>
            <w:vAlign w:val="bottom"/>
            <w:shd w:val="clear" w:color="auto" w:fill="F3EDF3"/>
          </w:tcPr>
          <w:p>
            <w:pPr>
              <w:spacing w:after="0"/>
              <w:rPr>
                <w:sz w:val="16"/>
                <w:szCs w:val="16"/>
                <w:color w:val="auto"/>
              </w:rPr>
            </w:pPr>
          </w:p>
        </w:tc>
        <w:tc>
          <w:tcPr>
            <w:tcW w:w="220" w:type="dxa"/>
            <w:vAlign w:val="bottom"/>
            <w:shd w:val="clear" w:color="auto" w:fill="F3EDF3"/>
          </w:tcPr>
          <w:p>
            <w:pPr>
              <w:spacing w:after="0"/>
              <w:rPr>
                <w:sz w:val="16"/>
                <w:szCs w:val="16"/>
                <w:color w:val="auto"/>
              </w:rPr>
            </w:pPr>
          </w:p>
        </w:tc>
        <w:tc>
          <w:tcPr>
            <w:tcW w:w="1580" w:type="dxa"/>
            <w:vAlign w:val="bottom"/>
            <w:shd w:val="clear" w:color="auto" w:fill="F3EDF3"/>
          </w:tcPr>
          <w:p>
            <w:pPr>
              <w:jc w:val="right"/>
              <w:ind w:right="139"/>
              <w:spacing w:after="0"/>
              <w:rPr>
                <w:sz w:val="20"/>
                <w:szCs w:val="20"/>
                <w:color w:val="auto"/>
              </w:rPr>
            </w:pPr>
            <w:r>
              <w:rPr>
                <w:rFonts w:ascii="Arial" w:cs="Arial" w:eastAsia="Arial" w:hAnsi="Arial"/>
                <w:sz w:val="16"/>
                <w:szCs w:val="16"/>
                <w:color w:val="231F20"/>
              </w:rPr>
              <w:t>6,378</w:t>
            </w:r>
          </w:p>
        </w:tc>
        <w:tc>
          <w:tcPr>
            <w:tcW w:w="136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509,730</w:t>
            </w:r>
          </w:p>
        </w:tc>
      </w:tr>
      <w:tr>
        <w:trPr>
          <w:trHeight w:val="189"/>
        </w:trPr>
        <w:tc>
          <w:tcPr>
            <w:tcW w:w="3200" w:type="dxa"/>
            <w:vAlign w:val="bottom"/>
            <w:tcBorders>
              <w:bottom w:val="single" w:sz="8" w:color="6F2875"/>
            </w:tcBorders>
          </w:tcPr>
          <w:p>
            <w:pPr>
              <w:spacing w:after="0"/>
              <w:rPr>
                <w:sz w:val="16"/>
                <w:szCs w:val="16"/>
                <w:color w:val="auto"/>
              </w:rPr>
            </w:pPr>
          </w:p>
        </w:tc>
        <w:tc>
          <w:tcPr>
            <w:tcW w:w="1520" w:type="dxa"/>
            <w:vAlign w:val="bottom"/>
            <w:tcBorders>
              <w:bottom w:val="single" w:sz="8" w:color="6F2875"/>
            </w:tcBorders>
          </w:tcPr>
          <w:p>
            <w:pPr>
              <w:spacing w:after="0"/>
              <w:rPr>
                <w:sz w:val="16"/>
                <w:szCs w:val="16"/>
                <w:color w:val="auto"/>
              </w:rPr>
            </w:pPr>
          </w:p>
        </w:tc>
        <w:tc>
          <w:tcPr>
            <w:tcW w:w="1660" w:type="dxa"/>
            <w:vAlign w:val="bottom"/>
            <w:tcBorders>
              <w:bottom w:val="single" w:sz="8" w:color="6F2875"/>
            </w:tcBorders>
          </w:tcPr>
          <w:p>
            <w:pPr>
              <w:spacing w:after="0"/>
              <w:rPr>
                <w:sz w:val="16"/>
                <w:szCs w:val="16"/>
                <w:color w:val="auto"/>
              </w:rPr>
            </w:pPr>
          </w:p>
        </w:tc>
        <w:tc>
          <w:tcPr>
            <w:tcW w:w="900" w:type="dxa"/>
            <w:vAlign w:val="bottom"/>
            <w:tcBorders>
              <w:bottom w:val="single" w:sz="8" w:color="6F2875"/>
            </w:tcBorders>
          </w:tcPr>
          <w:p>
            <w:pPr>
              <w:spacing w:after="0"/>
              <w:rPr>
                <w:sz w:val="16"/>
                <w:szCs w:val="16"/>
                <w:color w:val="auto"/>
              </w:rPr>
            </w:pPr>
          </w:p>
        </w:tc>
        <w:tc>
          <w:tcPr>
            <w:tcW w:w="980" w:type="dxa"/>
            <w:vAlign w:val="bottom"/>
            <w:tcBorders>
              <w:bottom w:val="single" w:sz="8" w:color="6F2875"/>
            </w:tcBorders>
          </w:tcPr>
          <w:p>
            <w:pPr>
              <w:spacing w:after="0"/>
              <w:rPr>
                <w:sz w:val="16"/>
                <w:szCs w:val="16"/>
                <w:color w:val="auto"/>
              </w:rPr>
            </w:pPr>
          </w:p>
        </w:tc>
        <w:tc>
          <w:tcPr>
            <w:tcW w:w="220" w:type="dxa"/>
            <w:vAlign w:val="bottom"/>
            <w:tcBorders>
              <w:bottom w:val="single" w:sz="8" w:color="6F2875"/>
            </w:tcBorders>
          </w:tcPr>
          <w:p>
            <w:pPr>
              <w:spacing w:after="0"/>
              <w:rPr>
                <w:sz w:val="16"/>
                <w:szCs w:val="16"/>
                <w:color w:val="auto"/>
              </w:rPr>
            </w:pPr>
          </w:p>
        </w:tc>
        <w:tc>
          <w:tcPr>
            <w:tcW w:w="1580" w:type="dxa"/>
            <w:vAlign w:val="bottom"/>
            <w:tcBorders>
              <w:bottom w:val="single" w:sz="8" w:color="6F2875"/>
            </w:tcBorders>
          </w:tcPr>
          <w:p>
            <w:pPr>
              <w:jc w:val="right"/>
              <w:ind w:right="139"/>
              <w:spacing w:after="0"/>
              <w:rPr>
                <w:sz w:val="20"/>
                <w:szCs w:val="20"/>
                <w:color w:val="auto"/>
              </w:rPr>
            </w:pPr>
            <w:r>
              <w:rPr>
                <w:rFonts w:ascii="Arial" w:cs="Arial" w:eastAsia="Arial" w:hAnsi="Arial"/>
                <w:sz w:val="16"/>
                <w:szCs w:val="16"/>
                <w:color w:val="231F20"/>
              </w:rPr>
              <w:t>19,135</w:t>
            </w:r>
          </w:p>
        </w:tc>
        <w:tc>
          <w:tcPr>
            <w:tcW w:w="1360" w:type="dxa"/>
            <w:vAlign w:val="bottom"/>
            <w:tcBorders>
              <w:bottom w:val="single" w:sz="8" w:color="6F2875"/>
            </w:tcBorders>
          </w:tcPr>
          <w:p>
            <w:pPr>
              <w:jc w:val="right"/>
              <w:spacing w:after="0"/>
              <w:rPr>
                <w:sz w:val="20"/>
                <w:szCs w:val="20"/>
                <w:color w:val="auto"/>
              </w:rPr>
            </w:pPr>
            <w:r>
              <w:rPr>
                <w:rFonts w:ascii="Arial" w:cs="Arial" w:eastAsia="Arial" w:hAnsi="Arial"/>
                <w:sz w:val="16"/>
                <w:szCs w:val="16"/>
                <w:color w:val="231F20"/>
              </w:rPr>
              <w:t>1,529,269</w:t>
            </w:r>
          </w:p>
        </w:tc>
      </w:tr>
      <w:tr>
        <w:trPr>
          <w:trHeight w:val="183"/>
        </w:trPr>
        <w:tc>
          <w:tcPr>
            <w:tcW w:w="3200" w:type="dxa"/>
            <w:vAlign w:val="bottom"/>
            <w:tcBorders>
              <w:bottom w:val="single" w:sz="8" w:color="6F2875"/>
            </w:tcBorders>
          </w:tcPr>
          <w:p>
            <w:pPr>
              <w:ind w:left="60"/>
              <w:spacing w:after="0" w:line="183" w:lineRule="exact"/>
              <w:rPr>
                <w:sz w:val="20"/>
                <w:szCs w:val="20"/>
                <w:color w:val="auto"/>
              </w:rPr>
            </w:pPr>
            <w:r>
              <w:rPr>
                <w:rFonts w:ascii="Arial" w:cs="Arial" w:eastAsia="Arial" w:hAnsi="Arial"/>
                <w:sz w:val="16"/>
                <w:szCs w:val="16"/>
                <w:b w:val="1"/>
                <w:bCs w:val="1"/>
                <w:color w:val="231F20"/>
              </w:rPr>
              <w:t>Vivid Sehgal</w:t>
            </w:r>
          </w:p>
        </w:tc>
        <w:tc>
          <w:tcPr>
            <w:tcW w:w="1520" w:type="dxa"/>
            <w:vAlign w:val="bottom"/>
            <w:tcBorders>
              <w:bottom w:val="single" w:sz="8" w:color="6F2875"/>
            </w:tcBorders>
            <w:shd w:val="clear" w:color="auto" w:fill="F3EDF3"/>
          </w:tcPr>
          <w:p>
            <w:pPr>
              <w:jc w:val="right"/>
              <w:ind w:right="59"/>
              <w:spacing w:after="0" w:line="183" w:lineRule="exact"/>
              <w:rPr>
                <w:sz w:val="20"/>
                <w:szCs w:val="20"/>
                <w:color w:val="auto"/>
              </w:rPr>
            </w:pPr>
            <w:r>
              <w:rPr>
                <w:rFonts w:ascii="Arial" w:cs="Arial" w:eastAsia="Arial" w:hAnsi="Arial"/>
                <w:sz w:val="16"/>
                <w:szCs w:val="16"/>
                <w:color w:val="231F20"/>
              </w:rPr>
              <w:t>29,718</w:t>
            </w:r>
          </w:p>
        </w:tc>
        <w:tc>
          <w:tcPr>
            <w:tcW w:w="1660" w:type="dxa"/>
            <w:vAlign w:val="bottom"/>
            <w:tcBorders>
              <w:bottom w:val="single" w:sz="8" w:color="6F2875"/>
            </w:tcBorders>
            <w:shd w:val="clear" w:color="auto" w:fill="F3EDF3"/>
          </w:tcPr>
          <w:p>
            <w:pPr>
              <w:spacing w:after="0"/>
              <w:rPr>
                <w:sz w:val="15"/>
                <w:szCs w:val="15"/>
                <w:color w:val="auto"/>
              </w:rPr>
            </w:pPr>
          </w:p>
        </w:tc>
        <w:tc>
          <w:tcPr>
            <w:tcW w:w="900" w:type="dxa"/>
            <w:vAlign w:val="bottom"/>
            <w:tcBorders>
              <w:bottom w:val="single" w:sz="8" w:color="6F2875"/>
            </w:tcBorders>
            <w:shd w:val="clear" w:color="auto" w:fill="F3EDF3"/>
          </w:tcPr>
          <w:p>
            <w:pPr>
              <w:jc w:val="right"/>
              <w:ind w:right="79"/>
              <w:spacing w:after="0" w:line="183" w:lineRule="exact"/>
              <w:rPr>
                <w:sz w:val="20"/>
                <w:szCs w:val="20"/>
                <w:color w:val="auto"/>
              </w:rPr>
            </w:pPr>
            <w:r>
              <w:rPr>
                <w:rFonts w:ascii="Arial" w:cs="Arial" w:eastAsia="Arial" w:hAnsi="Arial"/>
                <w:sz w:val="16"/>
                <w:szCs w:val="16"/>
                <w:color w:val="231F20"/>
              </w:rPr>
              <w:t>69.39</w:t>
            </w:r>
          </w:p>
        </w:tc>
        <w:tc>
          <w:tcPr>
            <w:tcW w:w="980" w:type="dxa"/>
            <w:vAlign w:val="bottom"/>
            <w:tcBorders>
              <w:bottom w:val="single" w:sz="8" w:color="6F2875"/>
            </w:tcBorders>
            <w:shd w:val="clear" w:color="auto" w:fill="F3EDF3"/>
          </w:tcPr>
          <w:p>
            <w:pPr>
              <w:jc w:val="right"/>
              <w:spacing w:after="0" w:line="183" w:lineRule="exact"/>
              <w:rPr>
                <w:sz w:val="20"/>
                <w:szCs w:val="20"/>
                <w:color w:val="auto"/>
              </w:rPr>
            </w:pPr>
            <w:r>
              <w:rPr>
                <w:rFonts w:ascii="Arial" w:cs="Arial" w:eastAsia="Arial" w:hAnsi="Arial"/>
                <w:sz w:val="16"/>
                <w:szCs w:val="16"/>
                <w:color w:val="231F20"/>
              </w:rPr>
              <w:t>10-19-2019</w:t>
            </w:r>
          </w:p>
        </w:tc>
        <w:tc>
          <w:tcPr>
            <w:tcW w:w="220" w:type="dxa"/>
            <w:vAlign w:val="bottom"/>
            <w:tcBorders>
              <w:bottom w:val="single" w:sz="8" w:color="6F2875"/>
            </w:tcBorders>
            <w:shd w:val="clear" w:color="auto" w:fill="F3EDF3"/>
          </w:tcPr>
          <w:p>
            <w:pPr>
              <w:spacing w:after="0"/>
              <w:rPr>
                <w:sz w:val="15"/>
                <w:szCs w:val="15"/>
                <w:color w:val="auto"/>
              </w:rPr>
            </w:pPr>
          </w:p>
        </w:tc>
        <w:tc>
          <w:tcPr>
            <w:tcW w:w="1580" w:type="dxa"/>
            <w:vAlign w:val="bottom"/>
            <w:tcBorders>
              <w:bottom w:val="single" w:sz="8" w:color="6F2875"/>
            </w:tcBorders>
            <w:shd w:val="clear" w:color="auto" w:fill="F3EDF3"/>
          </w:tcPr>
          <w:p>
            <w:pPr>
              <w:spacing w:after="0"/>
              <w:rPr>
                <w:sz w:val="15"/>
                <w:szCs w:val="15"/>
                <w:color w:val="auto"/>
              </w:rPr>
            </w:pPr>
          </w:p>
        </w:tc>
        <w:tc>
          <w:tcPr>
            <w:tcW w:w="1360" w:type="dxa"/>
            <w:vAlign w:val="bottom"/>
            <w:tcBorders>
              <w:bottom w:val="single" w:sz="8" w:color="6F2875"/>
            </w:tcBorders>
            <w:shd w:val="clear" w:color="auto" w:fill="F3EDF3"/>
          </w:tcPr>
          <w:p>
            <w:pPr>
              <w:spacing w:after="0"/>
              <w:rPr>
                <w:sz w:val="15"/>
                <w:szCs w:val="15"/>
                <w:color w:val="auto"/>
              </w:rPr>
            </w:pPr>
          </w:p>
        </w:tc>
      </w:tr>
      <w:tr>
        <w:trPr>
          <w:trHeight w:val="183"/>
        </w:trPr>
        <w:tc>
          <w:tcPr>
            <w:tcW w:w="3200" w:type="dxa"/>
            <w:vAlign w:val="bottom"/>
          </w:tcPr>
          <w:p>
            <w:pPr>
              <w:ind w:left="60"/>
              <w:spacing w:after="0" w:line="183" w:lineRule="exact"/>
              <w:rPr>
                <w:sz w:val="20"/>
                <w:szCs w:val="20"/>
                <w:color w:val="auto"/>
              </w:rPr>
            </w:pPr>
            <w:r>
              <w:rPr>
                <w:rFonts w:ascii="Arial" w:cs="Arial" w:eastAsia="Arial" w:hAnsi="Arial"/>
                <w:sz w:val="16"/>
                <w:szCs w:val="16"/>
                <w:b w:val="1"/>
                <w:bCs w:val="1"/>
                <w:color w:val="231F20"/>
              </w:rPr>
              <w:t>David Wise</w:t>
            </w:r>
          </w:p>
        </w:tc>
        <w:tc>
          <w:tcPr>
            <w:tcW w:w="1520" w:type="dxa"/>
            <w:vAlign w:val="bottom"/>
          </w:tcPr>
          <w:p>
            <w:pPr>
              <w:jc w:val="right"/>
              <w:ind w:right="59"/>
              <w:spacing w:after="0" w:line="183" w:lineRule="exact"/>
              <w:rPr>
                <w:sz w:val="20"/>
                <w:szCs w:val="20"/>
                <w:color w:val="auto"/>
              </w:rPr>
            </w:pPr>
            <w:r>
              <w:rPr>
                <w:rFonts w:ascii="Arial" w:cs="Arial" w:eastAsia="Arial" w:hAnsi="Arial"/>
                <w:sz w:val="16"/>
                <w:szCs w:val="16"/>
                <w:color w:val="231F20"/>
              </w:rPr>
              <w:t>10,595</w:t>
            </w:r>
          </w:p>
        </w:tc>
        <w:tc>
          <w:tcPr>
            <w:tcW w:w="1660" w:type="dxa"/>
            <w:vAlign w:val="bottom"/>
          </w:tcPr>
          <w:p>
            <w:pPr>
              <w:spacing w:after="0"/>
              <w:rPr>
                <w:sz w:val="15"/>
                <w:szCs w:val="15"/>
                <w:color w:val="auto"/>
              </w:rPr>
            </w:pPr>
          </w:p>
        </w:tc>
        <w:tc>
          <w:tcPr>
            <w:tcW w:w="900" w:type="dxa"/>
            <w:vAlign w:val="bottom"/>
          </w:tcPr>
          <w:p>
            <w:pPr>
              <w:jc w:val="right"/>
              <w:ind w:right="79"/>
              <w:spacing w:after="0" w:line="183" w:lineRule="exact"/>
              <w:rPr>
                <w:sz w:val="20"/>
                <w:szCs w:val="20"/>
                <w:color w:val="auto"/>
              </w:rPr>
            </w:pPr>
            <w:r>
              <w:rPr>
                <w:rFonts w:ascii="Arial" w:cs="Arial" w:eastAsia="Arial" w:hAnsi="Arial"/>
                <w:sz w:val="16"/>
                <w:szCs w:val="16"/>
                <w:color w:val="231F20"/>
              </w:rPr>
              <w:t>51.90</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231F20"/>
              </w:rPr>
              <w:t>06-15-2023</w:t>
            </w: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9"/>
        </w:trPr>
        <w:tc>
          <w:tcPr>
            <w:tcW w:w="3200" w:type="dxa"/>
            <w:vAlign w:val="bottom"/>
          </w:tcPr>
          <w:p>
            <w:pPr>
              <w:spacing w:after="0"/>
              <w:rPr>
                <w:sz w:val="16"/>
                <w:szCs w:val="16"/>
                <w:color w:val="auto"/>
              </w:rPr>
            </w:pPr>
          </w:p>
        </w:tc>
        <w:tc>
          <w:tcPr>
            <w:tcW w:w="1520" w:type="dxa"/>
            <w:vAlign w:val="bottom"/>
            <w:shd w:val="clear" w:color="auto" w:fill="F3EDF3"/>
          </w:tcPr>
          <w:p>
            <w:pPr>
              <w:jc w:val="right"/>
              <w:ind w:right="59"/>
              <w:spacing w:after="0"/>
              <w:rPr>
                <w:sz w:val="20"/>
                <w:szCs w:val="20"/>
                <w:color w:val="auto"/>
              </w:rPr>
            </w:pPr>
            <w:r>
              <w:rPr>
                <w:rFonts w:ascii="Arial" w:cs="Arial" w:eastAsia="Arial" w:hAnsi="Arial"/>
                <w:sz w:val="16"/>
                <w:szCs w:val="16"/>
                <w:color w:val="231F20"/>
              </w:rPr>
              <w:t>11,322</w:t>
            </w:r>
          </w:p>
        </w:tc>
        <w:tc>
          <w:tcPr>
            <w:tcW w:w="1660" w:type="dxa"/>
            <w:vAlign w:val="bottom"/>
            <w:shd w:val="clear" w:color="auto" w:fill="F3EDF3"/>
          </w:tcPr>
          <w:p>
            <w:pPr>
              <w:spacing w:after="0"/>
              <w:rPr>
                <w:sz w:val="16"/>
                <w:szCs w:val="16"/>
                <w:color w:val="auto"/>
              </w:rPr>
            </w:pPr>
          </w:p>
        </w:tc>
        <w:tc>
          <w:tcPr>
            <w:tcW w:w="900" w:type="dxa"/>
            <w:vAlign w:val="bottom"/>
            <w:shd w:val="clear" w:color="auto" w:fill="F3EDF3"/>
          </w:tcPr>
          <w:p>
            <w:pPr>
              <w:jc w:val="right"/>
              <w:ind w:right="79"/>
              <w:spacing w:after="0"/>
              <w:rPr>
                <w:sz w:val="20"/>
                <w:szCs w:val="20"/>
                <w:color w:val="auto"/>
              </w:rPr>
            </w:pPr>
            <w:r>
              <w:rPr>
                <w:rFonts w:ascii="Arial" w:cs="Arial" w:eastAsia="Arial" w:hAnsi="Arial"/>
                <w:sz w:val="16"/>
                <w:szCs w:val="16"/>
                <w:color w:val="231F20"/>
              </w:rPr>
              <w:t>57.39</w:t>
            </w:r>
          </w:p>
        </w:tc>
        <w:tc>
          <w:tcPr>
            <w:tcW w:w="98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06-15-2024</w:t>
            </w:r>
          </w:p>
        </w:tc>
        <w:tc>
          <w:tcPr>
            <w:tcW w:w="220" w:type="dxa"/>
            <w:vAlign w:val="bottom"/>
            <w:shd w:val="clear" w:color="auto" w:fill="F3EDF3"/>
          </w:tcPr>
          <w:p>
            <w:pPr>
              <w:spacing w:after="0"/>
              <w:rPr>
                <w:sz w:val="16"/>
                <w:szCs w:val="16"/>
                <w:color w:val="auto"/>
              </w:rPr>
            </w:pPr>
          </w:p>
        </w:tc>
        <w:tc>
          <w:tcPr>
            <w:tcW w:w="1580" w:type="dxa"/>
            <w:vAlign w:val="bottom"/>
            <w:shd w:val="clear" w:color="auto" w:fill="F3EDF3"/>
          </w:tcPr>
          <w:p>
            <w:pPr>
              <w:spacing w:after="0"/>
              <w:rPr>
                <w:sz w:val="16"/>
                <w:szCs w:val="16"/>
                <w:color w:val="auto"/>
              </w:rPr>
            </w:pPr>
          </w:p>
        </w:tc>
        <w:tc>
          <w:tcPr>
            <w:tcW w:w="1360" w:type="dxa"/>
            <w:vAlign w:val="bottom"/>
            <w:shd w:val="clear" w:color="auto" w:fill="F3EDF3"/>
          </w:tcPr>
          <w:p>
            <w:pPr>
              <w:spacing w:after="0"/>
              <w:rPr>
                <w:sz w:val="16"/>
                <w:szCs w:val="16"/>
                <w:color w:val="auto"/>
              </w:rPr>
            </w:pPr>
          </w:p>
        </w:tc>
      </w:tr>
      <w:tr>
        <w:trPr>
          <w:trHeight w:val="189"/>
        </w:trPr>
        <w:tc>
          <w:tcPr>
            <w:tcW w:w="3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ind w:right="139"/>
              <w:spacing w:after="0"/>
              <w:rPr>
                <w:sz w:val="20"/>
                <w:szCs w:val="20"/>
                <w:color w:val="auto"/>
              </w:rPr>
            </w:pPr>
            <w:r>
              <w:rPr>
                <w:rFonts w:ascii="Arial" w:cs="Arial" w:eastAsia="Arial" w:hAnsi="Arial"/>
                <w:sz w:val="16"/>
                <w:szCs w:val="16"/>
                <w:color w:val="231F20"/>
              </w:rPr>
              <w:t>20,832</w:t>
            </w:r>
          </w:p>
        </w:tc>
        <w:tc>
          <w:tcPr>
            <w:tcW w:w="1360" w:type="dxa"/>
            <w:vAlign w:val="bottom"/>
          </w:tcPr>
          <w:p>
            <w:pPr>
              <w:jc w:val="right"/>
              <w:spacing w:after="0"/>
              <w:rPr>
                <w:sz w:val="20"/>
                <w:szCs w:val="20"/>
                <w:color w:val="auto"/>
              </w:rPr>
            </w:pPr>
            <w:r>
              <w:rPr>
                <w:rFonts w:ascii="Arial" w:cs="Arial" w:eastAsia="Arial" w:hAnsi="Arial"/>
                <w:sz w:val="16"/>
                <w:szCs w:val="16"/>
                <w:color w:val="231F20"/>
              </w:rPr>
              <w:t>1,664,893</w:t>
            </w:r>
          </w:p>
        </w:tc>
      </w:tr>
      <w:tr>
        <w:trPr>
          <w:trHeight w:val="189"/>
        </w:trPr>
        <w:tc>
          <w:tcPr>
            <w:tcW w:w="3200" w:type="dxa"/>
            <w:vAlign w:val="bottom"/>
          </w:tcPr>
          <w:p>
            <w:pPr>
              <w:spacing w:after="0"/>
              <w:rPr>
                <w:sz w:val="16"/>
                <w:szCs w:val="16"/>
                <w:color w:val="auto"/>
              </w:rPr>
            </w:pPr>
          </w:p>
        </w:tc>
        <w:tc>
          <w:tcPr>
            <w:tcW w:w="1520" w:type="dxa"/>
            <w:vAlign w:val="bottom"/>
            <w:shd w:val="clear" w:color="auto" w:fill="F3EDF3"/>
          </w:tcPr>
          <w:p>
            <w:pPr>
              <w:spacing w:after="0"/>
              <w:rPr>
                <w:sz w:val="16"/>
                <w:szCs w:val="16"/>
                <w:color w:val="auto"/>
              </w:rPr>
            </w:pPr>
          </w:p>
        </w:tc>
        <w:tc>
          <w:tcPr>
            <w:tcW w:w="1660" w:type="dxa"/>
            <w:vAlign w:val="bottom"/>
            <w:shd w:val="clear" w:color="auto" w:fill="F3EDF3"/>
          </w:tcPr>
          <w:p>
            <w:pPr>
              <w:spacing w:after="0"/>
              <w:rPr>
                <w:sz w:val="16"/>
                <w:szCs w:val="16"/>
                <w:color w:val="auto"/>
              </w:rPr>
            </w:pPr>
          </w:p>
        </w:tc>
        <w:tc>
          <w:tcPr>
            <w:tcW w:w="900" w:type="dxa"/>
            <w:vAlign w:val="bottom"/>
            <w:shd w:val="clear" w:color="auto" w:fill="F3EDF3"/>
          </w:tcPr>
          <w:p>
            <w:pPr>
              <w:spacing w:after="0"/>
              <w:rPr>
                <w:sz w:val="16"/>
                <w:szCs w:val="16"/>
                <w:color w:val="auto"/>
              </w:rPr>
            </w:pPr>
          </w:p>
        </w:tc>
        <w:tc>
          <w:tcPr>
            <w:tcW w:w="980" w:type="dxa"/>
            <w:vAlign w:val="bottom"/>
            <w:shd w:val="clear" w:color="auto" w:fill="F3EDF3"/>
          </w:tcPr>
          <w:p>
            <w:pPr>
              <w:spacing w:after="0"/>
              <w:rPr>
                <w:sz w:val="16"/>
                <w:szCs w:val="16"/>
                <w:color w:val="auto"/>
              </w:rPr>
            </w:pPr>
          </w:p>
        </w:tc>
        <w:tc>
          <w:tcPr>
            <w:tcW w:w="220" w:type="dxa"/>
            <w:vAlign w:val="bottom"/>
            <w:shd w:val="clear" w:color="auto" w:fill="F3EDF3"/>
          </w:tcPr>
          <w:p>
            <w:pPr>
              <w:spacing w:after="0"/>
              <w:rPr>
                <w:sz w:val="16"/>
                <w:szCs w:val="16"/>
                <w:color w:val="auto"/>
              </w:rPr>
            </w:pPr>
          </w:p>
        </w:tc>
        <w:tc>
          <w:tcPr>
            <w:tcW w:w="1580" w:type="dxa"/>
            <w:vAlign w:val="bottom"/>
            <w:shd w:val="clear" w:color="auto" w:fill="F3EDF3"/>
          </w:tcPr>
          <w:p>
            <w:pPr>
              <w:jc w:val="right"/>
              <w:ind w:right="139"/>
              <w:spacing w:after="0"/>
              <w:rPr>
                <w:sz w:val="20"/>
                <w:szCs w:val="20"/>
                <w:color w:val="auto"/>
              </w:rPr>
            </w:pPr>
            <w:r>
              <w:rPr>
                <w:rFonts w:ascii="Arial" w:cs="Arial" w:eastAsia="Arial" w:hAnsi="Arial"/>
                <w:sz w:val="16"/>
                <w:szCs w:val="16"/>
                <w:color w:val="231F20"/>
              </w:rPr>
              <w:t>10,515</w:t>
            </w:r>
          </w:p>
        </w:tc>
        <w:tc>
          <w:tcPr>
            <w:tcW w:w="136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840,359</w:t>
            </w:r>
          </w:p>
        </w:tc>
      </w:tr>
      <w:tr>
        <w:trPr>
          <w:trHeight w:val="189"/>
        </w:trPr>
        <w:tc>
          <w:tcPr>
            <w:tcW w:w="3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ind w:right="139"/>
              <w:spacing w:after="0"/>
              <w:rPr>
                <w:sz w:val="20"/>
                <w:szCs w:val="20"/>
                <w:color w:val="auto"/>
              </w:rPr>
            </w:pPr>
            <w:r>
              <w:rPr>
                <w:rFonts w:ascii="Arial" w:cs="Arial" w:eastAsia="Arial" w:hAnsi="Arial"/>
                <w:sz w:val="16"/>
                <w:szCs w:val="16"/>
                <w:color w:val="231F20"/>
              </w:rPr>
              <w:t>3,505</w:t>
            </w:r>
          </w:p>
        </w:tc>
        <w:tc>
          <w:tcPr>
            <w:tcW w:w="1360" w:type="dxa"/>
            <w:vAlign w:val="bottom"/>
          </w:tcPr>
          <w:p>
            <w:pPr>
              <w:jc w:val="right"/>
              <w:spacing w:after="0"/>
              <w:rPr>
                <w:sz w:val="20"/>
                <w:szCs w:val="20"/>
                <w:color w:val="auto"/>
              </w:rPr>
            </w:pPr>
            <w:r>
              <w:rPr>
                <w:rFonts w:ascii="Arial" w:cs="Arial" w:eastAsia="Arial" w:hAnsi="Arial"/>
                <w:sz w:val="16"/>
                <w:szCs w:val="16"/>
                <w:color w:val="231F20"/>
              </w:rPr>
              <w:t>280,120</w:t>
            </w:r>
          </w:p>
        </w:tc>
      </w:tr>
      <w:tr>
        <w:trPr>
          <w:trHeight w:val="189"/>
        </w:trPr>
        <w:tc>
          <w:tcPr>
            <w:tcW w:w="3200" w:type="dxa"/>
            <w:vAlign w:val="bottom"/>
          </w:tcPr>
          <w:p>
            <w:pPr>
              <w:spacing w:after="0"/>
              <w:rPr>
                <w:sz w:val="16"/>
                <w:szCs w:val="16"/>
                <w:color w:val="auto"/>
              </w:rPr>
            </w:pPr>
          </w:p>
        </w:tc>
        <w:tc>
          <w:tcPr>
            <w:tcW w:w="1520" w:type="dxa"/>
            <w:vAlign w:val="bottom"/>
            <w:shd w:val="clear" w:color="auto" w:fill="F3EDF3"/>
          </w:tcPr>
          <w:p>
            <w:pPr>
              <w:jc w:val="right"/>
              <w:ind w:right="59"/>
              <w:spacing w:after="0"/>
              <w:rPr>
                <w:sz w:val="20"/>
                <w:szCs w:val="20"/>
                <w:color w:val="auto"/>
              </w:rPr>
            </w:pPr>
            <w:r>
              <w:rPr>
                <w:rFonts w:ascii="Arial" w:cs="Arial" w:eastAsia="Arial" w:hAnsi="Arial"/>
                <w:sz w:val="16"/>
                <w:szCs w:val="16"/>
                <w:color w:val="231F20"/>
              </w:rPr>
              <w:t>29,717</w:t>
            </w:r>
          </w:p>
        </w:tc>
        <w:tc>
          <w:tcPr>
            <w:tcW w:w="1660" w:type="dxa"/>
            <w:vAlign w:val="bottom"/>
            <w:shd w:val="clear" w:color="auto" w:fill="F3EDF3"/>
          </w:tcPr>
          <w:p>
            <w:pPr>
              <w:spacing w:after="0"/>
              <w:rPr>
                <w:sz w:val="16"/>
                <w:szCs w:val="16"/>
                <w:color w:val="auto"/>
              </w:rPr>
            </w:pPr>
          </w:p>
        </w:tc>
        <w:tc>
          <w:tcPr>
            <w:tcW w:w="900" w:type="dxa"/>
            <w:vAlign w:val="bottom"/>
            <w:shd w:val="clear" w:color="auto" w:fill="F3EDF3"/>
          </w:tcPr>
          <w:p>
            <w:pPr>
              <w:jc w:val="right"/>
              <w:ind w:right="79"/>
              <w:spacing w:after="0"/>
              <w:rPr>
                <w:sz w:val="20"/>
                <w:szCs w:val="20"/>
                <w:color w:val="auto"/>
              </w:rPr>
            </w:pPr>
            <w:r>
              <w:rPr>
                <w:rFonts w:ascii="Arial" w:cs="Arial" w:eastAsia="Arial" w:hAnsi="Arial"/>
                <w:sz w:val="16"/>
                <w:szCs w:val="16"/>
                <w:color w:val="231F20"/>
              </w:rPr>
              <w:t>69.39</w:t>
            </w:r>
          </w:p>
        </w:tc>
        <w:tc>
          <w:tcPr>
            <w:tcW w:w="98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10-19-2020</w:t>
            </w:r>
          </w:p>
        </w:tc>
        <w:tc>
          <w:tcPr>
            <w:tcW w:w="220" w:type="dxa"/>
            <w:vAlign w:val="bottom"/>
            <w:shd w:val="clear" w:color="auto" w:fill="F3EDF3"/>
          </w:tcPr>
          <w:p>
            <w:pPr>
              <w:spacing w:after="0"/>
              <w:rPr>
                <w:sz w:val="16"/>
                <w:szCs w:val="16"/>
                <w:color w:val="auto"/>
              </w:rPr>
            </w:pPr>
          </w:p>
        </w:tc>
        <w:tc>
          <w:tcPr>
            <w:tcW w:w="1580" w:type="dxa"/>
            <w:vAlign w:val="bottom"/>
            <w:shd w:val="clear" w:color="auto" w:fill="F3EDF3"/>
          </w:tcPr>
          <w:p>
            <w:pPr>
              <w:spacing w:after="0"/>
              <w:rPr>
                <w:sz w:val="16"/>
                <w:szCs w:val="16"/>
                <w:color w:val="auto"/>
              </w:rPr>
            </w:pPr>
          </w:p>
        </w:tc>
        <w:tc>
          <w:tcPr>
            <w:tcW w:w="1360" w:type="dxa"/>
            <w:vAlign w:val="bottom"/>
            <w:shd w:val="clear" w:color="auto" w:fill="F3EDF3"/>
          </w:tcPr>
          <w:p>
            <w:pPr>
              <w:spacing w:after="0"/>
              <w:rPr>
                <w:sz w:val="16"/>
                <w:szCs w:val="16"/>
                <w:color w:val="auto"/>
              </w:rPr>
            </w:pPr>
          </w:p>
        </w:tc>
      </w:tr>
      <w:tr>
        <w:trPr>
          <w:trHeight w:val="189"/>
        </w:trPr>
        <w:tc>
          <w:tcPr>
            <w:tcW w:w="3200" w:type="dxa"/>
            <w:vAlign w:val="bottom"/>
            <w:tcBorders>
              <w:bottom w:val="single" w:sz="8" w:color="6F2875"/>
            </w:tcBorders>
          </w:tcPr>
          <w:p>
            <w:pPr>
              <w:spacing w:after="0"/>
              <w:rPr>
                <w:sz w:val="16"/>
                <w:szCs w:val="16"/>
                <w:color w:val="auto"/>
              </w:rPr>
            </w:pPr>
          </w:p>
        </w:tc>
        <w:tc>
          <w:tcPr>
            <w:tcW w:w="1520" w:type="dxa"/>
            <w:vAlign w:val="bottom"/>
            <w:tcBorders>
              <w:bottom w:val="single" w:sz="8" w:color="6F2875"/>
            </w:tcBorders>
          </w:tcPr>
          <w:p>
            <w:pPr>
              <w:jc w:val="right"/>
              <w:ind w:right="59"/>
              <w:spacing w:after="0"/>
              <w:rPr>
                <w:sz w:val="20"/>
                <w:szCs w:val="20"/>
                <w:color w:val="auto"/>
              </w:rPr>
            </w:pPr>
            <w:r>
              <w:rPr>
                <w:rFonts w:ascii="Arial" w:cs="Arial" w:eastAsia="Arial" w:hAnsi="Arial"/>
                <w:sz w:val="16"/>
                <w:szCs w:val="16"/>
                <w:color w:val="231F20"/>
              </w:rPr>
              <w:t>29,718</w:t>
            </w:r>
          </w:p>
        </w:tc>
        <w:tc>
          <w:tcPr>
            <w:tcW w:w="1660" w:type="dxa"/>
            <w:vAlign w:val="bottom"/>
            <w:tcBorders>
              <w:bottom w:val="single" w:sz="8" w:color="6F2875"/>
            </w:tcBorders>
          </w:tcPr>
          <w:p>
            <w:pPr>
              <w:spacing w:after="0"/>
              <w:rPr>
                <w:sz w:val="16"/>
                <w:szCs w:val="16"/>
                <w:color w:val="auto"/>
              </w:rPr>
            </w:pPr>
          </w:p>
        </w:tc>
        <w:tc>
          <w:tcPr>
            <w:tcW w:w="900" w:type="dxa"/>
            <w:vAlign w:val="bottom"/>
            <w:tcBorders>
              <w:bottom w:val="single" w:sz="8" w:color="6F2875"/>
            </w:tcBorders>
          </w:tcPr>
          <w:p>
            <w:pPr>
              <w:jc w:val="right"/>
              <w:ind w:right="79"/>
              <w:spacing w:after="0"/>
              <w:rPr>
                <w:sz w:val="20"/>
                <w:szCs w:val="20"/>
                <w:color w:val="auto"/>
              </w:rPr>
            </w:pPr>
            <w:r>
              <w:rPr>
                <w:rFonts w:ascii="Arial" w:cs="Arial" w:eastAsia="Arial" w:hAnsi="Arial"/>
                <w:sz w:val="16"/>
                <w:szCs w:val="16"/>
                <w:color w:val="231F20"/>
              </w:rPr>
              <w:t>69.39</w:t>
            </w:r>
          </w:p>
        </w:tc>
        <w:tc>
          <w:tcPr>
            <w:tcW w:w="980" w:type="dxa"/>
            <w:vAlign w:val="bottom"/>
            <w:tcBorders>
              <w:bottom w:val="single" w:sz="8" w:color="6F2875"/>
            </w:tcBorders>
          </w:tcPr>
          <w:p>
            <w:pPr>
              <w:jc w:val="right"/>
              <w:spacing w:after="0"/>
              <w:rPr>
                <w:sz w:val="20"/>
                <w:szCs w:val="20"/>
                <w:color w:val="auto"/>
              </w:rPr>
            </w:pPr>
            <w:r>
              <w:rPr>
                <w:rFonts w:ascii="Arial" w:cs="Arial" w:eastAsia="Arial" w:hAnsi="Arial"/>
                <w:sz w:val="16"/>
                <w:szCs w:val="16"/>
                <w:color w:val="231F20"/>
              </w:rPr>
              <w:t>10-19-2019</w:t>
            </w:r>
          </w:p>
        </w:tc>
        <w:tc>
          <w:tcPr>
            <w:tcW w:w="220" w:type="dxa"/>
            <w:vAlign w:val="bottom"/>
            <w:tcBorders>
              <w:bottom w:val="single" w:sz="8" w:color="6F2875"/>
            </w:tcBorders>
          </w:tcPr>
          <w:p>
            <w:pPr>
              <w:spacing w:after="0"/>
              <w:rPr>
                <w:sz w:val="16"/>
                <w:szCs w:val="16"/>
                <w:color w:val="auto"/>
              </w:rPr>
            </w:pPr>
          </w:p>
        </w:tc>
        <w:tc>
          <w:tcPr>
            <w:tcW w:w="1580" w:type="dxa"/>
            <w:vAlign w:val="bottom"/>
            <w:tcBorders>
              <w:bottom w:val="single" w:sz="8" w:color="6F2875"/>
            </w:tcBorders>
          </w:tcPr>
          <w:p>
            <w:pPr>
              <w:spacing w:after="0"/>
              <w:rPr>
                <w:sz w:val="16"/>
                <w:szCs w:val="16"/>
                <w:color w:val="auto"/>
              </w:rPr>
            </w:pPr>
          </w:p>
        </w:tc>
        <w:tc>
          <w:tcPr>
            <w:tcW w:w="1360" w:type="dxa"/>
            <w:vAlign w:val="bottom"/>
            <w:tcBorders>
              <w:bottom w:val="single" w:sz="8" w:color="6F2875"/>
            </w:tcBorders>
          </w:tcPr>
          <w:p>
            <w:pPr>
              <w:spacing w:after="0"/>
              <w:rPr>
                <w:sz w:val="16"/>
                <w:szCs w:val="16"/>
                <w:color w:val="auto"/>
              </w:rPr>
            </w:pPr>
          </w:p>
        </w:tc>
      </w:tr>
      <w:tr>
        <w:trPr>
          <w:trHeight w:val="183"/>
        </w:trPr>
        <w:tc>
          <w:tcPr>
            <w:tcW w:w="3200" w:type="dxa"/>
            <w:vAlign w:val="bottom"/>
          </w:tcPr>
          <w:p>
            <w:pPr>
              <w:ind w:left="60"/>
              <w:spacing w:after="0" w:line="183" w:lineRule="exact"/>
              <w:rPr>
                <w:sz w:val="20"/>
                <w:szCs w:val="20"/>
                <w:color w:val="auto"/>
              </w:rPr>
            </w:pPr>
            <w:r>
              <w:rPr>
                <w:rFonts w:ascii="Arial" w:cs="Arial" w:eastAsia="Arial" w:hAnsi="Arial"/>
                <w:sz w:val="16"/>
                <w:szCs w:val="16"/>
                <w:b w:val="1"/>
                <w:bCs w:val="1"/>
                <w:color w:val="231F20"/>
              </w:rPr>
              <w:t>Keyna Skeffington</w:t>
            </w:r>
          </w:p>
        </w:tc>
        <w:tc>
          <w:tcPr>
            <w:tcW w:w="1520" w:type="dxa"/>
            <w:vAlign w:val="bottom"/>
            <w:shd w:val="clear" w:color="auto" w:fill="F3EDF3"/>
          </w:tcPr>
          <w:p>
            <w:pPr>
              <w:spacing w:after="0"/>
              <w:rPr>
                <w:sz w:val="15"/>
                <w:szCs w:val="15"/>
                <w:color w:val="auto"/>
              </w:rPr>
            </w:pPr>
          </w:p>
        </w:tc>
        <w:tc>
          <w:tcPr>
            <w:tcW w:w="1660" w:type="dxa"/>
            <w:vAlign w:val="bottom"/>
            <w:shd w:val="clear" w:color="auto" w:fill="F3EDF3"/>
          </w:tcPr>
          <w:p>
            <w:pPr>
              <w:spacing w:after="0"/>
              <w:rPr>
                <w:sz w:val="15"/>
                <w:szCs w:val="15"/>
                <w:color w:val="auto"/>
              </w:rPr>
            </w:pPr>
          </w:p>
        </w:tc>
        <w:tc>
          <w:tcPr>
            <w:tcW w:w="900" w:type="dxa"/>
            <w:vAlign w:val="bottom"/>
            <w:shd w:val="clear" w:color="auto" w:fill="F3EDF3"/>
          </w:tcPr>
          <w:p>
            <w:pPr>
              <w:spacing w:after="0"/>
              <w:rPr>
                <w:sz w:val="15"/>
                <w:szCs w:val="15"/>
                <w:color w:val="auto"/>
              </w:rPr>
            </w:pPr>
          </w:p>
        </w:tc>
        <w:tc>
          <w:tcPr>
            <w:tcW w:w="980" w:type="dxa"/>
            <w:vAlign w:val="bottom"/>
            <w:shd w:val="clear" w:color="auto" w:fill="F3EDF3"/>
          </w:tcPr>
          <w:p>
            <w:pPr>
              <w:spacing w:after="0"/>
              <w:rPr>
                <w:sz w:val="15"/>
                <w:szCs w:val="15"/>
                <w:color w:val="auto"/>
              </w:rPr>
            </w:pPr>
          </w:p>
        </w:tc>
        <w:tc>
          <w:tcPr>
            <w:tcW w:w="220" w:type="dxa"/>
            <w:vAlign w:val="bottom"/>
            <w:shd w:val="clear" w:color="auto" w:fill="F3EDF3"/>
          </w:tcPr>
          <w:p>
            <w:pPr>
              <w:spacing w:after="0"/>
              <w:rPr>
                <w:sz w:val="15"/>
                <w:szCs w:val="15"/>
                <w:color w:val="auto"/>
              </w:rPr>
            </w:pPr>
          </w:p>
        </w:tc>
        <w:tc>
          <w:tcPr>
            <w:tcW w:w="1580" w:type="dxa"/>
            <w:vAlign w:val="bottom"/>
            <w:shd w:val="clear" w:color="auto" w:fill="F3EDF3"/>
          </w:tcPr>
          <w:p>
            <w:pPr>
              <w:jc w:val="right"/>
              <w:ind w:right="139"/>
              <w:spacing w:after="0" w:line="183" w:lineRule="exact"/>
              <w:rPr>
                <w:sz w:val="20"/>
                <w:szCs w:val="20"/>
                <w:color w:val="auto"/>
              </w:rPr>
            </w:pPr>
            <w:r>
              <w:rPr>
                <w:rFonts w:ascii="Arial" w:cs="Arial" w:eastAsia="Arial" w:hAnsi="Arial"/>
                <w:sz w:val="16"/>
                <w:szCs w:val="16"/>
                <w:color w:val="231F20"/>
              </w:rPr>
              <w:t>4,585</w:t>
            </w:r>
          </w:p>
        </w:tc>
        <w:tc>
          <w:tcPr>
            <w:tcW w:w="1360" w:type="dxa"/>
            <w:vAlign w:val="bottom"/>
            <w:shd w:val="clear" w:color="auto" w:fill="F3EDF3"/>
          </w:tcPr>
          <w:p>
            <w:pPr>
              <w:jc w:val="right"/>
              <w:spacing w:after="0" w:line="183" w:lineRule="exact"/>
              <w:rPr>
                <w:sz w:val="20"/>
                <w:szCs w:val="20"/>
                <w:color w:val="auto"/>
              </w:rPr>
            </w:pPr>
            <w:r>
              <w:rPr>
                <w:rFonts w:ascii="Arial" w:cs="Arial" w:eastAsia="Arial" w:hAnsi="Arial"/>
                <w:sz w:val="16"/>
                <w:szCs w:val="16"/>
                <w:color w:val="231F20"/>
              </w:rPr>
              <w:t>366,433</w:t>
            </w:r>
          </w:p>
        </w:tc>
      </w:tr>
      <w:tr>
        <w:trPr>
          <w:trHeight w:val="189"/>
        </w:trPr>
        <w:tc>
          <w:tcPr>
            <w:tcW w:w="3200" w:type="dxa"/>
            <w:vAlign w:val="bottom"/>
            <w:tcBorders>
              <w:bottom w:val="single" w:sz="8" w:color="6F2875"/>
            </w:tcBorders>
          </w:tcPr>
          <w:p>
            <w:pPr>
              <w:spacing w:after="0"/>
              <w:rPr>
                <w:sz w:val="16"/>
                <w:szCs w:val="16"/>
                <w:color w:val="auto"/>
              </w:rPr>
            </w:pPr>
          </w:p>
        </w:tc>
        <w:tc>
          <w:tcPr>
            <w:tcW w:w="1520" w:type="dxa"/>
            <w:vAlign w:val="bottom"/>
            <w:tcBorders>
              <w:bottom w:val="single" w:sz="8" w:color="6F2875"/>
            </w:tcBorders>
          </w:tcPr>
          <w:p>
            <w:pPr>
              <w:spacing w:after="0"/>
              <w:rPr>
                <w:sz w:val="16"/>
                <w:szCs w:val="16"/>
                <w:color w:val="auto"/>
              </w:rPr>
            </w:pPr>
          </w:p>
        </w:tc>
        <w:tc>
          <w:tcPr>
            <w:tcW w:w="1660" w:type="dxa"/>
            <w:vAlign w:val="bottom"/>
            <w:tcBorders>
              <w:bottom w:val="single" w:sz="8" w:color="6F2875"/>
            </w:tcBorders>
          </w:tcPr>
          <w:p>
            <w:pPr>
              <w:jc w:val="right"/>
              <w:ind w:right="339"/>
              <w:spacing w:after="0"/>
              <w:rPr>
                <w:sz w:val="20"/>
                <w:szCs w:val="20"/>
                <w:color w:val="auto"/>
              </w:rPr>
            </w:pPr>
            <w:r>
              <w:rPr>
                <w:rFonts w:ascii="Arial" w:cs="Arial" w:eastAsia="Arial" w:hAnsi="Arial"/>
                <w:sz w:val="16"/>
                <w:szCs w:val="16"/>
                <w:color w:val="231F20"/>
              </w:rPr>
              <w:t>15,203</w:t>
            </w:r>
          </w:p>
        </w:tc>
        <w:tc>
          <w:tcPr>
            <w:tcW w:w="900" w:type="dxa"/>
            <w:vAlign w:val="bottom"/>
            <w:tcBorders>
              <w:bottom w:val="single" w:sz="8" w:color="6F2875"/>
            </w:tcBorders>
          </w:tcPr>
          <w:p>
            <w:pPr>
              <w:jc w:val="right"/>
              <w:ind w:right="79"/>
              <w:spacing w:after="0"/>
              <w:rPr>
                <w:sz w:val="20"/>
                <w:szCs w:val="20"/>
                <w:color w:val="auto"/>
              </w:rPr>
            </w:pPr>
            <w:r>
              <w:rPr>
                <w:rFonts w:ascii="Arial" w:cs="Arial" w:eastAsia="Arial" w:hAnsi="Arial"/>
                <w:sz w:val="16"/>
                <w:szCs w:val="16"/>
                <w:color w:val="231F20"/>
              </w:rPr>
              <w:t>59.97</w:t>
            </w:r>
          </w:p>
        </w:tc>
        <w:tc>
          <w:tcPr>
            <w:tcW w:w="980" w:type="dxa"/>
            <w:vAlign w:val="bottom"/>
            <w:tcBorders>
              <w:bottom w:val="single" w:sz="8" w:color="6F2875"/>
            </w:tcBorders>
          </w:tcPr>
          <w:p>
            <w:pPr>
              <w:jc w:val="right"/>
              <w:spacing w:after="0"/>
              <w:rPr>
                <w:sz w:val="20"/>
                <w:szCs w:val="20"/>
                <w:color w:val="auto"/>
              </w:rPr>
            </w:pPr>
            <w:r>
              <w:rPr>
                <w:rFonts w:ascii="Arial" w:cs="Arial" w:eastAsia="Arial" w:hAnsi="Arial"/>
                <w:sz w:val="16"/>
                <w:szCs w:val="16"/>
                <w:color w:val="231F20"/>
              </w:rPr>
              <w:t>06-12-2027</w:t>
            </w:r>
          </w:p>
        </w:tc>
        <w:tc>
          <w:tcPr>
            <w:tcW w:w="220" w:type="dxa"/>
            <w:vAlign w:val="bottom"/>
            <w:tcBorders>
              <w:bottom w:val="single" w:sz="8" w:color="6F2875"/>
            </w:tcBorders>
          </w:tcPr>
          <w:p>
            <w:pPr>
              <w:spacing w:after="0"/>
              <w:rPr>
                <w:sz w:val="16"/>
                <w:szCs w:val="16"/>
                <w:color w:val="auto"/>
              </w:rPr>
            </w:pPr>
          </w:p>
        </w:tc>
        <w:tc>
          <w:tcPr>
            <w:tcW w:w="1580" w:type="dxa"/>
            <w:vAlign w:val="bottom"/>
            <w:tcBorders>
              <w:bottom w:val="single" w:sz="8" w:color="6F2875"/>
            </w:tcBorders>
          </w:tcPr>
          <w:p>
            <w:pPr>
              <w:spacing w:after="0"/>
              <w:rPr>
                <w:sz w:val="16"/>
                <w:szCs w:val="16"/>
                <w:color w:val="auto"/>
              </w:rPr>
            </w:pPr>
          </w:p>
        </w:tc>
        <w:tc>
          <w:tcPr>
            <w:tcW w:w="1360" w:type="dxa"/>
            <w:vAlign w:val="bottom"/>
            <w:tcBorders>
              <w:bottom w:val="single" w:sz="8" w:color="6F2875"/>
            </w:tcBorders>
          </w:tcPr>
          <w:p>
            <w:pPr>
              <w:spacing w:after="0"/>
              <w:rPr>
                <w:sz w:val="16"/>
                <w:szCs w:val="16"/>
                <w:color w:val="auto"/>
              </w:rPr>
            </w:pPr>
          </w:p>
        </w:tc>
      </w:tr>
      <w:tr>
        <w:trPr>
          <w:trHeight w:val="183"/>
        </w:trPr>
        <w:tc>
          <w:tcPr>
            <w:tcW w:w="3200" w:type="dxa"/>
            <w:vAlign w:val="bottom"/>
          </w:tcPr>
          <w:p>
            <w:pPr>
              <w:ind w:left="60"/>
              <w:spacing w:after="0" w:line="183" w:lineRule="exact"/>
              <w:rPr>
                <w:sz w:val="20"/>
                <w:szCs w:val="20"/>
                <w:color w:val="auto"/>
              </w:rPr>
            </w:pPr>
            <w:r>
              <w:rPr>
                <w:rFonts w:ascii="Arial" w:cs="Arial" w:eastAsia="Arial" w:hAnsi="Arial"/>
                <w:sz w:val="16"/>
                <w:szCs w:val="16"/>
                <w:b w:val="1"/>
                <w:bCs w:val="1"/>
                <w:color w:val="231F20"/>
              </w:rPr>
              <w:t>Douglas Manko</w:t>
            </w:r>
          </w:p>
        </w:tc>
        <w:tc>
          <w:tcPr>
            <w:tcW w:w="1520" w:type="dxa"/>
            <w:vAlign w:val="bottom"/>
            <w:shd w:val="clear" w:color="auto" w:fill="F3EDF3"/>
          </w:tcPr>
          <w:p>
            <w:pPr>
              <w:spacing w:after="0"/>
              <w:rPr>
                <w:sz w:val="15"/>
                <w:szCs w:val="15"/>
                <w:color w:val="auto"/>
              </w:rPr>
            </w:pPr>
          </w:p>
        </w:tc>
        <w:tc>
          <w:tcPr>
            <w:tcW w:w="1660" w:type="dxa"/>
            <w:vAlign w:val="bottom"/>
            <w:shd w:val="clear" w:color="auto" w:fill="F3EDF3"/>
          </w:tcPr>
          <w:p>
            <w:pPr>
              <w:spacing w:after="0"/>
              <w:rPr>
                <w:sz w:val="15"/>
                <w:szCs w:val="15"/>
                <w:color w:val="auto"/>
              </w:rPr>
            </w:pPr>
          </w:p>
        </w:tc>
        <w:tc>
          <w:tcPr>
            <w:tcW w:w="900" w:type="dxa"/>
            <w:vAlign w:val="bottom"/>
            <w:shd w:val="clear" w:color="auto" w:fill="F3EDF3"/>
          </w:tcPr>
          <w:p>
            <w:pPr>
              <w:spacing w:after="0"/>
              <w:rPr>
                <w:sz w:val="15"/>
                <w:szCs w:val="15"/>
                <w:color w:val="auto"/>
              </w:rPr>
            </w:pPr>
          </w:p>
        </w:tc>
        <w:tc>
          <w:tcPr>
            <w:tcW w:w="980" w:type="dxa"/>
            <w:vAlign w:val="bottom"/>
            <w:shd w:val="clear" w:color="auto" w:fill="F3EDF3"/>
          </w:tcPr>
          <w:p>
            <w:pPr>
              <w:spacing w:after="0"/>
              <w:rPr>
                <w:sz w:val="15"/>
                <w:szCs w:val="15"/>
                <w:color w:val="auto"/>
              </w:rPr>
            </w:pPr>
          </w:p>
        </w:tc>
        <w:tc>
          <w:tcPr>
            <w:tcW w:w="220" w:type="dxa"/>
            <w:vAlign w:val="bottom"/>
            <w:shd w:val="clear" w:color="auto" w:fill="F3EDF3"/>
          </w:tcPr>
          <w:p>
            <w:pPr>
              <w:spacing w:after="0"/>
              <w:rPr>
                <w:sz w:val="15"/>
                <w:szCs w:val="15"/>
                <w:color w:val="auto"/>
              </w:rPr>
            </w:pPr>
          </w:p>
        </w:tc>
        <w:tc>
          <w:tcPr>
            <w:tcW w:w="1580" w:type="dxa"/>
            <w:vAlign w:val="bottom"/>
            <w:shd w:val="clear" w:color="auto" w:fill="F3EDF3"/>
          </w:tcPr>
          <w:p>
            <w:pPr>
              <w:jc w:val="right"/>
              <w:ind w:right="139"/>
              <w:spacing w:after="0" w:line="183" w:lineRule="exact"/>
              <w:rPr>
                <w:sz w:val="20"/>
                <w:szCs w:val="20"/>
                <w:color w:val="auto"/>
              </w:rPr>
            </w:pPr>
            <w:r>
              <w:rPr>
                <w:rFonts w:ascii="Arial" w:cs="Arial" w:eastAsia="Arial" w:hAnsi="Arial"/>
                <w:sz w:val="16"/>
                <w:szCs w:val="16"/>
                <w:color w:val="231F20"/>
              </w:rPr>
              <w:t>2,975</w:t>
            </w:r>
          </w:p>
        </w:tc>
        <w:tc>
          <w:tcPr>
            <w:tcW w:w="1360" w:type="dxa"/>
            <w:vAlign w:val="bottom"/>
            <w:shd w:val="clear" w:color="auto" w:fill="F3EDF3"/>
          </w:tcPr>
          <w:p>
            <w:pPr>
              <w:jc w:val="right"/>
              <w:spacing w:after="0" w:line="183" w:lineRule="exact"/>
              <w:rPr>
                <w:sz w:val="20"/>
                <w:szCs w:val="20"/>
                <w:color w:val="auto"/>
              </w:rPr>
            </w:pPr>
            <w:r>
              <w:rPr>
                <w:rFonts w:ascii="Arial" w:cs="Arial" w:eastAsia="Arial" w:hAnsi="Arial"/>
                <w:sz w:val="16"/>
                <w:szCs w:val="16"/>
                <w:color w:val="231F20"/>
              </w:rPr>
              <w:t>237,762</w:t>
            </w:r>
          </w:p>
        </w:tc>
      </w:tr>
      <w:tr>
        <w:trPr>
          <w:trHeight w:val="189"/>
        </w:trPr>
        <w:tc>
          <w:tcPr>
            <w:tcW w:w="3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ind w:right="139"/>
              <w:spacing w:after="0"/>
              <w:rPr>
                <w:sz w:val="20"/>
                <w:szCs w:val="20"/>
                <w:color w:val="auto"/>
              </w:rPr>
            </w:pPr>
            <w:r>
              <w:rPr>
                <w:rFonts w:ascii="Arial" w:cs="Arial" w:eastAsia="Arial" w:hAnsi="Arial"/>
                <w:sz w:val="16"/>
                <w:szCs w:val="16"/>
                <w:color w:val="231F20"/>
              </w:rPr>
              <w:t>1,813</w:t>
            </w:r>
          </w:p>
        </w:tc>
        <w:tc>
          <w:tcPr>
            <w:tcW w:w="1360" w:type="dxa"/>
            <w:vAlign w:val="bottom"/>
          </w:tcPr>
          <w:p>
            <w:pPr>
              <w:jc w:val="right"/>
              <w:spacing w:after="0"/>
              <w:rPr>
                <w:sz w:val="20"/>
                <w:szCs w:val="20"/>
                <w:color w:val="auto"/>
              </w:rPr>
            </w:pPr>
            <w:r>
              <w:rPr>
                <w:rFonts w:ascii="Arial" w:cs="Arial" w:eastAsia="Arial" w:hAnsi="Arial"/>
                <w:sz w:val="16"/>
                <w:szCs w:val="16"/>
                <w:color w:val="231F20"/>
              </w:rPr>
              <w:t>144,895</w:t>
            </w:r>
          </w:p>
        </w:tc>
      </w:tr>
      <w:tr>
        <w:trPr>
          <w:trHeight w:val="189"/>
        </w:trPr>
        <w:tc>
          <w:tcPr>
            <w:tcW w:w="3200" w:type="dxa"/>
            <w:vAlign w:val="bottom"/>
          </w:tcPr>
          <w:p>
            <w:pPr>
              <w:spacing w:after="0"/>
              <w:rPr>
                <w:sz w:val="16"/>
                <w:szCs w:val="16"/>
                <w:color w:val="auto"/>
              </w:rPr>
            </w:pPr>
          </w:p>
        </w:tc>
        <w:tc>
          <w:tcPr>
            <w:tcW w:w="1520" w:type="dxa"/>
            <w:vAlign w:val="bottom"/>
            <w:shd w:val="clear" w:color="auto" w:fill="F3EDF3"/>
          </w:tcPr>
          <w:p>
            <w:pPr>
              <w:spacing w:after="0"/>
              <w:rPr>
                <w:sz w:val="16"/>
                <w:szCs w:val="16"/>
                <w:color w:val="auto"/>
              </w:rPr>
            </w:pPr>
          </w:p>
        </w:tc>
        <w:tc>
          <w:tcPr>
            <w:tcW w:w="1660" w:type="dxa"/>
            <w:vAlign w:val="bottom"/>
            <w:shd w:val="clear" w:color="auto" w:fill="F3EDF3"/>
          </w:tcPr>
          <w:p>
            <w:pPr>
              <w:jc w:val="right"/>
              <w:ind w:right="339"/>
              <w:spacing w:after="0"/>
              <w:rPr>
                <w:sz w:val="20"/>
                <w:szCs w:val="20"/>
                <w:color w:val="auto"/>
              </w:rPr>
            </w:pPr>
            <w:r>
              <w:rPr>
                <w:rFonts w:ascii="Arial" w:cs="Arial" w:eastAsia="Arial" w:hAnsi="Arial"/>
                <w:sz w:val="16"/>
                <w:szCs w:val="16"/>
                <w:color w:val="231F20"/>
              </w:rPr>
              <w:t>10,439</w:t>
            </w:r>
          </w:p>
        </w:tc>
        <w:tc>
          <w:tcPr>
            <w:tcW w:w="900" w:type="dxa"/>
            <w:vAlign w:val="bottom"/>
            <w:shd w:val="clear" w:color="auto" w:fill="F3EDF3"/>
          </w:tcPr>
          <w:p>
            <w:pPr>
              <w:jc w:val="right"/>
              <w:ind w:right="79"/>
              <w:spacing w:after="0"/>
              <w:rPr>
                <w:sz w:val="20"/>
                <w:szCs w:val="20"/>
                <w:color w:val="auto"/>
              </w:rPr>
            </w:pPr>
            <w:r>
              <w:rPr>
                <w:rFonts w:ascii="Arial" w:cs="Arial" w:eastAsia="Arial" w:hAnsi="Arial"/>
                <w:sz w:val="16"/>
                <w:szCs w:val="16"/>
                <w:color w:val="231F20"/>
              </w:rPr>
              <w:t>56.17</w:t>
            </w:r>
          </w:p>
        </w:tc>
        <w:tc>
          <w:tcPr>
            <w:tcW w:w="98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05-05-2027</w:t>
            </w:r>
          </w:p>
        </w:tc>
        <w:tc>
          <w:tcPr>
            <w:tcW w:w="220" w:type="dxa"/>
            <w:vAlign w:val="bottom"/>
            <w:shd w:val="clear" w:color="auto" w:fill="F3EDF3"/>
          </w:tcPr>
          <w:p>
            <w:pPr>
              <w:spacing w:after="0"/>
              <w:rPr>
                <w:sz w:val="16"/>
                <w:szCs w:val="16"/>
                <w:color w:val="auto"/>
              </w:rPr>
            </w:pPr>
          </w:p>
        </w:tc>
        <w:tc>
          <w:tcPr>
            <w:tcW w:w="1580" w:type="dxa"/>
            <w:vAlign w:val="bottom"/>
            <w:shd w:val="clear" w:color="auto" w:fill="F3EDF3"/>
          </w:tcPr>
          <w:p>
            <w:pPr>
              <w:spacing w:after="0"/>
              <w:rPr>
                <w:sz w:val="16"/>
                <w:szCs w:val="16"/>
                <w:color w:val="auto"/>
              </w:rPr>
            </w:pPr>
          </w:p>
        </w:tc>
        <w:tc>
          <w:tcPr>
            <w:tcW w:w="1360" w:type="dxa"/>
            <w:vAlign w:val="bottom"/>
            <w:shd w:val="clear" w:color="auto" w:fill="F3EDF3"/>
          </w:tcPr>
          <w:p>
            <w:pPr>
              <w:spacing w:after="0"/>
              <w:rPr>
                <w:sz w:val="16"/>
                <w:szCs w:val="16"/>
                <w:color w:val="auto"/>
              </w:rPr>
            </w:pPr>
          </w:p>
        </w:tc>
      </w:tr>
      <w:tr>
        <w:trPr>
          <w:trHeight w:val="189"/>
        </w:trPr>
        <w:tc>
          <w:tcPr>
            <w:tcW w:w="3200" w:type="dxa"/>
            <w:vAlign w:val="bottom"/>
            <w:tcBorders>
              <w:bottom w:val="single" w:sz="8" w:color="6F2875"/>
            </w:tcBorders>
          </w:tcPr>
          <w:p>
            <w:pPr>
              <w:spacing w:after="0"/>
              <w:rPr>
                <w:sz w:val="16"/>
                <w:szCs w:val="16"/>
                <w:color w:val="auto"/>
              </w:rPr>
            </w:pPr>
          </w:p>
        </w:tc>
        <w:tc>
          <w:tcPr>
            <w:tcW w:w="1520" w:type="dxa"/>
            <w:vAlign w:val="bottom"/>
            <w:tcBorders>
              <w:bottom w:val="single" w:sz="8" w:color="6F2875"/>
            </w:tcBorders>
          </w:tcPr>
          <w:p>
            <w:pPr>
              <w:jc w:val="right"/>
              <w:ind w:right="59"/>
              <w:spacing w:after="0"/>
              <w:rPr>
                <w:sz w:val="20"/>
                <w:szCs w:val="20"/>
                <w:color w:val="auto"/>
              </w:rPr>
            </w:pPr>
            <w:r>
              <w:rPr>
                <w:rFonts w:ascii="Arial" w:cs="Arial" w:eastAsia="Arial" w:hAnsi="Arial"/>
                <w:sz w:val="16"/>
                <w:szCs w:val="16"/>
                <w:color w:val="231F20"/>
              </w:rPr>
              <w:t>2,409</w:t>
            </w:r>
          </w:p>
        </w:tc>
        <w:tc>
          <w:tcPr>
            <w:tcW w:w="1660" w:type="dxa"/>
            <w:vAlign w:val="bottom"/>
            <w:tcBorders>
              <w:bottom w:val="single" w:sz="8" w:color="6F2875"/>
            </w:tcBorders>
          </w:tcPr>
          <w:p>
            <w:pPr>
              <w:jc w:val="right"/>
              <w:ind w:right="339"/>
              <w:spacing w:after="0"/>
              <w:rPr>
                <w:sz w:val="20"/>
                <w:szCs w:val="20"/>
                <w:color w:val="auto"/>
              </w:rPr>
            </w:pPr>
            <w:r>
              <w:rPr>
                <w:rFonts w:ascii="Arial" w:cs="Arial" w:eastAsia="Arial" w:hAnsi="Arial"/>
                <w:sz w:val="16"/>
                <w:szCs w:val="16"/>
                <w:color w:val="231F20"/>
              </w:rPr>
              <w:t>7,224</w:t>
            </w:r>
          </w:p>
        </w:tc>
        <w:tc>
          <w:tcPr>
            <w:tcW w:w="900" w:type="dxa"/>
            <w:vAlign w:val="bottom"/>
            <w:tcBorders>
              <w:bottom w:val="single" w:sz="8" w:color="6F2875"/>
            </w:tcBorders>
          </w:tcPr>
          <w:p>
            <w:pPr>
              <w:jc w:val="right"/>
              <w:ind w:right="79"/>
              <w:spacing w:after="0"/>
              <w:rPr>
                <w:sz w:val="20"/>
                <w:szCs w:val="20"/>
                <w:color w:val="auto"/>
              </w:rPr>
            </w:pPr>
            <w:r>
              <w:rPr>
                <w:rFonts w:ascii="Arial" w:cs="Arial" w:eastAsia="Arial" w:hAnsi="Arial"/>
                <w:sz w:val="16"/>
                <w:szCs w:val="16"/>
                <w:color w:val="231F20"/>
              </w:rPr>
              <w:t>61.00</w:t>
            </w:r>
          </w:p>
        </w:tc>
        <w:tc>
          <w:tcPr>
            <w:tcW w:w="980" w:type="dxa"/>
            <w:vAlign w:val="bottom"/>
            <w:tcBorders>
              <w:bottom w:val="single" w:sz="8" w:color="6F2875"/>
            </w:tcBorders>
          </w:tcPr>
          <w:p>
            <w:pPr>
              <w:jc w:val="right"/>
              <w:spacing w:after="0"/>
              <w:rPr>
                <w:sz w:val="20"/>
                <w:szCs w:val="20"/>
                <w:color w:val="auto"/>
              </w:rPr>
            </w:pPr>
            <w:r>
              <w:rPr>
                <w:rFonts w:ascii="Arial" w:cs="Arial" w:eastAsia="Arial" w:hAnsi="Arial"/>
                <w:sz w:val="16"/>
                <w:szCs w:val="16"/>
                <w:color w:val="231F20"/>
              </w:rPr>
              <w:t>08-05-2026</w:t>
            </w:r>
          </w:p>
        </w:tc>
        <w:tc>
          <w:tcPr>
            <w:tcW w:w="220" w:type="dxa"/>
            <w:vAlign w:val="bottom"/>
            <w:tcBorders>
              <w:bottom w:val="single" w:sz="8" w:color="6F2875"/>
            </w:tcBorders>
          </w:tcPr>
          <w:p>
            <w:pPr>
              <w:spacing w:after="0"/>
              <w:rPr>
                <w:sz w:val="16"/>
                <w:szCs w:val="16"/>
                <w:color w:val="auto"/>
              </w:rPr>
            </w:pPr>
          </w:p>
        </w:tc>
        <w:tc>
          <w:tcPr>
            <w:tcW w:w="1580" w:type="dxa"/>
            <w:vAlign w:val="bottom"/>
            <w:tcBorders>
              <w:bottom w:val="single" w:sz="8" w:color="6F2875"/>
            </w:tcBorders>
          </w:tcPr>
          <w:p>
            <w:pPr>
              <w:spacing w:after="0"/>
              <w:rPr>
                <w:sz w:val="16"/>
                <w:szCs w:val="16"/>
                <w:color w:val="auto"/>
              </w:rPr>
            </w:pPr>
          </w:p>
        </w:tc>
        <w:tc>
          <w:tcPr>
            <w:tcW w:w="1360" w:type="dxa"/>
            <w:vAlign w:val="bottom"/>
            <w:tcBorders>
              <w:bottom w:val="single" w:sz="8" w:color="6F2875"/>
            </w:tcBorders>
          </w:tcPr>
          <w:p>
            <w:pPr>
              <w:spacing w:after="0"/>
              <w:rPr>
                <w:sz w:val="16"/>
                <w:szCs w:val="16"/>
                <w:color w:val="auto"/>
              </w:rPr>
            </w:pPr>
          </w:p>
        </w:tc>
      </w:tr>
      <w:tr>
        <w:trPr>
          <w:trHeight w:val="183"/>
        </w:trPr>
        <w:tc>
          <w:tcPr>
            <w:tcW w:w="3200" w:type="dxa"/>
            <w:vAlign w:val="bottom"/>
          </w:tcPr>
          <w:p>
            <w:pPr>
              <w:ind w:left="60"/>
              <w:spacing w:after="0" w:line="183" w:lineRule="exact"/>
              <w:rPr>
                <w:sz w:val="20"/>
                <w:szCs w:val="20"/>
                <w:color w:val="auto"/>
              </w:rPr>
            </w:pPr>
            <w:r>
              <w:rPr>
                <w:rFonts w:ascii="Arial" w:cs="Arial" w:eastAsia="Arial" w:hAnsi="Arial"/>
                <w:sz w:val="16"/>
                <w:szCs w:val="16"/>
                <w:b w:val="1"/>
                <w:bCs w:val="1"/>
                <w:color w:val="231F20"/>
              </w:rPr>
              <w:t>Brian Sheridan</w:t>
            </w:r>
          </w:p>
        </w:tc>
        <w:tc>
          <w:tcPr>
            <w:tcW w:w="1520" w:type="dxa"/>
            <w:vAlign w:val="bottom"/>
            <w:shd w:val="clear" w:color="auto" w:fill="F3EDF3"/>
          </w:tcPr>
          <w:p>
            <w:pPr>
              <w:jc w:val="right"/>
              <w:ind w:right="59"/>
              <w:spacing w:after="0" w:line="183" w:lineRule="exact"/>
              <w:rPr>
                <w:sz w:val="20"/>
                <w:szCs w:val="20"/>
                <w:color w:val="auto"/>
              </w:rPr>
            </w:pPr>
            <w:r>
              <w:rPr>
                <w:rFonts w:ascii="Arial" w:cs="Arial" w:eastAsia="Arial" w:hAnsi="Arial"/>
                <w:sz w:val="16"/>
                <w:szCs w:val="16"/>
                <w:color w:val="231F20"/>
              </w:rPr>
              <w:t>29,718</w:t>
            </w:r>
          </w:p>
        </w:tc>
        <w:tc>
          <w:tcPr>
            <w:tcW w:w="1660" w:type="dxa"/>
            <w:vAlign w:val="bottom"/>
            <w:shd w:val="clear" w:color="auto" w:fill="F3EDF3"/>
          </w:tcPr>
          <w:p>
            <w:pPr>
              <w:spacing w:after="0"/>
              <w:rPr>
                <w:sz w:val="15"/>
                <w:szCs w:val="15"/>
                <w:color w:val="auto"/>
              </w:rPr>
            </w:pPr>
          </w:p>
        </w:tc>
        <w:tc>
          <w:tcPr>
            <w:tcW w:w="900" w:type="dxa"/>
            <w:vAlign w:val="bottom"/>
            <w:shd w:val="clear" w:color="auto" w:fill="F3EDF3"/>
          </w:tcPr>
          <w:p>
            <w:pPr>
              <w:jc w:val="right"/>
              <w:ind w:right="79"/>
              <w:spacing w:after="0" w:line="183" w:lineRule="exact"/>
              <w:rPr>
                <w:sz w:val="20"/>
                <w:szCs w:val="20"/>
                <w:color w:val="auto"/>
              </w:rPr>
            </w:pPr>
            <w:r>
              <w:rPr>
                <w:rFonts w:ascii="Arial" w:cs="Arial" w:eastAsia="Arial" w:hAnsi="Arial"/>
                <w:sz w:val="16"/>
                <w:szCs w:val="16"/>
                <w:color w:val="231F20"/>
              </w:rPr>
              <w:t>69.39</w:t>
            </w:r>
          </w:p>
        </w:tc>
        <w:tc>
          <w:tcPr>
            <w:tcW w:w="980" w:type="dxa"/>
            <w:vAlign w:val="bottom"/>
            <w:shd w:val="clear" w:color="auto" w:fill="F3EDF3"/>
          </w:tcPr>
          <w:p>
            <w:pPr>
              <w:jc w:val="right"/>
              <w:spacing w:after="0" w:line="183" w:lineRule="exact"/>
              <w:rPr>
                <w:sz w:val="20"/>
                <w:szCs w:val="20"/>
                <w:color w:val="auto"/>
              </w:rPr>
            </w:pPr>
            <w:r>
              <w:rPr>
                <w:rFonts w:ascii="Arial" w:cs="Arial" w:eastAsia="Arial" w:hAnsi="Arial"/>
                <w:sz w:val="16"/>
                <w:szCs w:val="16"/>
                <w:color w:val="231F20"/>
              </w:rPr>
              <w:t>10-19-2019</w:t>
            </w:r>
          </w:p>
        </w:tc>
        <w:tc>
          <w:tcPr>
            <w:tcW w:w="220" w:type="dxa"/>
            <w:vAlign w:val="bottom"/>
            <w:shd w:val="clear" w:color="auto" w:fill="F3EDF3"/>
          </w:tcPr>
          <w:p>
            <w:pPr>
              <w:spacing w:after="0"/>
              <w:rPr>
                <w:sz w:val="15"/>
                <w:szCs w:val="15"/>
                <w:color w:val="auto"/>
              </w:rPr>
            </w:pPr>
          </w:p>
        </w:tc>
        <w:tc>
          <w:tcPr>
            <w:tcW w:w="1580" w:type="dxa"/>
            <w:vAlign w:val="bottom"/>
            <w:shd w:val="clear" w:color="auto" w:fill="F3EDF3"/>
          </w:tcPr>
          <w:p>
            <w:pPr>
              <w:spacing w:after="0"/>
              <w:rPr>
                <w:sz w:val="15"/>
                <w:szCs w:val="15"/>
                <w:color w:val="auto"/>
              </w:rPr>
            </w:pPr>
          </w:p>
        </w:tc>
        <w:tc>
          <w:tcPr>
            <w:tcW w:w="1360" w:type="dxa"/>
            <w:vAlign w:val="bottom"/>
            <w:shd w:val="clear" w:color="auto" w:fill="F3EDF3"/>
          </w:tcPr>
          <w:p>
            <w:pPr>
              <w:spacing w:after="0"/>
              <w:rPr>
                <w:sz w:val="15"/>
                <w:szCs w:val="15"/>
                <w:color w:val="auto"/>
              </w:rPr>
            </w:pPr>
          </w:p>
        </w:tc>
      </w:tr>
      <w:tr>
        <w:trPr>
          <w:trHeight w:val="189"/>
        </w:trPr>
        <w:tc>
          <w:tcPr>
            <w:tcW w:w="3200" w:type="dxa"/>
            <w:vAlign w:val="bottom"/>
          </w:tcPr>
          <w:p>
            <w:pPr>
              <w:spacing w:after="0"/>
              <w:rPr>
                <w:sz w:val="16"/>
                <w:szCs w:val="16"/>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231F20"/>
              </w:rPr>
              <w:t>29,717</w:t>
            </w:r>
          </w:p>
        </w:tc>
        <w:tc>
          <w:tcPr>
            <w:tcW w:w="166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231F20"/>
              </w:rPr>
              <w:t>69.39</w:t>
            </w:r>
          </w:p>
        </w:tc>
        <w:tc>
          <w:tcPr>
            <w:tcW w:w="980" w:type="dxa"/>
            <w:vAlign w:val="bottom"/>
          </w:tcPr>
          <w:p>
            <w:pPr>
              <w:jc w:val="right"/>
              <w:spacing w:after="0"/>
              <w:rPr>
                <w:sz w:val="20"/>
                <w:szCs w:val="20"/>
                <w:color w:val="auto"/>
              </w:rPr>
            </w:pPr>
            <w:r>
              <w:rPr>
                <w:rFonts w:ascii="Arial" w:cs="Arial" w:eastAsia="Arial" w:hAnsi="Arial"/>
                <w:sz w:val="16"/>
                <w:szCs w:val="16"/>
                <w:color w:val="231F20"/>
              </w:rPr>
              <w:t>10-19-2020</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3200" w:type="dxa"/>
            <w:vAlign w:val="bottom"/>
            <w:tcBorders>
              <w:bottom w:val="single" w:sz="8" w:color="6F2875"/>
            </w:tcBorders>
          </w:tcPr>
          <w:p>
            <w:pPr>
              <w:spacing w:after="0"/>
              <w:rPr>
                <w:sz w:val="16"/>
                <w:szCs w:val="16"/>
                <w:color w:val="auto"/>
              </w:rPr>
            </w:pPr>
          </w:p>
        </w:tc>
        <w:tc>
          <w:tcPr>
            <w:tcW w:w="1520" w:type="dxa"/>
            <w:vAlign w:val="bottom"/>
            <w:tcBorders>
              <w:bottom w:val="single" w:sz="8" w:color="6F2875"/>
            </w:tcBorders>
            <w:shd w:val="clear" w:color="auto" w:fill="F3EDF3"/>
          </w:tcPr>
          <w:p>
            <w:pPr>
              <w:spacing w:after="0"/>
              <w:rPr>
                <w:sz w:val="16"/>
                <w:szCs w:val="16"/>
                <w:color w:val="auto"/>
              </w:rPr>
            </w:pPr>
          </w:p>
        </w:tc>
        <w:tc>
          <w:tcPr>
            <w:tcW w:w="1660" w:type="dxa"/>
            <w:vAlign w:val="bottom"/>
            <w:tcBorders>
              <w:bottom w:val="single" w:sz="8" w:color="6F2875"/>
            </w:tcBorders>
            <w:shd w:val="clear" w:color="auto" w:fill="F3EDF3"/>
          </w:tcPr>
          <w:p>
            <w:pPr>
              <w:spacing w:after="0"/>
              <w:rPr>
                <w:sz w:val="16"/>
                <w:szCs w:val="16"/>
                <w:color w:val="auto"/>
              </w:rPr>
            </w:pPr>
          </w:p>
        </w:tc>
        <w:tc>
          <w:tcPr>
            <w:tcW w:w="900" w:type="dxa"/>
            <w:vAlign w:val="bottom"/>
            <w:tcBorders>
              <w:bottom w:val="single" w:sz="8" w:color="6F2875"/>
            </w:tcBorders>
            <w:shd w:val="clear" w:color="auto" w:fill="F3EDF3"/>
          </w:tcPr>
          <w:p>
            <w:pPr>
              <w:spacing w:after="0"/>
              <w:rPr>
                <w:sz w:val="16"/>
                <w:szCs w:val="16"/>
                <w:color w:val="auto"/>
              </w:rPr>
            </w:pPr>
          </w:p>
        </w:tc>
        <w:tc>
          <w:tcPr>
            <w:tcW w:w="980" w:type="dxa"/>
            <w:vAlign w:val="bottom"/>
            <w:tcBorders>
              <w:bottom w:val="single" w:sz="8" w:color="6F2875"/>
            </w:tcBorders>
            <w:shd w:val="clear" w:color="auto" w:fill="F3EDF3"/>
          </w:tcPr>
          <w:p>
            <w:pPr>
              <w:spacing w:after="0"/>
              <w:rPr>
                <w:sz w:val="16"/>
                <w:szCs w:val="16"/>
                <w:color w:val="auto"/>
              </w:rPr>
            </w:pPr>
          </w:p>
        </w:tc>
        <w:tc>
          <w:tcPr>
            <w:tcW w:w="220" w:type="dxa"/>
            <w:vAlign w:val="bottom"/>
            <w:tcBorders>
              <w:bottom w:val="single" w:sz="8" w:color="6F2875"/>
            </w:tcBorders>
            <w:shd w:val="clear" w:color="auto" w:fill="F3EDF3"/>
          </w:tcPr>
          <w:p>
            <w:pPr>
              <w:spacing w:after="0"/>
              <w:rPr>
                <w:sz w:val="16"/>
                <w:szCs w:val="16"/>
                <w:color w:val="auto"/>
              </w:rPr>
            </w:pPr>
          </w:p>
        </w:tc>
        <w:tc>
          <w:tcPr>
            <w:tcW w:w="1580" w:type="dxa"/>
            <w:vAlign w:val="bottom"/>
            <w:tcBorders>
              <w:bottom w:val="single" w:sz="8" w:color="6F2875"/>
            </w:tcBorders>
            <w:shd w:val="clear" w:color="auto" w:fill="F3EDF3"/>
          </w:tcPr>
          <w:p>
            <w:pPr>
              <w:jc w:val="right"/>
              <w:ind w:right="139"/>
              <w:spacing w:after="0"/>
              <w:rPr>
                <w:sz w:val="20"/>
                <w:szCs w:val="20"/>
                <w:color w:val="auto"/>
              </w:rPr>
            </w:pPr>
            <w:r>
              <w:rPr>
                <w:rFonts w:ascii="Arial" w:cs="Arial" w:eastAsia="Arial" w:hAnsi="Arial"/>
                <w:sz w:val="16"/>
                <w:szCs w:val="16"/>
                <w:color w:val="231F20"/>
              </w:rPr>
              <w:t>20,832</w:t>
            </w:r>
          </w:p>
        </w:tc>
        <w:tc>
          <w:tcPr>
            <w:tcW w:w="1360" w:type="dxa"/>
            <w:vAlign w:val="bottom"/>
            <w:tcBorders>
              <w:bottom w:val="single" w:sz="8" w:color="6F2875"/>
            </w:tcBorders>
            <w:shd w:val="clear" w:color="auto" w:fill="F3EDF3"/>
          </w:tcPr>
          <w:p>
            <w:pPr>
              <w:jc w:val="right"/>
              <w:spacing w:after="0"/>
              <w:rPr>
                <w:sz w:val="20"/>
                <w:szCs w:val="20"/>
                <w:color w:val="auto"/>
              </w:rPr>
            </w:pPr>
            <w:r>
              <w:rPr>
                <w:rFonts w:ascii="Arial" w:cs="Arial" w:eastAsia="Arial" w:hAnsi="Arial"/>
                <w:sz w:val="16"/>
                <w:szCs w:val="16"/>
                <w:color w:val="231F20"/>
              </w:rPr>
              <w:t>1,664,893</w:t>
            </w:r>
          </w:p>
        </w:tc>
      </w:tr>
    </w:tbl>
    <w:p>
      <w:pPr>
        <w:spacing w:after="0" w:line="45" w:lineRule="exact"/>
        <w:rPr>
          <w:sz w:val="20"/>
          <w:szCs w:val="20"/>
          <w:color w:val="auto"/>
        </w:rPr>
      </w:pPr>
    </w:p>
    <w:p>
      <w:pPr>
        <w:ind w:left="340" w:hanging="332"/>
        <w:spacing w:after="0" w:line="279" w:lineRule="auto"/>
        <w:tabs>
          <w:tab w:leader="none" w:pos="340" w:val="left"/>
        </w:tabs>
        <w:numPr>
          <w:ilvl w:val="0"/>
          <w:numId w:val="34"/>
        </w:numPr>
        <w:rPr>
          <w:rFonts w:ascii="Arial" w:cs="Arial" w:eastAsia="Arial" w:hAnsi="Arial"/>
          <w:sz w:val="14"/>
          <w:szCs w:val="14"/>
          <w:i w:val="1"/>
          <w:iCs w:val="1"/>
          <w:color w:val="231F20"/>
        </w:rPr>
      </w:pPr>
      <w:r>
        <w:rPr>
          <w:rFonts w:ascii="Arial" w:cs="Arial" w:eastAsia="Arial" w:hAnsi="Arial"/>
          <w:sz w:val="14"/>
          <w:szCs w:val="14"/>
          <w:i w:val="1"/>
          <w:iCs w:val="1"/>
          <w:color w:val="231F20"/>
        </w:rPr>
        <w:t>Amounts reflect the market value of the outstanding restricted stock units. Amounts calculated using the closing price of our Ordinary Shares on December 29, 2017, or $79.92, multiplied by the number of units that have not yet vested.</w:t>
      </w:r>
    </w:p>
    <w:p>
      <w:pPr>
        <w:spacing w:after="0" w:line="144" w:lineRule="exact"/>
        <w:rPr>
          <w:sz w:val="20"/>
          <w:szCs w:val="20"/>
          <w:color w:val="auto"/>
        </w:rPr>
      </w:pPr>
    </w:p>
    <w:p>
      <w:pPr>
        <w:spacing w:after="0"/>
        <w:tabs>
          <w:tab w:leader="none" w:pos="4220" w:val="left"/>
          <w:tab w:leader="none" w:pos="9960" w:val="left"/>
        </w:tabs>
        <w:rPr>
          <w:sz w:val="20"/>
          <w:szCs w:val="20"/>
          <w:color w:val="auto"/>
        </w:rPr>
      </w:pPr>
      <w:r>
        <w:rPr>
          <w:rFonts w:ascii="Arial" w:cs="Arial" w:eastAsia="Arial" w:hAnsi="Arial"/>
          <w:sz w:val="16"/>
          <w:szCs w:val="16"/>
          <w:b w:val="1"/>
          <w:bCs w:val="1"/>
          <w:color w:val="auto"/>
        </w:rPr>
        <w:t>38</w:t>
      </w:r>
      <w:r>
        <w:rPr>
          <w:sz w:val="20"/>
          <w:szCs w:val="20"/>
          <w:color w:val="auto"/>
        </w:rPr>
        <w:tab/>
      </w: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r>
        <w:rPr>
          <w:sz w:val="20"/>
          <w:szCs w:val="20"/>
          <w:color w:val="auto"/>
        </w:rPr>
        <w:tab/>
      </w:r>
      <w:r>
        <w:rPr>
          <w:rFonts w:ascii="Arial" w:cs="Arial" w:eastAsia="Arial" w:hAnsi="Arial"/>
          <w:sz w:val="16"/>
          <w:szCs w:val="16"/>
          <w:b w:val="1"/>
          <w:bCs w:val="1"/>
          <w:color w:val="6F2875"/>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-36195</wp:posOffset>
            </wp:positionV>
            <wp:extent cx="1663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-36195</wp:posOffset>
            </wp:positionV>
            <wp:extent cx="23241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2017 Option Exercises and Stock Vested</w:t>
      </w:r>
    </w:p>
    <w:p>
      <w:pPr>
        <w:spacing w:after="0" w:line="231"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The following table presents information regarding the vesting in 2017 of restricted stock units held by our NEOs. Mr. Sheridan had SARs automatically exercised at the expiration date on September 30,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3120" w:type="dxa"/>
            <w:vAlign w:val="bottom"/>
            <w:tcBorders>
              <w:bottom w:val="single" w:sz="8" w:color="6F2875"/>
            </w:tcBorders>
          </w:tcPr>
          <w:p>
            <w:pPr>
              <w:jc w:val="right"/>
              <w:ind w:right="199"/>
              <w:spacing w:after="0"/>
              <w:rPr>
                <w:sz w:val="20"/>
                <w:szCs w:val="20"/>
                <w:color w:val="auto"/>
              </w:rPr>
            </w:pPr>
            <w:r>
              <w:rPr>
                <w:rFonts w:ascii="Arial" w:cs="Arial" w:eastAsia="Arial" w:hAnsi="Arial"/>
                <w:sz w:val="16"/>
                <w:szCs w:val="16"/>
                <w:b w:val="1"/>
                <w:bCs w:val="1"/>
                <w:color w:val="6F2875"/>
              </w:rPr>
              <w:t>Stock Awards</w:t>
            </w:r>
          </w:p>
        </w:tc>
        <w:tc>
          <w:tcPr>
            <w:tcW w:w="1480" w:type="dxa"/>
            <w:vAlign w:val="bottom"/>
            <w:tcBorders>
              <w:bottom w:val="single" w:sz="8" w:color="6F2875"/>
            </w:tcBorders>
          </w:tcPr>
          <w:p>
            <w:pPr>
              <w:spacing w:after="0"/>
              <w:rPr>
                <w:sz w:val="18"/>
                <w:szCs w:val="18"/>
                <w:color w:val="auto"/>
              </w:rPr>
            </w:pPr>
          </w:p>
        </w:tc>
      </w:tr>
      <w:tr>
        <w:trPr>
          <w:trHeight w:val="164"/>
        </w:trPr>
        <w:tc>
          <w:tcPr>
            <w:tcW w:w="6820" w:type="dxa"/>
            <w:vAlign w:val="bottom"/>
          </w:tcPr>
          <w:p>
            <w:pPr>
              <w:spacing w:after="0"/>
              <w:rPr>
                <w:sz w:val="14"/>
                <w:szCs w:val="14"/>
                <w:color w:val="auto"/>
              </w:rPr>
            </w:pPr>
          </w:p>
        </w:tc>
        <w:tc>
          <w:tcPr>
            <w:tcW w:w="3120" w:type="dxa"/>
            <w:vAlign w:val="bottom"/>
          </w:tcPr>
          <w:p>
            <w:pPr>
              <w:jc w:val="right"/>
              <w:ind w:right="499"/>
              <w:spacing w:after="0" w:line="165" w:lineRule="exact"/>
              <w:rPr>
                <w:sz w:val="20"/>
                <w:szCs w:val="20"/>
                <w:color w:val="auto"/>
              </w:rPr>
            </w:pPr>
            <w:r>
              <w:rPr>
                <w:rFonts w:ascii="Arial" w:cs="Arial" w:eastAsia="Arial" w:hAnsi="Arial"/>
                <w:sz w:val="16"/>
                <w:szCs w:val="16"/>
                <w:b w:val="1"/>
                <w:bCs w:val="1"/>
                <w:color w:val="6F2875"/>
              </w:rPr>
              <w:t>Number of LivaNova Shares</w:t>
            </w:r>
          </w:p>
        </w:tc>
        <w:tc>
          <w:tcPr>
            <w:tcW w:w="1480" w:type="dxa"/>
            <w:vAlign w:val="bottom"/>
          </w:tcPr>
          <w:p>
            <w:pPr>
              <w:jc w:val="right"/>
              <w:spacing w:after="0" w:line="165" w:lineRule="exact"/>
              <w:rPr>
                <w:sz w:val="20"/>
                <w:szCs w:val="20"/>
                <w:color w:val="auto"/>
              </w:rPr>
            </w:pPr>
            <w:r>
              <w:rPr>
                <w:rFonts w:ascii="Arial" w:cs="Arial" w:eastAsia="Arial" w:hAnsi="Arial"/>
                <w:sz w:val="16"/>
                <w:szCs w:val="16"/>
                <w:b w:val="1"/>
                <w:bCs w:val="1"/>
                <w:color w:val="6F2875"/>
              </w:rPr>
              <w:t>Value Realized</w:t>
            </w:r>
          </w:p>
        </w:tc>
      </w:tr>
      <w:tr>
        <w:trPr>
          <w:trHeight w:val="189"/>
        </w:trPr>
        <w:tc>
          <w:tcPr>
            <w:tcW w:w="6820" w:type="dxa"/>
            <w:vAlign w:val="bottom"/>
          </w:tcPr>
          <w:p>
            <w:pPr>
              <w:spacing w:after="0"/>
              <w:rPr>
                <w:sz w:val="16"/>
                <w:szCs w:val="16"/>
                <w:color w:val="auto"/>
              </w:rPr>
            </w:pPr>
          </w:p>
        </w:tc>
        <w:tc>
          <w:tcPr>
            <w:tcW w:w="3120" w:type="dxa"/>
            <w:vAlign w:val="bottom"/>
          </w:tcPr>
          <w:p>
            <w:pPr>
              <w:jc w:val="right"/>
              <w:ind w:right="499"/>
              <w:spacing w:after="0"/>
              <w:rPr>
                <w:sz w:val="20"/>
                <w:szCs w:val="20"/>
                <w:color w:val="auto"/>
              </w:rPr>
            </w:pPr>
            <w:r>
              <w:rPr>
                <w:rFonts w:ascii="Arial" w:cs="Arial" w:eastAsia="Arial" w:hAnsi="Arial"/>
                <w:sz w:val="16"/>
                <w:szCs w:val="16"/>
                <w:b w:val="1"/>
                <w:bCs w:val="1"/>
                <w:color w:val="6F2875"/>
              </w:rPr>
              <w:t>Acquired on Vesting</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6F2875"/>
              </w:rPr>
              <w:t>on Vesting</w:t>
            </w:r>
          </w:p>
        </w:tc>
      </w:tr>
      <w:tr>
        <w:trPr>
          <w:trHeight w:val="207"/>
        </w:trPr>
        <w:tc>
          <w:tcPr>
            <w:tcW w:w="6820" w:type="dxa"/>
            <w:vAlign w:val="bottom"/>
            <w:tcBorders>
              <w:bottom w:val="single" w:sz="8" w:color="6F2875"/>
            </w:tcBorders>
          </w:tcPr>
          <w:p>
            <w:pPr>
              <w:ind w:left="60"/>
              <w:spacing w:after="0"/>
              <w:rPr>
                <w:sz w:val="20"/>
                <w:szCs w:val="20"/>
                <w:color w:val="auto"/>
              </w:rPr>
            </w:pPr>
            <w:r>
              <w:rPr>
                <w:rFonts w:ascii="Arial" w:cs="Arial" w:eastAsia="Arial" w:hAnsi="Arial"/>
                <w:sz w:val="16"/>
                <w:szCs w:val="16"/>
                <w:b w:val="1"/>
                <w:bCs w:val="1"/>
                <w:color w:val="6F2875"/>
              </w:rPr>
              <w:t>Name</w:t>
            </w:r>
          </w:p>
        </w:tc>
        <w:tc>
          <w:tcPr>
            <w:tcW w:w="3120" w:type="dxa"/>
            <w:vAlign w:val="bottom"/>
            <w:tcBorders>
              <w:bottom w:val="single" w:sz="8" w:color="6F2875"/>
            </w:tcBorders>
          </w:tcPr>
          <w:p>
            <w:pPr>
              <w:jc w:val="right"/>
              <w:ind w:right="499"/>
              <w:spacing w:after="0"/>
              <w:rPr>
                <w:sz w:val="20"/>
                <w:szCs w:val="20"/>
                <w:color w:val="auto"/>
              </w:rPr>
            </w:pPr>
            <w:r>
              <w:rPr>
                <w:rFonts w:ascii="Arial" w:cs="Arial" w:eastAsia="Arial" w:hAnsi="Arial"/>
                <w:sz w:val="16"/>
                <w:szCs w:val="16"/>
                <w:b w:val="1"/>
                <w:bCs w:val="1"/>
                <w:color w:val="6F2875"/>
              </w:rPr>
              <w:t>(#)</w:t>
            </w:r>
          </w:p>
        </w:tc>
        <w:tc>
          <w:tcPr>
            <w:tcW w:w="1480" w:type="dxa"/>
            <w:vAlign w:val="bottom"/>
            <w:tcBorders>
              <w:bottom w:val="single" w:sz="8" w:color="6F2875"/>
            </w:tcBorders>
          </w:tcPr>
          <w:p>
            <w:pPr>
              <w:jc w:val="right"/>
              <w:spacing w:after="0"/>
              <w:rPr>
                <w:sz w:val="20"/>
                <w:szCs w:val="20"/>
                <w:color w:val="auto"/>
              </w:rPr>
            </w:pPr>
            <w:r>
              <w:rPr>
                <w:rFonts w:ascii="Arial" w:cs="Arial" w:eastAsia="Arial" w:hAnsi="Arial"/>
                <w:sz w:val="16"/>
                <w:szCs w:val="16"/>
                <w:b w:val="1"/>
                <w:bCs w:val="1"/>
                <w:color w:val="6F2875"/>
              </w:rPr>
              <w:t>($)</w:t>
            </w:r>
          </w:p>
        </w:tc>
      </w:tr>
      <w:tr>
        <w:trPr>
          <w:trHeight w:val="196"/>
        </w:trPr>
        <w:tc>
          <w:tcPr>
            <w:tcW w:w="6820" w:type="dxa"/>
            <w:vAlign w:val="bottom"/>
          </w:tcPr>
          <w:p>
            <w:pPr>
              <w:ind w:left="60"/>
              <w:spacing w:after="0"/>
              <w:rPr>
                <w:sz w:val="20"/>
                <w:szCs w:val="20"/>
                <w:color w:val="auto"/>
              </w:rPr>
            </w:pPr>
            <w:r>
              <w:rPr>
                <w:rFonts w:ascii="Arial" w:cs="Arial" w:eastAsia="Arial" w:hAnsi="Arial"/>
                <w:sz w:val="16"/>
                <w:szCs w:val="16"/>
                <w:b w:val="1"/>
                <w:bCs w:val="1"/>
                <w:color w:val="231F20"/>
              </w:rPr>
              <w:t>Damien McDonald</w:t>
            </w:r>
          </w:p>
        </w:tc>
        <w:tc>
          <w:tcPr>
            <w:tcW w:w="3120" w:type="dxa"/>
            <w:vAlign w:val="bottom"/>
          </w:tcPr>
          <w:p>
            <w:pPr>
              <w:jc w:val="right"/>
              <w:ind w:right="499"/>
              <w:spacing w:after="0"/>
              <w:rPr>
                <w:sz w:val="20"/>
                <w:szCs w:val="20"/>
                <w:color w:val="auto"/>
              </w:rPr>
            </w:pPr>
            <w:r>
              <w:rPr>
                <w:rFonts w:ascii="Arial" w:cs="Arial" w:eastAsia="Arial" w:hAnsi="Arial"/>
                <w:sz w:val="16"/>
                <w:szCs w:val="16"/>
                <w:color w:val="231F20"/>
              </w:rPr>
              <w:t>16,745</w:t>
            </w:r>
          </w:p>
        </w:tc>
        <w:tc>
          <w:tcPr>
            <w:tcW w:w="1480" w:type="dxa"/>
            <w:vAlign w:val="bottom"/>
          </w:tcPr>
          <w:p>
            <w:pPr>
              <w:jc w:val="right"/>
              <w:spacing w:after="0"/>
              <w:rPr>
                <w:sz w:val="20"/>
                <w:szCs w:val="20"/>
                <w:color w:val="auto"/>
              </w:rPr>
            </w:pPr>
            <w:r>
              <w:rPr>
                <w:rFonts w:ascii="Arial" w:cs="Arial" w:eastAsia="Arial" w:hAnsi="Arial"/>
                <w:sz w:val="16"/>
                <w:szCs w:val="16"/>
                <w:color w:val="231F20"/>
              </w:rPr>
              <w:t>1,369,071</w:t>
            </w:r>
          </w:p>
        </w:tc>
      </w:tr>
      <w:tr>
        <w:trPr>
          <w:trHeight w:val="230"/>
        </w:trPr>
        <w:tc>
          <w:tcPr>
            <w:tcW w:w="6820" w:type="dxa"/>
            <w:vAlign w:val="bottom"/>
            <w:shd w:val="clear" w:color="auto" w:fill="F3EDF3"/>
          </w:tcPr>
          <w:p>
            <w:pPr>
              <w:ind w:left="60"/>
              <w:spacing w:after="0" w:line="230" w:lineRule="exact"/>
              <w:rPr>
                <w:sz w:val="20"/>
                <w:szCs w:val="20"/>
                <w:color w:val="auto"/>
              </w:rPr>
            </w:pPr>
            <w:r>
              <w:rPr>
                <w:rFonts w:ascii="Arial" w:cs="Arial" w:eastAsia="Arial" w:hAnsi="Arial"/>
                <w:sz w:val="16"/>
                <w:szCs w:val="16"/>
                <w:b w:val="1"/>
                <w:bCs w:val="1"/>
                <w:color w:val="231F20"/>
              </w:rPr>
              <w:t>Vivid Sehgal</w:t>
            </w:r>
            <w:r>
              <w:rPr>
                <w:rFonts w:ascii="Arial" w:cs="Arial" w:eastAsia="Arial" w:hAnsi="Arial"/>
                <w:sz w:val="26"/>
                <w:szCs w:val="26"/>
                <w:b w:val="1"/>
                <w:bCs w:val="1"/>
                <w:color w:val="231F20"/>
                <w:vertAlign w:val="superscript"/>
              </w:rPr>
              <w:t>(1)</w:t>
            </w:r>
          </w:p>
        </w:tc>
        <w:tc>
          <w:tcPr>
            <w:tcW w:w="3120" w:type="dxa"/>
            <w:vAlign w:val="bottom"/>
            <w:shd w:val="clear" w:color="auto" w:fill="F3EDF3"/>
          </w:tcPr>
          <w:p>
            <w:pPr>
              <w:jc w:val="right"/>
              <w:ind w:right="499"/>
              <w:spacing w:after="0"/>
              <w:rPr>
                <w:sz w:val="20"/>
                <w:szCs w:val="20"/>
                <w:color w:val="auto"/>
              </w:rPr>
            </w:pPr>
            <w:r>
              <w:rPr>
                <w:rFonts w:ascii="Arial" w:cs="Arial" w:eastAsia="Arial" w:hAnsi="Arial"/>
                <w:sz w:val="16"/>
                <w:szCs w:val="16"/>
                <w:color w:val="231F20"/>
              </w:rPr>
              <w:t>10,417</w:t>
            </w:r>
          </w:p>
        </w:tc>
        <w:tc>
          <w:tcPr>
            <w:tcW w:w="148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552,384</w:t>
            </w:r>
          </w:p>
        </w:tc>
      </w:tr>
      <w:tr>
        <w:trPr>
          <w:trHeight w:val="203"/>
        </w:trPr>
        <w:tc>
          <w:tcPr>
            <w:tcW w:w="6820" w:type="dxa"/>
            <w:vAlign w:val="bottom"/>
          </w:tcPr>
          <w:p>
            <w:pPr>
              <w:ind w:left="60"/>
              <w:spacing w:after="0"/>
              <w:rPr>
                <w:sz w:val="20"/>
                <w:szCs w:val="20"/>
                <w:color w:val="auto"/>
              </w:rPr>
            </w:pPr>
            <w:r>
              <w:rPr>
                <w:rFonts w:ascii="Arial" w:cs="Arial" w:eastAsia="Arial" w:hAnsi="Arial"/>
                <w:sz w:val="16"/>
                <w:szCs w:val="16"/>
                <w:b w:val="1"/>
                <w:bCs w:val="1"/>
                <w:color w:val="231F20"/>
              </w:rPr>
              <w:t>David Wise</w:t>
            </w:r>
          </w:p>
        </w:tc>
        <w:tc>
          <w:tcPr>
            <w:tcW w:w="3120" w:type="dxa"/>
            <w:vAlign w:val="bottom"/>
          </w:tcPr>
          <w:p>
            <w:pPr>
              <w:jc w:val="right"/>
              <w:ind w:right="499"/>
              <w:spacing w:after="0"/>
              <w:rPr>
                <w:sz w:val="20"/>
                <w:szCs w:val="20"/>
                <w:color w:val="auto"/>
              </w:rPr>
            </w:pPr>
            <w:r>
              <w:rPr>
                <w:rFonts w:ascii="Arial" w:cs="Arial" w:eastAsia="Arial" w:hAnsi="Arial"/>
                <w:sz w:val="16"/>
                <w:szCs w:val="16"/>
                <w:color w:val="231F20"/>
              </w:rPr>
              <w:t>5,209</w:t>
            </w:r>
          </w:p>
        </w:tc>
        <w:tc>
          <w:tcPr>
            <w:tcW w:w="1480" w:type="dxa"/>
            <w:vAlign w:val="bottom"/>
          </w:tcPr>
          <w:p>
            <w:pPr>
              <w:jc w:val="right"/>
              <w:spacing w:after="0"/>
              <w:rPr>
                <w:sz w:val="20"/>
                <w:szCs w:val="20"/>
                <w:color w:val="auto"/>
              </w:rPr>
            </w:pPr>
            <w:r>
              <w:rPr>
                <w:rFonts w:ascii="Arial" w:cs="Arial" w:eastAsia="Arial" w:hAnsi="Arial"/>
                <w:sz w:val="16"/>
                <w:szCs w:val="16"/>
                <w:color w:val="231F20"/>
              </w:rPr>
              <w:t>256,361</w:t>
            </w:r>
          </w:p>
        </w:tc>
      </w:tr>
      <w:tr>
        <w:trPr>
          <w:trHeight w:val="203"/>
        </w:trPr>
        <w:tc>
          <w:tcPr>
            <w:tcW w:w="6820" w:type="dxa"/>
            <w:vAlign w:val="bottom"/>
            <w:shd w:val="clear" w:color="auto" w:fill="F3EDF3"/>
          </w:tcPr>
          <w:p>
            <w:pPr>
              <w:ind w:left="60"/>
              <w:spacing w:after="0"/>
              <w:rPr>
                <w:sz w:val="20"/>
                <w:szCs w:val="20"/>
                <w:color w:val="auto"/>
              </w:rPr>
            </w:pPr>
            <w:r>
              <w:rPr>
                <w:rFonts w:ascii="Arial" w:cs="Arial" w:eastAsia="Arial" w:hAnsi="Arial"/>
                <w:sz w:val="16"/>
                <w:szCs w:val="16"/>
                <w:b w:val="1"/>
                <w:bCs w:val="1"/>
                <w:color w:val="231F20"/>
              </w:rPr>
              <w:t>Douglas Manko</w:t>
            </w:r>
          </w:p>
        </w:tc>
        <w:tc>
          <w:tcPr>
            <w:tcW w:w="3120" w:type="dxa"/>
            <w:vAlign w:val="bottom"/>
            <w:shd w:val="clear" w:color="auto" w:fill="F3EDF3"/>
          </w:tcPr>
          <w:p>
            <w:pPr>
              <w:jc w:val="right"/>
              <w:ind w:right="499"/>
              <w:spacing w:after="0"/>
              <w:rPr>
                <w:sz w:val="20"/>
                <w:szCs w:val="20"/>
                <w:color w:val="auto"/>
              </w:rPr>
            </w:pPr>
            <w:r>
              <w:rPr>
                <w:rFonts w:ascii="Arial" w:cs="Arial" w:eastAsia="Arial" w:hAnsi="Arial"/>
                <w:sz w:val="16"/>
                <w:szCs w:val="16"/>
                <w:color w:val="231F20"/>
              </w:rPr>
              <w:t>605</w:t>
            </w:r>
          </w:p>
        </w:tc>
        <w:tc>
          <w:tcPr>
            <w:tcW w:w="148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36,548</w:t>
            </w:r>
          </w:p>
        </w:tc>
      </w:tr>
      <w:tr>
        <w:trPr>
          <w:trHeight w:val="230"/>
        </w:trPr>
        <w:tc>
          <w:tcPr>
            <w:tcW w:w="6820" w:type="dxa"/>
            <w:vAlign w:val="bottom"/>
            <w:tcBorders>
              <w:bottom w:val="single" w:sz="8" w:color="6F2875"/>
            </w:tcBorders>
          </w:tcPr>
          <w:p>
            <w:pPr>
              <w:ind w:left="60"/>
              <w:spacing w:after="0" w:line="230" w:lineRule="exact"/>
              <w:rPr>
                <w:sz w:val="20"/>
                <w:szCs w:val="20"/>
                <w:color w:val="auto"/>
              </w:rPr>
            </w:pPr>
            <w:r>
              <w:rPr>
                <w:rFonts w:ascii="Arial" w:cs="Arial" w:eastAsia="Arial" w:hAnsi="Arial"/>
                <w:sz w:val="16"/>
                <w:szCs w:val="16"/>
                <w:b w:val="1"/>
                <w:bCs w:val="1"/>
                <w:color w:val="231F20"/>
              </w:rPr>
              <w:t>Brian Sheridan</w:t>
            </w:r>
            <w:r>
              <w:rPr>
                <w:rFonts w:ascii="Arial" w:cs="Arial" w:eastAsia="Arial" w:hAnsi="Arial"/>
                <w:sz w:val="26"/>
                <w:szCs w:val="26"/>
                <w:b w:val="1"/>
                <w:bCs w:val="1"/>
                <w:color w:val="231F20"/>
                <w:vertAlign w:val="superscript"/>
              </w:rPr>
              <w:t>(2)</w:t>
            </w:r>
          </w:p>
        </w:tc>
        <w:tc>
          <w:tcPr>
            <w:tcW w:w="3120" w:type="dxa"/>
            <w:vAlign w:val="bottom"/>
            <w:tcBorders>
              <w:bottom w:val="single" w:sz="8" w:color="6F2875"/>
            </w:tcBorders>
          </w:tcPr>
          <w:p>
            <w:pPr>
              <w:jc w:val="right"/>
              <w:ind w:right="499"/>
              <w:spacing w:after="0"/>
              <w:rPr>
                <w:sz w:val="20"/>
                <w:szCs w:val="20"/>
                <w:color w:val="auto"/>
              </w:rPr>
            </w:pPr>
            <w:r>
              <w:rPr>
                <w:rFonts w:ascii="Arial" w:cs="Arial" w:eastAsia="Arial" w:hAnsi="Arial"/>
                <w:sz w:val="16"/>
                <w:szCs w:val="16"/>
                <w:color w:val="231F20"/>
              </w:rPr>
              <w:t>13,540</w:t>
            </w:r>
          </w:p>
        </w:tc>
        <w:tc>
          <w:tcPr>
            <w:tcW w:w="1480" w:type="dxa"/>
            <w:vAlign w:val="bottom"/>
            <w:tcBorders>
              <w:bottom w:val="single" w:sz="8" w:color="6F2875"/>
            </w:tcBorders>
          </w:tcPr>
          <w:p>
            <w:pPr>
              <w:jc w:val="right"/>
              <w:spacing w:after="0"/>
              <w:rPr>
                <w:sz w:val="20"/>
                <w:szCs w:val="20"/>
                <w:color w:val="auto"/>
              </w:rPr>
            </w:pPr>
            <w:r>
              <w:rPr>
                <w:rFonts w:ascii="Arial" w:cs="Arial" w:eastAsia="Arial" w:hAnsi="Arial"/>
                <w:sz w:val="16"/>
                <w:szCs w:val="16"/>
                <w:color w:val="231F20"/>
              </w:rPr>
              <w:t>476,829</w:t>
            </w:r>
          </w:p>
        </w:tc>
      </w:tr>
    </w:tbl>
    <w:p>
      <w:pPr>
        <w:spacing w:after="0" w:line="4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4"/>
          <w:szCs w:val="14"/>
          <w:i w:val="1"/>
          <w:iCs w:val="1"/>
          <w:color w:val="231F20"/>
        </w:rPr>
      </w:pPr>
      <w:r>
        <w:rPr>
          <w:rFonts w:ascii="Arial" w:cs="Arial" w:eastAsia="Arial" w:hAnsi="Arial"/>
          <w:sz w:val="14"/>
          <w:szCs w:val="14"/>
          <w:i w:val="1"/>
          <w:iCs w:val="1"/>
          <w:color w:val="231F20"/>
        </w:rPr>
        <w:t>5,209 RSUs vested on March 11, 2017, 5, 208 RSUs accelerated on May 31, 2017 pursuant to the settlement agreement between LivaNova and Mr. Sehgal.</w:t>
      </w:r>
    </w:p>
    <w:p>
      <w:pPr>
        <w:spacing w:after="0" w:line="55" w:lineRule="exact"/>
        <w:rPr>
          <w:rFonts w:ascii="Arial" w:cs="Arial" w:eastAsia="Arial" w:hAnsi="Arial"/>
          <w:sz w:val="14"/>
          <w:szCs w:val="14"/>
          <w:i w:val="1"/>
          <w:iCs w:val="1"/>
          <w:color w:val="231F20"/>
        </w:rPr>
      </w:pPr>
    </w:p>
    <w:p>
      <w:pPr>
        <w:ind w:left="340" w:right="20" w:hanging="332"/>
        <w:spacing w:after="0" w:line="279" w:lineRule="auto"/>
        <w:tabs>
          <w:tab w:leader="none" w:pos="340" w:val="left"/>
        </w:tabs>
        <w:numPr>
          <w:ilvl w:val="0"/>
          <w:numId w:val="35"/>
        </w:numPr>
        <w:rPr>
          <w:rFonts w:ascii="Arial" w:cs="Arial" w:eastAsia="Arial" w:hAnsi="Arial"/>
          <w:sz w:val="14"/>
          <w:szCs w:val="14"/>
          <w:i w:val="1"/>
          <w:iCs w:val="1"/>
          <w:color w:val="231F20"/>
        </w:rPr>
      </w:pPr>
      <w:r>
        <w:rPr>
          <w:rFonts w:ascii="Arial" w:cs="Arial" w:eastAsia="Arial" w:hAnsi="Arial"/>
          <w:sz w:val="14"/>
          <w:szCs w:val="14"/>
          <w:i w:val="1"/>
          <w:iCs w:val="1"/>
          <w:color w:val="231F20"/>
        </w:rPr>
        <w:t>2,069 legacy Sorin RSUs vested on February 27, 2017, 5,209 RSU’s vested on March 11, 2017 from the LivaNova 2015 Incentive Award Plan, 6,262 SARs exercised on September 30, 2017.</w:t>
      </w: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2017 Pension Benefits</w:t>
      </w: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b w:val="1"/>
          <w:bCs w:val="1"/>
          <w:color w:val="FC5D45"/>
        </w:rPr>
        <w:t>Defined Benefit Pension Plans</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Only Mr. Sheridan was participant in state-sponsored defined benefit pension plans in 2017. We accrued liabilities to the Italian “Trattamento di Fine Rapporto - TFR” and, as required by local country rules and regulations, we paid out the balance following the termination of the employment.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20" w:type="dxa"/>
            <w:vAlign w:val="bottom"/>
          </w:tcPr>
          <w:p>
            <w:pPr>
              <w:jc w:val="right"/>
              <w:ind w:right="359"/>
              <w:spacing w:after="0"/>
              <w:rPr>
                <w:sz w:val="20"/>
                <w:szCs w:val="20"/>
                <w:color w:val="auto"/>
              </w:rPr>
            </w:pPr>
            <w:r>
              <w:rPr>
                <w:rFonts w:ascii="Arial" w:cs="Arial" w:eastAsia="Arial" w:hAnsi="Arial"/>
                <w:sz w:val="16"/>
                <w:szCs w:val="16"/>
                <w:b w:val="1"/>
                <w:bCs w:val="1"/>
                <w:color w:val="6F2875"/>
              </w:rPr>
              <w:t>Number of</w:t>
            </w:r>
          </w:p>
        </w:tc>
        <w:tc>
          <w:tcPr>
            <w:tcW w:w="25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6F2875"/>
              </w:rPr>
              <w:t>Payments</w:t>
            </w:r>
          </w:p>
        </w:tc>
      </w:tr>
      <w:tr>
        <w:trPr>
          <w:trHeight w:val="189"/>
        </w:trPr>
        <w:tc>
          <w:tcPr>
            <w:tcW w:w="15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120" w:type="dxa"/>
            <w:vAlign w:val="bottom"/>
          </w:tcPr>
          <w:p>
            <w:pPr>
              <w:jc w:val="right"/>
              <w:ind w:right="359"/>
              <w:spacing w:after="0"/>
              <w:rPr>
                <w:sz w:val="20"/>
                <w:szCs w:val="20"/>
                <w:color w:val="auto"/>
              </w:rPr>
            </w:pPr>
            <w:r>
              <w:rPr>
                <w:rFonts w:ascii="Arial" w:cs="Arial" w:eastAsia="Arial" w:hAnsi="Arial"/>
                <w:sz w:val="16"/>
                <w:szCs w:val="16"/>
                <w:b w:val="1"/>
                <w:bCs w:val="1"/>
                <w:color w:val="6F2875"/>
              </w:rPr>
              <w:t>Years Credited</w:t>
            </w:r>
          </w:p>
        </w:tc>
        <w:tc>
          <w:tcPr>
            <w:tcW w:w="2540" w:type="dxa"/>
            <w:vAlign w:val="bottom"/>
          </w:tcPr>
          <w:p>
            <w:pPr>
              <w:jc w:val="right"/>
              <w:ind w:right="400"/>
              <w:spacing w:after="0"/>
              <w:rPr>
                <w:sz w:val="20"/>
                <w:szCs w:val="20"/>
                <w:color w:val="auto"/>
              </w:rPr>
            </w:pPr>
            <w:r>
              <w:rPr>
                <w:rFonts w:ascii="Arial" w:cs="Arial" w:eastAsia="Arial" w:hAnsi="Arial"/>
                <w:sz w:val="16"/>
                <w:szCs w:val="16"/>
                <w:b w:val="1"/>
                <w:bCs w:val="1"/>
                <w:color w:val="6F2875"/>
              </w:rPr>
              <w:t>Present Value of</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6F2875"/>
              </w:rPr>
              <w:t>During Last</w:t>
            </w:r>
          </w:p>
        </w:tc>
      </w:tr>
      <w:tr>
        <w:trPr>
          <w:trHeight w:val="189"/>
        </w:trPr>
        <w:tc>
          <w:tcPr>
            <w:tcW w:w="15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120" w:type="dxa"/>
            <w:vAlign w:val="bottom"/>
          </w:tcPr>
          <w:p>
            <w:pPr>
              <w:jc w:val="right"/>
              <w:ind w:right="359"/>
              <w:spacing w:after="0"/>
              <w:rPr>
                <w:sz w:val="20"/>
                <w:szCs w:val="20"/>
                <w:color w:val="auto"/>
              </w:rPr>
            </w:pPr>
            <w:r>
              <w:rPr>
                <w:rFonts w:ascii="Arial" w:cs="Arial" w:eastAsia="Arial" w:hAnsi="Arial"/>
                <w:sz w:val="16"/>
                <w:szCs w:val="16"/>
                <w:b w:val="1"/>
                <w:bCs w:val="1"/>
                <w:color w:val="6F2875"/>
              </w:rPr>
              <w:t>Service</w:t>
            </w:r>
          </w:p>
        </w:tc>
        <w:tc>
          <w:tcPr>
            <w:tcW w:w="2540" w:type="dxa"/>
            <w:vAlign w:val="bottom"/>
          </w:tcPr>
          <w:p>
            <w:pPr>
              <w:jc w:val="right"/>
              <w:ind w:right="400"/>
              <w:spacing w:after="0"/>
              <w:rPr>
                <w:sz w:val="20"/>
                <w:szCs w:val="20"/>
                <w:color w:val="auto"/>
              </w:rPr>
            </w:pPr>
            <w:r>
              <w:rPr>
                <w:rFonts w:ascii="Arial" w:cs="Arial" w:eastAsia="Arial" w:hAnsi="Arial"/>
                <w:sz w:val="16"/>
                <w:szCs w:val="16"/>
                <w:b w:val="1"/>
                <w:bCs w:val="1"/>
                <w:color w:val="6F2875"/>
              </w:rPr>
              <w:t>Accumulated Benefit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6F2875"/>
              </w:rPr>
              <w:t>Fiscal Year</w:t>
            </w:r>
          </w:p>
        </w:tc>
      </w:tr>
      <w:tr>
        <w:trPr>
          <w:trHeight w:val="230"/>
        </w:trPr>
        <w:tc>
          <w:tcPr>
            <w:tcW w:w="1580" w:type="dxa"/>
            <w:vAlign w:val="bottom"/>
            <w:tcBorders>
              <w:bottom w:val="single" w:sz="8" w:color="6F2875"/>
            </w:tcBorders>
          </w:tcPr>
          <w:p>
            <w:pPr>
              <w:ind w:left="60"/>
              <w:spacing w:after="0"/>
              <w:rPr>
                <w:sz w:val="20"/>
                <w:szCs w:val="20"/>
                <w:color w:val="auto"/>
              </w:rPr>
            </w:pPr>
            <w:r>
              <w:rPr>
                <w:rFonts w:ascii="Arial" w:cs="Arial" w:eastAsia="Arial" w:hAnsi="Arial"/>
                <w:sz w:val="16"/>
                <w:szCs w:val="16"/>
                <w:b w:val="1"/>
                <w:bCs w:val="1"/>
                <w:color w:val="6F2875"/>
              </w:rPr>
              <w:t>Name</w:t>
            </w:r>
          </w:p>
        </w:tc>
        <w:tc>
          <w:tcPr>
            <w:tcW w:w="2740" w:type="dxa"/>
            <w:vAlign w:val="bottom"/>
            <w:tcBorders>
              <w:bottom w:val="single" w:sz="8" w:color="6F2875"/>
            </w:tcBorders>
          </w:tcPr>
          <w:p>
            <w:pPr>
              <w:ind w:left="380"/>
              <w:spacing w:after="0"/>
              <w:rPr>
                <w:sz w:val="20"/>
                <w:szCs w:val="20"/>
                <w:color w:val="auto"/>
              </w:rPr>
            </w:pPr>
            <w:r>
              <w:rPr>
                <w:rFonts w:ascii="Arial" w:cs="Arial" w:eastAsia="Arial" w:hAnsi="Arial"/>
                <w:sz w:val="16"/>
                <w:szCs w:val="16"/>
                <w:b w:val="1"/>
                <w:bCs w:val="1"/>
                <w:color w:val="6F2875"/>
              </w:rPr>
              <w:t>Plan Name</w:t>
            </w:r>
          </w:p>
        </w:tc>
        <w:tc>
          <w:tcPr>
            <w:tcW w:w="3120" w:type="dxa"/>
            <w:vAlign w:val="bottom"/>
            <w:tcBorders>
              <w:bottom w:val="single" w:sz="8" w:color="6F2875"/>
            </w:tcBorders>
          </w:tcPr>
          <w:p>
            <w:pPr>
              <w:jc w:val="right"/>
              <w:ind w:right="359"/>
              <w:spacing w:after="0"/>
              <w:rPr>
                <w:sz w:val="20"/>
                <w:szCs w:val="20"/>
                <w:color w:val="auto"/>
              </w:rPr>
            </w:pPr>
            <w:r>
              <w:rPr>
                <w:rFonts w:ascii="Arial" w:cs="Arial" w:eastAsia="Arial" w:hAnsi="Arial"/>
                <w:sz w:val="16"/>
                <w:szCs w:val="16"/>
                <w:b w:val="1"/>
                <w:bCs w:val="1"/>
                <w:color w:val="6F2875"/>
              </w:rPr>
              <w:t>(#)</w:t>
            </w:r>
          </w:p>
        </w:tc>
        <w:tc>
          <w:tcPr>
            <w:tcW w:w="2540" w:type="dxa"/>
            <w:vAlign w:val="bottom"/>
            <w:tcBorders>
              <w:bottom w:val="single" w:sz="8" w:color="6F2875"/>
            </w:tcBorders>
          </w:tcPr>
          <w:p>
            <w:pPr>
              <w:jc w:val="right"/>
              <w:ind w:right="400"/>
              <w:spacing w:after="0" w:line="230" w:lineRule="exact"/>
              <w:rPr>
                <w:sz w:val="20"/>
                <w:szCs w:val="20"/>
                <w:color w:val="auto"/>
              </w:rPr>
            </w:pPr>
            <w:r>
              <w:rPr>
                <w:rFonts w:ascii="Arial" w:cs="Arial" w:eastAsia="Arial" w:hAnsi="Arial"/>
                <w:sz w:val="16"/>
                <w:szCs w:val="16"/>
                <w:b w:val="1"/>
                <w:bCs w:val="1"/>
                <w:color w:val="6F2875"/>
              </w:rPr>
              <w:t>($)</w:t>
            </w:r>
            <w:r>
              <w:rPr>
                <w:rFonts w:ascii="Arial" w:cs="Arial" w:eastAsia="Arial" w:hAnsi="Arial"/>
                <w:sz w:val="26"/>
                <w:szCs w:val="26"/>
                <w:b w:val="1"/>
                <w:bCs w:val="1"/>
                <w:color w:val="6F2875"/>
                <w:vertAlign w:val="superscript"/>
              </w:rPr>
              <w:t>(1)</w:t>
            </w:r>
          </w:p>
        </w:tc>
        <w:tc>
          <w:tcPr>
            <w:tcW w:w="1440" w:type="dxa"/>
            <w:vAlign w:val="bottom"/>
            <w:tcBorders>
              <w:bottom w:val="single" w:sz="8" w:color="6F2875"/>
            </w:tcBorders>
          </w:tcPr>
          <w:p>
            <w:pPr>
              <w:jc w:val="right"/>
              <w:spacing w:after="0" w:line="230" w:lineRule="exact"/>
              <w:rPr>
                <w:sz w:val="20"/>
                <w:szCs w:val="20"/>
                <w:color w:val="auto"/>
              </w:rPr>
            </w:pPr>
            <w:r>
              <w:rPr>
                <w:rFonts w:ascii="Arial" w:cs="Arial" w:eastAsia="Arial" w:hAnsi="Arial"/>
                <w:sz w:val="16"/>
                <w:szCs w:val="16"/>
                <w:b w:val="1"/>
                <w:bCs w:val="1"/>
                <w:color w:val="6F2875"/>
              </w:rPr>
              <w:t>($)</w:t>
            </w:r>
            <w:r>
              <w:rPr>
                <w:rFonts w:ascii="Arial" w:cs="Arial" w:eastAsia="Arial" w:hAnsi="Arial"/>
                <w:sz w:val="26"/>
                <w:szCs w:val="26"/>
                <w:b w:val="1"/>
                <w:bCs w:val="1"/>
                <w:color w:val="6F2875"/>
                <w:vertAlign w:val="superscript"/>
              </w:rPr>
              <w:t>(1)</w:t>
            </w:r>
          </w:p>
        </w:tc>
      </w:tr>
      <w:tr>
        <w:trPr>
          <w:trHeight w:val="196"/>
        </w:trPr>
        <w:tc>
          <w:tcPr>
            <w:tcW w:w="1580" w:type="dxa"/>
            <w:vAlign w:val="bottom"/>
            <w:tcBorders>
              <w:bottom w:val="single" w:sz="8" w:color="6F2875"/>
            </w:tcBorders>
          </w:tcPr>
          <w:p>
            <w:pPr>
              <w:ind w:left="60"/>
              <w:spacing w:after="0"/>
              <w:rPr>
                <w:sz w:val="20"/>
                <w:szCs w:val="20"/>
                <w:color w:val="auto"/>
              </w:rPr>
            </w:pPr>
            <w:r>
              <w:rPr>
                <w:rFonts w:ascii="Arial" w:cs="Arial" w:eastAsia="Arial" w:hAnsi="Arial"/>
                <w:sz w:val="16"/>
                <w:szCs w:val="16"/>
                <w:b w:val="1"/>
                <w:bCs w:val="1"/>
                <w:color w:val="231F20"/>
              </w:rPr>
              <w:t>Brian Sheridan</w:t>
            </w:r>
          </w:p>
        </w:tc>
        <w:tc>
          <w:tcPr>
            <w:tcW w:w="2740" w:type="dxa"/>
            <w:vAlign w:val="bottom"/>
            <w:tcBorders>
              <w:bottom w:val="single" w:sz="8" w:color="6F2875"/>
            </w:tcBorders>
          </w:tcPr>
          <w:p>
            <w:pPr>
              <w:ind w:left="380"/>
              <w:spacing w:after="0"/>
              <w:rPr>
                <w:sz w:val="20"/>
                <w:szCs w:val="20"/>
                <w:color w:val="auto"/>
              </w:rPr>
            </w:pPr>
            <w:r>
              <w:rPr>
                <w:rFonts w:ascii="Arial" w:cs="Arial" w:eastAsia="Arial" w:hAnsi="Arial"/>
                <w:sz w:val="16"/>
                <w:szCs w:val="16"/>
                <w:color w:val="231F20"/>
              </w:rPr>
              <w:t>Italian TFR</w:t>
            </w:r>
          </w:p>
        </w:tc>
        <w:tc>
          <w:tcPr>
            <w:tcW w:w="3120" w:type="dxa"/>
            <w:vAlign w:val="bottom"/>
            <w:tcBorders>
              <w:bottom w:val="single" w:sz="8" w:color="6F2875"/>
            </w:tcBorders>
          </w:tcPr>
          <w:p>
            <w:pPr>
              <w:jc w:val="right"/>
              <w:ind w:right="359"/>
              <w:spacing w:after="0"/>
              <w:rPr>
                <w:sz w:val="20"/>
                <w:szCs w:val="20"/>
                <w:color w:val="auto"/>
              </w:rPr>
            </w:pPr>
            <w:r>
              <w:rPr>
                <w:rFonts w:ascii="Arial" w:cs="Arial" w:eastAsia="Arial" w:hAnsi="Arial"/>
                <w:sz w:val="16"/>
                <w:szCs w:val="16"/>
                <w:color w:val="231F20"/>
              </w:rPr>
              <w:t>14</w:t>
            </w:r>
          </w:p>
        </w:tc>
        <w:tc>
          <w:tcPr>
            <w:tcW w:w="2540" w:type="dxa"/>
            <w:vAlign w:val="bottom"/>
            <w:tcBorders>
              <w:bottom w:val="single" w:sz="8" w:color="6F2875"/>
            </w:tcBorders>
          </w:tcPr>
          <w:p>
            <w:pPr>
              <w:jc w:val="right"/>
              <w:ind w:right="400"/>
              <w:spacing w:after="0"/>
              <w:rPr>
                <w:sz w:val="20"/>
                <w:szCs w:val="20"/>
                <w:color w:val="auto"/>
              </w:rPr>
            </w:pPr>
            <w:r>
              <w:rPr>
                <w:rFonts w:ascii="Arial" w:cs="Arial" w:eastAsia="Arial" w:hAnsi="Arial"/>
                <w:sz w:val="16"/>
                <w:szCs w:val="16"/>
                <w:color w:val="231F20"/>
              </w:rPr>
              <w:t>5,719</w:t>
            </w:r>
          </w:p>
        </w:tc>
        <w:tc>
          <w:tcPr>
            <w:tcW w:w="1440" w:type="dxa"/>
            <w:vAlign w:val="bottom"/>
            <w:tcBorders>
              <w:bottom w:val="single" w:sz="8" w:color="6F2875"/>
            </w:tcBorders>
          </w:tcPr>
          <w:p>
            <w:pPr>
              <w:jc w:val="right"/>
              <w:spacing w:after="0"/>
              <w:rPr>
                <w:sz w:val="20"/>
                <w:szCs w:val="20"/>
                <w:color w:val="auto"/>
              </w:rPr>
            </w:pPr>
            <w:r>
              <w:rPr>
                <w:rFonts w:ascii="Arial" w:cs="Arial" w:eastAsia="Arial" w:hAnsi="Arial"/>
                <w:sz w:val="16"/>
                <w:szCs w:val="16"/>
                <w:color w:val="231F20"/>
              </w:rPr>
              <w:t>5,719</w:t>
            </w:r>
          </w:p>
        </w:tc>
      </w:tr>
    </w:tbl>
    <w:p>
      <w:pPr>
        <w:spacing w:after="0" w:line="45" w:lineRule="exact"/>
        <w:rPr>
          <w:sz w:val="20"/>
          <w:szCs w:val="20"/>
          <w:color w:val="auto"/>
        </w:rPr>
      </w:pPr>
    </w:p>
    <w:p>
      <w:pPr>
        <w:ind w:left="340" w:hanging="332"/>
        <w:spacing w:after="0" w:line="279" w:lineRule="auto"/>
        <w:tabs>
          <w:tab w:leader="none" w:pos="340" w:val="left"/>
        </w:tabs>
        <w:numPr>
          <w:ilvl w:val="0"/>
          <w:numId w:val="36"/>
        </w:numPr>
        <w:rPr>
          <w:rFonts w:ascii="Arial" w:cs="Arial" w:eastAsia="Arial" w:hAnsi="Arial"/>
          <w:sz w:val="14"/>
          <w:szCs w:val="14"/>
          <w:i w:val="1"/>
          <w:iCs w:val="1"/>
          <w:color w:val="231F20"/>
        </w:rPr>
      </w:pPr>
      <w:r>
        <w:rPr>
          <w:rFonts w:ascii="Arial" w:cs="Arial" w:eastAsia="Arial" w:hAnsi="Arial"/>
          <w:sz w:val="14"/>
          <w:szCs w:val="14"/>
          <w:i w:val="1"/>
          <w:iCs w:val="1"/>
          <w:color w:val="231F20"/>
        </w:rPr>
        <w:t>For amounts in the above table, we used an exchange rate of $1.12976 per Euro, which reflects the applicable period average published rate from the OANDA Corporation currency database between January 1, 2017 and December 31, 2017.</w:t>
      </w:r>
    </w:p>
    <w:p>
      <w:pPr>
        <w:spacing w:after="0" w:line="15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Each of our NEOs is or was a participant in a supplemental pension plan that is a tax-qualified defined contribution plan, operated in accordance with local country rules and regulations, with the exception of Mr. Sehgal and Ms Skeffington, who opted out of the defined contribution plan, choosing a cash allowance in lieu, equal to 15% of compensation (consisting of base and bonus), net for Ms. Skeffington of a 13.8% deduction to compensate for the UK employer national insurance burden. We make contributions to the applicable supplemental pension plan on behalf of each of our named executive officers pursuant to the contribution requirements as set forth by national collective bargaining agreements (e.g., Italy) or by individual contract with the named executive officer. We were matching Mr. Sheridan’s contributions up to 4% of his base salary in accordance with Italian law and subject to the maximum contributions that may be tax-qualified under the supplemental pension plan. We agreed by contract to accrue an amount, equal to 15% of compensation (consisting of base and bonus) for each of Messrs. McDonald and Huston, of which only a portion is qualified under UK tax purposes, and the difference is payable as cash in lieu allowance, net of a 13.8% deduction to compensate for the UK employer national insurance burden. During 2017, we made contributions on behalf of each of our named executive officers in the amounts set forth in the “Supplemental Pension Payments” column in the “All Other Compensation” table above.</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2017 Non-Qualified Deferred Compensation</w:t>
      </w: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b w:val="1"/>
          <w:bCs w:val="1"/>
          <w:color w:val="FC5D45"/>
        </w:rPr>
        <w:t>Non-Qualified Deferred Compensation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231F20"/>
        </w:rPr>
        <w:t>Three of our NEOs participated in a non-qualified deferred compensation plan during the fiscal year 2017 reporting period.</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For Mr. Sheridan the plan is a defined contribution plan in which the employee may defer an unlimited amount of base salary and bonus to the plan. We match up to four percent of employee deferrals, and we make contributions mandated under the Italian TFR. Payout and withdrawal rights are established under Italian law. The plan is managed by an independent third party, and we do not have access to the employee’s investment choices, aggregate earnings, withdrawals, distributions, or aggregate balance, which are subject to privacy restrictions.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Borders>
              <w:bottom w:val="single" w:sz="8" w:color="auto"/>
            </w:tcBorders>
          </w:tcPr>
          <w:p>
            <w:pPr>
              <w:spacing w:after="0"/>
              <w:rPr>
                <w:sz w:val="10"/>
                <w:szCs w:val="10"/>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69"/>
        </w:trPr>
        <w:tc>
          <w:tcPr>
            <w:tcW w:w="40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For Messrs. Wise and Manko the plan is a non-qualified deferred compensation plan in which the employee may defer up to 50% of their annual base salary and commissions and 100% of their bonus or performance-based compensation until the earlier of (i) termination of employment; or (ii) an elected distribution date. We provide employer contribution to our executive officers who participate in the plan. The plan is managed by an independent third party.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tcPr>
          <w:p>
            <w:pPr>
              <w:spacing w:after="0"/>
              <w:rPr>
                <w:sz w:val="18"/>
                <w:szCs w:val="18"/>
                <w:color w:val="auto"/>
              </w:rPr>
            </w:pPr>
          </w:p>
        </w:tc>
        <w:tc>
          <w:tcPr>
            <w:tcW w:w="2820" w:type="dxa"/>
            <w:vAlign w:val="bottom"/>
          </w:tcPr>
          <w:p>
            <w:pPr>
              <w:jc w:val="right"/>
              <w:ind w:right="160"/>
              <w:spacing w:after="0"/>
              <w:rPr>
                <w:sz w:val="20"/>
                <w:szCs w:val="20"/>
                <w:color w:val="auto"/>
              </w:rPr>
            </w:pPr>
            <w:r>
              <w:rPr>
                <w:rFonts w:ascii="Arial" w:cs="Arial" w:eastAsia="Arial" w:hAnsi="Arial"/>
                <w:sz w:val="16"/>
                <w:szCs w:val="16"/>
                <w:b w:val="1"/>
                <w:bCs w:val="1"/>
                <w:color w:val="6F2875"/>
              </w:rPr>
              <w:t>Executive</w:t>
            </w:r>
          </w:p>
        </w:tc>
        <w:tc>
          <w:tcPr>
            <w:tcW w:w="1480" w:type="dxa"/>
            <w:vAlign w:val="bottom"/>
          </w:tcPr>
          <w:p>
            <w:pPr>
              <w:jc w:val="right"/>
              <w:ind w:right="260"/>
              <w:spacing w:after="0"/>
              <w:rPr>
                <w:sz w:val="20"/>
                <w:szCs w:val="20"/>
                <w:color w:val="auto"/>
              </w:rPr>
            </w:pPr>
            <w:r>
              <w:rPr>
                <w:rFonts w:ascii="Arial" w:cs="Arial" w:eastAsia="Arial" w:hAnsi="Arial"/>
                <w:sz w:val="16"/>
                <w:szCs w:val="16"/>
                <w:b w:val="1"/>
                <w:bCs w:val="1"/>
                <w:color w:val="6F2875"/>
              </w:rPr>
              <w:t>Registrant</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6F2875"/>
              </w:rPr>
              <w:t>Aggregate</w:t>
            </w:r>
          </w:p>
        </w:tc>
        <w:tc>
          <w:tcPr>
            <w:tcW w:w="1900" w:type="dxa"/>
            <w:vAlign w:val="bottom"/>
          </w:tcPr>
          <w:p>
            <w:pPr>
              <w:jc w:val="right"/>
              <w:ind w:right="162"/>
              <w:spacing w:after="0"/>
              <w:rPr>
                <w:sz w:val="20"/>
                <w:szCs w:val="20"/>
                <w:color w:val="auto"/>
              </w:rPr>
            </w:pPr>
            <w:r>
              <w:rPr>
                <w:rFonts w:ascii="Arial" w:cs="Arial" w:eastAsia="Arial" w:hAnsi="Arial"/>
                <w:sz w:val="16"/>
                <w:szCs w:val="16"/>
                <w:b w:val="1"/>
                <w:bCs w:val="1"/>
                <w:color w:val="6F2875"/>
              </w:rPr>
              <w:t>Aggregate</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6F2875"/>
              </w:rPr>
              <w:t>Aggregate</w:t>
            </w:r>
          </w:p>
        </w:tc>
      </w:tr>
      <w:tr>
        <w:trPr>
          <w:trHeight w:val="189"/>
        </w:trPr>
        <w:tc>
          <w:tcPr>
            <w:tcW w:w="2800" w:type="dxa"/>
            <w:vAlign w:val="bottom"/>
          </w:tcPr>
          <w:p>
            <w:pPr>
              <w:spacing w:after="0"/>
              <w:rPr>
                <w:sz w:val="16"/>
                <w:szCs w:val="16"/>
                <w:color w:val="auto"/>
              </w:rPr>
            </w:pPr>
          </w:p>
        </w:tc>
        <w:tc>
          <w:tcPr>
            <w:tcW w:w="2820" w:type="dxa"/>
            <w:vAlign w:val="bottom"/>
          </w:tcPr>
          <w:p>
            <w:pPr>
              <w:jc w:val="right"/>
              <w:ind w:right="160"/>
              <w:spacing w:after="0"/>
              <w:rPr>
                <w:sz w:val="20"/>
                <w:szCs w:val="20"/>
                <w:color w:val="auto"/>
              </w:rPr>
            </w:pPr>
            <w:r>
              <w:rPr>
                <w:rFonts w:ascii="Arial" w:cs="Arial" w:eastAsia="Arial" w:hAnsi="Arial"/>
                <w:sz w:val="16"/>
                <w:szCs w:val="16"/>
                <w:b w:val="1"/>
                <w:bCs w:val="1"/>
                <w:color w:val="6F2875"/>
              </w:rPr>
              <w:t>Contributions</w:t>
            </w:r>
          </w:p>
        </w:tc>
        <w:tc>
          <w:tcPr>
            <w:tcW w:w="1480" w:type="dxa"/>
            <w:vAlign w:val="bottom"/>
          </w:tcPr>
          <w:p>
            <w:pPr>
              <w:jc w:val="right"/>
              <w:ind w:right="260"/>
              <w:spacing w:after="0"/>
              <w:rPr>
                <w:sz w:val="20"/>
                <w:szCs w:val="20"/>
                <w:color w:val="auto"/>
              </w:rPr>
            </w:pPr>
            <w:r>
              <w:rPr>
                <w:rFonts w:ascii="Arial" w:cs="Arial" w:eastAsia="Arial" w:hAnsi="Arial"/>
                <w:sz w:val="16"/>
                <w:szCs w:val="16"/>
                <w:b w:val="1"/>
                <w:bCs w:val="1"/>
                <w:color w:val="6F2875"/>
              </w:rPr>
              <w:t>Contributions</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6F2875"/>
              </w:rPr>
              <w:t>Earnings</w:t>
            </w:r>
          </w:p>
        </w:tc>
        <w:tc>
          <w:tcPr>
            <w:tcW w:w="1900" w:type="dxa"/>
            <w:vAlign w:val="bottom"/>
          </w:tcPr>
          <w:p>
            <w:pPr>
              <w:jc w:val="right"/>
              <w:ind w:right="162"/>
              <w:spacing w:after="0"/>
              <w:rPr>
                <w:sz w:val="20"/>
                <w:szCs w:val="20"/>
                <w:color w:val="auto"/>
              </w:rPr>
            </w:pPr>
            <w:r>
              <w:rPr>
                <w:rFonts w:ascii="Arial" w:cs="Arial" w:eastAsia="Arial" w:hAnsi="Arial"/>
                <w:sz w:val="16"/>
                <w:szCs w:val="16"/>
                <w:b w:val="1"/>
                <w:bCs w:val="1"/>
                <w:color w:val="6F2875"/>
              </w:rPr>
              <w:t>Withdrawals/</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6F2875"/>
              </w:rPr>
              <w:t>Balance</w:t>
            </w:r>
          </w:p>
        </w:tc>
      </w:tr>
      <w:tr>
        <w:trPr>
          <w:trHeight w:val="189"/>
        </w:trPr>
        <w:tc>
          <w:tcPr>
            <w:tcW w:w="2800" w:type="dxa"/>
            <w:vAlign w:val="bottom"/>
          </w:tcPr>
          <w:p>
            <w:pPr>
              <w:spacing w:after="0"/>
              <w:rPr>
                <w:sz w:val="16"/>
                <w:szCs w:val="16"/>
                <w:color w:val="auto"/>
              </w:rPr>
            </w:pPr>
          </w:p>
        </w:tc>
        <w:tc>
          <w:tcPr>
            <w:tcW w:w="2820" w:type="dxa"/>
            <w:vAlign w:val="bottom"/>
          </w:tcPr>
          <w:p>
            <w:pPr>
              <w:jc w:val="right"/>
              <w:ind w:right="160"/>
              <w:spacing w:after="0"/>
              <w:rPr>
                <w:sz w:val="20"/>
                <w:szCs w:val="20"/>
                <w:color w:val="auto"/>
              </w:rPr>
            </w:pPr>
            <w:r>
              <w:rPr>
                <w:rFonts w:ascii="Arial" w:cs="Arial" w:eastAsia="Arial" w:hAnsi="Arial"/>
                <w:sz w:val="16"/>
                <w:szCs w:val="16"/>
                <w:b w:val="1"/>
                <w:bCs w:val="1"/>
                <w:color w:val="6F2875"/>
              </w:rPr>
              <w:t>in Last</w:t>
            </w:r>
          </w:p>
        </w:tc>
        <w:tc>
          <w:tcPr>
            <w:tcW w:w="1480" w:type="dxa"/>
            <w:vAlign w:val="bottom"/>
          </w:tcPr>
          <w:p>
            <w:pPr>
              <w:jc w:val="right"/>
              <w:ind w:right="260"/>
              <w:spacing w:after="0"/>
              <w:rPr>
                <w:sz w:val="20"/>
                <w:szCs w:val="20"/>
                <w:color w:val="auto"/>
              </w:rPr>
            </w:pPr>
            <w:r>
              <w:rPr>
                <w:rFonts w:ascii="Arial" w:cs="Arial" w:eastAsia="Arial" w:hAnsi="Arial"/>
                <w:sz w:val="16"/>
                <w:szCs w:val="16"/>
                <w:b w:val="1"/>
                <w:bCs w:val="1"/>
                <w:color w:val="6F2875"/>
              </w:rPr>
              <w:t>in Last</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6F2875"/>
              </w:rPr>
              <w:t>in Last</w:t>
            </w:r>
          </w:p>
        </w:tc>
        <w:tc>
          <w:tcPr>
            <w:tcW w:w="1900" w:type="dxa"/>
            <w:vAlign w:val="bottom"/>
          </w:tcPr>
          <w:p>
            <w:pPr>
              <w:jc w:val="right"/>
              <w:ind w:right="162"/>
              <w:spacing w:after="0"/>
              <w:rPr>
                <w:sz w:val="20"/>
                <w:szCs w:val="20"/>
                <w:color w:val="auto"/>
              </w:rPr>
            </w:pPr>
            <w:r>
              <w:rPr>
                <w:rFonts w:ascii="Arial" w:cs="Arial" w:eastAsia="Arial" w:hAnsi="Arial"/>
                <w:sz w:val="16"/>
                <w:szCs w:val="16"/>
                <w:b w:val="1"/>
                <w:bCs w:val="1"/>
                <w:color w:val="6F2875"/>
              </w:rPr>
              <w:t>Distributions</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6F2875"/>
              </w:rPr>
              <w:t>at Last</w:t>
            </w:r>
          </w:p>
        </w:tc>
      </w:tr>
      <w:tr>
        <w:trPr>
          <w:trHeight w:val="189"/>
        </w:trPr>
        <w:tc>
          <w:tcPr>
            <w:tcW w:w="2800" w:type="dxa"/>
            <w:vAlign w:val="bottom"/>
          </w:tcPr>
          <w:p>
            <w:pPr>
              <w:spacing w:after="0"/>
              <w:rPr>
                <w:sz w:val="16"/>
                <w:szCs w:val="16"/>
                <w:color w:val="auto"/>
              </w:rPr>
            </w:pPr>
          </w:p>
        </w:tc>
        <w:tc>
          <w:tcPr>
            <w:tcW w:w="2820" w:type="dxa"/>
            <w:vAlign w:val="bottom"/>
          </w:tcPr>
          <w:p>
            <w:pPr>
              <w:jc w:val="right"/>
              <w:ind w:right="160"/>
              <w:spacing w:after="0"/>
              <w:rPr>
                <w:sz w:val="20"/>
                <w:szCs w:val="20"/>
                <w:color w:val="auto"/>
              </w:rPr>
            </w:pPr>
            <w:r>
              <w:rPr>
                <w:rFonts w:ascii="Arial" w:cs="Arial" w:eastAsia="Arial" w:hAnsi="Arial"/>
                <w:sz w:val="16"/>
                <w:szCs w:val="16"/>
                <w:b w:val="1"/>
                <w:bCs w:val="1"/>
                <w:color w:val="6F2875"/>
              </w:rPr>
              <w:t>Fiscal Year</w:t>
            </w:r>
          </w:p>
        </w:tc>
        <w:tc>
          <w:tcPr>
            <w:tcW w:w="1480" w:type="dxa"/>
            <w:vAlign w:val="bottom"/>
          </w:tcPr>
          <w:p>
            <w:pPr>
              <w:jc w:val="right"/>
              <w:ind w:right="260"/>
              <w:spacing w:after="0"/>
              <w:rPr>
                <w:sz w:val="20"/>
                <w:szCs w:val="20"/>
                <w:color w:val="auto"/>
              </w:rPr>
            </w:pPr>
            <w:r>
              <w:rPr>
                <w:rFonts w:ascii="Arial" w:cs="Arial" w:eastAsia="Arial" w:hAnsi="Arial"/>
                <w:sz w:val="16"/>
                <w:szCs w:val="16"/>
                <w:b w:val="1"/>
                <w:bCs w:val="1"/>
                <w:color w:val="6F2875"/>
              </w:rPr>
              <w:t>Fiscal Year</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6F2875"/>
              </w:rPr>
              <w:t>Fiscal Year</w:t>
            </w:r>
          </w:p>
        </w:tc>
        <w:tc>
          <w:tcPr>
            <w:tcW w:w="1900" w:type="dxa"/>
            <w:vAlign w:val="bottom"/>
          </w:tcPr>
          <w:p>
            <w:pPr>
              <w:jc w:val="right"/>
              <w:ind w:right="162"/>
              <w:spacing w:after="0"/>
              <w:rPr>
                <w:sz w:val="20"/>
                <w:szCs w:val="20"/>
                <w:color w:val="auto"/>
              </w:rPr>
            </w:pPr>
            <w:r>
              <w:rPr>
                <w:rFonts w:ascii="Arial" w:cs="Arial" w:eastAsia="Arial" w:hAnsi="Arial"/>
                <w:sz w:val="16"/>
                <w:szCs w:val="16"/>
                <w:b w:val="1"/>
                <w:bCs w:val="1"/>
                <w:color w:val="6F2875"/>
              </w:rPr>
              <w:t>in Last Fiscal Year</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6F2875"/>
              </w:rPr>
              <w:t>Fiscal Year</w:t>
            </w:r>
          </w:p>
        </w:tc>
      </w:tr>
      <w:tr>
        <w:trPr>
          <w:trHeight w:val="230"/>
        </w:trPr>
        <w:tc>
          <w:tcPr>
            <w:tcW w:w="2800" w:type="dxa"/>
            <w:vAlign w:val="bottom"/>
            <w:tcBorders>
              <w:bottom w:val="single" w:sz="8" w:color="6F2875"/>
            </w:tcBorders>
          </w:tcPr>
          <w:p>
            <w:pPr>
              <w:ind w:left="60"/>
              <w:spacing w:after="0"/>
              <w:rPr>
                <w:sz w:val="20"/>
                <w:szCs w:val="20"/>
                <w:color w:val="auto"/>
              </w:rPr>
            </w:pPr>
            <w:r>
              <w:rPr>
                <w:rFonts w:ascii="Arial" w:cs="Arial" w:eastAsia="Arial" w:hAnsi="Arial"/>
                <w:sz w:val="16"/>
                <w:szCs w:val="16"/>
                <w:b w:val="1"/>
                <w:bCs w:val="1"/>
                <w:color w:val="6F2875"/>
              </w:rPr>
              <w:t>Name</w:t>
            </w:r>
          </w:p>
        </w:tc>
        <w:tc>
          <w:tcPr>
            <w:tcW w:w="2820" w:type="dxa"/>
            <w:vAlign w:val="bottom"/>
            <w:tcBorders>
              <w:bottom w:val="single" w:sz="8" w:color="6F2875"/>
            </w:tcBorders>
          </w:tcPr>
          <w:p>
            <w:pPr>
              <w:jc w:val="right"/>
              <w:ind w:right="160"/>
              <w:spacing w:after="0"/>
              <w:rPr>
                <w:sz w:val="20"/>
                <w:szCs w:val="20"/>
                <w:color w:val="auto"/>
              </w:rPr>
            </w:pPr>
            <w:r>
              <w:rPr>
                <w:rFonts w:ascii="Arial" w:cs="Arial" w:eastAsia="Arial" w:hAnsi="Arial"/>
                <w:sz w:val="16"/>
                <w:szCs w:val="16"/>
                <w:b w:val="1"/>
                <w:bCs w:val="1"/>
                <w:color w:val="6F2875"/>
              </w:rPr>
              <w:t>($)</w:t>
            </w:r>
          </w:p>
        </w:tc>
        <w:tc>
          <w:tcPr>
            <w:tcW w:w="1480" w:type="dxa"/>
            <w:vAlign w:val="bottom"/>
            <w:tcBorders>
              <w:bottom w:val="single" w:sz="8" w:color="6F2875"/>
            </w:tcBorders>
          </w:tcPr>
          <w:p>
            <w:pPr>
              <w:jc w:val="right"/>
              <w:ind w:right="260"/>
              <w:spacing w:after="0"/>
              <w:rPr>
                <w:sz w:val="20"/>
                <w:szCs w:val="20"/>
                <w:color w:val="auto"/>
              </w:rPr>
            </w:pPr>
            <w:r>
              <w:rPr>
                <w:rFonts w:ascii="Arial" w:cs="Arial" w:eastAsia="Arial" w:hAnsi="Arial"/>
                <w:sz w:val="16"/>
                <w:szCs w:val="16"/>
                <w:b w:val="1"/>
                <w:bCs w:val="1"/>
                <w:color w:val="6F2875"/>
              </w:rPr>
              <w:t>($)</w:t>
            </w:r>
          </w:p>
        </w:tc>
        <w:tc>
          <w:tcPr>
            <w:tcW w:w="1300" w:type="dxa"/>
            <w:vAlign w:val="bottom"/>
            <w:tcBorders>
              <w:bottom w:val="single" w:sz="8" w:color="6F2875"/>
            </w:tcBorders>
          </w:tcPr>
          <w:p>
            <w:pPr>
              <w:jc w:val="right"/>
              <w:ind w:right="182"/>
              <w:spacing w:after="0" w:line="230" w:lineRule="exact"/>
              <w:rPr>
                <w:sz w:val="20"/>
                <w:szCs w:val="20"/>
                <w:color w:val="auto"/>
              </w:rPr>
            </w:pPr>
            <w:r>
              <w:rPr>
                <w:rFonts w:ascii="Arial" w:cs="Arial" w:eastAsia="Arial" w:hAnsi="Arial"/>
                <w:sz w:val="26"/>
                <w:szCs w:val="26"/>
                <w:b w:val="1"/>
                <w:bCs w:val="1"/>
                <w:color w:val="6F2875"/>
                <w:vertAlign w:val="subscript"/>
              </w:rPr>
              <w:t>($)</w:t>
            </w:r>
            <w:r>
              <w:rPr>
                <w:rFonts w:ascii="Arial" w:cs="Arial" w:eastAsia="Arial" w:hAnsi="Arial"/>
                <w:sz w:val="12"/>
                <w:szCs w:val="12"/>
                <w:b w:val="1"/>
                <w:bCs w:val="1"/>
                <w:color w:val="6F2875"/>
              </w:rPr>
              <w:t>(2)</w:t>
            </w:r>
          </w:p>
        </w:tc>
        <w:tc>
          <w:tcPr>
            <w:tcW w:w="1900" w:type="dxa"/>
            <w:vAlign w:val="bottom"/>
            <w:tcBorders>
              <w:bottom w:val="single" w:sz="8" w:color="6F2875"/>
            </w:tcBorders>
          </w:tcPr>
          <w:p>
            <w:pPr>
              <w:jc w:val="right"/>
              <w:ind w:right="162"/>
              <w:spacing w:after="0" w:line="230" w:lineRule="exact"/>
              <w:rPr>
                <w:sz w:val="20"/>
                <w:szCs w:val="20"/>
                <w:color w:val="auto"/>
              </w:rPr>
            </w:pPr>
            <w:r>
              <w:rPr>
                <w:rFonts w:ascii="Arial" w:cs="Arial" w:eastAsia="Arial" w:hAnsi="Arial"/>
                <w:sz w:val="26"/>
                <w:szCs w:val="26"/>
                <w:b w:val="1"/>
                <w:bCs w:val="1"/>
                <w:color w:val="6F2875"/>
                <w:vertAlign w:val="subscript"/>
              </w:rPr>
              <w:t>($)</w:t>
            </w:r>
            <w:r>
              <w:rPr>
                <w:rFonts w:ascii="Arial" w:cs="Arial" w:eastAsia="Arial" w:hAnsi="Arial"/>
                <w:sz w:val="12"/>
                <w:szCs w:val="12"/>
                <w:b w:val="1"/>
                <w:bCs w:val="1"/>
                <w:color w:val="6F2875"/>
              </w:rPr>
              <w:t>(2)</w:t>
            </w:r>
          </w:p>
        </w:tc>
        <w:tc>
          <w:tcPr>
            <w:tcW w:w="1120" w:type="dxa"/>
            <w:vAlign w:val="bottom"/>
            <w:tcBorders>
              <w:bottom w:val="single" w:sz="8" w:color="6F2875"/>
            </w:tcBorders>
          </w:tcPr>
          <w:p>
            <w:pPr>
              <w:jc w:val="right"/>
              <w:spacing w:after="0" w:line="230" w:lineRule="exact"/>
              <w:rPr>
                <w:sz w:val="20"/>
                <w:szCs w:val="20"/>
                <w:color w:val="auto"/>
              </w:rPr>
            </w:pPr>
            <w:r>
              <w:rPr>
                <w:rFonts w:ascii="Arial" w:cs="Arial" w:eastAsia="Arial" w:hAnsi="Arial"/>
                <w:sz w:val="26"/>
                <w:szCs w:val="26"/>
                <w:b w:val="1"/>
                <w:bCs w:val="1"/>
                <w:color w:val="6F2875"/>
                <w:vertAlign w:val="subscript"/>
              </w:rPr>
              <w:t>($)</w:t>
            </w:r>
            <w:r>
              <w:rPr>
                <w:rFonts w:ascii="Arial" w:cs="Arial" w:eastAsia="Arial" w:hAnsi="Arial"/>
                <w:sz w:val="12"/>
                <w:szCs w:val="12"/>
                <w:b w:val="1"/>
                <w:bCs w:val="1"/>
                <w:color w:val="6F2875"/>
              </w:rPr>
              <w:t>(2)</w:t>
            </w:r>
          </w:p>
        </w:tc>
      </w:tr>
      <w:tr>
        <w:trPr>
          <w:trHeight w:val="223"/>
        </w:trPr>
        <w:tc>
          <w:tcPr>
            <w:tcW w:w="2800" w:type="dxa"/>
            <w:vAlign w:val="bottom"/>
          </w:tcPr>
          <w:p>
            <w:pPr>
              <w:ind w:left="60"/>
              <w:spacing w:after="0"/>
              <w:rPr>
                <w:sz w:val="20"/>
                <w:szCs w:val="20"/>
                <w:color w:val="auto"/>
              </w:rPr>
            </w:pPr>
            <w:r>
              <w:rPr>
                <w:rFonts w:ascii="Arial" w:cs="Arial" w:eastAsia="Arial" w:hAnsi="Arial"/>
                <w:sz w:val="16"/>
                <w:szCs w:val="16"/>
                <w:b w:val="1"/>
                <w:bCs w:val="1"/>
                <w:color w:val="231F20"/>
              </w:rPr>
              <w:t>Brian Sheridan</w:t>
            </w:r>
          </w:p>
        </w:tc>
        <w:tc>
          <w:tcPr>
            <w:tcW w:w="2820" w:type="dxa"/>
            <w:vAlign w:val="bottom"/>
          </w:tcPr>
          <w:p>
            <w:pPr>
              <w:jc w:val="right"/>
              <w:spacing w:after="0" w:line="223" w:lineRule="exact"/>
              <w:rPr>
                <w:sz w:val="20"/>
                <w:szCs w:val="20"/>
                <w:color w:val="auto"/>
              </w:rPr>
            </w:pPr>
            <w:r>
              <w:rPr>
                <w:rFonts w:ascii="Arial" w:cs="Arial" w:eastAsia="Arial" w:hAnsi="Arial"/>
                <w:sz w:val="15"/>
                <w:szCs w:val="15"/>
                <w:color w:val="231F20"/>
              </w:rPr>
              <w:t>33,472</w:t>
            </w:r>
            <w:r>
              <w:rPr>
                <w:rFonts w:ascii="Arial" w:cs="Arial" w:eastAsia="Arial" w:hAnsi="Arial"/>
                <w:sz w:val="25"/>
                <w:szCs w:val="25"/>
                <w:color w:val="231F20"/>
                <w:vertAlign w:val="superscript"/>
              </w:rPr>
              <w:t>(1)</w:t>
            </w:r>
          </w:p>
        </w:tc>
        <w:tc>
          <w:tcPr>
            <w:tcW w:w="1480" w:type="dxa"/>
            <w:vAlign w:val="bottom"/>
          </w:tcPr>
          <w:p>
            <w:pPr>
              <w:jc w:val="right"/>
              <w:ind w:right="100"/>
              <w:spacing w:after="0" w:line="223" w:lineRule="exact"/>
              <w:rPr>
                <w:sz w:val="20"/>
                <w:szCs w:val="20"/>
                <w:color w:val="auto"/>
              </w:rPr>
            </w:pPr>
            <w:r>
              <w:rPr>
                <w:rFonts w:ascii="Arial" w:cs="Arial" w:eastAsia="Arial" w:hAnsi="Arial"/>
                <w:sz w:val="15"/>
                <w:szCs w:val="15"/>
                <w:color w:val="231F20"/>
              </w:rPr>
              <w:t>33,472</w:t>
            </w:r>
            <w:r>
              <w:rPr>
                <w:rFonts w:ascii="Arial" w:cs="Arial" w:eastAsia="Arial" w:hAnsi="Arial"/>
                <w:sz w:val="25"/>
                <w:szCs w:val="25"/>
                <w:color w:val="231F20"/>
                <w:vertAlign w:val="superscript"/>
              </w:rPr>
              <w:t>(1)</w:t>
            </w:r>
          </w:p>
        </w:tc>
        <w:tc>
          <w:tcPr>
            <w:tcW w:w="1300" w:type="dxa"/>
            <w:vAlign w:val="bottom"/>
          </w:tcPr>
          <w:p>
            <w:pPr>
              <w:jc w:val="right"/>
              <w:ind w:right="182"/>
              <w:spacing w:after="0"/>
              <w:rPr>
                <w:sz w:val="20"/>
                <w:szCs w:val="20"/>
                <w:color w:val="auto"/>
              </w:rPr>
            </w:pPr>
            <w:r>
              <w:rPr>
                <w:rFonts w:ascii="Arial" w:cs="Arial" w:eastAsia="Arial" w:hAnsi="Arial"/>
                <w:sz w:val="16"/>
                <w:szCs w:val="16"/>
                <w:color w:val="231F20"/>
              </w:rPr>
              <w:t>—</w:t>
            </w:r>
          </w:p>
        </w:tc>
        <w:tc>
          <w:tcPr>
            <w:tcW w:w="1900" w:type="dxa"/>
            <w:vAlign w:val="bottom"/>
          </w:tcPr>
          <w:p>
            <w:pPr>
              <w:jc w:val="right"/>
              <w:ind w:right="162"/>
              <w:spacing w:after="0"/>
              <w:rPr>
                <w:sz w:val="20"/>
                <w:szCs w:val="20"/>
                <w:color w:val="auto"/>
              </w:rPr>
            </w:pPr>
            <w:r>
              <w:rPr>
                <w:rFonts w:ascii="Arial" w:cs="Arial" w:eastAsia="Arial" w:hAnsi="Arial"/>
                <w:sz w:val="16"/>
                <w:szCs w:val="16"/>
                <w:color w:val="231F20"/>
              </w:rPr>
              <w:t>—</w:t>
            </w:r>
          </w:p>
        </w:tc>
        <w:tc>
          <w:tcPr>
            <w:tcW w:w="1120" w:type="dxa"/>
            <w:vAlign w:val="bottom"/>
          </w:tcPr>
          <w:p>
            <w:pPr>
              <w:jc w:val="right"/>
              <w:spacing w:after="0"/>
              <w:rPr>
                <w:sz w:val="20"/>
                <w:szCs w:val="20"/>
                <w:color w:val="auto"/>
              </w:rPr>
            </w:pPr>
            <w:r>
              <w:rPr>
                <w:rFonts w:ascii="Arial" w:cs="Arial" w:eastAsia="Arial" w:hAnsi="Arial"/>
                <w:sz w:val="16"/>
                <w:szCs w:val="16"/>
                <w:color w:val="231F20"/>
              </w:rPr>
              <w:t>—</w:t>
            </w:r>
          </w:p>
        </w:tc>
      </w:tr>
      <w:tr>
        <w:trPr>
          <w:trHeight w:val="189"/>
        </w:trPr>
        <w:tc>
          <w:tcPr>
            <w:tcW w:w="2800" w:type="dxa"/>
            <w:vAlign w:val="bottom"/>
            <w:shd w:val="clear" w:color="auto" w:fill="F3EDF3"/>
          </w:tcPr>
          <w:p>
            <w:pPr>
              <w:ind w:left="60"/>
              <w:spacing w:after="0"/>
              <w:rPr>
                <w:sz w:val="20"/>
                <w:szCs w:val="20"/>
                <w:color w:val="auto"/>
              </w:rPr>
            </w:pPr>
            <w:r>
              <w:rPr>
                <w:rFonts w:ascii="Arial" w:cs="Arial" w:eastAsia="Arial" w:hAnsi="Arial"/>
                <w:sz w:val="16"/>
                <w:szCs w:val="16"/>
                <w:b w:val="1"/>
                <w:bCs w:val="1"/>
                <w:color w:val="231F20"/>
              </w:rPr>
              <w:t>David Wise</w:t>
            </w:r>
          </w:p>
        </w:tc>
        <w:tc>
          <w:tcPr>
            <w:tcW w:w="2820" w:type="dxa"/>
            <w:vAlign w:val="bottom"/>
            <w:shd w:val="clear" w:color="auto" w:fill="F3EDF3"/>
          </w:tcPr>
          <w:p>
            <w:pPr>
              <w:jc w:val="right"/>
              <w:ind w:right="160"/>
              <w:spacing w:after="0"/>
              <w:rPr>
                <w:sz w:val="20"/>
                <w:szCs w:val="20"/>
                <w:color w:val="auto"/>
              </w:rPr>
            </w:pPr>
            <w:r>
              <w:rPr>
                <w:rFonts w:ascii="Arial" w:cs="Arial" w:eastAsia="Arial" w:hAnsi="Arial"/>
                <w:sz w:val="16"/>
                <w:szCs w:val="16"/>
                <w:color w:val="231F20"/>
              </w:rPr>
              <w:t>42,077</w:t>
            </w:r>
          </w:p>
        </w:tc>
        <w:tc>
          <w:tcPr>
            <w:tcW w:w="1480" w:type="dxa"/>
            <w:vAlign w:val="bottom"/>
            <w:shd w:val="clear" w:color="auto" w:fill="F3EDF3"/>
          </w:tcPr>
          <w:p>
            <w:pPr>
              <w:jc w:val="right"/>
              <w:ind w:right="260"/>
              <w:spacing w:after="0"/>
              <w:rPr>
                <w:sz w:val="20"/>
                <w:szCs w:val="20"/>
                <w:color w:val="auto"/>
              </w:rPr>
            </w:pPr>
            <w:r>
              <w:rPr>
                <w:rFonts w:ascii="Arial" w:cs="Arial" w:eastAsia="Arial" w:hAnsi="Arial"/>
                <w:sz w:val="16"/>
                <w:szCs w:val="16"/>
                <w:color w:val="231F20"/>
              </w:rPr>
              <w:t>16,831</w:t>
            </w:r>
          </w:p>
        </w:tc>
        <w:tc>
          <w:tcPr>
            <w:tcW w:w="1300" w:type="dxa"/>
            <w:vAlign w:val="bottom"/>
            <w:shd w:val="clear" w:color="auto" w:fill="F3EDF3"/>
          </w:tcPr>
          <w:p>
            <w:pPr>
              <w:jc w:val="right"/>
              <w:ind w:right="182"/>
              <w:spacing w:after="0"/>
              <w:rPr>
                <w:sz w:val="20"/>
                <w:szCs w:val="20"/>
                <w:color w:val="auto"/>
              </w:rPr>
            </w:pPr>
            <w:r>
              <w:rPr>
                <w:rFonts w:ascii="Arial" w:cs="Arial" w:eastAsia="Arial" w:hAnsi="Arial"/>
                <w:sz w:val="16"/>
                <w:szCs w:val="16"/>
                <w:color w:val="231F20"/>
              </w:rPr>
              <w:t>32,937</w:t>
            </w:r>
          </w:p>
        </w:tc>
        <w:tc>
          <w:tcPr>
            <w:tcW w:w="1900" w:type="dxa"/>
            <w:vAlign w:val="bottom"/>
            <w:shd w:val="clear" w:color="auto" w:fill="F3EDF3"/>
          </w:tcPr>
          <w:p>
            <w:pPr>
              <w:jc w:val="right"/>
              <w:ind w:right="162"/>
              <w:spacing w:after="0"/>
              <w:rPr>
                <w:sz w:val="20"/>
                <w:szCs w:val="20"/>
                <w:color w:val="auto"/>
              </w:rPr>
            </w:pPr>
            <w:r>
              <w:rPr>
                <w:rFonts w:ascii="Arial" w:cs="Arial" w:eastAsia="Arial" w:hAnsi="Arial"/>
                <w:sz w:val="16"/>
                <w:szCs w:val="16"/>
                <w:color w:val="231F20"/>
              </w:rPr>
              <w:t>—</w:t>
            </w:r>
          </w:p>
        </w:tc>
        <w:tc>
          <w:tcPr>
            <w:tcW w:w="112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231,820</w:t>
            </w:r>
          </w:p>
        </w:tc>
      </w:tr>
      <w:tr>
        <w:trPr>
          <w:trHeight w:val="189"/>
        </w:trPr>
        <w:tc>
          <w:tcPr>
            <w:tcW w:w="2800" w:type="dxa"/>
            <w:vAlign w:val="bottom"/>
            <w:tcBorders>
              <w:bottom w:val="single" w:sz="8" w:color="6F2875"/>
            </w:tcBorders>
          </w:tcPr>
          <w:p>
            <w:pPr>
              <w:ind w:left="60"/>
              <w:spacing w:after="0"/>
              <w:rPr>
                <w:sz w:val="20"/>
                <w:szCs w:val="20"/>
                <w:color w:val="auto"/>
              </w:rPr>
            </w:pPr>
            <w:r>
              <w:rPr>
                <w:rFonts w:ascii="Arial" w:cs="Arial" w:eastAsia="Arial" w:hAnsi="Arial"/>
                <w:sz w:val="16"/>
                <w:szCs w:val="16"/>
                <w:b w:val="1"/>
                <w:bCs w:val="1"/>
                <w:color w:val="231F20"/>
              </w:rPr>
              <w:t>Douglas Manko</w:t>
            </w:r>
          </w:p>
        </w:tc>
        <w:tc>
          <w:tcPr>
            <w:tcW w:w="2820" w:type="dxa"/>
            <w:vAlign w:val="bottom"/>
            <w:tcBorders>
              <w:bottom w:val="single" w:sz="8" w:color="6F2875"/>
            </w:tcBorders>
          </w:tcPr>
          <w:p>
            <w:pPr>
              <w:jc w:val="right"/>
              <w:ind w:right="160"/>
              <w:spacing w:after="0"/>
              <w:rPr>
                <w:sz w:val="20"/>
                <w:szCs w:val="20"/>
                <w:color w:val="auto"/>
              </w:rPr>
            </w:pPr>
            <w:r>
              <w:rPr>
                <w:rFonts w:ascii="Arial" w:cs="Arial" w:eastAsia="Arial" w:hAnsi="Arial"/>
                <w:sz w:val="16"/>
                <w:szCs w:val="16"/>
                <w:color w:val="231F20"/>
              </w:rPr>
              <w:t>15,074</w:t>
            </w:r>
          </w:p>
        </w:tc>
        <w:tc>
          <w:tcPr>
            <w:tcW w:w="1480" w:type="dxa"/>
            <w:vAlign w:val="bottom"/>
            <w:tcBorders>
              <w:bottom w:val="single" w:sz="8" w:color="6F2875"/>
            </w:tcBorders>
          </w:tcPr>
          <w:p>
            <w:pPr>
              <w:jc w:val="right"/>
              <w:ind w:right="260"/>
              <w:spacing w:after="0"/>
              <w:rPr>
                <w:sz w:val="20"/>
                <w:szCs w:val="20"/>
                <w:color w:val="auto"/>
              </w:rPr>
            </w:pPr>
            <w:r>
              <w:rPr>
                <w:rFonts w:ascii="Arial" w:cs="Arial" w:eastAsia="Arial" w:hAnsi="Arial"/>
                <w:sz w:val="16"/>
                <w:szCs w:val="16"/>
                <w:color w:val="231F20"/>
              </w:rPr>
              <w:t>12,062</w:t>
            </w:r>
          </w:p>
        </w:tc>
        <w:tc>
          <w:tcPr>
            <w:tcW w:w="1300" w:type="dxa"/>
            <w:vAlign w:val="bottom"/>
            <w:tcBorders>
              <w:bottom w:val="single" w:sz="8" w:color="6F2875"/>
            </w:tcBorders>
          </w:tcPr>
          <w:p>
            <w:pPr>
              <w:jc w:val="right"/>
              <w:ind w:right="182"/>
              <w:spacing w:after="0"/>
              <w:rPr>
                <w:sz w:val="20"/>
                <w:szCs w:val="20"/>
                <w:color w:val="auto"/>
              </w:rPr>
            </w:pPr>
            <w:r>
              <w:rPr>
                <w:rFonts w:ascii="Arial" w:cs="Arial" w:eastAsia="Arial" w:hAnsi="Arial"/>
                <w:sz w:val="16"/>
                <w:szCs w:val="16"/>
                <w:color w:val="231F20"/>
              </w:rPr>
              <w:t>2,379</w:t>
            </w:r>
          </w:p>
        </w:tc>
        <w:tc>
          <w:tcPr>
            <w:tcW w:w="1900" w:type="dxa"/>
            <w:vAlign w:val="bottom"/>
            <w:tcBorders>
              <w:bottom w:val="single" w:sz="8" w:color="6F2875"/>
            </w:tcBorders>
          </w:tcPr>
          <w:p>
            <w:pPr>
              <w:spacing w:after="0"/>
              <w:rPr>
                <w:sz w:val="16"/>
                <w:szCs w:val="16"/>
                <w:color w:val="auto"/>
              </w:rPr>
            </w:pPr>
          </w:p>
        </w:tc>
        <w:tc>
          <w:tcPr>
            <w:tcW w:w="1120" w:type="dxa"/>
            <w:vAlign w:val="bottom"/>
            <w:tcBorders>
              <w:bottom w:val="single" w:sz="8" w:color="6F2875"/>
            </w:tcBorders>
          </w:tcPr>
          <w:p>
            <w:pPr>
              <w:jc w:val="right"/>
              <w:spacing w:after="0"/>
              <w:rPr>
                <w:sz w:val="20"/>
                <w:szCs w:val="20"/>
                <w:color w:val="auto"/>
              </w:rPr>
            </w:pPr>
            <w:r>
              <w:rPr>
                <w:rFonts w:ascii="Arial" w:cs="Arial" w:eastAsia="Arial" w:hAnsi="Arial"/>
                <w:sz w:val="16"/>
                <w:szCs w:val="16"/>
                <w:color w:val="231F20"/>
              </w:rPr>
              <w:t>29,515</w:t>
            </w:r>
          </w:p>
        </w:tc>
      </w:tr>
    </w:tbl>
    <w:p>
      <w:pPr>
        <w:spacing w:after="0" w:line="45" w:lineRule="exact"/>
        <w:rPr>
          <w:sz w:val="20"/>
          <w:szCs w:val="20"/>
          <w:color w:val="auto"/>
        </w:rPr>
      </w:pPr>
    </w:p>
    <w:p>
      <w:pPr>
        <w:jc w:val="both"/>
        <w:ind w:left="340" w:hanging="332"/>
        <w:spacing w:after="0" w:line="260" w:lineRule="auto"/>
        <w:tabs>
          <w:tab w:leader="none" w:pos="340" w:val="left"/>
        </w:tabs>
        <w:numPr>
          <w:ilvl w:val="0"/>
          <w:numId w:val="37"/>
        </w:numPr>
        <w:rPr>
          <w:rFonts w:ascii="Arial" w:cs="Arial" w:eastAsia="Arial" w:hAnsi="Arial"/>
          <w:sz w:val="14"/>
          <w:szCs w:val="14"/>
          <w:i w:val="1"/>
          <w:iCs w:val="1"/>
          <w:color w:val="231F20"/>
        </w:rPr>
      </w:pPr>
      <w:r>
        <w:rPr>
          <w:rFonts w:ascii="Arial" w:cs="Arial" w:eastAsia="Arial" w:hAnsi="Arial"/>
          <w:sz w:val="14"/>
          <w:szCs w:val="14"/>
          <w:i w:val="1"/>
          <w:iCs w:val="1"/>
          <w:color w:val="231F20"/>
        </w:rPr>
        <w:t>We matched Mr. Sheridan’s contributions up to 4% of his base salary in accordance with Italian law, in addition to TFR contributions. Under Italian law, contributions mandated under the Italian TFR are tax-qualified. Employer and employee contributions made to the supplemental pension plan are tax-qualified up to specified statutory limits. This table reflects only the non-qualified contributions in excess of these limits.</w:t>
      </w:r>
    </w:p>
    <w:p>
      <w:pPr>
        <w:spacing w:after="0" w:line="16" w:lineRule="exact"/>
        <w:rPr>
          <w:rFonts w:ascii="Arial" w:cs="Arial" w:eastAsia="Arial" w:hAnsi="Arial"/>
          <w:sz w:val="14"/>
          <w:szCs w:val="14"/>
          <w:i w:val="1"/>
          <w:iCs w:val="1"/>
          <w:color w:val="231F20"/>
        </w:rPr>
      </w:pPr>
    </w:p>
    <w:p>
      <w:pPr>
        <w:ind w:left="340" w:hanging="332"/>
        <w:spacing w:after="0" w:line="279" w:lineRule="auto"/>
        <w:tabs>
          <w:tab w:leader="none" w:pos="340" w:val="left"/>
        </w:tabs>
        <w:numPr>
          <w:ilvl w:val="0"/>
          <w:numId w:val="37"/>
        </w:numPr>
        <w:rPr>
          <w:rFonts w:ascii="Arial" w:cs="Arial" w:eastAsia="Arial" w:hAnsi="Arial"/>
          <w:sz w:val="14"/>
          <w:szCs w:val="14"/>
          <w:i w:val="1"/>
          <w:iCs w:val="1"/>
          <w:color w:val="231F20"/>
        </w:rPr>
      </w:pPr>
      <w:r>
        <w:rPr>
          <w:rFonts w:ascii="Arial" w:cs="Arial" w:eastAsia="Arial" w:hAnsi="Arial"/>
          <w:sz w:val="14"/>
          <w:szCs w:val="14"/>
          <w:i w:val="1"/>
          <w:iCs w:val="1"/>
          <w:color w:val="231F20"/>
        </w:rPr>
        <w:t>Information with respect to aggregate earnings, withdrawals, distributions, and in some instances, aggregate balance are not available to the company as the plan is managed by an independent third party and privacy restrictions apply.</w:t>
      </w: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Potential Payments Upon Termination or Change in Control</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The Compensation Committee’s charter requires it to review and approve severance arrangements and change-in-control agreements. The employment agreements with the NEOs provide for severance payments and benefits in amounts that have been deemed appropriate by the Compensation Committee. In some cases, the employment agreements were made with a legacy company prior to the merger that formed the Company in October 2015 and remain in effect today. The severance amounts take into account the time it is expected to take a separated employee to find alternative employment, as well as market practices for global executives.</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At times, as circumstances dictate, we also enter into additional separation arrangements with departing executive officers. Employment agreements and any additional separation arrangements for departing NEOs are set out below.</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FC5D45"/>
        </w:rPr>
        <w:t>Employment and Severance Arrangements and Payments upon Change in Control for Continuing NEOs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231F20"/>
        </w:rPr>
        <w:t>Of our seven NEOs, Mr. McDonald, Mr. Huston, Mr. Wise, Mr. Manko and Ms. Skeffington continue to serve with the Company as executive officers.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231F20"/>
        </w:rPr>
        <w:t>The terms of their respective employment agreements are set out below.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Mr. McDonald</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On November 1, 2016, the Board appointed Mr. McDonald to be our CEO as of January 1, 2017. On February 22, 2017, the Compensation Committee approved a service agreement between Mr. McDonald and us effective as of January 1, 2017. The agreement provides for an annual base salary in the amount of £658,000 ($887,724) (later increased to £731,500 ($986,884) as of April 1, 2018) and an opportunity to earn an annual cash incentive bonus with a target amount equal to 100% of his annual base salary. In addition, we agreed to pay Mr. McDonald an annual housing allowance for a period of five years, commencing at £150,000 ($202,369) for 2017 and decreasing by £30,000 ($40,474) each year for the succeeding four years, an annual school allowance for a period of five years, commencing at £31,950 ($43,105) for 2017 and decreasing by £6,390 ($8,621) each year for the succeeding four years, an annual car allowance of £17,750 ($23,947) and pension contributions equal to 15% of the sum of his base salary and annual bonus. Mr. McDonald is also be eligible to participate in our employee benefit plans made available to all our UK-based employees. The agreement will continue in effect until the expiration of 12 months following notice of termination.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231F20"/>
        </w:rPr>
        <w:t>On February 22, 2017, we also delivered a side letter to Mr. McDonald confirming his eligibility for future equity awards.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231F20"/>
        </w:rPr>
        <w:t>Potential payments to Mr. McDonald in the event of a termination or change-in-control as of December 31,2017 are as set out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gridSpan w:val="2"/>
          </w:tcPr>
          <w:p>
            <w:pPr>
              <w:ind w:left="60"/>
              <w:spacing w:after="0"/>
              <w:rPr>
                <w:sz w:val="20"/>
                <w:szCs w:val="20"/>
                <w:color w:val="auto"/>
              </w:rPr>
            </w:pPr>
            <w:r>
              <w:rPr>
                <w:rFonts w:ascii="Arial" w:cs="Arial" w:eastAsia="Arial" w:hAnsi="Arial"/>
                <w:sz w:val="16"/>
                <w:szCs w:val="16"/>
                <w:b w:val="1"/>
                <w:bCs w:val="1"/>
                <w:color w:val="6F2875"/>
              </w:rPr>
              <w:t>Type of Payment</w:t>
            </w:r>
          </w:p>
        </w:tc>
        <w:tc>
          <w:tcPr>
            <w:tcW w:w="2080" w:type="dxa"/>
            <w:vAlign w:val="bottom"/>
            <w:gridSpan w:val="3"/>
            <w:vMerge w:val="restart"/>
          </w:tcPr>
          <w:p>
            <w:pPr>
              <w:jc w:val="right"/>
              <w:ind w:right="80"/>
              <w:spacing w:after="0"/>
              <w:rPr>
                <w:sz w:val="20"/>
                <w:szCs w:val="20"/>
                <w:color w:val="auto"/>
              </w:rPr>
            </w:pPr>
            <w:r>
              <w:rPr>
                <w:rFonts w:ascii="Arial" w:cs="Arial" w:eastAsia="Arial" w:hAnsi="Arial"/>
                <w:sz w:val="16"/>
                <w:szCs w:val="16"/>
                <w:b w:val="1"/>
                <w:bCs w:val="1"/>
                <w:color w:val="6F2875"/>
              </w:rPr>
              <w:t xml:space="preserve">Termination </w:t>
            </w:r>
            <w:r>
              <w:rPr>
                <w:rFonts w:ascii="Arial" w:cs="Arial" w:eastAsia="Arial" w:hAnsi="Arial"/>
                <w:sz w:val="27"/>
                <w:szCs w:val="27"/>
                <w:b w:val="1"/>
                <w:bCs w:val="1"/>
                <w:color w:val="6F2875"/>
                <w:vertAlign w:val="superscript"/>
              </w:rPr>
              <w:t>(1)(5)</w:t>
            </w:r>
          </w:p>
        </w:tc>
        <w:tc>
          <w:tcPr>
            <w:tcW w:w="22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6F2875"/>
              </w:rPr>
              <w:t>Separation due to Change</w:t>
            </w:r>
          </w:p>
        </w:tc>
        <w:tc>
          <w:tcPr>
            <w:tcW w:w="170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6F2875"/>
              </w:rPr>
              <w:t>Separation due to</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6F2875"/>
              </w:rPr>
              <w:t>Seperation due to</w:t>
            </w:r>
          </w:p>
        </w:tc>
        <w:tc>
          <w:tcPr>
            <w:tcW w:w="17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6F2875"/>
              </w:rPr>
              <w:t>Separation due to</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6F2875"/>
            </w:tcBorders>
            <w:gridSpan w:val="2"/>
          </w:tcPr>
          <w:p>
            <w:pPr>
              <w:ind w:left="60"/>
              <w:spacing w:after="0"/>
              <w:rPr>
                <w:sz w:val="20"/>
                <w:szCs w:val="20"/>
                <w:color w:val="auto"/>
              </w:rPr>
            </w:pPr>
            <w:r>
              <w:rPr>
                <w:rFonts w:ascii="Arial" w:cs="Arial" w:eastAsia="Arial" w:hAnsi="Arial"/>
                <w:sz w:val="16"/>
                <w:szCs w:val="16"/>
                <w:b w:val="1"/>
                <w:bCs w:val="1"/>
                <w:color w:val="6F2875"/>
              </w:rPr>
              <w:t>or Benefit</w:t>
            </w:r>
          </w:p>
        </w:tc>
        <w:tc>
          <w:tcPr>
            <w:tcW w:w="2080" w:type="dxa"/>
            <w:vAlign w:val="bottom"/>
            <w:tcBorders>
              <w:bottom w:val="single" w:sz="8" w:color="6F2875"/>
            </w:tcBorders>
            <w:gridSpan w:val="3"/>
            <w:vMerge w:val="continue"/>
          </w:tcPr>
          <w:p>
            <w:pPr>
              <w:spacing w:after="0"/>
              <w:rPr>
                <w:sz w:val="19"/>
                <w:szCs w:val="19"/>
                <w:color w:val="auto"/>
              </w:rPr>
            </w:pPr>
          </w:p>
        </w:tc>
        <w:tc>
          <w:tcPr>
            <w:tcW w:w="2240" w:type="dxa"/>
            <w:vAlign w:val="bottom"/>
            <w:tcBorders>
              <w:bottom w:val="single" w:sz="8" w:color="6F2875"/>
            </w:tcBorders>
            <w:gridSpan w:val="2"/>
          </w:tcPr>
          <w:p>
            <w:pPr>
              <w:jc w:val="right"/>
              <w:ind w:right="39"/>
              <w:spacing w:after="0" w:line="230" w:lineRule="exact"/>
              <w:rPr>
                <w:sz w:val="20"/>
                <w:szCs w:val="20"/>
                <w:color w:val="auto"/>
              </w:rPr>
            </w:pPr>
            <w:r>
              <w:rPr>
                <w:rFonts w:ascii="Arial" w:cs="Arial" w:eastAsia="Arial" w:hAnsi="Arial"/>
                <w:sz w:val="16"/>
                <w:szCs w:val="16"/>
                <w:b w:val="1"/>
                <w:bCs w:val="1"/>
                <w:color w:val="6F2875"/>
              </w:rPr>
              <w:t xml:space="preserve">in Control </w:t>
            </w:r>
            <w:r>
              <w:rPr>
                <w:rFonts w:ascii="Arial" w:cs="Arial" w:eastAsia="Arial" w:hAnsi="Arial"/>
                <w:sz w:val="26"/>
                <w:szCs w:val="26"/>
                <w:b w:val="1"/>
                <w:bCs w:val="1"/>
                <w:color w:val="6F2875"/>
                <w:vertAlign w:val="superscript"/>
              </w:rPr>
              <w:t>(2)</w:t>
            </w:r>
          </w:p>
        </w:tc>
        <w:tc>
          <w:tcPr>
            <w:tcW w:w="1700" w:type="dxa"/>
            <w:vAlign w:val="bottom"/>
            <w:tcBorders>
              <w:bottom w:val="single" w:sz="8" w:color="6F2875"/>
            </w:tcBorders>
            <w:gridSpan w:val="3"/>
          </w:tcPr>
          <w:p>
            <w:pPr>
              <w:jc w:val="right"/>
              <w:ind w:right="139"/>
              <w:spacing w:after="0" w:line="230" w:lineRule="exact"/>
              <w:rPr>
                <w:sz w:val="20"/>
                <w:szCs w:val="20"/>
                <w:color w:val="auto"/>
              </w:rPr>
            </w:pPr>
            <w:r>
              <w:rPr>
                <w:rFonts w:ascii="Arial" w:cs="Arial" w:eastAsia="Arial" w:hAnsi="Arial"/>
                <w:sz w:val="16"/>
                <w:szCs w:val="16"/>
                <w:b w:val="1"/>
                <w:bCs w:val="1"/>
                <w:color w:val="6F2875"/>
              </w:rPr>
              <w:t xml:space="preserve">Disability </w:t>
            </w:r>
            <w:r>
              <w:rPr>
                <w:rFonts w:ascii="Arial" w:cs="Arial" w:eastAsia="Arial" w:hAnsi="Arial"/>
                <w:sz w:val="26"/>
                <w:szCs w:val="26"/>
                <w:b w:val="1"/>
                <w:bCs w:val="1"/>
                <w:color w:val="6F2875"/>
                <w:vertAlign w:val="superscript"/>
              </w:rPr>
              <w:t>(3)(5)</w:t>
            </w:r>
          </w:p>
        </w:tc>
        <w:tc>
          <w:tcPr>
            <w:tcW w:w="860" w:type="dxa"/>
            <w:vAlign w:val="bottom"/>
            <w:tcBorders>
              <w:bottom w:val="single" w:sz="8" w:color="6F2875"/>
            </w:tcBorders>
          </w:tcPr>
          <w:p>
            <w:pPr>
              <w:spacing w:after="0"/>
              <w:rPr>
                <w:sz w:val="19"/>
                <w:szCs w:val="19"/>
                <w:color w:val="auto"/>
              </w:rPr>
            </w:pPr>
          </w:p>
        </w:tc>
        <w:tc>
          <w:tcPr>
            <w:tcW w:w="760" w:type="dxa"/>
            <w:vAlign w:val="bottom"/>
            <w:tcBorders>
              <w:bottom w:val="single" w:sz="8" w:color="6F2875"/>
            </w:tcBorders>
          </w:tcPr>
          <w:p>
            <w:pPr>
              <w:jc w:val="right"/>
              <w:spacing w:after="0" w:line="230" w:lineRule="exact"/>
              <w:rPr>
                <w:sz w:val="20"/>
                <w:szCs w:val="20"/>
                <w:color w:val="auto"/>
              </w:rPr>
            </w:pPr>
            <w:r>
              <w:rPr>
                <w:rFonts w:ascii="Arial" w:cs="Arial" w:eastAsia="Arial" w:hAnsi="Arial"/>
                <w:sz w:val="16"/>
                <w:szCs w:val="16"/>
                <w:b w:val="1"/>
                <w:bCs w:val="1"/>
                <w:color w:val="6F2875"/>
              </w:rPr>
              <w:t xml:space="preserve">Death </w:t>
            </w:r>
            <w:r>
              <w:rPr>
                <w:rFonts w:ascii="Arial" w:cs="Arial" w:eastAsia="Arial" w:hAnsi="Arial"/>
                <w:sz w:val="26"/>
                <w:szCs w:val="26"/>
                <w:b w:val="1"/>
                <w:bCs w:val="1"/>
                <w:color w:val="6F2875"/>
                <w:vertAlign w:val="superscript"/>
              </w:rPr>
              <w:t>(4)</w:t>
            </w:r>
          </w:p>
        </w:tc>
        <w:tc>
          <w:tcPr>
            <w:tcW w:w="1700" w:type="dxa"/>
            <w:vAlign w:val="bottom"/>
            <w:tcBorders>
              <w:bottom w:val="single" w:sz="8" w:color="6F2875"/>
            </w:tcBorders>
            <w:gridSpan w:val="2"/>
          </w:tcPr>
          <w:p>
            <w:pPr>
              <w:jc w:val="right"/>
              <w:ind w:right="19"/>
              <w:spacing w:after="0"/>
              <w:rPr>
                <w:sz w:val="20"/>
                <w:szCs w:val="20"/>
                <w:color w:val="auto"/>
              </w:rPr>
            </w:pPr>
            <w:r>
              <w:rPr>
                <w:rFonts w:ascii="Arial" w:cs="Arial" w:eastAsia="Arial" w:hAnsi="Arial"/>
                <w:sz w:val="16"/>
                <w:szCs w:val="16"/>
                <w:b w:val="1"/>
                <w:bCs w:val="1"/>
                <w:color w:val="6F2875"/>
              </w:rPr>
              <w:t>Retirement</w:t>
            </w:r>
          </w:p>
        </w:tc>
        <w:tc>
          <w:tcPr>
            <w:tcW w:w="0" w:type="dxa"/>
            <w:vAlign w:val="bottom"/>
          </w:tcPr>
          <w:p>
            <w:pPr>
              <w:spacing w:after="0"/>
              <w:rPr>
                <w:sz w:val="1"/>
                <w:szCs w:val="1"/>
                <w:color w:val="auto"/>
              </w:rPr>
            </w:pPr>
          </w:p>
        </w:tc>
      </w:tr>
      <w:tr>
        <w:trPr>
          <w:trHeight w:val="183"/>
        </w:trPr>
        <w:tc>
          <w:tcPr>
            <w:tcW w:w="2080" w:type="dxa"/>
            <w:vAlign w:val="bottom"/>
            <w:gridSpan w:val="2"/>
          </w:tcPr>
          <w:p>
            <w:pPr>
              <w:ind w:left="60"/>
              <w:spacing w:after="0" w:line="183" w:lineRule="exact"/>
              <w:rPr>
                <w:sz w:val="20"/>
                <w:szCs w:val="20"/>
                <w:color w:val="auto"/>
              </w:rPr>
            </w:pPr>
            <w:r>
              <w:rPr>
                <w:rFonts w:ascii="Arial" w:cs="Arial" w:eastAsia="Arial" w:hAnsi="Arial"/>
                <w:sz w:val="16"/>
                <w:szCs w:val="16"/>
                <w:b w:val="1"/>
                <w:bCs w:val="1"/>
                <w:color w:val="231F20"/>
              </w:rPr>
              <w:t>Severance</w:t>
            </w: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231F20"/>
              </w:rPr>
              <w:t>$</w:t>
            </w:r>
          </w:p>
        </w:tc>
        <w:tc>
          <w:tcPr>
            <w:tcW w:w="80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231F20"/>
              </w:rPr>
              <w:t>887,724</w:t>
            </w: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231F20"/>
              </w:rPr>
              <w:t>$</w:t>
            </w:r>
          </w:p>
        </w:tc>
        <w:tc>
          <w:tcPr>
            <w:tcW w:w="960" w:type="dxa"/>
            <w:vAlign w:val="bottom"/>
          </w:tcPr>
          <w:p>
            <w:pPr>
              <w:jc w:val="right"/>
              <w:ind w:right="39"/>
              <w:spacing w:after="0" w:line="183" w:lineRule="exact"/>
              <w:rPr>
                <w:sz w:val="20"/>
                <w:szCs w:val="20"/>
                <w:color w:val="auto"/>
              </w:rPr>
            </w:pPr>
            <w:r>
              <w:rPr>
                <w:rFonts w:ascii="Arial" w:cs="Arial" w:eastAsia="Arial" w:hAnsi="Arial"/>
                <w:sz w:val="16"/>
                <w:szCs w:val="16"/>
                <w:color w:val="231F20"/>
              </w:rPr>
              <w:t>—</w:t>
            </w:r>
          </w:p>
        </w:tc>
        <w:tc>
          <w:tcPr>
            <w:tcW w:w="760" w:type="dxa"/>
            <w:vAlign w:val="bottom"/>
            <w:gridSpan w:val="2"/>
          </w:tcPr>
          <w:p>
            <w:pPr>
              <w:jc w:val="right"/>
              <w:spacing w:after="0" w:line="183" w:lineRule="exact"/>
              <w:rPr>
                <w:sz w:val="20"/>
                <w:szCs w:val="20"/>
                <w:color w:val="auto"/>
              </w:rPr>
            </w:pPr>
            <w:r>
              <w:rPr>
                <w:rFonts w:ascii="Arial" w:cs="Arial" w:eastAsia="Arial" w:hAnsi="Arial"/>
                <w:sz w:val="16"/>
                <w:szCs w:val="16"/>
                <w:color w:val="231F20"/>
              </w:rPr>
              <w:t>$</w:t>
            </w:r>
          </w:p>
        </w:tc>
        <w:tc>
          <w:tcPr>
            <w:tcW w:w="940" w:type="dxa"/>
            <w:vAlign w:val="bottom"/>
          </w:tcPr>
          <w:p>
            <w:pPr>
              <w:jc w:val="right"/>
              <w:ind w:right="139"/>
              <w:spacing w:after="0" w:line="183" w:lineRule="exact"/>
              <w:rPr>
                <w:sz w:val="20"/>
                <w:szCs w:val="20"/>
                <w:color w:val="auto"/>
              </w:rPr>
            </w:pPr>
            <w:r>
              <w:rPr>
                <w:rFonts w:ascii="Arial" w:cs="Arial" w:eastAsia="Arial" w:hAnsi="Arial"/>
                <w:sz w:val="16"/>
                <w:szCs w:val="16"/>
                <w:color w:val="231F20"/>
              </w:rPr>
              <w:t>443,862</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231F20"/>
              </w:rPr>
              <w:t>$</w:t>
            </w: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231F20"/>
              </w:rPr>
              <w:t>—</w:t>
            </w:r>
          </w:p>
        </w:tc>
        <w:tc>
          <w:tcPr>
            <w:tcW w:w="1240" w:type="dxa"/>
            <w:vAlign w:val="bottom"/>
          </w:tcPr>
          <w:p>
            <w:pPr>
              <w:jc w:val="right"/>
              <w:ind w:right="99"/>
              <w:spacing w:after="0" w:line="183" w:lineRule="exact"/>
              <w:rPr>
                <w:sz w:val="20"/>
                <w:szCs w:val="20"/>
                <w:color w:val="auto"/>
              </w:rPr>
            </w:pPr>
            <w:r>
              <w:rPr>
                <w:rFonts w:ascii="Arial" w:cs="Arial" w:eastAsia="Arial" w:hAnsi="Arial"/>
                <w:sz w:val="16"/>
                <w:szCs w:val="16"/>
                <w:color w:val="231F20"/>
              </w:rPr>
              <w:t>$</w:t>
            </w:r>
          </w:p>
        </w:tc>
        <w:tc>
          <w:tcPr>
            <w:tcW w:w="460" w:type="dxa"/>
            <w:vAlign w:val="bottom"/>
          </w:tcPr>
          <w:p>
            <w:pPr>
              <w:jc w:val="right"/>
              <w:ind w:right="19"/>
              <w:spacing w:after="0" w:line="183" w:lineRule="exact"/>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9"/>
        </w:trPr>
        <w:tc>
          <w:tcPr>
            <w:tcW w:w="2080" w:type="dxa"/>
            <w:vAlign w:val="bottom"/>
            <w:gridSpan w:val="2"/>
            <w:shd w:val="clear" w:color="auto" w:fill="F3EDF3"/>
          </w:tcPr>
          <w:p>
            <w:pPr>
              <w:ind w:left="60"/>
              <w:spacing w:after="0"/>
              <w:rPr>
                <w:sz w:val="20"/>
                <w:szCs w:val="20"/>
                <w:color w:val="auto"/>
              </w:rPr>
            </w:pPr>
            <w:r>
              <w:rPr>
                <w:rFonts w:ascii="Arial" w:cs="Arial" w:eastAsia="Arial" w:hAnsi="Arial"/>
                <w:sz w:val="16"/>
                <w:szCs w:val="16"/>
                <w:b w:val="1"/>
                <w:bCs w:val="1"/>
                <w:color w:val="231F20"/>
              </w:rPr>
              <w:t>STIP</w:t>
            </w:r>
          </w:p>
        </w:tc>
        <w:tc>
          <w:tcPr>
            <w:tcW w:w="128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w:t>
            </w:r>
          </w:p>
        </w:tc>
        <w:tc>
          <w:tcPr>
            <w:tcW w:w="800" w:type="dxa"/>
            <w:vAlign w:val="bottom"/>
            <w:gridSpan w:val="2"/>
            <w:shd w:val="clear" w:color="auto" w:fill="F3EDF3"/>
          </w:tcPr>
          <w:p>
            <w:pPr>
              <w:jc w:val="right"/>
              <w:ind w:right="80"/>
              <w:spacing w:after="0"/>
              <w:rPr>
                <w:sz w:val="20"/>
                <w:szCs w:val="20"/>
                <w:color w:val="auto"/>
              </w:rPr>
            </w:pPr>
            <w:r>
              <w:rPr>
                <w:rFonts w:ascii="Arial" w:cs="Arial" w:eastAsia="Arial" w:hAnsi="Arial"/>
                <w:sz w:val="16"/>
                <w:szCs w:val="16"/>
                <w:color w:val="231F20"/>
              </w:rPr>
              <w:t>—</w:t>
            </w:r>
          </w:p>
        </w:tc>
        <w:tc>
          <w:tcPr>
            <w:tcW w:w="128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w:t>
            </w:r>
          </w:p>
        </w:tc>
        <w:tc>
          <w:tcPr>
            <w:tcW w:w="960" w:type="dxa"/>
            <w:vAlign w:val="bottom"/>
            <w:shd w:val="clear" w:color="auto" w:fill="F3EDF3"/>
          </w:tcPr>
          <w:p>
            <w:pPr>
              <w:jc w:val="right"/>
              <w:ind w:right="39"/>
              <w:spacing w:after="0"/>
              <w:rPr>
                <w:sz w:val="20"/>
                <w:szCs w:val="20"/>
                <w:color w:val="auto"/>
              </w:rPr>
            </w:pPr>
            <w:r>
              <w:rPr>
                <w:rFonts w:ascii="Arial" w:cs="Arial" w:eastAsia="Arial" w:hAnsi="Arial"/>
                <w:sz w:val="16"/>
                <w:szCs w:val="16"/>
                <w:color w:val="231F20"/>
              </w:rPr>
              <w:t>—</w:t>
            </w:r>
          </w:p>
        </w:tc>
        <w:tc>
          <w:tcPr>
            <w:tcW w:w="760" w:type="dxa"/>
            <w:vAlign w:val="bottom"/>
            <w:gridSpan w:val="2"/>
            <w:shd w:val="clear" w:color="auto" w:fill="F3EDF3"/>
          </w:tcPr>
          <w:p>
            <w:pPr>
              <w:jc w:val="right"/>
              <w:spacing w:after="0"/>
              <w:rPr>
                <w:sz w:val="20"/>
                <w:szCs w:val="20"/>
                <w:color w:val="auto"/>
              </w:rPr>
            </w:pPr>
            <w:r>
              <w:rPr>
                <w:rFonts w:ascii="Arial" w:cs="Arial" w:eastAsia="Arial" w:hAnsi="Arial"/>
                <w:sz w:val="16"/>
                <w:szCs w:val="16"/>
                <w:color w:val="231F20"/>
              </w:rPr>
              <w:t>$</w:t>
            </w:r>
          </w:p>
        </w:tc>
        <w:tc>
          <w:tcPr>
            <w:tcW w:w="940" w:type="dxa"/>
            <w:vAlign w:val="bottom"/>
            <w:shd w:val="clear" w:color="auto" w:fill="F3EDF3"/>
          </w:tcPr>
          <w:p>
            <w:pPr>
              <w:jc w:val="right"/>
              <w:ind w:right="139"/>
              <w:spacing w:after="0"/>
              <w:rPr>
                <w:sz w:val="20"/>
                <w:szCs w:val="20"/>
                <w:color w:val="auto"/>
              </w:rPr>
            </w:pPr>
            <w:r>
              <w:rPr>
                <w:rFonts w:ascii="Arial" w:cs="Arial" w:eastAsia="Arial" w:hAnsi="Arial"/>
                <w:sz w:val="16"/>
                <w:szCs w:val="16"/>
                <w:color w:val="231F20"/>
              </w:rPr>
              <w:t>—</w:t>
            </w:r>
          </w:p>
        </w:tc>
        <w:tc>
          <w:tcPr>
            <w:tcW w:w="86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w:t>
            </w:r>
          </w:p>
        </w:tc>
        <w:tc>
          <w:tcPr>
            <w:tcW w:w="76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w:t>
            </w:r>
          </w:p>
        </w:tc>
        <w:tc>
          <w:tcPr>
            <w:tcW w:w="1240" w:type="dxa"/>
            <w:vAlign w:val="bottom"/>
            <w:shd w:val="clear" w:color="auto" w:fill="F3EDF3"/>
          </w:tcPr>
          <w:p>
            <w:pPr>
              <w:jc w:val="right"/>
              <w:ind w:right="99"/>
              <w:spacing w:after="0"/>
              <w:rPr>
                <w:sz w:val="20"/>
                <w:szCs w:val="20"/>
                <w:color w:val="auto"/>
              </w:rPr>
            </w:pPr>
            <w:r>
              <w:rPr>
                <w:rFonts w:ascii="Arial" w:cs="Arial" w:eastAsia="Arial" w:hAnsi="Arial"/>
                <w:sz w:val="16"/>
                <w:szCs w:val="16"/>
                <w:color w:val="231F20"/>
              </w:rPr>
              <w:t>$</w:t>
            </w:r>
          </w:p>
        </w:tc>
        <w:tc>
          <w:tcPr>
            <w:tcW w:w="460" w:type="dxa"/>
            <w:vAlign w:val="bottom"/>
            <w:shd w:val="clear" w:color="auto" w:fill="F3EDF3"/>
          </w:tcPr>
          <w:p>
            <w:pPr>
              <w:jc w:val="right"/>
              <w:ind w:right="19"/>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9"/>
        </w:trPr>
        <w:tc>
          <w:tcPr>
            <w:tcW w:w="2080" w:type="dxa"/>
            <w:vAlign w:val="bottom"/>
            <w:gridSpan w:val="2"/>
          </w:tcPr>
          <w:p>
            <w:pPr>
              <w:ind w:left="60"/>
              <w:spacing w:after="0"/>
              <w:rPr>
                <w:sz w:val="20"/>
                <w:szCs w:val="20"/>
                <w:color w:val="auto"/>
              </w:rPr>
            </w:pPr>
            <w:r>
              <w:rPr>
                <w:rFonts w:ascii="Arial" w:cs="Arial" w:eastAsia="Arial" w:hAnsi="Arial"/>
                <w:sz w:val="16"/>
                <w:szCs w:val="16"/>
                <w:b w:val="1"/>
                <w:bCs w:val="1"/>
                <w:color w:val="231F20"/>
              </w:rPr>
              <w:t>LTIP</w:t>
            </w:r>
          </w:p>
        </w:tc>
        <w:tc>
          <w:tcPr>
            <w:tcW w:w="1280" w:type="dxa"/>
            <w:vAlign w:val="bottom"/>
          </w:tcPr>
          <w:p>
            <w:pPr>
              <w:jc w:val="right"/>
              <w:spacing w:after="0"/>
              <w:rPr>
                <w:sz w:val="20"/>
                <w:szCs w:val="20"/>
                <w:color w:val="auto"/>
              </w:rPr>
            </w:pPr>
            <w:r>
              <w:rPr>
                <w:rFonts w:ascii="Arial" w:cs="Arial" w:eastAsia="Arial" w:hAnsi="Arial"/>
                <w:sz w:val="16"/>
                <w:szCs w:val="16"/>
                <w:color w:val="231F20"/>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231F20"/>
              </w:rPr>
              <w:t>—</w:t>
            </w:r>
          </w:p>
        </w:tc>
        <w:tc>
          <w:tcPr>
            <w:tcW w:w="1280" w:type="dxa"/>
            <w:vAlign w:val="bottom"/>
          </w:tcPr>
          <w:p>
            <w:pPr>
              <w:jc w:val="right"/>
              <w:spacing w:after="0"/>
              <w:rPr>
                <w:sz w:val="20"/>
                <w:szCs w:val="20"/>
                <w:color w:val="auto"/>
              </w:rPr>
            </w:pPr>
            <w:r>
              <w:rPr>
                <w:rFonts w:ascii="Arial" w:cs="Arial" w:eastAsia="Arial" w:hAnsi="Arial"/>
                <w:sz w:val="16"/>
                <w:szCs w:val="16"/>
                <w:color w:val="231F20"/>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231F20"/>
              </w:rPr>
              <w:t>14,296,401</w:t>
            </w:r>
          </w:p>
        </w:tc>
        <w:tc>
          <w:tcPr>
            <w:tcW w:w="76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231F20"/>
                <w:w w:val="98"/>
              </w:rPr>
              <w:t>4,590,437</w:t>
            </w:r>
          </w:p>
        </w:tc>
        <w:tc>
          <w:tcPr>
            <w:tcW w:w="860" w:type="dxa"/>
            <w:vAlign w:val="bottom"/>
          </w:tcPr>
          <w:p>
            <w:pPr>
              <w:jc w:val="right"/>
              <w:spacing w:after="0"/>
              <w:rPr>
                <w:sz w:val="20"/>
                <w:szCs w:val="20"/>
                <w:color w:val="auto"/>
              </w:rPr>
            </w:pPr>
            <w:r>
              <w:rPr>
                <w:rFonts w:ascii="Arial" w:cs="Arial" w:eastAsia="Arial" w:hAnsi="Arial"/>
                <w:sz w:val="16"/>
                <w:szCs w:val="16"/>
                <w:color w:val="231F20"/>
              </w:rPr>
              <w:t>$</w:t>
            </w:r>
          </w:p>
        </w:tc>
        <w:tc>
          <w:tcPr>
            <w:tcW w:w="760" w:type="dxa"/>
            <w:vAlign w:val="bottom"/>
          </w:tcPr>
          <w:p>
            <w:pPr>
              <w:jc w:val="right"/>
              <w:spacing w:after="0"/>
              <w:rPr>
                <w:sz w:val="20"/>
                <w:szCs w:val="20"/>
                <w:color w:val="auto"/>
              </w:rPr>
            </w:pPr>
            <w:r>
              <w:rPr>
                <w:rFonts w:ascii="Arial" w:cs="Arial" w:eastAsia="Arial" w:hAnsi="Arial"/>
                <w:sz w:val="16"/>
                <w:szCs w:val="16"/>
                <w:color w:val="231F20"/>
              </w:rPr>
              <w:t>4,590,437</w:t>
            </w:r>
          </w:p>
        </w:tc>
        <w:tc>
          <w:tcPr>
            <w:tcW w:w="1240" w:type="dxa"/>
            <w:vAlign w:val="bottom"/>
          </w:tcPr>
          <w:p>
            <w:pPr>
              <w:jc w:val="right"/>
              <w:ind w:right="99"/>
              <w:spacing w:after="0"/>
              <w:rPr>
                <w:sz w:val="20"/>
                <w:szCs w:val="20"/>
                <w:color w:val="auto"/>
              </w:rPr>
            </w:pPr>
            <w:r>
              <w:rPr>
                <w:rFonts w:ascii="Arial" w:cs="Arial" w:eastAsia="Arial" w:hAnsi="Arial"/>
                <w:sz w:val="16"/>
                <w:szCs w:val="16"/>
                <w:color w:val="231F20"/>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6F2875"/>
            </w:tcBorders>
            <w:gridSpan w:val="2"/>
            <w:shd w:val="clear" w:color="auto" w:fill="F3EDF3"/>
          </w:tcPr>
          <w:p>
            <w:pPr>
              <w:ind w:left="60"/>
              <w:spacing w:after="0"/>
              <w:rPr>
                <w:sz w:val="20"/>
                <w:szCs w:val="20"/>
                <w:color w:val="auto"/>
              </w:rPr>
            </w:pPr>
            <w:r>
              <w:rPr>
                <w:rFonts w:ascii="Arial" w:cs="Arial" w:eastAsia="Arial" w:hAnsi="Arial"/>
                <w:sz w:val="16"/>
                <w:szCs w:val="16"/>
                <w:b w:val="1"/>
                <w:bCs w:val="1"/>
                <w:color w:val="231F20"/>
              </w:rPr>
              <w:t>Benefits</w:t>
            </w:r>
          </w:p>
        </w:tc>
        <w:tc>
          <w:tcPr>
            <w:tcW w:w="1280" w:type="dxa"/>
            <w:vAlign w:val="bottom"/>
            <w:tcBorders>
              <w:bottom w:val="single" w:sz="8" w:color="6F2875"/>
            </w:tcBorders>
            <w:shd w:val="clear" w:color="auto" w:fill="F3EDF3"/>
          </w:tcPr>
          <w:p>
            <w:pPr>
              <w:jc w:val="right"/>
              <w:spacing w:after="0"/>
              <w:rPr>
                <w:sz w:val="20"/>
                <w:szCs w:val="20"/>
                <w:color w:val="auto"/>
              </w:rPr>
            </w:pPr>
            <w:r>
              <w:rPr>
                <w:rFonts w:ascii="Arial" w:cs="Arial" w:eastAsia="Arial" w:hAnsi="Arial"/>
                <w:sz w:val="16"/>
                <w:szCs w:val="16"/>
                <w:color w:val="231F20"/>
              </w:rPr>
              <w:t>$</w:t>
            </w:r>
          </w:p>
        </w:tc>
        <w:tc>
          <w:tcPr>
            <w:tcW w:w="800" w:type="dxa"/>
            <w:vAlign w:val="bottom"/>
            <w:tcBorders>
              <w:bottom w:val="single" w:sz="8" w:color="6F2875"/>
            </w:tcBorders>
            <w:gridSpan w:val="2"/>
            <w:shd w:val="clear" w:color="auto" w:fill="F3EDF3"/>
          </w:tcPr>
          <w:p>
            <w:pPr>
              <w:jc w:val="right"/>
              <w:ind w:right="80"/>
              <w:spacing w:after="0"/>
              <w:rPr>
                <w:sz w:val="20"/>
                <w:szCs w:val="20"/>
                <w:color w:val="auto"/>
              </w:rPr>
            </w:pPr>
            <w:r>
              <w:rPr>
                <w:rFonts w:ascii="Arial" w:cs="Arial" w:eastAsia="Arial" w:hAnsi="Arial"/>
                <w:sz w:val="16"/>
                <w:szCs w:val="16"/>
                <w:color w:val="231F20"/>
              </w:rPr>
              <w:t>402,579</w:t>
            </w:r>
          </w:p>
        </w:tc>
        <w:tc>
          <w:tcPr>
            <w:tcW w:w="1280" w:type="dxa"/>
            <w:vAlign w:val="bottom"/>
            <w:tcBorders>
              <w:bottom w:val="single" w:sz="8" w:color="6F2875"/>
            </w:tcBorders>
            <w:shd w:val="clear" w:color="auto" w:fill="F3EDF3"/>
          </w:tcPr>
          <w:p>
            <w:pPr>
              <w:jc w:val="right"/>
              <w:spacing w:after="0"/>
              <w:rPr>
                <w:sz w:val="20"/>
                <w:szCs w:val="20"/>
                <w:color w:val="auto"/>
              </w:rPr>
            </w:pPr>
            <w:r>
              <w:rPr>
                <w:rFonts w:ascii="Arial" w:cs="Arial" w:eastAsia="Arial" w:hAnsi="Arial"/>
                <w:sz w:val="16"/>
                <w:szCs w:val="16"/>
                <w:color w:val="231F20"/>
              </w:rPr>
              <w:t>$</w:t>
            </w:r>
          </w:p>
        </w:tc>
        <w:tc>
          <w:tcPr>
            <w:tcW w:w="960" w:type="dxa"/>
            <w:vAlign w:val="bottom"/>
            <w:tcBorders>
              <w:bottom w:val="single" w:sz="8" w:color="6F2875"/>
            </w:tcBorders>
            <w:shd w:val="clear" w:color="auto" w:fill="F3EDF3"/>
          </w:tcPr>
          <w:p>
            <w:pPr>
              <w:jc w:val="right"/>
              <w:ind w:right="39"/>
              <w:spacing w:after="0"/>
              <w:rPr>
                <w:sz w:val="20"/>
                <w:szCs w:val="20"/>
                <w:color w:val="auto"/>
              </w:rPr>
            </w:pPr>
            <w:r>
              <w:rPr>
                <w:rFonts w:ascii="Arial" w:cs="Arial" w:eastAsia="Arial" w:hAnsi="Arial"/>
                <w:sz w:val="16"/>
                <w:szCs w:val="16"/>
                <w:color w:val="231F20"/>
              </w:rPr>
              <w:t>—</w:t>
            </w:r>
          </w:p>
        </w:tc>
        <w:tc>
          <w:tcPr>
            <w:tcW w:w="760" w:type="dxa"/>
            <w:vAlign w:val="bottom"/>
            <w:tcBorders>
              <w:bottom w:val="single" w:sz="8" w:color="6F2875"/>
            </w:tcBorders>
            <w:gridSpan w:val="2"/>
            <w:shd w:val="clear" w:color="auto" w:fill="F3EDF3"/>
          </w:tcPr>
          <w:p>
            <w:pPr>
              <w:jc w:val="right"/>
              <w:spacing w:after="0"/>
              <w:rPr>
                <w:sz w:val="20"/>
                <w:szCs w:val="20"/>
                <w:color w:val="auto"/>
              </w:rPr>
            </w:pPr>
            <w:r>
              <w:rPr>
                <w:rFonts w:ascii="Arial" w:cs="Arial" w:eastAsia="Arial" w:hAnsi="Arial"/>
                <w:sz w:val="16"/>
                <w:szCs w:val="16"/>
                <w:color w:val="231F20"/>
              </w:rPr>
              <w:t>$</w:t>
            </w:r>
          </w:p>
        </w:tc>
        <w:tc>
          <w:tcPr>
            <w:tcW w:w="940" w:type="dxa"/>
            <w:vAlign w:val="bottom"/>
            <w:tcBorders>
              <w:bottom w:val="single" w:sz="8" w:color="6F2875"/>
            </w:tcBorders>
            <w:shd w:val="clear" w:color="auto" w:fill="F3EDF3"/>
          </w:tcPr>
          <w:p>
            <w:pPr>
              <w:jc w:val="right"/>
              <w:ind w:right="139"/>
              <w:spacing w:after="0"/>
              <w:rPr>
                <w:sz w:val="20"/>
                <w:szCs w:val="20"/>
                <w:color w:val="auto"/>
              </w:rPr>
            </w:pPr>
            <w:r>
              <w:rPr>
                <w:rFonts w:ascii="Arial" w:cs="Arial" w:eastAsia="Arial" w:hAnsi="Arial"/>
                <w:sz w:val="16"/>
                <w:szCs w:val="16"/>
                <w:color w:val="231F20"/>
              </w:rPr>
              <w:t>201,289</w:t>
            </w:r>
          </w:p>
        </w:tc>
        <w:tc>
          <w:tcPr>
            <w:tcW w:w="860" w:type="dxa"/>
            <w:vAlign w:val="bottom"/>
            <w:tcBorders>
              <w:bottom w:val="single" w:sz="8" w:color="6F2875"/>
            </w:tcBorders>
            <w:shd w:val="clear" w:color="auto" w:fill="F3EDF3"/>
          </w:tcPr>
          <w:p>
            <w:pPr>
              <w:jc w:val="right"/>
              <w:spacing w:after="0"/>
              <w:rPr>
                <w:sz w:val="20"/>
                <w:szCs w:val="20"/>
                <w:color w:val="auto"/>
              </w:rPr>
            </w:pPr>
            <w:r>
              <w:rPr>
                <w:rFonts w:ascii="Arial" w:cs="Arial" w:eastAsia="Arial" w:hAnsi="Arial"/>
                <w:sz w:val="16"/>
                <w:szCs w:val="16"/>
                <w:color w:val="231F20"/>
              </w:rPr>
              <w:t>$</w:t>
            </w:r>
          </w:p>
        </w:tc>
        <w:tc>
          <w:tcPr>
            <w:tcW w:w="760" w:type="dxa"/>
            <w:vAlign w:val="bottom"/>
            <w:tcBorders>
              <w:bottom w:val="single" w:sz="8" w:color="6F2875"/>
            </w:tcBorders>
            <w:shd w:val="clear" w:color="auto" w:fill="F3EDF3"/>
          </w:tcPr>
          <w:p>
            <w:pPr>
              <w:jc w:val="right"/>
              <w:spacing w:after="0"/>
              <w:rPr>
                <w:sz w:val="20"/>
                <w:szCs w:val="20"/>
                <w:color w:val="auto"/>
              </w:rPr>
            </w:pPr>
            <w:r>
              <w:rPr>
                <w:rFonts w:ascii="Arial" w:cs="Arial" w:eastAsia="Arial" w:hAnsi="Arial"/>
                <w:sz w:val="16"/>
                <w:szCs w:val="16"/>
                <w:color w:val="231F20"/>
              </w:rPr>
              <w:t>—</w:t>
            </w:r>
          </w:p>
        </w:tc>
        <w:tc>
          <w:tcPr>
            <w:tcW w:w="1240" w:type="dxa"/>
            <w:vAlign w:val="bottom"/>
            <w:tcBorders>
              <w:bottom w:val="single" w:sz="8" w:color="6F2875"/>
            </w:tcBorders>
            <w:shd w:val="clear" w:color="auto" w:fill="F3EDF3"/>
          </w:tcPr>
          <w:p>
            <w:pPr>
              <w:jc w:val="right"/>
              <w:ind w:right="99"/>
              <w:spacing w:after="0"/>
              <w:rPr>
                <w:sz w:val="20"/>
                <w:szCs w:val="20"/>
                <w:color w:val="auto"/>
              </w:rPr>
            </w:pPr>
            <w:r>
              <w:rPr>
                <w:rFonts w:ascii="Arial" w:cs="Arial" w:eastAsia="Arial" w:hAnsi="Arial"/>
                <w:sz w:val="16"/>
                <w:szCs w:val="16"/>
                <w:color w:val="231F20"/>
              </w:rPr>
              <w:t>$</w:t>
            </w:r>
          </w:p>
        </w:tc>
        <w:tc>
          <w:tcPr>
            <w:tcW w:w="460" w:type="dxa"/>
            <w:vAlign w:val="bottom"/>
            <w:tcBorders>
              <w:bottom w:val="single" w:sz="8" w:color="6F2875"/>
            </w:tcBorders>
            <w:shd w:val="clear" w:color="auto" w:fill="F3EDF3"/>
          </w:tcPr>
          <w:p>
            <w:pPr>
              <w:jc w:val="right"/>
              <w:ind w:right="19"/>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3"/>
        </w:trPr>
        <w:tc>
          <w:tcPr>
            <w:tcW w:w="2080" w:type="dxa"/>
            <w:vAlign w:val="bottom"/>
            <w:tcBorders>
              <w:bottom w:val="single" w:sz="8" w:color="6F2875"/>
            </w:tcBorders>
            <w:gridSpan w:val="2"/>
          </w:tcPr>
          <w:p>
            <w:pPr>
              <w:ind w:left="60"/>
              <w:spacing w:after="0" w:line="183" w:lineRule="exact"/>
              <w:rPr>
                <w:sz w:val="20"/>
                <w:szCs w:val="20"/>
                <w:color w:val="auto"/>
              </w:rPr>
            </w:pPr>
            <w:r>
              <w:rPr>
                <w:rFonts w:ascii="Arial" w:cs="Arial" w:eastAsia="Arial" w:hAnsi="Arial"/>
                <w:sz w:val="16"/>
                <w:szCs w:val="16"/>
                <w:b w:val="1"/>
                <w:bCs w:val="1"/>
                <w:color w:val="6F2875"/>
              </w:rPr>
              <w:t>TOTAL</w:t>
            </w:r>
          </w:p>
        </w:tc>
        <w:tc>
          <w:tcPr>
            <w:tcW w:w="1280" w:type="dxa"/>
            <w:vAlign w:val="bottom"/>
            <w:tcBorders>
              <w:bottom w:val="single" w:sz="8" w:color="6F2875"/>
            </w:tcBorders>
          </w:tcPr>
          <w:p>
            <w:pPr>
              <w:jc w:val="right"/>
              <w:spacing w:after="0" w:line="183" w:lineRule="exact"/>
              <w:rPr>
                <w:sz w:val="20"/>
                <w:szCs w:val="20"/>
                <w:color w:val="auto"/>
              </w:rPr>
            </w:pPr>
            <w:r>
              <w:rPr>
                <w:rFonts w:ascii="Arial" w:cs="Arial" w:eastAsia="Arial" w:hAnsi="Arial"/>
                <w:sz w:val="16"/>
                <w:szCs w:val="16"/>
                <w:b w:val="1"/>
                <w:bCs w:val="1"/>
                <w:color w:val="6F2875"/>
              </w:rPr>
              <w:t>$</w:t>
            </w:r>
          </w:p>
        </w:tc>
        <w:tc>
          <w:tcPr>
            <w:tcW w:w="800" w:type="dxa"/>
            <w:vAlign w:val="bottom"/>
            <w:tcBorders>
              <w:bottom w:val="single" w:sz="8" w:color="6F2875"/>
            </w:tcBorders>
            <w:gridSpan w:val="2"/>
          </w:tcPr>
          <w:p>
            <w:pPr>
              <w:jc w:val="right"/>
              <w:ind w:right="80"/>
              <w:spacing w:after="0" w:line="183" w:lineRule="exact"/>
              <w:rPr>
                <w:sz w:val="20"/>
                <w:szCs w:val="20"/>
                <w:color w:val="auto"/>
              </w:rPr>
            </w:pPr>
            <w:r>
              <w:rPr>
                <w:rFonts w:ascii="Arial" w:cs="Arial" w:eastAsia="Arial" w:hAnsi="Arial"/>
                <w:sz w:val="16"/>
                <w:szCs w:val="16"/>
                <w:b w:val="1"/>
                <w:bCs w:val="1"/>
                <w:color w:val="6F2875"/>
                <w:w w:val="98"/>
              </w:rPr>
              <w:t>1,290,303</w:t>
            </w:r>
          </w:p>
        </w:tc>
        <w:tc>
          <w:tcPr>
            <w:tcW w:w="1280" w:type="dxa"/>
            <w:vAlign w:val="bottom"/>
            <w:tcBorders>
              <w:bottom w:val="single" w:sz="8" w:color="6F2875"/>
            </w:tcBorders>
          </w:tcPr>
          <w:p>
            <w:pPr>
              <w:jc w:val="right"/>
              <w:spacing w:after="0" w:line="183" w:lineRule="exact"/>
              <w:rPr>
                <w:sz w:val="20"/>
                <w:szCs w:val="20"/>
                <w:color w:val="auto"/>
              </w:rPr>
            </w:pPr>
            <w:r>
              <w:rPr>
                <w:rFonts w:ascii="Arial" w:cs="Arial" w:eastAsia="Arial" w:hAnsi="Arial"/>
                <w:sz w:val="16"/>
                <w:szCs w:val="16"/>
                <w:b w:val="1"/>
                <w:bCs w:val="1"/>
                <w:color w:val="6F2875"/>
              </w:rPr>
              <w:t>$</w:t>
            </w:r>
          </w:p>
        </w:tc>
        <w:tc>
          <w:tcPr>
            <w:tcW w:w="960" w:type="dxa"/>
            <w:vAlign w:val="bottom"/>
            <w:tcBorders>
              <w:bottom w:val="single" w:sz="8" w:color="6F2875"/>
            </w:tcBorders>
          </w:tcPr>
          <w:p>
            <w:pPr>
              <w:jc w:val="right"/>
              <w:ind w:right="39"/>
              <w:spacing w:after="0" w:line="183" w:lineRule="exact"/>
              <w:rPr>
                <w:sz w:val="20"/>
                <w:szCs w:val="20"/>
                <w:color w:val="auto"/>
              </w:rPr>
            </w:pPr>
            <w:r>
              <w:rPr>
                <w:rFonts w:ascii="Arial" w:cs="Arial" w:eastAsia="Arial" w:hAnsi="Arial"/>
                <w:sz w:val="16"/>
                <w:szCs w:val="16"/>
                <w:b w:val="1"/>
                <w:bCs w:val="1"/>
                <w:color w:val="6F2875"/>
              </w:rPr>
              <w:t>14,296,401</w:t>
            </w:r>
          </w:p>
        </w:tc>
        <w:tc>
          <w:tcPr>
            <w:tcW w:w="760" w:type="dxa"/>
            <w:vAlign w:val="bottom"/>
            <w:tcBorders>
              <w:bottom w:val="single" w:sz="8" w:color="6F2875"/>
            </w:tcBorders>
            <w:gridSpan w:val="2"/>
          </w:tcPr>
          <w:p>
            <w:pPr>
              <w:jc w:val="right"/>
              <w:spacing w:after="0" w:line="183" w:lineRule="exact"/>
              <w:rPr>
                <w:sz w:val="20"/>
                <w:szCs w:val="20"/>
                <w:color w:val="auto"/>
              </w:rPr>
            </w:pPr>
            <w:r>
              <w:rPr>
                <w:rFonts w:ascii="Arial" w:cs="Arial" w:eastAsia="Arial" w:hAnsi="Arial"/>
                <w:sz w:val="16"/>
                <w:szCs w:val="16"/>
                <w:b w:val="1"/>
                <w:bCs w:val="1"/>
                <w:color w:val="6F2875"/>
              </w:rPr>
              <w:t>$</w:t>
            </w:r>
          </w:p>
        </w:tc>
        <w:tc>
          <w:tcPr>
            <w:tcW w:w="940" w:type="dxa"/>
            <w:vAlign w:val="bottom"/>
            <w:tcBorders>
              <w:bottom w:val="single" w:sz="8" w:color="6F2875"/>
            </w:tcBorders>
          </w:tcPr>
          <w:p>
            <w:pPr>
              <w:jc w:val="right"/>
              <w:ind w:right="139"/>
              <w:spacing w:after="0" w:line="183" w:lineRule="exact"/>
              <w:rPr>
                <w:sz w:val="20"/>
                <w:szCs w:val="20"/>
                <w:color w:val="auto"/>
              </w:rPr>
            </w:pPr>
            <w:r>
              <w:rPr>
                <w:rFonts w:ascii="Arial" w:cs="Arial" w:eastAsia="Arial" w:hAnsi="Arial"/>
                <w:sz w:val="16"/>
                <w:szCs w:val="16"/>
                <w:b w:val="1"/>
                <w:bCs w:val="1"/>
                <w:color w:val="6F2875"/>
                <w:w w:val="98"/>
              </w:rPr>
              <w:t>5,235,588</w:t>
            </w:r>
          </w:p>
        </w:tc>
        <w:tc>
          <w:tcPr>
            <w:tcW w:w="860" w:type="dxa"/>
            <w:vAlign w:val="bottom"/>
            <w:tcBorders>
              <w:bottom w:val="single" w:sz="8" w:color="6F2875"/>
            </w:tcBorders>
          </w:tcPr>
          <w:p>
            <w:pPr>
              <w:jc w:val="right"/>
              <w:spacing w:after="0" w:line="183" w:lineRule="exact"/>
              <w:rPr>
                <w:sz w:val="20"/>
                <w:szCs w:val="20"/>
                <w:color w:val="auto"/>
              </w:rPr>
            </w:pPr>
            <w:r>
              <w:rPr>
                <w:rFonts w:ascii="Arial" w:cs="Arial" w:eastAsia="Arial" w:hAnsi="Arial"/>
                <w:sz w:val="16"/>
                <w:szCs w:val="16"/>
                <w:b w:val="1"/>
                <w:bCs w:val="1"/>
                <w:color w:val="6F2875"/>
              </w:rPr>
              <w:t>$</w:t>
            </w:r>
          </w:p>
        </w:tc>
        <w:tc>
          <w:tcPr>
            <w:tcW w:w="760" w:type="dxa"/>
            <w:vAlign w:val="bottom"/>
            <w:tcBorders>
              <w:bottom w:val="single" w:sz="8" w:color="6F2875"/>
            </w:tcBorders>
          </w:tcPr>
          <w:p>
            <w:pPr>
              <w:jc w:val="right"/>
              <w:spacing w:after="0" w:line="183" w:lineRule="exact"/>
              <w:rPr>
                <w:sz w:val="20"/>
                <w:szCs w:val="20"/>
                <w:color w:val="auto"/>
              </w:rPr>
            </w:pPr>
            <w:r>
              <w:rPr>
                <w:rFonts w:ascii="Arial" w:cs="Arial" w:eastAsia="Arial" w:hAnsi="Arial"/>
                <w:sz w:val="16"/>
                <w:szCs w:val="16"/>
                <w:b w:val="1"/>
                <w:bCs w:val="1"/>
                <w:color w:val="6F2875"/>
              </w:rPr>
              <w:t>4,590,437</w:t>
            </w:r>
          </w:p>
        </w:tc>
        <w:tc>
          <w:tcPr>
            <w:tcW w:w="1240" w:type="dxa"/>
            <w:vAlign w:val="bottom"/>
            <w:tcBorders>
              <w:bottom w:val="single" w:sz="8" w:color="6F2875"/>
            </w:tcBorders>
          </w:tcPr>
          <w:p>
            <w:pPr>
              <w:jc w:val="right"/>
              <w:ind w:right="99"/>
              <w:spacing w:after="0" w:line="183" w:lineRule="exact"/>
              <w:rPr>
                <w:sz w:val="20"/>
                <w:szCs w:val="20"/>
                <w:color w:val="auto"/>
              </w:rPr>
            </w:pPr>
            <w:r>
              <w:rPr>
                <w:rFonts w:ascii="Arial" w:cs="Arial" w:eastAsia="Arial" w:hAnsi="Arial"/>
                <w:sz w:val="16"/>
                <w:szCs w:val="16"/>
                <w:b w:val="1"/>
                <w:bCs w:val="1"/>
                <w:color w:val="6F2875"/>
              </w:rPr>
              <w:t>$</w:t>
            </w:r>
          </w:p>
        </w:tc>
        <w:tc>
          <w:tcPr>
            <w:tcW w:w="460" w:type="dxa"/>
            <w:vAlign w:val="bottom"/>
            <w:tcBorders>
              <w:bottom w:val="single" w:sz="8" w:color="6F2875"/>
            </w:tcBorders>
          </w:tcPr>
          <w:p>
            <w:pPr>
              <w:jc w:val="right"/>
              <w:ind w:right="19"/>
              <w:spacing w:after="0" w:line="183" w:lineRule="exact"/>
              <w:rPr>
                <w:sz w:val="20"/>
                <w:szCs w:val="20"/>
                <w:color w:val="auto"/>
              </w:rPr>
            </w:pPr>
            <w:r>
              <w:rPr>
                <w:rFonts w:ascii="Arial" w:cs="Arial" w:eastAsia="Arial" w:hAnsi="Arial"/>
                <w:sz w:val="16"/>
                <w:szCs w:val="16"/>
                <w:b w:val="1"/>
                <w:bCs w:val="1"/>
                <w:color w:val="6F2875"/>
              </w:rPr>
              <w:t>—</w:t>
            </w:r>
          </w:p>
        </w:tc>
        <w:tc>
          <w:tcPr>
            <w:tcW w:w="0" w:type="dxa"/>
            <w:vAlign w:val="bottom"/>
          </w:tcPr>
          <w:p>
            <w:pPr>
              <w:spacing w:after="0"/>
              <w:rPr>
                <w:sz w:val="1"/>
                <w:szCs w:val="1"/>
                <w:color w:val="auto"/>
              </w:rPr>
            </w:pPr>
          </w:p>
        </w:tc>
      </w:tr>
      <w:tr>
        <w:trPr>
          <w:trHeight w:val="304"/>
        </w:trPr>
        <w:tc>
          <w:tcPr>
            <w:tcW w:w="360" w:type="dxa"/>
            <w:vAlign w:val="bottom"/>
            <w:vMerge w:val="restart"/>
          </w:tcPr>
          <w:p>
            <w:pPr>
              <w:spacing w:after="0"/>
              <w:rPr>
                <w:sz w:val="20"/>
                <w:szCs w:val="20"/>
                <w:color w:val="auto"/>
              </w:rPr>
            </w:pPr>
            <w:r>
              <w:rPr>
                <w:rFonts w:ascii="Arial" w:cs="Arial" w:eastAsia="Arial" w:hAnsi="Arial"/>
                <w:sz w:val="16"/>
                <w:szCs w:val="16"/>
                <w:b w:val="1"/>
                <w:bCs w:val="1"/>
                <w:color w:val="auto"/>
              </w:rPr>
              <w:t>40</w:t>
            </w:r>
          </w:p>
        </w:tc>
        <w:tc>
          <w:tcPr>
            <w:tcW w:w="17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7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6F2875"/>
              </w:rPr>
              <w:t>www.livanova.com</w:t>
            </w:r>
          </w:p>
        </w:tc>
        <w:tc>
          <w:tcPr>
            <w:tcW w:w="0" w:type="dxa"/>
            <w:vAlign w:val="bottom"/>
          </w:tcPr>
          <w:p>
            <w:pPr>
              <w:spacing w:after="0"/>
              <w:rPr>
                <w:sz w:val="1"/>
                <w:szCs w:val="1"/>
                <w:color w:val="auto"/>
              </w:rPr>
            </w:pPr>
          </w:p>
        </w:tc>
      </w:tr>
      <w:tr>
        <w:trPr>
          <w:trHeight w:val="69"/>
        </w:trPr>
        <w:tc>
          <w:tcPr>
            <w:tcW w:w="360" w:type="dxa"/>
            <w:vAlign w:val="bottom"/>
            <w:vMerge w:val="continue"/>
          </w:tcPr>
          <w:p>
            <w:pPr>
              <w:spacing w:after="0"/>
              <w:rPr>
                <w:sz w:val="5"/>
                <w:szCs w:val="5"/>
                <w:color w:val="auto"/>
              </w:rPr>
            </w:pPr>
          </w:p>
        </w:tc>
        <w:tc>
          <w:tcPr>
            <w:tcW w:w="17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94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360" w:type="dxa"/>
            <w:vAlign w:val="bottom"/>
            <w:tcBorders>
              <w:bottom w:val="single" w:sz="8" w:color="C0C0C0"/>
            </w:tcBorders>
          </w:tcPr>
          <w:p>
            <w:pPr>
              <w:spacing w:after="0"/>
              <w:rPr>
                <w:sz w:val="24"/>
                <w:szCs w:val="24"/>
                <w:color w:val="auto"/>
              </w:rPr>
            </w:pPr>
          </w:p>
        </w:tc>
        <w:tc>
          <w:tcPr>
            <w:tcW w:w="1720" w:type="dxa"/>
            <w:vAlign w:val="bottom"/>
            <w:tcBorders>
              <w:bottom w:val="single" w:sz="8" w:color="C0C0C0"/>
            </w:tcBorders>
          </w:tcPr>
          <w:p>
            <w:pPr>
              <w:spacing w:after="0"/>
              <w:rPr>
                <w:sz w:val="24"/>
                <w:szCs w:val="24"/>
                <w:color w:val="auto"/>
              </w:rPr>
            </w:pPr>
          </w:p>
        </w:tc>
        <w:tc>
          <w:tcPr>
            <w:tcW w:w="1280" w:type="dxa"/>
            <w:vAlign w:val="bottom"/>
            <w:tcBorders>
              <w:bottom w:val="single" w:sz="8" w:color="C0C0C0"/>
            </w:tcBorders>
          </w:tcPr>
          <w:p>
            <w:pPr>
              <w:spacing w:after="0"/>
              <w:rPr>
                <w:sz w:val="24"/>
                <w:szCs w:val="24"/>
                <w:color w:val="auto"/>
              </w:rPr>
            </w:pPr>
          </w:p>
        </w:tc>
        <w:tc>
          <w:tcPr>
            <w:tcW w:w="660" w:type="dxa"/>
            <w:vAlign w:val="bottom"/>
            <w:tcBorders>
              <w:bottom w:val="single" w:sz="8" w:color="C0C0C0"/>
            </w:tcBorders>
          </w:tcPr>
          <w:p>
            <w:pPr>
              <w:spacing w:after="0"/>
              <w:rPr>
                <w:sz w:val="24"/>
                <w:szCs w:val="24"/>
                <w:color w:val="auto"/>
              </w:rPr>
            </w:pPr>
          </w:p>
        </w:tc>
        <w:tc>
          <w:tcPr>
            <w:tcW w:w="140" w:type="dxa"/>
            <w:vAlign w:val="bottom"/>
            <w:tcBorders>
              <w:bottom w:val="single" w:sz="8" w:color="C0C0C0"/>
            </w:tcBorders>
          </w:tcPr>
          <w:p>
            <w:pPr>
              <w:spacing w:after="0"/>
              <w:rPr>
                <w:sz w:val="24"/>
                <w:szCs w:val="24"/>
                <w:color w:val="auto"/>
              </w:rPr>
            </w:pPr>
          </w:p>
        </w:tc>
        <w:tc>
          <w:tcPr>
            <w:tcW w:w="1280" w:type="dxa"/>
            <w:vAlign w:val="bottom"/>
            <w:tcBorders>
              <w:bottom w:val="single" w:sz="8" w:color="C0C0C0"/>
            </w:tcBorders>
          </w:tcPr>
          <w:p>
            <w:pPr>
              <w:spacing w:after="0"/>
              <w:rPr>
                <w:sz w:val="24"/>
                <w:szCs w:val="24"/>
                <w:color w:val="auto"/>
              </w:rPr>
            </w:pPr>
          </w:p>
        </w:tc>
        <w:tc>
          <w:tcPr>
            <w:tcW w:w="960" w:type="dxa"/>
            <w:vAlign w:val="bottom"/>
            <w:tcBorders>
              <w:bottom w:val="single" w:sz="8" w:color="C0C0C0"/>
            </w:tcBorders>
          </w:tcPr>
          <w:p>
            <w:pPr>
              <w:spacing w:after="0"/>
              <w:rPr>
                <w:sz w:val="24"/>
                <w:szCs w:val="24"/>
                <w:color w:val="auto"/>
              </w:rPr>
            </w:pPr>
          </w:p>
        </w:tc>
        <w:tc>
          <w:tcPr>
            <w:tcW w:w="700" w:type="dxa"/>
            <w:vAlign w:val="bottom"/>
            <w:tcBorders>
              <w:bottom w:val="single" w:sz="8" w:color="C0C0C0"/>
            </w:tcBorders>
          </w:tcPr>
          <w:p>
            <w:pPr>
              <w:spacing w:after="0"/>
              <w:rPr>
                <w:sz w:val="24"/>
                <w:szCs w:val="24"/>
                <w:color w:val="auto"/>
              </w:rPr>
            </w:pPr>
          </w:p>
        </w:tc>
        <w:tc>
          <w:tcPr>
            <w:tcW w:w="60" w:type="dxa"/>
            <w:vAlign w:val="bottom"/>
            <w:tcBorders>
              <w:bottom w:val="single" w:sz="8" w:color="C0C0C0"/>
            </w:tcBorders>
          </w:tcPr>
          <w:p>
            <w:pPr>
              <w:spacing w:after="0"/>
              <w:rPr>
                <w:sz w:val="24"/>
                <w:szCs w:val="24"/>
                <w:color w:val="auto"/>
              </w:rPr>
            </w:pPr>
          </w:p>
        </w:tc>
        <w:tc>
          <w:tcPr>
            <w:tcW w:w="940" w:type="dxa"/>
            <w:vAlign w:val="bottom"/>
            <w:tcBorders>
              <w:bottom w:val="single" w:sz="8" w:color="C0C0C0"/>
            </w:tcBorders>
          </w:tcPr>
          <w:p>
            <w:pPr>
              <w:spacing w:after="0"/>
              <w:rPr>
                <w:sz w:val="24"/>
                <w:szCs w:val="24"/>
                <w:color w:val="auto"/>
              </w:rPr>
            </w:pPr>
          </w:p>
        </w:tc>
        <w:tc>
          <w:tcPr>
            <w:tcW w:w="860" w:type="dxa"/>
            <w:vAlign w:val="bottom"/>
            <w:tcBorders>
              <w:bottom w:val="single" w:sz="8" w:color="C0C0C0"/>
            </w:tcBorders>
          </w:tcPr>
          <w:p>
            <w:pPr>
              <w:spacing w:after="0"/>
              <w:rPr>
                <w:sz w:val="24"/>
                <w:szCs w:val="24"/>
                <w:color w:val="auto"/>
              </w:rPr>
            </w:pPr>
          </w:p>
        </w:tc>
        <w:tc>
          <w:tcPr>
            <w:tcW w:w="760" w:type="dxa"/>
            <w:vAlign w:val="bottom"/>
            <w:tcBorders>
              <w:bottom w:val="single" w:sz="8" w:color="C0C0C0"/>
            </w:tcBorders>
          </w:tcPr>
          <w:p>
            <w:pPr>
              <w:spacing w:after="0"/>
              <w:rPr>
                <w:sz w:val="24"/>
                <w:szCs w:val="24"/>
                <w:color w:val="auto"/>
              </w:rPr>
            </w:pPr>
          </w:p>
        </w:tc>
        <w:tc>
          <w:tcPr>
            <w:tcW w:w="124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ind w:left="340" w:hanging="332"/>
        <w:spacing w:after="0" w:line="279" w:lineRule="auto"/>
        <w:tabs>
          <w:tab w:leader="none" w:pos="340" w:val="left"/>
        </w:tabs>
        <w:numPr>
          <w:ilvl w:val="0"/>
          <w:numId w:val="38"/>
        </w:numPr>
        <w:rPr>
          <w:rFonts w:ascii="Arial" w:cs="Arial" w:eastAsia="Arial" w:hAnsi="Arial"/>
          <w:sz w:val="14"/>
          <w:szCs w:val="14"/>
          <w:i w:val="1"/>
          <w:iCs w:val="1"/>
          <w:color w:val="231F20"/>
        </w:rPr>
      </w:pPr>
      <w:r>
        <w:rPr>
          <w:rFonts w:ascii="Arial" w:cs="Arial" w:eastAsia="Arial" w:hAnsi="Arial"/>
          <w:sz w:val="14"/>
          <w:szCs w:val="14"/>
          <w:i w:val="1"/>
          <w:iCs w:val="1"/>
          <w:color w:val="231F20"/>
        </w:rPr>
        <w:t>The severance amount represents twelve months of basic salary ($887,724) and the benefits amount represents twelve months of pension ($133,159), accommodation ($202,369), school allowance ($43,104), and car allowance ($23,947).</w:t>
      </w:r>
    </w:p>
    <w:p>
      <w:pPr>
        <w:spacing w:after="0" w:line="3" w:lineRule="exact"/>
        <w:rPr>
          <w:rFonts w:ascii="Arial" w:cs="Arial" w:eastAsia="Arial" w:hAnsi="Arial"/>
          <w:sz w:val="14"/>
          <w:szCs w:val="14"/>
          <w:i w:val="1"/>
          <w:iCs w:val="1"/>
          <w:color w:val="231F20"/>
        </w:rPr>
      </w:pPr>
    </w:p>
    <w:p>
      <w:pPr>
        <w:jc w:val="both"/>
        <w:ind w:left="340" w:hanging="332"/>
        <w:spacing w:after="0" w:line="254" w:lineRule="auto"/>
        <w:tabs>
          <w:tab w:leader="none" w:pos="340" w:val="left"/>
        </w:tabs>
        <w:numPr>
          <w:ilvl w:val="0"/>
          <w:numId w:val="38"/>
        </w:numPr>
        <w:rPr>
          <w:rFonts w:ascii="Arial" w:cs="Arial" w:eastAsia="Arial" w:hAnsi="Arial"/>
          <w:sz w:val="14"/>
          <w:szCs w:val="14"/>
          <w:i w:val="1"/>
          <w:iCs w:val="1"/>
          <w:color w:val="231F20"/>
        </w:rPr>
      </w:pPr>
      <w:r>
        <w:rPr>
          <w:rFonts w:ascii="Arial" w:cs="Arial" w:eastAsia="Arial" w:hAnsi="Arial"/>
          <w:sz w:val="14"/>
          <w:szCs w:val="14"/>
          <w:i w:val="1"/>
          <w:iCs w:val="1"/>
          <w:color w:val="231F20"/>
        </w:rPr>
        <w:t>LTIP Potential payments in case of separation due to change in control are calculated adding the amount resulting from multiplying the 121,446 RSUs subject to accelerated vesting in case of a change in control by the closing market price at December 31, 2017 ($79.92) and the amount resulting multiplying each SARs award subject to accelerated vesting in case of a change in control by the difference between the closing market price at December 31, 2017 ($79.92) and the exercise price for each SARs , as follows (130,670 SARs with an exercise price of $44.79).</w:t>
      </w:r>
    </w:p>
    <w:p>
      <w:pPr>
        <w:spacing w:after="0" w:line="20" w:lineRule="exact"/>
        <w:rPr>
          <w:rFonts w:ascii="Arial" w:cs="Arial" w:eastAsia="Arial" w:hAnsi="Arial"/>
          <w:sz w:val="14"/>
          <w:szCs w:val="14"/>
          <w:i w:val="1"/>
          <w:iCs w:val="1"/>
          <w:color w:val="231F20"/>
        </w:rPr>
      </w:pPr>
    </w:p>
    <w:p>
      <w:pPr>
        <w:jc w:val="both"/>
        <w:ind w:left="340" w:hanging="332"/>
        <w:spacing w:after="0" w:line="260" w:lineRule="auto"/>
        <w:tabs>
          <w:tab w:leader="none" w:pos="340" w:val="left"/>
        </w:tabs>
        <w:numPr>
          <w:ilvl w:val="0"/>
          <w:numId w:val="38"/>
        </w:numPr>
        <w:rPr>
          <w:rFonts w:ascii="Arial" w:cs="Arial" w:eastAsia="Arial" w:hAnsi="Arial"/>
          <w:sz w:val="14"/>
          <w:szCs w:val="14"/>
          <w:i w:val="1"/>
          <w:iCs w:val="1"/>
          <w:color w:val="231F20"/>
        </w:rPr>
      </w:pPr>
      <w:r>
        <w:rPr>
          <w:rFonts w:ascii="Arial" w:cs="Arial" w:eastAsia="Arial" w:hAnsi="Arial"/>
          <w:sz w:val="14"/>
          <w:szCs w:val="14"/>
          <w:i w:val="1"/>
          <w:iCs w:val="1"/>
          <w:color w:val="231F20"/>
        </w:rPr>
        <w:t>The severance amount represents six months of basic salary and benefits; LTIP Potential payments in case of separation due to disability calculated by multiplying each SARs award subject to accelerated vesting in case of a disability by the difference between the closing market price at December 31, 2017 ($79.92) and the exercise price for each SARs , as follows (130,670 SARs with an exercise price of $44.79).</w:t>
      </w:r>
    </w:p>
    <w:p>
      <w:pPr>
        <w:spacing w:after="0" w:line="16" w:lineRule="exact"/>
        <w:rPr>
          <w:rFonts w:ascii="Arial" w:cs="Arial" w:eastAsia="Arial" w:hAnsi="Arial"/>
          <w:sz w:val="14"/>
          <w:szCs w:val="14"/>
          <w:i w:val="1"/>
          <w:iCs w:val="1"/>
          <w:color w:val="231F20"/>
        </w:rPr>
      </w:pPr>
    </w:p>
    <w:p>
      <w:pPr>
        <w:jc w:val="both"/>
        <w:ind w:left="340" w:hanging="332"/>
        <w:spacing w:after="0" w:line="260" w:lineRule="auto"/>
        <w:tabs>
          <w:tab w:leader="none" w:pos="340" w:val="left"/>
        </w:tabs>
        <w:numPr>
          <w:ilvl w:val="0"/>
          <w:numId w:val="38"/>
        </w:numPr>
        <w:rPr>
          <w:rFonts w:ascii="Arial" w:cs="Arial" w:eastAsia="Arial" w:hAnsi="Arial"/>
          <w:sz w:val="14"/>
          <w:szCs w:val="14"/>
          <w:i w:val="1"/>
          <w:iCs w:val="1"/>
          <w:color w:val="231F20"/>
        </w:rPr>
      </w:pPr>
      <w:r>
        <w:rPr>
          <w:rFonts w:ascii="Arial" w:cs="Arial" w:eastAsia="Arial" w:hAnsi="Arial"/>
          <w:sz w:val="14"/>
          <w:szCs w:val="14"/>
          <w:i w:val="1"/>
          <w:iCs w:val="1"/>
          <w:color w:val="231F20"/>
        </w:rPr>
        <w:t>The severance amounts represents six months of basic salary and benefits; LTIP Potential payments in case of separation due to death calculated by multiplying each SARs award subject to accelerated vesting in case of a disability by the difference between the closing market price at December 31, 2017 ($79.92) and the exercise price for each SARs , as follows (130,670 SARs with an exercise price of $44.79).</w:t>
      </w:r>
    </w:p>
    <w:p>
      <w:pPr>
        <w:spacing w:after="0" w:line="16" w:lineRule="exact"/>
        <w:rPr>
          <w:rFonts w:ascii="Arial" w:cs="Arial" w:eastAsia="Arial" w:hAnsi="Arial"/>
          <w:sz w:val="14"/>
          <w:szCs w:val="14"/>
          <w:i w:val="1"/>
          <w:iCs w:val="1"/>
          <w:color w:val="231F20"/>
        </w:rPr>
      </w:pPr>
    </w:p>
    <w:p>
      <w:pPr>
        <w:ind w:left="340" w:hanging="332"/>
        <w:spacing w:after="0"/>
        <w:tabs>
          <w:tab w:leader="none" w:pos="340" w:val="left"/>
        </w:tabs>
        <w:numPr>
          <w:ilvl w:val="0"/>
          <w:numId w:val="38"/>
        </w:numPr>
        <w:rPr>
          <w:rFonts w:ascii="Arial" w:cs="Arial" w:eastAsia="Arial" w:hAnsi="Arial"/>
          <w:sz w:val="14"/>
          <w:szCs w:val="14"/>
          <w:i w:val="1"/>
          <w:iCs w:val="1"/>
          <w:color w:val="231F20"/>
        </w:rPr>
      </w:pPr>
      <w:r>
        <w:rPr>
          <w:rFonts w:ascii="Arial" w:cs="Arial" w:eastAsia="Arial" w:hAnsi="Arial"/>
          <w:sz w:val="14"/>
          <w:szCs w:val="14"/>
          <w:i w:val="1"/>
          <w:iCs w:val="1"/>
          <w:color w:val="231F20"/>
        </w:rPr>
        <w:t>For the amounts on this table, we used an exchange rate of $1.349124 per British pound, which reflects the exchange rate on December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Mr. Huston</w:t>
      </w: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The Compensation Committee approved a service agreement between Mr. Huston and us effective as of May 20, 2017. The agreement provides for an annual base salary in the amount of £375,000 ($505,922) (later increased to £386,250 ($521,099) as of April 1, 2018) and an opportunity to earn an annual cash incentive bonus with a target amount equal to 90% of his annual base salary. In addition, we agreed to pay Mr. Huston an annual car allowance of £13,200 ($17,808.40) and pension contributions equal to 15% of the sum of his base salary and annual bonus. Mr. Huston is also be eligible to participate in our employee benefit plans made available to all our UK-based employees. The agreement will continue in effect until the expiration of 12 months following notice of termination. Mr. Huston also benefitted from certain relocation benefits under the agreement.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231F20"/>
        </w:rPr>
        <w:t>On April 27, 2017, we also delivered a side letter to Mr. Huston confirming his eligibility for future equity awards.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231F20"/>
        </w:rPr>
        <w:t>Potential payments to Mr. Huston in the event of a termination or change-in-control as of December 31,2017 are as set out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ind w:left="60"/>
              <w:spacing w:after="0"/>
              <w:rPr>
                <w:sz w:val="20"/>
                <w:szCs w:val="20"/>
                <w:color w:val="auto"/>
              </w:rPr>
            </w:pPr>
            <w:r>
              <w:rPr>
                <w:rFonts w:ascii="Arial" w:cs="Arial" w:eastAsia="Arial" w:hAnsi="Arial"/>
                <w:sz w:val="16"/>
                <w:szCs w:val="16"/>
                <w:b w:val="1"/>
                <w:bCs w:val="1"/>
                <w:color w:val="6F2875"/>
              </w:rPr>
              <w:t>Type of Payment</w:t>
            </w:r>
          </w:p>
        </w:tc>
        <w:tc>
          <w:tcPr>
            <w:tcW w:w="2340" w:type="dxa"/>
            <w:vAlign w:val="bottom"/>
            <w:gridSpan w:val="2"/>
            <w:vMerge w:val="restart"/>
          </w:tcPr>
          <w:p>
            <w:pPr>
              <w:jc w:val="center"/>
              <w:ind w:left="719"/>
              <w:spacing w:after="0"/>
              <w:rPr>
                <w:sz w:val="20"/>
                <w:szCs w:val="20"/>
                <w:color w:val="auto"/>
              </w:rPr>
            </w:pPr>
            <w:r>
              <w:rPr>
                <w:rFonts w:ascii="Arial" w:cs="Arial" w:eastAsia="Arial" w:hAnsi="Arial"/>
                <w:sz w:val="16"/>
                <w:szCs w:val="16"/>
                <w:b w:val="1"/>
                <w:bCs w:val="1"/>
                <w:color w:val="6F2875"/>
                <w:w w:val="92"/>
              </w:rPr>
              <w:t xml:space="preserve">Termination </w:t>
            </w:r>
            <w:r>
              <w:rPr>
                <w:rFonts w:ascii="Arial" w:cs="Arial" w:eastAsia="Arial" w:hAnsi="Arial"/>
                <w:sz w:val="27"/>
                <w:szCs w:val="27"/>
                <w:b w:val="1"/>
                <w:bCs w:val="1"/>
                <w:color w:val="6F2875"/>
                <w:w w:val="92"/>
                <w:vertAlign w:val="superscript"/>
              </w:rPr>
              <w:t>(1)(4)</w:t>
            </w:r>
          </w:p>
        </w:tc>
        <w:tc>
          <w:tcPr>
            <w:tcW w:w="18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6F2875"/>
              </w:rPr>
              <w:t>Separation due to</w:t>
            </w:r>
          </w:p>
        </w:tc>
        <w:tc>
          <w:tcPr>
            <w:tcW w:w="174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6F2875"/>
              </w:rPr>
              <w:t>Separation due to</w:t>
            </w:r>
          </w:p>
        </w:tc>
        <w:tc>
          <w:tcPr>
            <w:tcW w:w="15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6F2875"/>
              </w:rPr>
              <w:t>Seperation due</w:t>
            </w:r>
          </w:p>
        </w:tc>
        <w:tc>
          <w:tcPr>
            <w:tcW w:w="16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6F2875"/>
              </w:rPr>
              <w:t>Separation due to</w:t>
            </w:r>
          </w:p>
        </w:tc>
        <w:tc>
          <w:tcPr>
            <w:tcW w:w="0" w:type="dxa"/>
            <w:vAlign w:val="bottom"/>
          </w:tcPr>
          <w:p>
            <w:pPr>
              <w:spacing w:after="0"/>
              <w:rPr>
                <w:sz w:val="1"/>
                <w:szCs w:val="1"/>
                <w:color w:val="auto"/>
              </w:rPr>
            </w:pPr>
          </w:p>
        </w:tc>
      </w:tr>
      <w:tr>
        <w:trPr>
          <w:trHeight w:val="230"/>
        </w:trPr>
        <w:tc>
          <w:tcPr>
            <w:tcW w:w="2280" w:type="dxa"/>
            <w:vAlign w:val="bottom"/>
            <w:tcBorders>
              <w:bottom w:val="single" w:sz="8" w:color="6F2875"/>
            </w:tcBorders>
          </w:tcPr>
          <w:p>
            <w:pPr>
              <w:ind w:left="60"/>
              <w:spacing w:after="0"/>
              <w:rPr>
                <w:sz w:val="20"/>
                <w:szCs w:val="20"/>
                <w:color w:val="auto"/>
              </w:rPr>
            </w:pPr>
            <w:r>
              <w:rPr>
                <w:rFonts w:ascii="Arial" w:cs="Arial" w:eastAsia="Arial" w:hAnsi="Arial"/>
                <w:sz w:val="16"/>
                <w:szCs w:val="16"/>
                <w:b w:val="1"/>
                <w:bCs w:val="1"/>
                <w:color w:val="6F2875"/>
              </w:rPr>
              <w:t>or Benefit</w:t>
            </w:r>
          </w:p>
        </w:tc>
        <w:tc>
          <w:tcPr>
            <w:tcW w:w="2340" w:type="dxa"/>
            <w:vAlign w:val="bottom"/>
            <w:tcBorders>
              <w:bottom w:val="single" w:sz="8" w:color="6F2875"/>
            </w:tcBorders>
            <w:gridSpan w:val="2"/>
            <w:vMerge w:val="continue"/>
          </w:tcPr>
          <w:p>
            <w:pPr>
              <w:spacing w:after="0"/>
              <w:rPr>
                <w:sz w:val="19"/>
                <w:szCs w:val="19"/>
                <w:color w:val="auto"/>
              </w:rPr>
            </w:pPr>
          </w:p>
        </w:tc>
        <w:tc>
          <w:tcPr>
            <w:tcW w:w="1840" w:type="dxa"/>
            <w:vAlign w:val="bottom"/>
            <w:tcBorders>
              <w:bottom w:val="single" w:sz="8" w:color="6F2875"/>
            </w:tcBorders>
            <w:gridSpan w:val="2"/>
          </w:tcPr>
          <w:p>
            <w:pPr>
              <w:jc w:val="right"/>
              <w:ind w:right="19"/>
              <w:spacing w:after="0" w:line="230" w:lineRule="exact"/>
              <w:rPr>
                <w:sz w:val="20"/>
                <w:szCs w:val="20"/>
                <w:color w:val="auto"/>
              </w:rPr>
            </w:pPr>
            <w:r>
              <w:rPr>
                <w:rFonts w:ascii="Arial" w:cs="Arial" w:eastAsia="Arial" w:hAnsi="Arial"/>
                <w:sz w:val="16"/>
                <w:szCs w:val="16"/>
                <w:b w:val="1"/>
                <w:bCs w:val="1"/>
                <w:color w:val="6F2875"/>
              </w:rPr>
              <w:t xml:space="preserve">Change in Control </w:t>
            </w:r>
            <w:r>
              <w:rPr>
                <w:rFonts w:ascii="Arial" w:cs="Arial" w:eastAsia="Arial" w:hAnsi="Arial"/>
                <w:sz w:val="26"/>
                <w:szCs w:val="26"/>
                <w:b w:val="1"/>
                <w:bCs w:val="1"/>
                <w:color w:val="6F2875"/>
                <w:vertAlign w:val="superscript"/>
              </w:rPr>
              <w:t>(2)</w:t>
            </w:r>
          </w:p>
        </w:tc>
        <w:tc>
          <w:tcPr>
            <w:tcW w:w="1740" w:type="dxa"/>
            <w:vAlign w:val="bottom"/>
            <w:tcBorders>
              <w:bottom w:val="single" w:sz="8" w:color="6F2875"/>
            </w:tcBorders>
            <w:gridSpan w:val="2"/>
          </w:tcPr>
          <w:p>
            <w:pPr>
              <w:jc w:val="right"/>
              <w:ind w:right="179"/>
              <w:spacing w:after="0" w:line="230" w:lineRule="exact"/>
              <w:rPr>
                <w:sz w:val="20"/>
                <w:szCs w:val="20"/>
                <w:color w:val="auto"/>
              </w:rPr>
            </w:pPr>
            <w:r>
              <w:rPr>
                <w:rFonts w:ascii="Arial" w:cs="Arial" w:eastAsia="Arial" w:hAnsi="Arial"/>
                <w:sz w:val="16"/>
                <w:szCs w:val="16"/>
                <w:b w:val="1"/>
                <w:bCs w:val="1"/>
                <w:color w:val="6F2875"/>
              </w:rPr>
              <w:t xml:space="preserve">Disability </w:t>
            </w:r>
            <w:r>
              <w:rPr>
                <w:rFonts w:ascii="Arial" w:cs="Arial" w:eastAsia="Arial" w:hAnsi="Arial"/>
                <w:sz w:val="26"/>
                <w:szCs w:val="26"/>
                <w:b w:val="1"/>
                <w:bCs w:val="1"/>
                <w:color w:val="6F2875"/>
                <w:vertAlign w:val="superscript"/>
              </w:rPr>
              <w:t>(3)(4)</w:t>
            </w:r>
          </w:p>
        </w:tc>
        <w:tc>
          <w:tcPr>
            <w:tcW w:w="1580" w:type="dxa"/>
            <w:vAlign w:val="bottom"/>
            <w:tcBorders>
              <w:bottom w:val="single" w:sz="8" w:color="6F2875"/>
            </w:tcBorders>
            <w:gridSpan w:val="2"/>
          </w:tcPr>
          <w:p>
            <w:pPr>
              <w:jc w:val="right"/>
              <w:ind w:right="79"/>
              <w:spacing w:after="0"/>
              <w:rPr>
                <w:sz w:val="20"/>
                <w:szCs w:val="20"/>
                <w:color w:val="auto"/>
              </w:rPr>
            </w:pPr>
            <w:r>
              <w:rPr>
                <w:rFonts w:ascii="Arial" w:cs="Arial" w:eastAsia="Arial" w:hAnsi="Arial"/>
                <w:sz w:val="16"/>
                <w:szCs w:val="16"/>
                <w:b w:val="1"/>
                <w:bCs w:val="1"/>
                <w:color w:val="6F2875"/>
              </w:rPr>
              <w:t>to Death</w:t>
            </w:r>
          </w:p>
        </w:tc>
        <w:tc>
          <w:tcPr>
            <w:tcW w:w="1640" w:type="dxa"/>
            <w:vAlign w:val="bottom"/>
            <w:tcBorders>
              <w:bottom w:val="single" w:sz="8" w:color="6F2875"/>
            </w:tcBorders>
            <w:gridSpan w:val="2"/>
          </w:tcPr>
          <w:p>
            <w:pPr>
              <w:jc w:val="right"/>
              <w:ind w:right="19"/>
              <w:spacing w:after="0"/>
              <w:rPr>
                <w:sz w:val="20"/>
                <w:szCs w:val="20"/>
                <w:color w:val="auto"/>
              </w:rPr>
            </w:pPr>
            <w:r>
              <w:rPr>
                <w:rFonts w:ascii="Arial" w:cs="Arial" w:eastAsia="Arial" w:hAnsi="Arial"/>
                <w:sz w:val="16"/>
                <w:szCs w:val="16"/>
                <w:b w:val="1"/>
                <w:bCs w:val="1"/>
                <w:color w:val="6F2875"/>
              </w:rPr>
              <w:t>Retirement</w:t>
            </w:r>
          </w:p>
        </w:tc>
        <w:tc>
          <w:tcPr>
            <w:tcW w:w="0" w:type="dxa"/>
            <w:vAlign w:val="bottom"/>
          </w:tcPr>
          <w:p>
            <w:pPr>
              <w:spacing w:after="0"/>
              <w:rPr>
                <w:sz w:val="1"/>
                <w:szCs w:val="1"/>
                <w:color w:val="auto"/>
              </w:rPr>
            </w:pPr>
          </w:p>
        </w:tc>
      </w:tr>
      <w:tr>
        <w:trPr>
          <w:trHeight w:val="183"/>
        </w:trPr>
        <w:tc>
          <w:tcPr>
            <w:tcW w:w="2280" w:type="dxa"/>
            <w:vAlign w:val="bottom"/>
          </w:tcPr>
          <w:p>
            <w:pPr>
              <w:ind w:left="60"/>
              <w:spacing w:after="0" w:line="183" w:lineRule="exact"/>
              <w:rPr>
                <w:sz w:val="20"/>
                <w:szCs w:val="20"/>
                <w:color w:val="auto"/>
              </w:rPr>
            </w:pPr>
            <w:r>
              <w:rPr>
                <w:rFonts w:ascii="Arial" w:cs="Arial" w:eastAsia="Arial" w:hAnsi="Arial"/>
                <w:sz w:val="16"/>
                <w:szCs w:val="16"/>
                <w:b w:val="1"/>
                <w:bCs w:val="1"/>
                <w:color w:val="231F20"/>
              </w:rPr>
              <w:t>Severance</w:t>
            </w:r>
          </w:p>
        </w:tc>
        <w:tc>
          <w:tcPr>
            <w:tcW w:w="1620" w:type="dxa"/>
            <w:vAlign w:val="bottom"/>
          </w:tcPr>
          <w:p>
            <w:pPr>
              <w:jc w:val="center"/>
              <w:ind w:left="1439"/>
              <w:spacing w:after="0" w:line="183" w:lineRule="exact"/>
              <w:rPr>
                <w:sz w:val="20"/>
                <w:szCs w:val="20"/>
                <w:color w:val="auto"/>
              </w:rPr>
            </w:pPr>
            <w:r>
              <w:rPr>
                <w:rFonts w:ascii="Arial" w:cs="Arial" w:eastAsia="Arial" w:hAnsi="Arial"/>
                <w:sz w:val="16"/>
                <w:szCs w:val="16"/>
                <w:color w:val="231F20"/>
              </w:rPr>
              <w:t>$</w:t>
            </w:r>
          </w:p>
        </w:tc>
        <w:tc>
          <w:tcPr>
            <w:tcW w:w="720" w:type="dxa"/>
            <w:vAlign w:val="bottom"/>
          </w:tcPr>
          <w:p>
            <w:pPr>
              <w:jc w:val="right"/>
              <w:ind w:right="39"/>
              <w:spacing w:after="0" w:line="183" w:lineRule="exact"/>
              <w:rPr>
                <w:sz w:val="20"/>
                <w:szCs w:val="20"/>
                <w:color w:val="auto"/>
              </w:rPr>
            </w:pPr>
            <w:r>
              <w:rPr>
                <w:rFonts w:ascii="Arial" w:cs="Arial" w:eastAsia="Arial" w:hAnsi="Arial"/>
                <w:sz w:val="16"/>
                <w:szCs w:val="16"/>
                <w:color w:val="231F20"/>
              </w:rPr>
              <w:t>505,922</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231F20"/>
              </w:rPr>
              <w:t>$</w:t>
            </w:r>
          </w:p>
        </w:tc>
        <w:tc>
          <w:tcPr>
            <w:tcW w:w="820" w:type="dxa"/>
            <w:vAlign w:val="bottom"/>
          </w:tcPr>
          <w:p>
            <w:pPr>
              <w:jc w:val="right"/>
              <w:ind w:right="19"/>
              <w:spacing w:after="0" w:line="183" w:lineRule="exact"/>
              <w:rPr>
                <w:sz w:val="20"/>
                <w:szCs w:val="20"/>
                <w:color w:val="auto"/>
              </w:rPr>
            </w:pPr>
            <w:r>
              <w:rPr>
                <w:rFonts w:ascii="Arial" w:cs="Arial" w:eastAsia="Arial" w:hAnsi="Arial"/>
                <w:sz w:val="16"/>
                <w:szCs w:val="16"/>
                <w:color w:val="231F20"/>
              </w:rPr>
              <w:t>—</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231F20"/>
              </w:rPr>
              <w:t>$</w:t>
            </w:r>
          </w:p>
        </w:tc>
        <w:tc>
          <w:tcPr>
            <w:tcW w:w="880" w:type="dxa"/>
            <w:vAlign w:val="bottom"/>
          </w:tcPr>
          <w:p>
            <w:pPr>
              <w:jc w:val="right"/>
              <w:ind w:right="179"/>
              <w:spacing w:after="0" w:line="183" w:lineRule="exact"/>
              <w:rPr>
                <w:sz w:val="20"/>
                <w:szCs w:val="20"/>
                <w:color w:val="auto"/>
              </w:rPr>
            </w:pPr>
            <w:r>
              <w:rPr>
                <w:rFonts w:ascii="Arial" w:cs="Arial" w:eastAsia="Arial" w:hAnsi="Arial"/>
                <w:sz w:val="16"/>
                <w:szCs w:val="16"/>
                <w:color w:val="231F20"/>
              </w:rPr>
              <w:t>252,961</w:t>
            </w:r>
          </w:p>
        </w:tc>
        <w:tc>
          <w:tcPr>
            <w:tcW w:w="1060" w:type="dxa"/>
            <w:vAlign w:val="bottom"/>
          </w:tcPr>
          <w:p>
            <w:pPr>
              <w:jc w:val="right"/>
              <w:ind w:right="119"/>
              <w:spacing w:after="0" w:line="183" w:lineRule="exact"/>
              <w:rPr>
                <w:sz w:val="20"/>
                <w:szCs w:val="20"/>
                <w:color w:val="auto"/>
              </w:rPr>
            </w:pPr>
            <w:r>
              <w:rPr>
                <w:rFonts w:ascii="Arial" w:cs="Arial" w:eastAsia="Arial" w:hAnsi="Arial"/>
                <w:sz w:val="16"/>
                <w:szCs w:val="16"/>
                <w:color w:val="231F20"/>
              </w:rPr>
              <w:t>$</w:t>
            </w:r>
          </w:p>
        </w:tc>
        <w:tc>
          <w:tcPr>
            <w:tcW w:w="520" w:type="dxa"/>
            <w:vAlign w:val="bottom"/>
          </w:tcPr>
          <w:p>
            <w:pPr>
              <w:jc w:val="right"/>
              <w:ind w:right="79"/>
              <w:spacing w:after="0" w:line="183" w:lineRule="exact"/>
              <w:rPr>
                <w:sz w:val="20"/>
                <w:szCs w:val="20"/>
                <w:color w:val="auto"/>
              </w:rPr>
            </w:pPr>
            <w:r>
              <w:rPr>
                <w:rFonts w:ascii="Arial" w:cs="Arial" w:eastAsia="Arial" w:hAnsi="Arial"/>
                <w:sz w:val="16"/>
                <w:szCs w:val="16"/>
                <w:color w:val="231F20"/>
              </w:rPr>
              <w:t>—</w:t>
            </w:r>
          </w:p>
        </w:tc>
        <w:tc>
          <w:tcPr>
            <w:tcW w:w="1160" w:type="dxa"/>
            <w:vAlign w:val="bottom"/>
          </w:tcPr>
          <w:p>
            <w:pPr>
              <w:jc w:val="right"/>
              <w:ind w:right="119"/>
              <w:spacing w:after="0" w:line="183" w:lineRule="exact"/>
              <w:rPr>
                <w:sz w:val="20"/>
                <w:szCs w:val="20"/>
                <w:color w:val="auto"/>
              </w:rPr>
            </w:pPr>
            <w:r>
              <w:rPr>
                <w:rFonts w:ascii="Arial" w:cs="Arial" w:eastAsia="Arial" w:hAnsi="Arial"/>
                <w:sz w:val="16"/>
                <w:szCs w:val="16"/>
                <w:color w:val="231F20"/>
              </w:rPr>
              <w:t>$</w:t>
            </w:r>
          </w:p>
        </w:tc>
        <w:tc>
          <w:tcPr>
            <w:tcW w:w="480" w:type="dxa"/>
            <w:vAlign w:val="bottom"/>
          </w:tcPr>
          <w:p>
            <w:pPr>
              <w:jc w:val="right"/>
              <w:ind w:right="19"/>
              <w:spacing w:after="0" w:line="183" w:lineRule="exact"/>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9"/>
        </w:trPr>
        <w:tc>
          <w:tcPr>
            <w:tcW w:w="2280" w:type="dxa"/>
            <w:vAlign w:val="bottom"/>
            <w:shd w:val="clear" w:color="auto" w:fill="F3EDF3"/>
          </w:tcPr>
          <w:p>
            <w:pPr>
              <w:ind w:left="60"/>
              <w:spacing w:after="0"/>
              <w:rPr>
                <w:sz w:val="20"/>
                <w:szCs w:val="20"/>
                <w:color w:val="auto"/>
              </w:rPr>
            </w:pPr>
            <w:r>
              <w:rPr>
                <w:rFonts w:ascii="Arial" w:cs="Arial" w:eastAsia="Arial" w:hAnsi="Arial"/>
                <w:sz w:val="16"/>
                <w:szCs w:val="16"/>
                <w:b w:val="1"/>
                <w:bCs w:val="1"/>
                <w:color w:val="231F20"/>
              </w:rPr>
              <w:t>STIP</w:t>
            </w:r>
          </w:p>
        </w:tc>
        <w:tc>
          <w:tcPr>
            <w:tcW w:w="1620" w:type="dxa"/>
            <w:vAlign w:val="bottom"/>
            <w:shd w:val="clear" w:color="auto" w:fill="F3EDF3"/>
          </w:tcPr>
          <w:p>
            <w:pPr>
              <w:jc w:val="center"/>
              <w:ind w:left="1439"/>
              <w:spacing w:after="0"/>
              <w:rPr>
                <w:sz w:val="20"/>
                <w:szCs w:val="20"/>
                <w:color w:val="auto"/>
              </w:rPr>
            </w:pPr>
            <w:r>
              <w:rPr>
                <w:rFonts w:ascii="Arial" w:cs="Arial" w:eastAsia="Arial" w:hAnsi="Arial"/>
                <w:sz w:val="16"/>
                <w:szCs w:val="16"/>
                <w:color w:val="231F20"/>
              </w:rPr>
              <w:t>$</w:t>
            </w:r>
          </w:p>
        </w:tc>
        <w:tc>
          <w:tcPr>
            <w:tcW w:w="720" w:type="dxa"/>
            <w:vAlign w:val="bottom"/>
            <w:shd w:val="clear" w:color="auto" w:fill="F3EDF3"/>
          </w:tcPr>
          <w:p>
            <w:pPr>
              <w:jc w:val="right"/>
              <w:ind w:right="39"/>
              <w:spacing w:after="0"/>
              <w:rPr>
                <w:sz w:val="20"/>
                <w:szCs w:val="20"/>
                <w:color w:val="auto"/>
              </w:rPr>
            </w:pPr>
            <w:r>
              <w:rPr>
                <w:rFonts w:ascii="Arial" w:cs="Arial" w:eastAsia="Arial" w:hAnsi="Arial"/>
                <w:sz w:val="16"/>
                <w:szCs w:val="16"/>
                <w:color w:val="231F20"/>
              </w:rPr>
              <w:t>—</w:t>
            </w:r>
          </w:p>
        </w:tc>
        <w:tc>
          <w:tcPr>
            <w:tcW w:w="102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w:t>
            </w:r>
          </w:p>
        </w:tc>
        <w:tc>
          <w:tcPr>
            <w:tcW w:w="820" w:type="dxa"/>
            <w:vAlign w:val="bottom"/>
            <w:shd w:val="clear" w:color="auto" w:fill="F3EDF3"/>
          </w:tcPr>
          <w:p>
            <w:pPr>
              <w:jc w:val="right"/>
              <w:ind w:right="19"/>
              <w:spacing w:after="0"/>
              <w:rPr>
                <w:sz w:val="20"/>
                <w:szCs w:val="20"/>
                <w:color w:val="auto"/>
              </w:rPr>
            </w:pPr>
            <w:r>
              <w:rPr>
                <w:rFonts w:ascii="Arial" w:cs="Arial" w:eastAsia="Arial" w:hAnsi="Arial"/>
                <w:sz w:val="16"/>
                <w:szCs w:val="16"/>
                <w:color w:val="231F20"/>
              </w:rPr>
              <w:t>—</w:t>
            </w:r>
          </w:p>
        </w:tc>
        <w:tc>
          <w:tcPr>
            <w:tcW w:w="86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w:t>
            </w:r>
          </w:p>
        </w:tc>
        <w:tc>
          <w:tcPr>
            <w:tcW w:w="880" w:type="dxa"/>
            <w:vAlign w:val="bottom"/>
            <w:shd w:val="clear" w:color="auto" w:fill="F3EDF3"/>
          </w:tcPr>
          <w:p>
            <w:pPr>
              <w:jc w:val="right"/>
              <w:ind w:right="179"/>
              <w:spacing w:after="0"/>
              <w:rPr>
                <w:sz w:val="20"/>
                <w:szCs w:val="20"/>
                <w:color w:val="auto"/>
              </w:rPr>
            </w:pPr>
            <w:r>
              <w:rPr>
                <w:rFonts w:ascii="Arial" w:cs="Arial" w:eastAsia="Arial" w:hAnsi="Arial"/>
                <w:sz w:val="16"/>
                <w:szCs w:val="16"/>
                <w:color w:val="231F20"/>
              </w:rPr>
              <w:t>—</w:t>
            </w:r>
          </w:p>
        </w:tc>
        <w:tc>
          <w:tcPr>
            <w:tcW w:w="1060" w:type="dxa"/>
            <w:vAlign w:val="bottom"/>
            <w:shd w:val="clear" w:color="auto" w:fill="F3EDF3"/>
          </w:tcPr>
          <w:p>
            <w:pPr>
              <w:jc w:val="right"/>
              <w:ind w:right="119"/>
              <w:spacing w:after="0"/>
              <w:rPr>
                <w:sz w:val="20"/>
                <w:szCs w:val="20"/>
                <w:color w:val="auto"/>
              </w:rPr>
            </w:pPr>
            <w:r>
              <w:rPr>
                <w:rFonts w:ascii="Arial" w:cs="Arial" w:eastAsia="Arial" w:hAnsi="Arial"/>
                <w:sz w:val="16"/>
                <w:szCs w:val="16"/>
                <w:color w:val="231F20"/>
              </w:rPr>
              <w:t>$</w:t>
            </w:r>
          </w:p>
        </w:tc>
        <w:tc>
          <w:tcPr>
            <w:tcW w:w="520" w:type="dxa"/>
            <w:vAlign w:val="bottom"/>
            <w:shd w:val="clear" w:color="auto" w:fill="F3EDF3"/>
          </w:tcPr>
          <w:p>
            <w:pPr>
              <w:jc w:val="right"/>
              <w:ind w:right="79"/>
              <w:spacing w:after="0"/>
              <w:rPr>
                <w:sz w:val="20"/>
                <w:szCs w:val="20"/>
                <w:color w:val="auto"/>
              </w:rPr>
            </w:pPr>
            <w:r>
              <w:rPr>
                <w:rFonts w:ascii="Arial" w:cs="Arial" w:eastAsia="Arial" w:hAnsi="Arial"/>
                <w:sz w:val="16"/>
                <w:szCs w:val="16"/>
                <w:color w:val="231F20"/>
              </w:rPr>
              <w:t>—</w:t>
            </w:r>
          </w:p>
        </w:tc>
        <w:tc>
          <w:tcPr>
            <w:tcW w:w="1160" w:type="dxa"/>
            <w:vAlign w:val="bottom"/>
            <w:shd w:val="clear" w:color="auto" w:fill="F3EDF3"/>
          </w:tcPr>
          <w:p>
            <w:pPr>
              <w:jc w:val="right"/>
              <w:ind w:right="119"/>
              <w:spacing w:after="0"/>
              <w:rPr>
                <w:sz w:val="20"/>
                <w:szCs w:val="20"/>
                <w:color w:val="auto"/>
              </w:rPr>
            </w:pPr>
            <w:r>
              <w:rPr>
                <w:rFonts w:ascii="Arial" w:cs="Arial" w:eastAsia="Arial" w:hAnsi="Arial"/>
                <w:sz w:val="16"/>
                <w:szCs w:val="16"/>
                <w:color w:val="231F20"/>
              </w:rPr>
              <w:t>$</w:t>
            </w:r>
          </w:p>
        </w:tc>
        <w:tc>
          <w:tcPr>
            <w:tcW w:w="480" w:type="dxa"/>
            <w:vAlign w:val="bottom"/>
            <w:shd w:val="clear" w:color="auto" w:fill="F3EDF3"/>
          </w:tcPr>
          <w:p>
            <w:pPr>
              <w:jc w:val="right"/>
              <w:ind w:right="19"/>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9"/>
        </w:trPr>
        <w:tc>
          <w:tcPr>
            <w:tcW w:w="2280" w:type="dxa"/>
            <w:vAlign w:val="bottom"/>
          </w:tcPr>
          <w:p>
            <w:pPr>
              <w:ind w:left="60"/>
              <w:spacing w:after="0"/>
              <w:rPr>
                <w:sz w:val="20"/>
                <w:szCs w:val="20"/>
                <w:color w:val="auto"/>
              </w:rPr>
            </w:pPr>
            <w:r>
              <w:rPr>
                <w:rFonts w:ascii="Arial" w:cs="Arial" w:eastAsia="Arial" w:hAnsi="Arial"/>
                <w:sz w:val="16"/>
                <w:szCs w:val="16"/>
                <w:b w:val="1"/>
                <w:bCs w:val="1"/>
                <w:color w:val="231F20"/>
              </w:rPr>
              <w:t>LTIP</w:t>
            </w:r>
          </w:p>
        </w:tc>
        <w:tc>
          <w:tcPr>
            <w:tcW w:w="1620" w:type="dxa"/>
            <w:vAlign w:val="bottom"/>
          </w:tcPr>
          <w:p>
            <w:pPr>
              <w:jc w:val="center"/>
              <w:ind w:left="1439"/>
              <w:spacing w:after="0"/>
              <w:rPr>
                <w:sz w:val="20"/>
                <w:szCs w:val="20"/>
                <w:color w:val="auto"/>
              </w:rPr>
            </w:pPr>
            <w:r>
              <w:rPr>
                <w:rFonts w:ascii="Arial" w:cs="Arial" w:eastAsia="Arial" w:hAnsi="Arial"/>
                <w:sz w:val="16"/>
                <w:szCs w:val="16"/>
                <w:color w:val="231F20"/>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231F20"/>
              </w:rPr>
              <w:t>—</w:t>
            </w:r>
          </w:p>
        </w:tc>
        <w:tc>
          <w:tcPr>
            <w:tcW w:w="1020" w:type="dxa"/>
            <w:vAlign w:val="bottom"/>
          </w:tcPr>
          <w:p>
            <w:pPr>
              <w:jc w:val="right"/>
              <w:spacing w:after="0"/>
              <w:rPr>
                <w:sz w:val="20"/>
                <w:szCs w:val="20"/>
                <w:color w:val="auto"/>
              </w:rPr>
            </w:pPr>
            <w:r>
              <w:rPr>
                <w:rFonts w:ascii="Arial" w:cs="Arial" w:eastAsia="Arial" w:hAnsi="Arial"/>
                <w:sz w:val="16"/>
                <w:szCs w:val="16"/>
                <w:color w:val="231F20"/>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231F20"/>
                <w:w w:val="98"/>
              </w:rPr>
              <w:t>5,205,989</w:t>
            </w:r>
          </w:p>
        </w:tc>
        <w:tc>
          <w:tcPr>
            <w:tcW w:w="860" w:type="dxa"/>
            <w:vAlign w:val="bottom"/>
          </w:tcPr>
          <w:p>
            <w:pPr>
              <w:jc w:val="right"/>
              <w:spacing w:after="0"/>
              <w:rPr>
                <w:sz w:val="20"/>
                <w:szCs w:val="20"/>
                <w:color w:val="auto"/>
              </w:rPr>
            </w:pPr>
            <w:r>
              <w:rPr>
                <w:rFonts w:ascii="Arial" w:cs="Arial" w:eastAsia="Arial" w:hAnsi="Arial"/>
                <w:sz w:val="16"/>
                <w:szCs w:val="16"/>
                <w:color w:val="231F20"/>
              </w:rPr>
              <w:t>$</w:t>
            </w:r>
          </w:p>
        </w:tc>
        <w:tc>
          <w:tcPr>
            <w:tcW w:w="880" w:type="dxa"/>
            <w:vAlign w:val="bottom"/>
          </w:tcPr>
          <w:p>
            <w:pPr>
              <w:jc w:val="right"/>
              <w:ind w:right="179"/>
              <w:spacing w:after="0"/>
              <w:rPr>
                <w:sz w:val="20"/>
                <w:szCs w:val="20"/>
                <w:color w:val="auto"/>
              </w:rPr>
            </w:pPr>
            <w:r>
              <w:rPr>
                <w:rFonts w:ascii="Arial" w:cs="Arial" w:eastAsia="Arial" w:hAnsi="Arial"/>
                <w:sz w:val="16"/>
                <w:szCs w:val="16"/>
                <w:color w:val="231F20"/>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231F20"/>
              </w:rPr>
              <w:t>$</w:t>
            </w:r>
          </w:p>
        </w:tc>
        <w:tc>
          <w:tcPr>
            <w:tcW w:w="520" w:type="dxa"/>
            <w:vAlign w:val="bottom"/>
          </w:tcPr>
          <w:p>
            <w:pPr>
              <w:jc w:val="right"/>
              <w:ind w:right="79"/>
              <w:spacing w:after="0"/>
              <w:rPr>
                <w:sz w:val="20"/>
                <w:szCs w:val="20"/>
                <w:color w:val="auto"/>
              </w:rPr>
            </w:pPr>
            <w:r>
              <w:rPr>
                <w:rFonts w:ascii="Arial" w:cs="Arial" w:eastAsia="Arial" w:hAnsi="Arial"/>
                <w:sz w:val="16"/>
                <w:szCs w:val="16"/>
                <w:color w:val="231F20"/>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231F20"/>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9"/>
        </w:trPr>
        <w:tc>
          <w:tcPr>
            <w:tcW w:w="2280" w:type="dxa"/>
            <w:vAlign w:val="bottom"/>
            <w:tcBorders>
              <w:bottom w:val="single" w:sz="8" w:color="6F2875"/>
            </w:tcBorders>
            <w:shd w:val="clear" w:color="auto" w:fill="F3EDF3"/>
          </w:tcPr>
          <w:p>
            <w:pPr>
              <w:ind w:left="60"/>
              <w:spacing w:after="0"/>
              <w:rPr>
                <w:sz w:val="20"/>
                <w:szCs w:val="20"/>
                <w:color w:val="auto"/>
              </w:rPr>
            </w:pPr>
            <w:r>
              <w:rPr>
                <w:rFonts w:ascii="Arial" w:cs="Arial" w:eastAsia="Arial" w:hAnsi="Arial"/>
                <w:sz w:val="16"/>
                <w:szCs w:val="16"/>
                <w:b w:val="1"/>
                <w:bCs w:val="1"/>
                <w:color w:val="231F20"/>
              </w:rPr>
              <w:t>Benefits</w:t>
            </w:r>
          </w:p>
        </w:tc>
        <w:tc>
          <w:tcPr>
            <w:tcW w:w="1620" w:type="dxa"/>
            <w:vAlign w:val="bottom"/>
            <w:tcBorders>
              <w:bottom w:val="single" w:sz="8" w:color="6F2875"/>
            </w:tcBorders>
            <w:shd w:val="clear" w:color="auto" w:fill="F3EDF3"/>
          </w:tcPr>
          <w:p>
            <w:pPr>
              <w:jc w:val="center"/>
              <w:ind w:left="1439"/>
              <w:spacing w:after="0"/>
              <w:rPr>
                <w:sz w:val="20"/>
                <w:szCs w:val="20"/>
                <w:color w:val="auto"/>
              </w:rPr>
            </w:pPr>
            <w:r>
              <w:rPr>
                <w:rFonts w:ascii="Arial" w:cs="Arial" w:eastAsia="Arial" w:hAnsi="Arial"/>
                <w:sz w:val="16"/>
                <w:szCs w:val="16"/>
                <w:color w:val="231F20"/>
              </w:rPr>
              <w:t>$</w:t>
            </w:r>
          </w:p>
        </w:tc>
        <w:tc>
          <w:tcPr>
            <w:tcW w:w="720" w:type="dxa"/>
            <w:vAlign w:val="bottom"/>
            <w:tcBorders>
              <w:bottom w:val="single" w:sz="8" w:color="6F2875"/>
            </w:tcBorders>
            <w:shd w:val="clear" w:color="auto" w:fill="F3EDF3"/>
          </w:tcPr>
          <w:p>
            <w:pPr>
              <w:jc w:val="right"/>
              <w:ind w:right="39"/>
              <w:spacing w:after="0"/>
              <w:rPr>
                <w:sz w:val="20"/>
                <w:szCs w:val="20"/>
                <w:color w:val="auto"/>
              </w:rPr>
            </w:pPr>
            <w:r>
              <w:rPr>
                <w:rFonts w:ascii="Arial" w:cs="Arial" w:eastAsia="Arial" w:hAnsi="Arial"/>
                <w:sz w:val="16"/>
                <w:szCs w:val="16"/>
                <w:color w:val="231F20"/>
              </w:rPr>
              <w:t>—</w:t>
            </w:r>
          </w:p>
        </w:tc>
        <w:tc>
          <w:tcPr>
            <w:tcW w:w="1020" w:type="dxa"/>
            <w:vAlign w:val="bottom"/>
            <w:tcBorders>
              <w:bottom w:val="single" w:sz="8" w:color="6F2875"/>
            </w:tcBorders>
            <w:shd w:val="clear" w:color="auto" w:fill="F3EDF3"/>
          </w:tcPr>
          <w:p>
            <w:pPr>
              <w:jc w:val="right"/>
              <w:spacing w:after="0"/>
              <w:rPr>
                <w:sz w:val="20"/>
                <w:szCs w:val="20"/>
                <w:color w:val="auto"/>
              </w:rPr>
            </w:pPr>
            <w:r>
              <w:rPr>
                <w:rFonts w:ascii="Arial" w:cs="Arial" w:eastAsia="Arial" w:hAnsi="Arial"/>
                <w:sz w:val="16"/>
                <w:szCs w:val="16"/>
                <w:color w:val="231F20"/>
              </w:rPr>
              <w:t>$</w:t>
            </w:r>
          </w:p>
        </w:tc>
        <w:tc>
          <w:tcPr>
            <w:tcW w:w="820" w:type="dxa"/>
            <w:vAlign w:val="bottom"/>
            <w:tcBorders>
              <w:bottom w:val="single" w:sz="8" w:color="6F2875"/>
            </w:tcBorders>
            <w:shd w:val="clear" w:color="auto" w:fill="F3EDF3"/>
          </w:tcPr>
          <w:p>
            <w:pPr>
              <w:jc w:val="right"/>
              <w:ind w:right="19"/>
              <w:spacing w:after="0"/>
              <w:rPr>
                <w:sz w:val="20"/>
                <w:szCs w:val="20"/>
                <w:color w:val="auto"/>
              </w:rPr>
            </w:pPr>
            <w:r>
              <w:rPr>
                <w:rFonts w:ascii="Arial" w:cs="Arial" w:eastAsia="Arial" w:hAnsi="Arial"/>
                <w:sz w:val="16"/>
                <w:szCs w:val="16"/>
                <w:color w:val="231F20"/>
              </w:rPr>
              <w:t>—</w:t>
            </w:r>
          </w:p>
        </w:tc>
        <w:tc>
          <w:tcPr>
            <w:tcW w:w="860" w:type="dxa"/>
            <w:vAlign w:val="bottom"/>
            <w:tcBorders>
              <w:bottom w:val="single" w:sz="8" w:color="6F2875"/>
            </w:tcBorders>
            <w:shd w:val="clear" w:color="auto" w:fill="F3EDF3"/>
          </w:tcPr>
          <w:p>
            <w:pPr>
              <w:jc w:val="right"/>
              <w:spacing w:after="0"/>
              <w:rPr>
                <w:sz w:val="20"/>
                <w:szCs w:val="20"/>
                <w:color w:val="auto"/>
              </w:rPr>
            </w:pPr>
            <w:r>
              <w:rPr>
                <w:rFonts w:ascii="Arial" w:cs="Arial" w:eastAsia="Arial" w:hAnsi="Arial"/>
                <w:sz w:val="16"/>
                <w:szCs w:val="16"/>
                <w:color w:val="231F20"/>
              </w:rPr>
              <w:t>$</w:t>
            </w:r>
          </w:p>
        </w:tc>
        <w:tc>
          <w:tcPr>
            <w:tcW w:w="880" w:type="dxa"/>
            <w:vAlign w:val="bottom"/>
            <w:tcBorders>
              <w:bottom w:val="single" w:sz="8" w:color="6F2875"/>
            </w:tcBorders>
            <w:shd w:val="clear" w:color="auto" w:fill="F3EDF3"/>
          </w:tcPr>
          <w:p>
            <w:pPr>
              <w:jc w:val="right"/>
              <w:ind w:right="179"/>
              <w:spacing w:after="0"/>
              <w:rPr>
                <w:sz w:val="20"/>
                <w:szCs w:val="20"/>
                <w:color w:val="auto"/>
              </w:rPr>
            </w:pPr>
            <w:r>
              <w:rPr>
                <w:rFonts w:ascii="Arial" w:cs="Arial" w:eastAsia="Arial" w:hAnsi="Arial"/>
                <w:sz w:val="16"/>
                <w:szCs w:val="16"/>
                <w:color w:val="231F20"/>
              </w:rPr>
              <w:t>—</w:t>
            </w:r>
          </w:p>
        </w:tc>
        <w:tc>
          <w:tcPr>
            <w:tcW w:w="1060" w:type="dxa"/>
            <w:vAlign w:val="bottom"/>
            <w:tcBorders>
              <w:bottom w:val="single" w:sz="8" w:color="6F2875"/>
            </w:tcBorders>
            <w:shd w:val="clear" w:color="auto" w:fill="F3EDF3"/>
          </w:tcPr>
          <w:p>
            <w:pPr>
              <w:jc w:val="right"/>
              <w:ind w:right="119"/>
              <w:spacing w:after="0"/>
              <w:rPr>
                <w:sz w:val="20"/>
                <w:szCs w:val="20"/>
                <w:color w:val="auto"/>
              </w:rPr>
            </w:pPr>
            <w:r>
              <w:rPr>
                <w:rFonts w:ascii="Arial" w:cs="Arial" w:eastAsia="Arial" w:hAnsi="Arial"/>
                <w:sz w:val="16"/>
                <w:szCs w:val="16"/>
                <w:color w:val="231F20"/>
              </w:rPr>
              <w:t>$</w:t>
            </w:r>
          </w:p>
        </w:tc>
        <w:tc>
          <w:tcPr>
            <w:tcW w:w="520" w:type="dxa"/>
            <w:vAlign w:val="bottom"/>
            <w:tcBorders>
              <w:bottom w:val="single" w:sz="8" w:color="6F2875"/>
            </w:tcBorders>
            <w:shd w:val="clear" w:color="auto" w:fill="F3EDF3"/>
          </w:tcPr>
          <w:p>
            <w:pPr>
              <w:jc w:val="right"/>
              <w:ind w:right="79"/>
              <w:spacing w:after="0"/>
              <w:rPr>
                <w:sz w:val="20"/>
                <w:szCs w:val="20"/>
                <w:color w:val="auto"/>
              </w:rPr>
            </w:pPr>
            <w:r>
              <w:rPr>
                <w:rFonts w:ascii="Arial" w:cs="Arial" w:eastAsia="Arial" w:hAnsi="Arial"/>
                <w:sz w:val="16"/>
                <w:szCs w:val="16"/>
                <w:color w:val="231F20"/>
              </w:rPr>
              <w:t>—</w:t>
            </w:r>
          </w:p>
        </w:tc>
        <w:tc>
          <w:tcPr>
            <w:tcW w:w="1160" w:type="dxa"/>
            <w:vAlign w:val="bottom"/>
            <w:tcBorders>
              <w:bottom w:val="single" w:sz="8" w:color="6F2875"/>
            </w:tcBorders>
            <w:shd w:val="clear" w:color="auto" w:fill="F3EDF3"/>
          </w:tcPr>
          <w:p>
            <w:pPr>
              <w:jc w:val="right"/>
              <w:ind w:right="119"/>
              <w:spacing w:after="0"/>
              <w:rPr>
                <w:sz w:val="20"/>
                <w:szCs w:val="20"/>
                <w:color w:val="auto"/>
              </w:rPr>
            </w:pPr>
            <w:r>
              <w:rPr>
                <w:rFonts w:ascii="Arial" w:cs="Arial" w:eastAsia="Arial" w:hAnsi="Arial"/>
                <w:sz w:val="16"/>
                <w:szCs w:val="16"/>
                <w:color w:val="231F20"/>
              </w:rPr>
              <w:t>$</w:t>
            </w:r>
          </w:p>
        </w:tc>
        <w:tc>
          <w:tcPr>
            <w:tcW w:w="480" w:type="dxa"/>
            <w:vAlign w:val="bottom"/>
            <w:tcBorders>
              <w:bottom w:val="single" w:sz="8" w:color="6F2875"/>
            </w:tcBorders>
            <w:shd w:val="clear" w:color="auto" w:fill="F3EDF3"/>
          </w:tcPr>
          <w:p>
            <w:pPr>
              <w:jc w:val="right"/>
              <w:ind w:right="19"/>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3"/>
        </w:trPr>
        <w:tc>
          <w:tcPr>
            <w:tcW w:w="2280" w:type="dxa"/>
            <w:vAlign w:val="bottom"/>
            <w:tcBorders>
              <w:bottom w:val="single" w:sz="8" w:color="6F2875"/>
            </w:tcBorders>
          </w:tcPr>
          <w:p>
            <w:pPr>
              <w:ind w:left="60"/>
              <w:spacing w:after="0" w:line="183" w:lineRule="exact"/>
              <w:rPr>
                <w:sz w:val="20"/>
                <w:szCs w:val="20"/>
                <w:color w:val="auto"/>
              </w:rPr>
            </w:pPr>
            <w:r>
              <w:rPr>
                <w:rFonts w:ascii="Arial" w:cs="Arial" w:eastAsia="Arial" w:hAnsi="Arial"/>
                <w:sz w:val="16"/>
                <w:szCs w:val="16"/>
                <w:b w:val="1"/>
                <w:bCs w:val="1"/>
                <w:color w:val="6F2875"/>
              </w:rPr>
              <w:t>TOTAL</w:t>
            </w:r>
          </w:p>
        </w:tc>
        <w:tc>
          <w:tcPr>
            <w:tcW w:w="1620" w:type="dxa"/>
            <w:vAlign w:val="bottom"/>
            <w:tcBorders>
              <w:bottom w:val="single" w:sz="8" w:color="6F2875"/>
            </w:tcBorders>
          </w:tcPr>
          <w:p>
            <w:pPr>
              <w:jc w:val="center"/>
              <w:ind w:left="1439"/>
              <w:spacing w:after="0" w:line="183" w:lineRule="exact"/>
              <w:rPr>
                <w:sz w:val="20"/>
                <w:szCs w:val="20"/>
                <w:color w:val="auto"/>
              </w:rPr>
            </w:pPr>
            <w:r>
              <w:rPr>
                <w:rFonts w:ascii="Arial" w:cs="Arial" w:eastAsia="Arial" w:hAnsi="Arial"/>
                <w:sz w:val="16"/>
                <w:szCs w:val="16"/>
                <w:b w:val="1"/>
                <w:bCs w:val="1"/>
                <w:color w:val="6F2875"/>
              </w:rPr>
              <w:t>$</w:t>
            </w:r>
          </w:p>
        </w:tc>
        <w:tc>
          <w:tcPr>
            <w:tcW w:w="720" w:type="dxa"/>
            <w:vAlign w:val="bottom"/>
            <w:tcBorders>
              <w:bottom w:val="single" w:sz="8" w:color="6F2875"/>
            </w:tcBorders>
          </w:tcPr>
          <w:p>
            <w:pPr>
              <w:jc w:val="right"/>
              <w:ind w:right="39"/>
              <w:spacing w:after="0" w:line="183" w:lineRule="exact"/>
              <w:rPr>
                <w:sz w:val="20"/>
                <w:szCs w:val="20"/>
                <w:color w:val="auto"/>
              </w:rPr>
            </w:pPr>
            <w:r>
              <w:rPr>
                <w:rFonts w:ascii="Arial" w:cs="Arial" w:eastAsia="Arial" w:hAnsi="Arial"/>
                <w:sz w:val="16"/>
                <w:szCs w:val="16"/>
                <w:b w:val="1"/>
                <w:bCs w:val="1"/>
                <w:color w:val="6F2875"/>
              </w:rPr>
              <w:t>505,922</w:t>
            </w:r>
          </w:p>
        </w:tc>
        <w:tc>
          <w:tcPr>
            <w:tcW w:w="1020" w:type="dxa"/>
            <w:vAlign w:val="bottom"/>
            <w:tcBorders>
              <w:bottom w:val="single" w:sz="8" w:color="6F2875"/>
            </w:tcBorders>
          </w:tcPr>
          <w:p>
            <w:pPr>
              <w:jc w:val="right"/>
              <w:spacing w:after="0" w:line="183" w:lineRule="exact"/>
              <w:rPr>
                <w:sz w:val="20"/>
                <w:szCs w:val="20"/>
                <w:color w:val="auto"/>
              </w:rPr>
            </w:pPr>
            <w:r>
              <w:rPr>
                <w:rFonts w:ascii="Arial" w:cs="Arial" w:eastAsia="Arial" w:hAnsi="Arial"/>
                <w:sz w:val="16"/>
                <w:szCs w:val="16"/>
                <w:b w:val="1"/>
                <w:bCs w:val="1"/>
                <w:color w:val="6F2875"/>
              </w:rPr>
              <w:t>$</w:t>
            </w:r>
          </w:p>
        </w:tc>
        <w:tc>
          <w:tcPr>
            <w:tcW w:w="820" w:type="dxa"/>
            <w:vAlign w:val="bottom"/>
            <w:tcBorders>
              <w:bottom w:val="single" w:sz="8" w:color="6F2875"/>
            </w:tcBorders>
          </w:tcPr>
          <w:p>
            <w:pPr>
              <w:jc w:val="right"/>
              <w:ind w:right="19"/>
              <w:spacing w:after="0" w:line="183" w:lineRule="exact"/>
              <w:rPr>
                <w:sz w:val="20"/>
                <w:szCs w:val="20"/>
                <w:color w:val="auto"/>
              </w:rPr>
            </w:pPr>
            <w:r>
              <w:rPr>
                <w:rFonts w:ascii="Arial" w:cs="Arial" w:eastAsia="Arial" w:hAnsi="Arial"/>
                <w:sz w:val="16"/>
                <w:szCs w:val="16"/>
                <w:b w:val="1"/>
                <w:bCs w:val="1"/>
                <w:color w:val="6F2875"/>
                <w:w w:val="98"/>
              </w:rPr>
              <w:t>5,205,989</w:t>
            </w:r>
          </w:p>
        </w:tc>
        <w:tc>
          <w:tcPr>
            <w:tcW w:w="860" w:type="dxa"/>
            <w:vAlign w:val="bottom"/>
            <w:tcBorders>
              <w:bottom w:val="single" w:sz="8" w:color="6F2875"/>
            </w:tcBorders>
          </w:tcPr>
          <w:p>
            <w:pPr>
              <w:jc w:val="right"/>
              <w:spacing w:after="0" w:line="183" w:lineRule="exact"/>
              <w:rPr>
                <w:sz w:val="20"/>
                <w:szCs w:val="20"/>
                <w:color w:val="auto"/>
              </w:rPr>
            </w:pPr>
            <w:r>
              <w:rPr>
                <w:rFonts w:ascii="Arial" w:cs="Arial" w:eastAsia="Arial" w:hAnsi="Arial"/>
                <w:sz w:val="16"/>
                <w:szCs w:val="16"/>
                <w:b w:val="1"/>
                <w:bCs w:val="1"/>
                <w:color w:val="6F2875"/>
              </w:rPr>
              <w:t>$</w:t>
            </w:r>
          </w:p>
        </w:tc>
        <w:tc>
          <w:tcPr>
            <w:tcW w:w="880" w:type="dxa"/>
            <w:vAlign w:val="bottom"/>
            <w:tcBorders>
              <w:bottom w:val="single" w:sz="8" w:color="6F2875"/>
            </w:tcBorders>
          </w:tcPr>
          <w:p>
            <w:pPr>
              <w:jc w:val="right"/>
              <w:ind w:right="179"/>
              <w:spacing w:after="0" w:line="183" w:lineRule="exact"/>
              <w:rPr>
                <w:sz w:val="20"/>
                <w:szCs w:val="20"/>
                <w:color w:val="auto"/>
              </w:rPr>
            </w:pPr>
            <w:r>
              <w:rPr>
                <w:rFonts w:ascii="Arial" w:cs="Arial" w:eastAsia="Arial" w:hAnsi="Arial"/>
                <w:sz w:val="16"/>
                <w:szCs w:val="16"/>
                <w:b w:val="1"/>
                <w:bCs w:val="1"/>
                <w:color w:val="6F2875"/>
              </w:rPr>
              <w:t>252,961</w:t>
            </w:r>
          </w:p>
        </w:tc>
        <w:tc>
          <w:tcPr>
            <w:tcW w:w="1060" w:type="dxa"/>
            <w:vAlign w:val="bottom"/>
            <w:tcBorders>
              <w:bottom w:val="single" w:sz="8" w:color="6F2875"/>
            </w:tcBorders>
          </w:tcPr>
          <w:p>
            <w:pPr>
              <w:jc w:val="right"/>
              <w:ind w:right="119"/>
              <w:spacing w:after="0" w:line="183" w:lineRule="exact"/>
              <w:rPr>
                <w:sz w:val="20"/>
                <w:szCs w:val="20"/>
                <w:color w:val="auto"/>
              </w:rPr>
            </w:pPr>
            <w:r>
              <w:rPr>
                <w:rFonts w:ascii="Arial" w:cs="Arial" w:eastAsia="Arial" w:hAnsi="Arial"/>
                <w:sz w:val="16"/>
                <w:szCs w:val="16"/>
                <w:b w:val="1"/>
                <w:bCs w:val="1"/>
                <w:color w:val="6F2875"/>
              </w:rPr>
              <w:t>$</w:t>
            </w:r>
          </w:p>
        </w:tc>
        <w:tc>
          <w:tcPr>
            <w:tcW w:w="520" w:type="dxa"/>
            <w:vAlign w:val="bottom"/>
            <w:tcBorders>
              <w:bottom w:val="single" w:sz="8" w:color="6F2875"/>
            </w:tcBorders>
          </w:tcPr>
          <w:p>
            <w:pPr>
              <w:jc w:val="right"/>
              <w:ind w:right="79"/>
              <w:spacing w:after="0" w:line="183" w:lineRule="exact"/>
              <w:rPr>
                <w:sz w:val="20"/>
                <w:szCs w:val="20"/>
                <w:color w:val="auto"/>
              </w:rPr>
            </w:pPr>
            <w:r>
              <w:rPr>
                <w:rFonts w:ascii="Arial" w:cs="Arial" w:eastAsia="Arial" w:hAnsi="Arial"/>
                <w:sz w:val="16"/>
                <w:szCs w:val="16"/>
                <w:b w:val="1"/>
                <w:bCs w:val="1"/>
                <w:color w:val="6F2875"/>
              </w:rPr>
              <w:t>—</w:t>
            </w:r>
          </w:p>
        </w:tc>
        <w:tc>
          <w:tcPr>
            <w:tcW w:w="1160" w:type="dxa"/>
            <w:vAlign w:val="bottom"/>
            <w:tcBorders>
              <w:bottom w:val="single" w:sz="8" w:color="6F2875"/>
            </w:tcBorders>
          </w:tcPr>
          <w:p>
            <w:pPr>
              <w:jc w:val="right"/>
              <w:ind w:right="119"/>
              <w:spacing w:after="0" w:line="183" w:lineRule="exact"/>
              <w:rPr>
                <w:sz w:val="20"/>
                <w:szCs w:val="20"/>
                <w:color w:val="auto"/>
              </w:rPr>
            </w:pPr>
            <w:r>
              <w:rPr>
                <w:rFonts w:ascii="Arial" w:cs="Arial" w:eastAsia="Arial" w:hAnsi="Arial"/>
                <w:sz w:val="16"/>
                <w:szCs w:val="16"/>
                <w:b w:val="1"/>
                <w:bCs w:val="1"/>
                <w:color w:val="6F2875"/>
              </w:rPr>
              <w:t>$</w:t>
            </w:r>
          </w:p>
        </w:tc>
        <w:tc>
          <w:tcPr>
            <w:tcW w:w="480" w:type="dxa"/>
            <w:vAlign w:val="bottom"/>
            <w:tcBorders>
              <w:bottom w:val="single" w:sz="8" w:color="6F2875"/>
            </w:tcBorders>
          </w:tcPr>
          <w:p>
            <w:pPr>
              <w:jc w:val="right"/>
              <w:ind w:right="19"/>
              <w:spacing w:after="0" w:line="183" w:lineRule="exact"/>
              <w:rPr>
                <w:sz w:val="20"/>
                <w:szCs w:val="20"/>
                <w:color w:val="auto"/>
              </w:rPr>
            </w:pPr>
            <w:r>
              <w:rPr>
                <w:rFonts w:ascii="Arial" w:cs="Arial" w:eastAsia="Arial" w:hAnsi="Arial"/>
                <w:sz w:val="16"/>
                <w:szCs w:val="16"/>
                <w:b w:val="1"/>
                <w:bCs w:val="1"/>
                <w:color w:val="6F2875"/>
              </w:rPr>
              <w: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i w:val="1"/>
          <w:iCs w:val="1"/>
          <w:color w:val="231F20"/>
        </w:rPr>
      </w:pPr>
      <w:r>
        <w:rPr>
          <w:rFonts w:ascii="Arial" w:cs="Arial" w:eastAsia="Arial" w:hAnsi="Arial"/>
          <w:sz w:val="14"/>
          <w:szCs w:val="14"/>
          <w:i w:val="1"/>
          <w:iCs w:val="1"/>
          <w:color w:val="231F20"/>
        </w:rPr>
        <w:t>The severance amount represents 12 months of base salary ($505,922).</w:t>
      </w:r>
    </w:p>
    <w:p>
      <w:pPr>
        <w:spacing w:after="0" w:line="55" w:lineRule="exact"/>
        <w:rPr>
          <w:rFonts w:ascii="Arial" w:cs="Arial" w:eastAsia="Arial" w:hAnsi="Arial"/>
          <w:sz w:val="14"/>
          <w:szCs w:val="14"/>
          <w:i w:val="1"/>
          <w:iCs w:val="1"/>
          <w:color w:val="231F20"/>
        </w:rPr>
      </w:pPr>
    </w:p>
    <w:p>
      <w:pPr>
        <w:ind w:left="340" w:hanging="332"/>
        <w:spacing w:after="0" w:line="279" w:lineRule="auto"/>
        <w:tabs>
          <w:tab w:leader="none" w:pos="340" w:val="left"/>
        </w:tabs>
        <w:numPr>
          <w:ilvl w:val="0"/>
          <w:numId w:val="39"/>
        </w:numPr>
        <w:rPr>
          <w:rFonts w:ascii="Arial" w:cs="Arial" w:eastAsia="Arial" w:hAnsi="Arial"/>
          <w:sz w:val="14"/>
          <w:szCs w:val="14"/>
          <w:i w:val="1"/>
          <w:iCs w:val="1"/>
          <w:color w:val="231F20"/>
        </w:rPr>
      </w:pPr>
      <w:r>
        <w:rPr>
          <w:rFonts w:ascii="Arial" w:cs="Arial" w:eastAsia="Arial" w:hAnsi="Arial"/>
          <w:sz w:val="14"/>
          <w:szCs w:val="14"/>
          <w:i w:val="1"/>
          <w:iCs w:val="1"/>
          <w:color w:val="231F20"/>
        </w:rPr>
        <w:t>LTIP Potential payments in case of separation due to change in control are calculated adding the amount resulting from multiplying the 65,140 RSUs subject to accelerated vesting in case of a change in control by the closing market price at December 31, 2017 ($79.92).</w:t>
      </w:r>
    </w:p>
    <w:p>
      <w:pPr>
        <w:spacing w:after="0" w:line="3" w:lineRule="exact"/>
        <w:rPr>
          <w:rFonts w:ascii="Arial" w:cs="Arial" w:eastAsia="Arial" w:hAnsi="Arial"/>
          <w:sz w:val="14"/>
          <w:szCs w:val="14"/>
          <w:i w:val="1"/>
          <w:iCs w:val="1"/>
          <w:color w:val="231F20"/>
        </w:rPr>
      </w:pPr>
    </w:p>
    <w:p>
      <w:pPr>
        <w:ind w:left="340" w:hanging="332"/>
        <w:spacing w:after="0"/>
        <w:tabs>
          <w:tab w:leader="none" w:pos="340" w:val="left"/>
        </w:tabs>
        <w:numPr>
          <w:ilvl w:val="0"/>
          <w:numId w:val="39"/>
        </w:numPr>
        <w:rPr>
          <w:rFonts w:ascii="Arial" w:cs="Arial" w:eastAsia="Arial" w:hAnsi="Arial"/>
          <w:sz w:val="14"/>
          <w:szCs w:val="14"/>
          <w:i w:val="1"/>
          <w:iCs w:val="1"/>
          <w:color w:val="231F20"/>
        </w:rPr>
      </w:pPr>
      <w:r>
        <w:rPr>
          <w:rFonts w:ascii="Arial" w:cs="Arial" w:eastAsia="Arial" w:hAnsi="Arial"/>
          <w:sz w:val="14"/>
          <w:szCs w:val="14"/>
          <w:i w:val="1"/>
          <w:iCs w:val="1"/>
          <w:color w:val="231F20"/>
        </w:rPr>
        <w:t>Potential payments in case of disablity is made up 6 months of base salary.</w:t>
      </w:r>
    </w:p>
    <w:p>
      <w:pPr>
        <w:spacing w:after="0" w:line="55" w:lineRule="exact"/>
        <w:rPr>
          <w:rFonts w:ascii="Arial" w:cs="Arial" w:eastAsia="Arial" w:hAnsi="Arial"/>
          <w:sz w:val="14"/>
          <w:szCs w:val="14"/>
          <w:i w:val="1"/>
          <w:iCs w:val="1"/>
          <w:color w:val="231F20"/>
        </w:rPr>
      </w:pPr>
    </w:p>
    <w:p>
      <w:pPr>
        <w:ind w:left="340" w:hanging="332"/>
        <w:spacing w:after="0"/>
        <w:tabs>
          <w:tab w:leader="none" w:pos="340" w:val="left"/>
        </w:tabs>
        <w:numPr>
          <w:ilvl w:val="0"/>
          <w:numId w:val="39"/>
        </w:numPr>
        <w:rPr>
          <w:rFonts w:ascii="Arial" w:cs="Arial" w:eastAsia="Arial" w:hAnsi="Arial"/>
          <w:sz w:val="14"/>
          <w:szCs w:val="14"/>
          <w:i w:val="1"/>
          <w:iCs w:val="1"/>
          <w:color w:val="231F20"/>
        </w:rPr>
      </w:pPr>
      <w:r>
        <w:rPr>
          <w:rFonts w:ascii="Arial" w:cs="Arial" w:eastAsia="Arial" w:hAnsi="Arial"/>
          <w:sz w:val="14"/>
          <w:szCs w:val="14"/>
          <w:i w:val="1"/>
          <w:iCs w:val="1"/>
          <w:color w:val="231F20"/>
        </w:rPr>
        <w:t>For the amounts on this table, we used an exchange rate of $1.349124 per British pound, which reflects the exchange rate on December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Mr. Wise</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On January 1, 2015, our subsidiary, Cyberonics agreed to a new employment agreement with Mr. Wise. The then-new agreement, which was extended for a two-year period on consummation of the merger of Cyberonics and Sorin on October 19, 2015 and expired on October 18, 2017, provided for an annual base salary of $330,000 (later increased to $335,000), which may be adjusted annually, and eligibility for an annual bonus with target of 75% of his annual base salary. The agreement also provided that, in the event that we are required to prepare an accounting restatement due to our material non-compliance with any financial reporting requirement under the securities laws, Mr. Wise will disgorge all incentive-based compensation he received during the three years preceding the accounting restatement, to the extent that such compensation was based on erroneous data, in excess of what would have been paid to him under the accounting restatement. Mr. Wise’s employment agreement also included provisions pertaining to change of control and severance benefits.</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On February 22, 2017, the Compensation Committee also approved the promotion of Mr. Wise, formerly Senior Vice President Human Resources and Information Technology, to Chief Administrative Officer and increased his base salary from $355,000 to $450,000 (increased to $465,000 as of April 1, 2018), his target bonus from 62% to 70% of base salary, and his recommended long-term incentive plan award level to $1.0 million in value (subject to the subsequent approval by the Compensation Committee of such equity awards.)</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As Mr. Wise’s employment agreement expired on October 18, 2017, he was not entitled to any contractual severance or termination benefits as of December 31, 2017, apart from those arising from accelerated vesting of outstanding equity awards upon a change in control.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Borders>
              <w:bottom w:val="single" w:sz="8" w:color="auto"/>
            </w:tcBorders>
          </w:tcPr>
          <w:p>
            <w:pPr>
              <w:spacing w:after="0"/>
              <w:rPr>
                <w:sz w:val="10"/>
                <w:szCs w:val="10"/>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41</w:t>
            </w:r>
          </w:p>
        </w:tc>
        <w:tc>
          <w:tcPr>
            <w:tcW w:w="0" w:type="dxa"/>
            <w:vAlign w:val="bottom"/>
          </w:tcPr>
          <w:p>
            <w:pPr>
              <w:spacing w:after="0"/>
              <w:rPr>
                <w:sz w:val="1"/>
                <w:szCs w:val="1"/>
                <w:color w:val="auto"/>
              </w:rPr>
            </w:pPr>
          </w:p>
        </w:tc>
      </w:tr>
      <w:tr>
        <w:trPr>
          <w:trHeight w:val="69"/>
        </w:trPr>
        <w:tc>
          <w:tcPr>
            <w:tcW w:w="40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0" w:type="dxa"/>
            <w:vAlign w:val="bottom"/>
            <w:tcBorders>
              <w:bottom w:val="single" w:sz="8" w:color="0000EE"/>
            </w:tcBorders>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Back to Contents</w:t>
              </w:r>
            </w:hyperlink>
          </w:p>
        </w:tc>
        <w:tc>
          <w:tcPr>
            <w:tcW w:w="1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66"/>
        </w:trPr>
        <w:tc>
          <w:tcPr>
            <w:tcW w:w="9780" w:type="dxa"/>
            <w:vAlign w:val="bottom"/>
            <w:gridSpan w:val="10"/>
          </w:tcPr>
          <w:p>
            <w:pPr>
              <w:spacing w:after="0"/>
              <w:rPr>
                <w:sz w:val="20"/>
                <w:szCs w:val="20"/>
                <w:color w:val="auto"/>
              </w:rPr>
            </w:pPr>
            <w:r>
              <w:rPr>
                <w:rFonts w:ascii="Arial" w:cs="Arial" w:eastAsia="Arial" w:hAnsi="Arial"/>
                <w:sz w:val="16"/>
                <w:szCs w:val="16"/>
                <w:color w:val="231F20"/>
              </w:rPr>
              <w:t>Potential payments to Mr. Wise in the event of a termination or change-in-control as of December 31,2017 are as set out below:</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1"/>
        </w:trPr>
        <w:tc>
          <w:tcPr>
            <w:tcW w:w="2440" w:type="dxa"/>
            <w:vAlign w:val="bottom"/>
            <w:gridSpan w:val="2"/>
          </w:tcPr>
          <w:p>
            <w:pPr>
              <w:ind w:left="60"/>
              <w:spacing w:after="0"/>
              <w:rPr>
                <w:sz w:val="20"/>
                <w:szCs w:val="20"/>
                <w:color w:val="auto"/>
              </w:rPr>
            </w:pPr>
            <w:r>
              <w:rPr>
                <w:rFonts w:ascii="Arial" w:cs="Arial" w:eastAsia="Arial" w:hAnsi="Arial"/>
                <w:sz w:val="16"/>
                <w:szCs w:val="16"/>
                <w:b w:val="1"/>
                <w:bCs w:val="1"/>
                <w:color w:val="6F2875"/>
              </w:rPr>
              <w:t>Type of Payment</w:t>
            </w:r>
          </w:p>
        </w:tc>
        <w:tc>
          <w:tcPr>
            <w:tcW w:w="1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6F2875"/>
              </w:rPr>
              <w:t>Separation due to</w:t>
            </w:r>
          </w:p>
        </w:tc>
        <w:tc>
          <w:tcPr>
            <w:tcW w:w="17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6F2875"/>
              </w:rPr>
              <w:t>Separation due to</w:t>
            </w:r>
          </w:p>
        </w:tc>
        <w:tc>
          <w:tcPr>
            <w:tcW w:w="16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6F2875"/>
              </w:rPr>
              <w:t>Seperation due</w:t>
            </w:r>
          </w:p>
        </w:tc>
        <w:tc>
          <w:tcPr>
            <w:tcW w:w="16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6F2875"/>
              </w:rPr>
              <w:t>Separation due to</w:t>
            </w:r>
          </w:p>
        </w:tc>
      </w:tr>
      <w:tr>
        <w:trPr>
          <w:trHeight w:val="230"/>
        </w:trPr>
        <w:tc>
          <w:tcPr>
            <w:tcW w:w="2440" w:type="dxa"/>
            <w:vAlign w:val="bottom"/>
            <w:tcBorders>
              <w:bottom w:val="single" w:sz="8" w:color="6F2875"/>
            </w:tcBorders>
            <w:gridSpan w:val="2"/>
          </w:tcPr>
          <w:p>
            <w:pPr>
              <w:ind w:left="60"/>
              <w:spacing w:after="0"/>
              <w:rPr>
                <w:sz w:val="20"/>
                <w:szCs w:val="20"/>
                <w:color w:val="auto"/>
              </w:rPr>
            </w:pPr>
            <w:r>
              <w:rPr>
                <w:rFonts w:ascii="Arial" w:cs="Arial" w:eastAsia="Arial" w:hAnsi="Arial"/>
                <w:sz w:val="16"/>
                <w:szCs w:val="16"/>
                <w:b w:val="1"/>
                <w:bCs w:val="1"/>
                <w:color w:val="6F2875"/>
              </w:rPr>
              <w:t>or Benefit</w:t>
            </w:r>
          </w:p>
        </w:tc>
        <w:tc>
          <w:tcPr>
            <w:tcW w:w="2180" w:type="dxa"/>
            <w:vAlign w:val="bottom"/>
            <w:tcBorders>
              <w:bottom w:val="single" w:sz="8" w:color="6F2875"/>
            </w:tcBorders>
            <w:gridSpan w:val="2"/>
          </w:tcPr>
          <w:p>
            <w:pPr>
              <w:jc w:val="right"/>
              <w:ind w:right="39"/>
              <w:spacing w:after="0"/>
              <w:rPr>
                <w:sz w:val="20"/>
                <w:szCs w:val="20"/>
                <w:color w:val="auto"/>
              </w:rPr>
            </w:pPr>
            <w:r>
              <w:rPr>
                <w:rFonts w:ascii="Arial" w:cs="Arial" w:eastAsia="Arial" w:hAnsi="Arial"/>
                <w:sz w:val="16"/>
                <w:szCs w:val="16"/>
                <w:b w:val="1"/>
                <w:bCs w:val="1"/>
                <w:color w:val="6F2875"/>
              </w:rPr>
              <w:t>Termination</w:t>
            </w:r>
          </w:p>
        </w:tc>
        <w:tc>
          <w:tcPr>
            <w:tcW w:w="1840" w:type="dxa"/>
            <w:vAlign w:val="bottom"/>
            <w:tcBorders>
              <w:bottom w:val="single" w:sz="8" w:color="6F2875"/>
            </w:tcBorders>
            <w:gridSpan w:val="2"/>
          </w:tcPr>
          <w:p>
            <w:pPr>
              <w:jc w:val="right"/>
              <w:ind w:right="19"/>
              <w:spacing w:after="0" w:line="230" w:lineRule="exact"/>
              <w:rPr>
                <w:sz w:val="20"/>
                <w:szCs w:val="20"/>
                <w:color w:val="auto"/>
              </w:rPr>
            </w:pPr>
            <w:r>
              <w:rPr>
                <w:rFonts w:ascii="Arial" w:cs="Arial" w:eastAsia="Arial" w:hAnsi="Arial"/>
                <w:sz w:val="16"/>
                <w:szCs w:val="16"/>
                <w:b w:val="1"/>
                <w:bCs w:val="1"/>
                <w:color w:val="6F2875"/>
              </w:rPr>
              <w:t xml:space="preserve">Change in Control </w:t>
            </w:r>
            <w:r>
              <w:rPr>
                <w:rFonts w:ascii="Arial" w:cs="Arial" w:eastAsia="Arial" w:hAnsi="Arial"/>
                <w:sz w:val="26"/>
                <w:szCs w:val="26"/>
                <w:b w:val="1"/>
                <w:bCs w:val="1"/>
                <w:color w:val="6F2875"/>
                <w:vertAlign w:val="superscript"/>
              </w:rPr>
              <w:t>(1)</w:t>
            </w:r>
          </w:p>
        </w:tc>
        <w:tc>
          <w:tcPr>
            <w:tcW w:w="1720" w:type="dxa"/>
            <w:vAlign w:val="bottom"/>
            <w:tcBorders>
              <w:bottom w:val="single" w:sz="8" w:color="6F2875"/>
            </w:tcBorders>
            <w:gridSpan w:val="2"/>
          </w:tcPr>
          <w:p>
            <w:pPr>
              <w:jc w:val="right"/>
              <w:ind w:right="159"/>
              <w:spacing w:after="0"/>
              <w:rPr>
                <w:sz w:val="20"/>
                <w:szCs w:val="20"/>
                <w:color w:val="auto"/>
              </w:rPr>
            </w:pPr>
            <w:r>
              <w:rPr>
                <w:rFonts w:ascii="Arial" w:cs="Arial" w:eastAsia="Arial" w:hAnsi="Arial"/>
                <w:sz w:val="16"/>
                <w:szCs w:val="16"/>
                <w:b w:val="1"/>
                <w:bCs w:val="1"/>
                <w:color w:val="6F2875"/>
              </w:rPr>
              <w:t>Disability</w:t>
            </w:r>
          </w:p>
        </w:tc>
        <w:tc>
          <w:tcPr>
            <w:tcW w:w="560" w:type="dxa"/>
            <w:vAlign w:val="bottom"/>
            <w:tcBorders>
              <w:bottom w:val="single" w:sz="8" w:color="6F2875"/>
            </w:tcBorders>
          </w:tcPr>
          <w:p>
            <w:pPr>
              <w:spacing w:after="0"/>
              <w:rPr>
                <w:sz w:val="19"/>
                <w:szCs w:val="19"/>
                <w:color w:val="auto"/>
              </w:rPr>
            </w:pPr>
          </w:p>
        </w:tc>
        <w:tc>
          <w:tcPr>
            <w:tcW w:w="1040" w:type="dxa"/>
            <w:vAlign w:val="bottom"/>
            <w:tcBorders>
              <w:bottom w:val="single" w:sz="8" w:color="6F2875"/>
            </w:tcBorders>
          </w:tcPr>
          <w:p>
            <w:pPr>
              <w:jc w:val="right"/>
              <w:ind w:right="79"/>
              <w:spacing w:after="0"/>
              <w:rPr>
                <w:sz w:val="20"/>
                <w:szCs w:val="20"/>
                <w:color w:val="auto"/>
              </w:rPr>
            </w:pPr>
            <w:r>
              <w:rPr>
                <w:rFonts w:ascii="Arial" w:cs="Arial" w:eastAsia="Arial" w:hAnsi="Arial"/>
                <w:sz w:val="16"/>
                <w:szCs w:val="16"/>
                <w:b w:val="1"/>
                <w:bCs w:val="1"/>
                <w:color w:val="6F2875"/>
              </w:rPr>
              <w:t>to Death</w:t>
            </w:r>
          </w:p>
        </w:tc>
        <w:tc>
          <w:tcPr>
            <w:tcW w:w="660" w:type="dxa"/>
            <w:vAlign w:val="bottom"/>
            <w:tcBorders>
              <w:bottom w:val="single" w:sz="8" w:color="6F2875"/>
            </w:tcBorders>
          </w:tcPr>
          <w:p>
            <w:pPr>
              <w:spacing w:after="0"/>
              <w:rPr>
                <w:sz w:val="19"/>
                <w:szCs w:val="19"/>
                <w:color w:val="auto"/>
              </w:rPr>
            </w:pPr>
          </w:p>
        </w:tc>
        <w:tc>
          <w:tcPr>
            <w:tcW w:w="980" w:type="dxa"/>
            <w:vAlign w:val="bottom"/>
            <w:tcBorders>
              <w:bottom w:val="single" w:sz="8" w:color="6F2875"/>
            </w:tcBorders>
          </w:tcPr>
          <w:p>
            <w:pPr>
              <w:jc w:val="right"/>
              <w:ind w:right="19"/>
              <w:spacing w:after="0"/>
              <w:rPr>
                <w:sz w:val="20"/>
                <w:szCs w:val="20"/>
                <w:color w:val="auto"/>
              </w:rPr>
            </w:pPr>
            <w:r>
              <w:rPr>
                <w:rFonts w:ascii="Arial" w:cs="Arial" w:eastAsia="Arial" w:hAnsi="Arial"/>
                <w:sz w:val="16"/>
                <w:szCs w:val="16"/>
                <w:b w:val="1"/>
                <w:bCs w:val="1"/>
                <w:color w:val="6F2875"/>
              </w:rPr>
              <w:t>Retirement</w:t>
            </w:r>
          </w:p>
        </w:tc>
      </w:tr>
      <w:tr>
        <w:trPr>
          <w:trHeight w:val="183"/>
        </w:trPr>
        <w:tc>
          <w:tcPr>
            <w:tcW w:w="2440" w:type="dxa"/>
            <w:vAlign w:val="bottom"/>
            <w:gridSpan w:val="2"/>
          </w:tcPr>
          <w:p>
            <w:pPr>
              <w:ind w:left="60"/>
              <w:spacing w:after="0" w:line="183" w:lineRule="exact"/>
              <w:rPr>
                <w:sz w:val="20"/>
                <w:szCs w:val="20"/>
                <w:color w:val="auto"/>
              </w:rPr>
            </w:pPr>
            <w:r>
              <w:rPr>
                <w:rFonts w:ascii="Arial" w:cs="Arial" w:eastAsia="Arial" w:hAnsi="Arial"/>
                <w:sz w:val="16"/>
                <w:szCs w:val="16"/>
                <w:b w:val="1"/>
                <w:bCs w:val="1"/>
                <w:color w:val="231F20"/>
              </w:rPr>
              <w:t>Severance</w:t>
            </w:r>
          </w:p>
        </w:tc>
        <w:tc>
          <w:tcPr>
            <w:tcW w:w="1540" w:type="dxa"/>
            <w:vAlign w:val="bottom"/>
          </w:tcPr>
          <w:p>
            <w:pPr>
              <w:jc w:val="right"/>
              <w:ind w:right="259"/>
              <w:spacing w:after="0" w:line="183" w:lineRule="exact"/>
              <w:rPr>
                <w:sz w:val="20"/>
                <w:szCs w:val="20"/>
                <w:color w:val="auto"/>
              </w:rPr>
            </w:pPr>
            <w:r>
              <w:rPr>
                <w:rFonts w:ascii="Arial" w:cs="Arial" w:eastAsia="Arial" w:hAnsi="Arial"/>
                <w:sz w:val="16"/>
                <w:szCs w:val="16"/>
                <w:color w:val="231F20"/>
              </w:rPr>
              <w:t>$</w:t>
            </w:r>
          </w:p>
        </w:tc>
        <w:tc>
          <w:tcPr>
            <w:tcW w:w="640" w:type="dxa"/>
            <w:vAlign w:val="bottom"/>
          </w:tcPr>
          <w:p>
            <w:pPr>
              <w:jc w:val="right"/>
              <w:ind w:right="39"/>
              <w:spacing w:after="0" w:line="183" w:lineRule="exact"/>
              <w:rPr>
                <w:sz w:val="20"/>
                <w:szCs w:val="20"/>
                <w:color w:val="auto"/>
              </w:rPr>
            </w:pPr>
            <w:r>
              <w:rPr>
                <w:rFonts w:ascii="Arial" w:cs="Arial" w:eastAsia="Arial" w:hAnsi="Arial"/>
                <w:sz w:val="16"/>
                <w:szCs w:val="16"/>
                <w:color w:val="231F20"/>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231F20"/>
              </w:rPr>
              <w:t>$</w:t>
            </w:r>
          </w:p>
        </w:tc>
        <w:tc>
          <w:tcPr>
            <w:tcW w:w="820" w:type="dxa"/>
            <w:vAlign w:val="bottom"/>
          </w:tcPr>
          <w:p>
            <w:pPr>
              <w:jc w:val="right"/>
              <w:ind w:right="19"/>
              <w:spacing w:after="0" w:line="183" w:lineRule="exact"/>
              <w:rPr>
                <w:sz w:val="20"/>
                <w:szCs w:val="20"/>
                <w:color w:val="auto"/>
              </w:rPr>
            </w:pPr>
            <w:r>
              <w:rPr>
                <w:rFonts w:ascii="Arial" w:cs="Arial" w:eastAsia="Arial" w:hAnsi="Arial"/>
                <w:sz w:val="16"/>
                <w:szCs w:val="16"/>
                <w:color w:val="231F20"/>
              </w:rPr>
              <w:t>—</w:t>
            </w:r>
          </w:p>
        </w:tc>
        <w:tc>
          <w:tcPr>
            <w:tcW w:w="1060" w:type="dxa"/>
            <w:vAlign w:val="bottom"/>
          </w:tcPr>
          <w:p>
            <w:pPr>
              <w:jc w:val="right"/>
              <w:ind w:right="179"/>
              <w:spacing w:after="0" w:line="183" w:lineRule="exact"/>
              <w:rPr>
                <w:sz w:val="20"/>
                <w:szCs w:val="20"/>
                <w:color w:val="auto"/>
              </w:rPr>
            </w:pPr>
            <w:r>
              <w:rPr>
                <w:rFonts w:ascii="Arial" w:cs="Arial" w:eastAsia="Arial" w:hAnsi="Arial"/>
                <w:sz w:val="16"/>
                <w:szCs w:val="16"/>
                <w:color w:val="231F20"/>
              </w:rPr>
              <w:t>$</w:t>
            </w:r>
          </w:p>
        </w:tc>
        <w:tc>
          <w:tcPr>
            <w:tcW w:w="660" w:type="dxa"/>
            <w:vAlign w:val="bottom"/>
          </w:tcPr>
          <w:p>
            <w:pPr>
              <w:jc w:val="right"/>
              <w:ind w:right="159"/>
              <w:spacing w:after="0" w:line="183" w:lineRule="exact"/>
              <w:rPr>
                <w:sz w:val="20"/>
                <w:szCs w:val="20"/>
                <w:color w:val="auto"/>
              </w:rPr>
            </w:pPr>
            <w:r>
              <w:rPr>
                <w:rFonts w:ascii="Arial" w:cs="Arial" w:eastAsia="Arial" w:hAnsi="Arial"/>
                <w:sz w:val="16"/>
                <w:szCs w:val="16"/>
                <w:color w:val="231F20"/>
              </w:rPr>
              <w:t>—</w:t>
            </w:r>
          </w:p>
        </w:tc>
        <w:tc>
          <w:tcPr>
            <w:tcW w:w="560" w:type="dxa"/>
            <w:vAlign w:val="bottom"/>
          </w:tcPr>
          <w:p>
            <w:pPr>
              <w:jc w:val="right"/>
              <w:ind w:right="159"/>
              <w:spacing w:after="0" w:line="183" w:lineRule="exact"/>
              <w:rPr>
                <w:sz w:val="20"/>
                <w:szCs w:val="20"/>
                <w:color w:val="auto"/>
              </w:rPr>
            </w:pPr>
            <w:r>
              <w:rPr>
                <w:rFonts w:ascii="Arial" w:cs="Arial" w:eastAsia="Arial" w:hAnsi="Arial"/>
                <w:sz w:val="16"/>
                <w:szCs w:val="16"/>
                <w:color w:val="231F20"/>
              </w:rPr>
              <w:t>$</w:t>
            </w:r>
          </w:p>
        </w:tc>
        <w:tc>
          <w:tcPr>
            <w:tcW w:w="1040" w:type="dxa"/>
            <w:vAlign w:val="bottom"/>
          </w:tcPr>
          <w:p>
            <w:pPr>
              <w:jc w:val="right"/>
              <w:ind w:right="79"/>
              <w:spacing w:after="0" w:line="183" w:lineRule="exact"/>
              <w:rPr>
                <w:sz w:val="20"/>
                <w:szCs w:val="20"/>
                <w:color w:val="auto"/>
              </w:rPr>
            </w:pPr>
            <w:r>
              <w:rPr>
                <w:rFonts w:ascii="Arial" w:cs="Arial" w:eastAsia="Arial" w:hAnsi="Arial"/>
                <w:sz w:val="16"/>
                <w:szCs w:val="16"/>
                <w:color w:val="231F20"/>
              </w:rPr>
              <w:t>—</w:t>
            </w: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231F20"/>
              </w:rPr>
              <w:t>$</w:t>
            </w:r>
          </w:p>
        </w:tc>
        <w:tc>
          <w:tcPr>
            <w:tcW w:w="980" w:type="dxa"/>
            <w:vAlign w:val="bottom"/>
          </w:tcPr>
          <w:p>
            <w:pPr>
              <w:jc w:val="right"/>
              <w:ind w:right="19"/>
              <w:spacing w:after="0" w:line="183" w:lineRule="exact"/>
              <w:rPr>
                <w:sz w:val="20"/>
                <w:szCs w:val="20"/>
                <w:color w:val="auto"/>
              </w:rPr>
            </w:pPr>
            <w:r>
              <w:rPr>
                <w:rFonts w:ascii="Arial" w:cs="Arial" w:eastAsia="Arial" w:hAnsi="Arial"/>
                <w:sz w:val="16"/>
                <w:szCs w:val="16"/>
                <w:color w:val="231F20"/>
              </w:rPr>
              <w:t>—</w:t>
            </w:r>
          </w:p>
        </w:tc>
      </w:tr>
      <w:tr>
        <w:trPr>
          <w:trHeight w:val="189"/>
        </w:trPr>
        <w:tc>
          <w:tcPr>
            <w:tcW w:w="2440" w:type="dxa"/>
            <w:vAlign w:val="bottom"/>
            <w:gridSpan w:val="2"/>
            <w:shd w:val="clear" w:color="auto" w:fill="F3EDF3"/>
          </w:tcPr>
          <w:p>
            <w:pPr>
              <w:ind w:left="60"/>
              <w:spacing w:after="0"/>
              <w:rPr>
                <w:sz w:val="20"/>
                <w:szCs w:val="20"/>
                <w:color w:val="auto"/>
              </w:rPr>
            </w:pPr>
            <w:r>
              <w:rPr>
                <w:rFonts w:ascii="Arial" w:cs="Arial" w:eastAsia="Arial" w:hAnsi="Arial"/>
                <w:sz w:val="16"/>
                <w:szCs w:val="16"/>
                <w:b w:val="1"/>
                <w:bCs w:val="1"/>
                <w:color w:val="231F20"/>
              </w:rPr>
              <w:t>STIP</w:t>
            </w:r>
          </w:p>
        </w:tc>
        <w:tc>
          <w:tcPr>
            <w:tcW w:w="1540" w:type="dxa"/>
            <w:vAlign w:val="bottom"/>
            <w:shd w:val="clear" w:color="auto" w:fill="F3EDF3"/>
          </w:tcPr>
          <w:p>
            <w:pPr>
              <w:jc w:val="right"/>
              <w:ind w:right="259"/>
              <w:spacing w:after="0"/>
              <w:rPr>
                <w:sz w:val="20"/>
                <w:szCs w:val="20"/>
                <w:color w:val="auto"/>
              </w:rPr>
            </w:pPr>
            <w:r>
              <w:rPr>
                <w:rFonts w:ascii="Arial" w:cs="Arial" w:eastAsia="Arial" w:hAnsi="Arial"/>
                <w:sz w:val="16"/>
                <w:szCs w:val="16"/>
                <w:color w:val="231F20"/>
              </w:rPr>
              <w:t>$</w:t>
            </w:r>
          </w:p>
        </w:tc>
        <w:tc>
          <w:tcPr>
            <w:tcW w:w="640" w:type="dxa"/>
            <w:vAlign w:val="bottom"/>
            <w:shd w:val="clear" w:color="auto" w:fill="F3EDF3"/>
          </w:tcPr>
          <w:p>
            <w:pPr>
              <w:jc w:val="right"/>
              <w:ind w:right="39"/>
              <w:spacing w:after="0"/>
              <w:rPr>
                <w:sz w:val="20"/>
                <w:szCs w:val="20"/>
                <w:color w:val="auto"/>
              </w:rPr>
            </w:pPr>
            <w:r>
              <w:rPr>
                <w:rFonts w:ascii="Arial" w:cs="Arial" w:eastAsia="Arial" w:hAnsi="Arial"/>
                <w:sz w:val="16"/>
                <w:szCs w:val="16"/>
                <w:color w:val="231F20"/>
              </w:rPr>
              <w:t>—</w:t>
            </w:r>
          </w:p>
        </w:tc>
        <w:tc>
          <w:tcPr>
            <w:tcW w:w="102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w:t>
            </w:r>
          </w:p>
        </w:tc>
        <w:tc>
          <w:tcPr>
            <w:tcW w:w="820" w:type="dxa"/>
            <w:vAlign w:val="bottom"/>
            <w:shd w:val="clear" w:color="auto" w:fill="F3EDF3"/>
          </w:tcPr>
          <w:p>
            <w:pPr>
              <w:jc w:val="right"/>
              <w:ind w:right="19"/>
              <w:spacing w:after="0"/>
              <w:rPr>
                <w:sz w:val="20"/>
                <w:szCs w:val="20"/>
                <w:color w:val="auto"/>
              </w:rPr>
            </w:pPr>
            <w:r>
              <w:rPr>
                <w:rFonts w:ascii="Arial" w:cs="Arial" w:eastAsia="Arial" w:hAnsi="Arial"/>
                <w:sz w:val="16"/>
                <w:szCs w:val="16"/>
                <w:color w:val="231F20"/>
              </w:rPr>
              <w:t>—</w:t>
            </w:r>
          </w:p>
        </w:tc>
        <w:tc>
          <w:tcPr>
            <w:tcW w:w="1060" w:type="dxa"/>
            <w:vAlign w:val="bottom"/>
            <w:shd w:val="clear" w:color="auto" w:fill="F3EDF3"/>
          </w:tcPr>
          <w:p>
            <w:pPr>
              <w:jc w:val="right"/>
              <w:ind w:right="179"/>
              <w:spacing w:after="0"/>
              <w:rPr>
                <w:sz w:val="20"/>
                <w:szCs w:val="20"/>
                <w:color w:val="auto"/>
              </w:rPr>
            </w:pPr>
            <w:r>
              <w:rPr>
                <w:rFonts w:ascii="Arial" w:cs="Arial" w:eastAsia="Arial" w:hAnsi="Arial"/>
                <w:sz w:val="16"/>
                <w:szCs w:val="16"/>
                <w:color w:val="231F20"/>
              </w:rPr>
              <w:t>$</w:t>
            </w:r>
          </w:p>
        </w:tc>
        <w:tc>
          <w:tcPr>
            <w:tcW w:w="660" w:type="dxa"/>
            <w:vAlign w:val="bottom"/>
            <w:shd w:val="clear" w:color="auto" w:fill="F3EDF3"/>
          </w:tcPr>
          <w:p>
            <w:pPr>
              <w:jc w:val="right"/>
              <w:ind w:right="159"/>
              <w:spacing w:after="0"/>
              <w:rPr>
                <w:sz w:val="20"/>
                <w:szCs w:val="20"/>
                <w:color w:val="auto"/>
              </w:rPr>
            </w:pPr>
            <w:r>
              <w:rPr>
                <w:rFonts w:ascii="Arial" w:cs="Arial" w:eastAsia="Arial" w:hAnsi="Arial"/>
                <w:sz w:val="16"/>
                <w:szCs w:val="16"/>
                <w:color w:val="231F20"/>
              </w:rPr>
              <w:t>—</w:t>
            </w:r>
          </w:p>
        </w:tc>
        <w:tc>
          <w:tcPr>
            <w:tcW w:w="560" w:type="dxa"/>
            <w:vAlign w:val="bottom"/>
            <w:shd w:val="clear" w:color="auto" w:fill="F3EDF3"/>
          </w:tcPr>
          <w:p>
            <w:pPr>
              <w:jc w:val="right"/>
              <w:ind w:right="159"/>
              <w:spacing w:after="0"/>
              <w:rPr>
                <w:sz w:val="20"/>
                <w:szCs w:val="20"/>
                <w:color w:val="auto"/>
              </w:rPr>
            </w:pPr>
            <w:r>
              <w:rPr>
                <w:rFonts w:ascii="Arial" w:cs="Arial" w:eastAsia="Arial" w:hAnsi="Arial"/>
                <w:sz w:val="16"/>
                <w:szCs w:val="16"/>
                <w:color w:val="231F20"/>
              </w:rPr>
              <w:t>$</w:t>
            </w:r>
          </w:p>
        </w:tc>
        <w:tc>
          <w:tcPr>
            <w:tcW w:w="1040" w:type="dxa"/>
            <w:vAlign w:val="bottom"/>
            <w:shd w:val="clear" w:color="auto" w:fill="F3EDF3"/>
          </w:tcPr>
          <w:p>
            <w:pPr>
              <w:jc w:val="right"/>
              <w:ind w:right="79"/>
              <w:spacing w:after="0"/>
              <w:rPr>
                <w:sz w:val="20"/>
                <w:szCs w:val="20"/>
                <w:color w:val="auto"/>
              </w:rPr>
            </w:pPr>
            <w:r>
              <w:rPr>
                <w:rFonts w:ascii="Arial" w:cs="Arial" w:eastAsia="Arial" w:hAnsi="Arial"/>
                <w:sz w:val="16"/>
                <w:szCs w:val="16"/>
                <w:color w:val="231F20"/>
              </w:rPr>
              <w:t>—</w:t>
            </w:r>
          </w:p>
        </w:tc>
        <w:tc>
          <w:tcPr>
            <w:tcW w:w="66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w:t>
            </w:r>
          </w:p>
        </w:tc>
        <w:tc>
          <w:tcPr>
            <w:tcW w:w="980" w:type="dxa"/>
            <w:vAlign w:val="bottom"/>
            <w:shd w:val="clear" w:color="auto" w:fill="F3EDF3"/>
          </w:tcPr>
          <w:p>
            <w:pPr>
              <w:jc w:val="right"/>
              <w:ind w:right="19"/>
              <w:spacing w:after="0"/>
              <w:rPr>
                <w:sz w:val="20"/>
                <w:szCs w:val="20"/>
                <w:color w:val="auto"/>
              </w:rPr>
            </w:pPr>
            <w:r>
              <w:rPr>
                <w:rFonts w:ascii="Arial" w:cs="Arial" w:eastAsia="Arial" w:hAnsi="Arial"/>
                <w:sz w:val="16"/>
                <w:szCs w:val="16"/>
                <w:color w:val="231F20"/>
              </w:rPr>
              <w:t>—</w:t>
            </w:r>
          </w:p>
        </w:tc>
      </w:tr>
      <w:tr>
        <w:trPr>
          <w:trHeight w:val="189"/>
        </w:trPr>
        <w:tc>
          <w:tcPr>
            <w:tcW w:w="2440" w:type="dxa"/>
            <w:vAlign w:val="bottom"/>
            <w:gridSpan w:val="2"/>
          </w:tcPr>
          <w:p>
            <w:pPr>
              <w:ind w:left="60"/>
              <w:spacing w:after="0"/>
              <w:rPr>
                <w:sz w:val="20"/>
                <w:szCs w:val="20"/>
                <w:color w:val="auto"/>
              </w:rPr>
            </w:pPr>
            <w:r>
              <w:rPr>
                <w:rFonts w:ascii="Arial" w:cs="Arial" w:eastAsia="Arial" w:hAnsi="Arial"/>
                <w:sz w:val="16"/>
                <w:szCs w:val="16"/>
                <w:b w:val="1"/>
                <w:bCs w:val="1"/>
                <w:color w:val="231F20"/>
              </w:rPr>
              <w:t>LTIP</w:t>
            </w:r>
          </w:p>
        </w:tc>
        <w:tc>
          <w:tcPr>
            <w:tcW w:w="1540" w:type="dxa"/>
            <w:vAlign w:val="bottom"/>
          </w:tcPr>
          <w:p>
            <w:pPr>
              <w:jc w:val="right"/>
              <w:ind w:right="259"/>
              <w:spacing w:after="0"/>
              <w:rPr>
                <w:sz w:val="20"/>
                <w:szCs w:val="20"/>
                <w:color w:val="auto"/>
              </w:rPr>
            </w:pPr>
            <w:r>
              <w:rPr>
                <w:rFonts w:ascii="Arial" w:cs="Arial" w:eastAsia="Arial" w:hAnsi="Arial"/>
                <w:sz w:val="16"/>
                <w:szCs w:val="16"/>
                <w:color w:val="231F20"/>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231F20"/>
              </w:rPr>
              <w:t>—</w:t>
            </w:r>
          </w:p>
        </w:tc>
        <w:tc>
          <w:tcPr>
            <w:tcW w:w="1020" w:type="dxa"/>
            <w:vAlign w:val="bottom"/>
          </w:tcPr>
          <w:p>
            <w:pPr>
              <w:jc w:val="right"/>
              <w:spacing w:after="0"/>
              <w:rPr>
                <w:sz w:val="20"/>
                <w:szCs w:val="20"/>
                <w:color w:val="auto"/>
              </w:rPr>
            </w:pPr>
            <w:r>
              <w:rPr>
                <w:rFonts w:ascii="Arial" w:cs="Arial" w:eastAsia="Arial" w:hAnsi="Arial"/>
                <w:sz w:val="16"/>
                <w:szCs w:val="16"/>
                <w:color w:val="231F20"/>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231F20"/>
                <w:w w:val="98"/>
              </w:rPr>
              <w:t>2,785,372</w:t>
            </w:r>
          </w:p>
        </w:tc>
        <w:tc>
          <w:tcPr>
            <w:tcW w:w="1060" w:type="dxa"/>
            <w:vAlign w:val="bottom"/>
          </w:tcPr>
          <w:p>
            <w:pPr>
              <w:jc w:val="right"/>
              <w:ind w:right="179"/>
              <w:spacing w:after="0"/>
              <w:rPr>
                <w:sz w:val="20"/>
                <w:szCs w:val="20"/>
                <w:color w:val="auto"/>
              </w:rPr>
            </w:pPr>
            <w:r>
              <w:rPr>
                <w:rFonts w:ascii="Arial" w:cs="Arial" w:eastAsia="Arial" w:hAnsi="Arial"/>
                <w:sz w:val="16"/>
                <w:szCs w:val="16"/>
                <w:color w:val="231F20"/>
              </w:rPr>
              <w:t>$</w:t>
            </w:r>
          </w:p>
        </w:tc>
        <w:tc>
          <w:tcPr>
            <w:tcW w:w="660" w:type="dxa"/>
            <w:vAlign w:val="bottom"/>
          </w:tcPr>
          <w:p>
            <w:pPr>
              <w:jc w:val="right"/>
              <w:ind w:right="159"/>
              <w:spacing w:after="0"/>
              <w:rPr>
                <w:sz w:val="20"/>
                <w:szCs w:val="20"/>
                <w:color w:val="auto"/>
              </w:rPr>
            </w:pPr>
            <w:r>
              <w:rPr>
                <w:rFonts w:ascii="Arial" w:cs="Arial" w:eastAsia="Arial" w:hAnsi="Arial"/>
                <w:sz w:val="16"/>
                <w:szCs w:val="16"/>
                <w:color w:val="231F20"/>
              </w:rPr>
              <w:t>—</w:t>
            </w:r>
          </w:p>
        </w:tc>
        <w:tc>
          <w:tcPr>
            <w:tcW w:w="560" w:type="dxa"/>
            <w:vAlign w:val="bottom"/>
          </w:tcPr>
          <w:p>
            <w:pPr>
              <w:jc w:val="right"/>
              <w:ind w:right="159"/>
              <w:spacing w:after="0"/>
              <w:rPr>
                <w:sz w:val="20"/>
                <w:szCs w:val="20"/>
                <w:color w:val="auto"/>
              </w:rPr>
            </w:pPr>
            <w:r>
              <w:rPr>
                <w:rFonts w:ascii="Arial" w:cs="Arial" w:eastAsia="Arial" w:hAnsi="Arial"/>
                <w:sz w:val="16"/>
                <w:szCs w:val="16"/>
                <w:color w:val="231F20"/>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231F20"/>
              </w:rPr>
              <w:t>—</w:t>
            </w:r>
          </w:p>
        </w:tc>
        <w:tc>
          <w:tcPr>
            <w:tcW w:w="660" w:type="dxa"/>
            <w:vAlign w:val="bottom"/>
          </w:tcPr>
          <w:p>
            <w:pPr>
              <w:jc w:val="right"/>
              <w:spacing w:after="0"/>
              <w:rPr>
                <w:sz w:val="20"/>
                <w:szCs w:val="20"/>
                <w:color w:val="auto"/>
              </w:rPr>
            </w:pPr>
            <w:r>
              <w:rPr>
                <w:rFonts w:ascii="Arial" w:cs="Arial" w:eastAsia="Arial" w:hAnsi="Arial"/>
                <w:sz w:val="16"/>
                <w:szCs w:val="16"/>
                <w:color w:val="231F20"/>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231F20"/>
              </w:rPr>
              <w:t>—</w:t>
            </w:r>
          </w:p>
        </w:tc>
      </w:tr>
      <w:tr>
        <w:trPr>
          <w:trHeight w:val="189"/>
        </w:trPr>
        <w:tc>
          <w:tcPr>
            <w:tcW w:w="2440" w:type="dxa"/>
            <w:vAlign w:val="bottom"/>
            <w:tcBorders>
              <w:bottom w:val="single" w:sz="8" w:color="6F2875"/>
            </w:tcBorders>
            <w:gridSpan w:val="2"/>
            <w:shd w:val="clear" w:color="auto" w:fill="F3EDF3"/>
          </w:tcPr>
          <w:p>
            <w:pPr>
              <w:ind w:left="60"/>
              <w:spacing w:after="0"/>
              <w:rPr>
                <w:sz w:val="20"/>
                <w:szCs w:val="20"/>
                <w:color w:val="auto"/>
              </w:rPr>
            </w:pPr>
            <w:r>
              <w:rPr>
                <w:rFonts w:ascii="Arial" w:cs="Arial" w:eastAsia="Arial" w:hAnsi="Arial"/>
                <w:sz w:val="16"/>
                <w:szCs w:val="16"/>
                <w:b w:val="1"/>
                <w:bCs w:val="1"/>
                <w:color w:val="231F20"/>
              </w:rPr>
              <w:t>Benefits</w:t>
            </w:r>
          </w:p>
        </w:tc>
        <w:tc>
          <w:tcPr>
            <w:tcW w:w="1540" w:type="dxa"/>
            <w:vAlign w:val="bottom"/>
            <w:tcBorders>
              <w:bottom w:val="single" w:sz="8" w:color="6F2875"/>
            </w:tcBorders>
            <w:shd w:val="clear" w:color="auto" w:fill="F3EDF3"/>
          </w:tcPr>
          <w:p>
            <w:pPr>
              <w:jc w:val="right"/>
              <w:ind w:right="259"/>
              <w:spacing w:after="0"/>
              <w:rPr>
                <w:sz w:val="20"/>
                <w:szCs w:val="20"/>
                <w:color w:val="auto"/>
              </w:rPr>
            </w:pPr>
            <w:r>
              <w:rPr>
                <w:rFonts w:ascii="Arial" w:cs="Arial" w:eastAsia="Arial" w:hAnsi="Arial"/>
                <w:sz w:val="16"/>
                <w:szCs w:val="16"/>
                <w:color w:val="231F20"/>
              </w:rPr>
              <w:t>$</w:t>
            </w:r>
          </w:p>
        </w:tc>
        <w:tc>
          <w:tcPr>
            <w:tcW w:w="640" w:type="dxa"/>
            <w:vAlign w:val="bottom"/>
            <w:tcBorders>
              <w:bottom w:val="single" w:sz="8" w:color="6F2875"/>
            </w:tcBorders>
            <w:shd w:val="clear" w:color="auto" w:fill="F3EDF3"/>
          </w:tcPr>
          <w:p>
            <w:pPr>
              <w:jc w:val="right"/>
              <w:ind w:right="39"/>
              <w:spacing w:after="0"/>
              <w:rPr>
                <w:sz w:val="20"/>
                <w:szCs w:val="20"/>
                <w:color w:val="auto"/>
              </w:rPr>
            </w:pPr>
            <w:r>
              <w:rPr>
                <w:rFonts w:ascii="Arial" w:cs="Arial" w:eastAsia="Arial" w:hAnsi="Arial"/>
                <w:sz w:val="16"/>
                <w:szCs w:val="16"/>
                <w:color w:val="231F20"/>
              </w:rPr>
              <w:t>—</w:t>
            </w:r>
          </w:p>
        </w:tc>
        <w:tc>
          <w:tcPr>
            <w:tcW w:w="1020" w:type="dxa"/>
            <w:vAlign w:val="bottom"/>
            <w:tcBorders>
              <w:bottom w:val="single" w:sz="8" w:color="6F2875"/>
            </w:tcBorders>
            <w:shd w:val="clear" w:color="auto" w:fill="F3EDF3"/>
          </w:tcPr>
          <w:p>
            <w:pPr>
              <w:jc w:val="right"/>
              <w:spacing w:after="0"/>
              <w:rPr>
                <w:sz w:val="20"/>
                <w:szCs w:val="20"/>
                <w:color w:val="auto"/>
              </w:rPr>
            </w:pPr>
            <w:r>
              <w:rPr>
                <w:rFonts w:ascii="Arial" w:cs="Arial" w:eastAsia="Arial" w:hAnsi="Arial"/>
                <w:sz w:val="16"/>
                <w:szCs w:val="16"/>
                <w:color w:val="231F20"/>
              </w:rPr>
              <w:t>$</w:t>
            </w:r>
          </w:p>
        </w:tc>
        <w:tc>
          <w:tcPr>
            <w:tcW w:w="820" w:type="dxa"/>
            <w:vAlign w:val="bottom"/>
            <w:tcBorders>
              <w:bottom w:val="single" w:sz="8" w:color="6F2875"/>
            </w:tcBorders>
            <w:shd w:val="clear" w:color="auto" w:fill="F3EDF3"/>
          </w:tcPr>
          <w:p>
            <w:pPr>
              <w:jc w:val="right"/>
              <w:ind w:right="19"/>
              <w:spacing w:after="0"/>
              <w:rPr>
                <w:sz w:val="20"/>
                <w:szCs w:val="20"/>
                <w:color w:val="auto"/>
              </w:rPr>
            </w:pPr>
            <w:r>
              <w:rPr>
                <w:rFonts w:ascii="Arial" w:cs="Arial" w:eastAsia="Arial" w:hAnsi="Arial"/>
                <w:sz w:val="16"/>
                <w:szCs w:val="16"/>
                <w:color w:val="231F20"/>
              </w:rPr>
              <w:t>—</w:t>
            </w:r>
          </w:p>
        </w:tc>
        <w:tc>
          <w:tcPr>
            <w:tcW w:w="1060" w:type="dxa"/>
            <w:vAlign w:val="bottom"/>
            <w:tcBorders>
              <w:bottom w:val="single" w:sz="8" w:color="6F2875"/>
            </w:tcBorders>
            <w:shd w:val="clear" w:color="auto" w:fill="F3EDF3"/>
          </w:tcPr>
          <w:p>
            <w:pPr>
              <w:jc w:val="right"/>
              <w:ind w:right="179"/>
              <w:spacing w:after="0"/>
              <w:rPr>
                <w:sz w:val="20"/>
                <w:szCs w:val="20"/>
                <w:color w:val="auto"/>
              </w:rPr>
            </w:pPr>
            <w:r>
              <w:rPr>
                <w:rFonts w:ascii="Arial" w:cs="Arial" w:eastAsia="Arial" w:hAnsi="Arial"/>
                <w:sz w:val="16"/>
                <w:szCs w:val="16"/>
                <w:color w:val="231F20"/>
              </w:rPr>
              <w:t>$</w:t>
            </w:r>
          </w:p>
        </w:tc>
        <w:tc>
          <w:tcPr>
            <w:tcW w:w="660" w:type="dxa"/>
            <w:vAlign w:val="bottom"/>
            <w:tcBorders>
              <w:bottom w:val="single" w:sz="8" w:color="6F2875"/>
            </w:tcBorders>
            <w:shd w:val="clear" w:color="auto" w:fill="F3EDF3"/>
          </w:tcPr>
          <w:p>
            <w:pPr>
              <w:jc w:val="right"/>
              <w:ind w:right="159"/>
              <w:spacing w:after="0"/>
              <w:rPr>
                <w:sz w:val="20"/>
                <w:szCs w:val="20"/>
                <w:color w:val="auto"/>
              </w:rPr>
            </w:pPr>
            <w:r>
              <w:rPr>
                <w:rFonts w:ascii="Arial" w:cs="Arial" w:eastAsia="Arial" w:hAnsi="Arial"/>
                <w:sz w:val="16"/>
                <w:szCs w:val="16"/>
                <w:color w:val="231F20"/>
              </w:rPr>
              <w:t>—</w:t>
            </w:r>
          </w:p>
        </w:tc>
        <w:tc>
          <w:tcPr>
            <w:tcW w:w="560" w:type="dxa"/>
            <w:vAlign w:val="bottom"/>
            <w:tcBorders>
              <w:bottom w:val="single" w:sz="8" w:color="6F2875"/>
            </w:tcBorders>
            <w:shd w:val="clear" w:color="auto" w:fill="F3EDF3"/>
          </w:tcPr>
          <w:p>
            <w:pPr>
              <w:jc w:val="right"/>
              <w:ind w:right="159"/>
              <w:spacing w:after="0"/>
              <w:rPr>
                <w:sz w:val="20"/>
                <w:szCs w:val="20"/>
                <w:color w:val="auto"/>
              </w:rPr>
            </w:pPr>
            <w:r>
              <w:rPr>
                <w:rFonts w:ascii="Arial" w:cs="Arial" w:eastAsia="Arial" w:hAnsi="Arial"/>
                <w:sz w:val="16"/>
                <w:szCs w:val="16"/>
                <w:color w:val="231F20"/>
              </w:rPr>
              <w:t>$</w:t>
            </w:r>
          </w:p>
        </w:tc>
        <w:tc>
          <w:tcPr>
            <w:tcW w:w="1040" w:type="dxa"/>
            <w:vAlign w:val="bottom"/>
            <w:tcBorders>
              <w:bottom w:val="single" w:sz="8" w:color="6F2875"/>
            </w:tcBorders>
            <w:shd w:val="clear" w:color="auto" w:fill="F3EDF3"/>
          </w:tcPr>
          <w:p>
            <w:pPr>
              <w:jc w:val="right"/>
              <w:ind w:right="79"/>
              <w:spacing w:after="0"/>
              <w:rPr>
                <w:sz w:val="20"/>
                <w:szCs w:val="20"/>
                <w:color w:val="auto"/>
              </w:rPr>
            </w:pPr>
            <w:r>
              <w:rPr>
                <w:rFonts w:ascii="Arial" w:cs="Arial" w:eastAsia="Arial" w:hAnsi="Arial"/>
                <w:sz w:val="16"/>
                <w:szCs w:val="16"/>
                <w:color w:val="231F20"/>
              </w:rPr>
              <w:t>—</w:t>
            </w:r>
          </w:p>
        </w:tc>
        <w:tc>
          <w:tcPr>
            <w:tcW w:w="660" w:type="dxa"/>
            <w:vAlign w:val="bottom"/>
            <w:tcBorders>
              <w:bottom w:val="single" w:sz="8" w:color="6F2875"/>
            </w:tcBorders>
            <w:shd w:val="clear" w:color="auto" w:fill="F3EDF3"/>
          </w:tcPr>
          <w:p>
            <w:pPr>
              <w:jc w:val="right"/>
              <w:spacing w:after="0"/>
              <w:rPr>
                <w:sz w:val="20"/>
                <w:szCs w:val="20"/>
                <w:color w:val="auto"/>
              </w:rPr>
            </w:pPr>
            <w:r>
              <w:rPr>
                <w:rFonts w:ascii="Arial" w:cs="Arial" w:eastAsia="Arial" w:hAnsi="Arial"/>
                <w:sz w:val="16"/>
                <w:szCs w:val="16"/>
                <w:color w:val="231F20"/>
              </w:rPr>
              <w:t>$</w:t>
            </w:r>
          </w:p>
        </w:tc>
        <w:tc>
          <w:tcPr>
            <w:tcW w:w="980" w:type="dxa"/>
            <w:vAlign w:val="bottom"/>
            <w:tcBorders>
              <w:bottom w:val="single" w:sz="8" w:color="6F2875"/>
            </w:tcBorders>
            <w:shd w:val="clear" w:color="auto" w:fill="F3EDF3"/>
          </w:tcPr>
          <w:p>
            <w:pPr>
              <w:jc w:val="right"/>
              <w:ind w:right="19"/>
              <w:spacing w:after="0"/>
              <w:rPr>
                <w:sz w:val="20"/>
                <w:szCs w:val="20"/>
                <w:color w:val="auto"/>
              </w:rPr>
            </w:pPr>
            <w:r>
              <w:rPr>
                <w:rFonts w:ascii="Arial" w:cs="Arial" w:eastAsia="Arial" w:hAnsi="Arial"/>
                <w:sz w:val="16"/>
                <w:szCs w:val="16"/>
                <w:color w:val="231F20"/>
              </w:rPr>
              <w:t>—</w:t>
            </w:r>
          </w:p>
        </w:tc>
      </w:tr>
      <w:tr>
        <w:trPr>
          <w:trHeight w:val="183"/>
        </w:trPr>
        <w:tc>
          <w:tcPr>
            <w:tcW w:w="2440" w:type="dxa"/>
            <w:vAlign w:val="bottom"/>
            <w:tcBorders>
              <w:bottom w:val="single" w:sz="8" w:color="6F2875"/>
            </w:tcBorders>
            <w:gridSpan w:val="2"/>
          </w:tcPr>
          <w:p>
            <w:pPr>
              <w:ind w:left="60"/>
              <w:spacing w:after="0" w:line="183" w:lineRule="exact"/>
              <w:rPr>
                <w:sz w:val="20"/>
                <w:szCs w:val="20"/>
                <w:color w:val="auto"/>
              </w:rPr>
            </w:pPr>
            <w:r>
              <w:rPr>
                <w:rFonts w:ascii="Arial" w:cs="Arial" w:eastAsia="Arial" w:hAnsi="Arial"/>
                <w:sz w:val="16"/>
                <w:szCs w:val="16"/>
                <w:b w:val="1"/>
                <w:bCs w:val="1"/>
                <w:color w:val="6F2875"/>
              </w:rPr>
              <w:t>TOTAL</w:t>
            </w:r>
          </w:p>
        </w:tc>
        <w:tc>
          <w:tcPr>
            <w:tcW w:w="1540" w:type="dxa"/>
            <w:vAlign w:val="bottom"/>
            <w:tcBorders>
              <w:bottom w:val="single" w:sz="8" w:color="6F2875"/>
            </w:tcBorders>
          </w:tcPr>
          <w:p>
            <w:pPr>
              <w:jc w:val="right"/>
              <w:ind w:right="259"/>
              <w:spacing w:after="0" w:line="183" w:lineRule="exact"/>
              <w:rPr>
                <w:sz w:val="20"/>
                <w:szCs w:val="20"/>
                <w:color w:val="auto"/>
              </w:rPr>
            </w:pPr>
            <w:r>
              <w:rPr>
                <w:rFonts w:ascii="Arial" w:cs="Arial" w:eastAsia="Arial" w:hAnsi="Arial"/>
                <w:sz w:val="16"/>
                <w:szCs w:val="16"/>
                <w:b w:val="1"/>
                <w:bCs w:val="1"/>
                <w:color w:val="6F2875"/>
              </w:rPr>
              <w:t>$</w:t>
            </w:r>
          </w:p>
        </w:tc>
        <w:tc>
          <w:tcPr>
            <w:tcW w:w="640" w:type="dxa"/>
            <w:vAlign w:val="bottom"/>
            <w:tcBorders>
              <w:bottom w:val="single" w:sz="8" w:color="6F2875"/>
            </w:tcBorders>
          </w:tcPr>
          <w:p>
            <w:pPr>
              <w:jc w:val="right"/>
              <w:ind w:right="39"/>
              <w:spacing w:after="0" w:line="183" w:lineRule="exact"/>
              <w:rPr>
                <w:sz w:val="20"/>
                <w:szCs w:val="20"/>
                <w:color w:val="auto"/>
              </w:rPr>
            </w:pPr>
            <w:r>
              <w:rPr>
                <w:rFonts w:ascii="Arial" w:cs="Arial" w:eastAsia="Arial" w:hAnsi="Arial"/>
                <w:sz w:val="16"/>
                <w:szCs w:val="16"/>
                <w:b w:val="1"/>
                <w:bCs w:val="1"/>
                <w:color w:val="6F2875"/>
              </w:rPr>
              <w:t>—</w:t>
            </w:r>
          </w:p>
        </w:tc>
        <w:tc>
          <w:tcPr>
            <w:tcW w:w="1020" w:type="dxa"/>
            <w:vAlign w:val="bottom"/>
            <w:tcBorders>
              <w:bottom w:val="single" w:sz="8" w:color="6F2875"/>
            </w:tcBorders>
          </w:tcPr>
          <w:p>
            <w:pPr>
              <w:jc w:val="right"/>
              <w:spacing w:after="0" w:line="183" w:lineRule="exact"/>
              <w:rPr>
                <w:sz w:val="20"/>
                <w:szCs w:val="20"/>
                <w:color w:val="auto"/>
              </w:rPr>
            </w:pPr>
            <w:r>
              <w:rPr>
                <w:rFonts w:ascii="Arial" w:cs="Arial" w:eastAsia="Arial" w:hAnsi="Arial"/>
                <w:sz w:val="16"/>
                <w:szCs w:val="16"/>
                <w:b w:val="1"/>
                <w:bCs w:val="1"/>
                <w:color w:val="6F2875"/>
              </w:rPr>
              <w:t>$</w:t>
            </w:r>
          </w:p>
        </w:tc>
        <w:tc>
          <w:tcPr>
            <w:tcW w:w="820" w:type="dxa"/>
            <w:vAlign w:val="bottom"/>
            <w:tcBorders>
              <w:bottom w:val="single" w:sz="8" w:color="6F2875"/>
            </w:tcBorders>
          </w:tcPr>
          <w:p>
            <w:pPr>
              <w:jc w:val="right"/>
              <w:ind w:right="19"/>
              <w:spacing w:after="0" w:line="183" w:lineRule="exact"/>
              <w:rPr>
                <w:sz w:val="20"/>
                <w:szCs w:val="20"/>
                <w:color w:val="auto"/>
              </w:rPr>
            </w:pPr>
            <w:r>
              <w:rPr>
                <w:rFonts w:ascii="Arial" w:cs="Arial" w:eastAsia="Arial" w:hAnsi="Arial"/>
                <w:sz w:val="16"/>
                <w:szCs w:val="16"/>
                <w:b w:val="1"/>
                <w:bCs w:val="1"/>
                <w:color w:val="6F2875"/>
                <w:w w:val="98"/>
              </w:rPr>
              <w:t>2,785,372</w:t>
            </w:r>
          </w:p>
        </w:tc>
        <w:tc>
          <w:tcPr>
            <w:tcW w:w="1060" w:type="dxa"/>
            <w:vAlign w:val="bottom"/>
            <w:tcBorders>
              <w:bottom w:val="single" w:sz="8" w:color="6F2875"/>
            </w:tcBorders>
          </w:tcPr>
          <w:p>
            <w:pPr>
              <w:jc w:val="right"/>
              <w:ind w:right="179"/>
              <w:spacing w:after="0" w:line="183" w:lineRule="exact"/>
              <w:rPr>
                <w:sz w:val="20"/>
                <w:szCs w:val="20"/>
                <w:color w:val="auto"/>
              </w:rPr>
            </w:pPr>
            <w:r>
              <w:rPr>
                <w:rFonts w:ascii="Arial" w:cs="Arial" w:eastAsia="Arial" w:hAnsi="Arial"/>
                <w:sz w:val="16"/>
                <w:szCs w:val="16"/>
                <w:b w:val="1"/>
                <w:bCs w:val="1"/>
                <w:color w:val="6F2875"/>
              </w:rPr>
              <w:t>$</w:t>
            </w:r>
          </w:p>
        </w:tc>
        <w:tc>
          <w:tcPr>
            <w:tcW w:w="660" w:type="dxa"/>
            <w:vAlign w:val="bottom"/>
            <w:tcBorders>
              <w:bottom w:val="single" w:sz="8" w:color="6F2875"/>
            </w:tcBorders>
          </w:tcPr>
          <w:p>
            <w:pPr>
              <w:jc w:val="right"/>
              <w:ind w:right="159"/>
              <w:spacing w:after="0" w:line="183" w:lineRule="exact"/>
              <w:rPr>
                <w:sz w:val="20"/>
                <w:szCs w:val="20"/>
                <w:color w:val="auto"/>
              </w:rPr>
            </w:pPr>
            <w:r>
              <w:rPr>
                <w:rFonts w:ascii="Arial" w:cs="Arial" w:eastAsia="Arial" w:hAnsi="Arial"/>
                <w:sz w:val="16"/>
                <w:szCs w:val="16"/>
                <w:b w:val="1"/>
                <w:bCs w:val="1"/>
                <w:color w:val="6F2875"/>
              </w:rPr>
              <w:t>—</w:t>
            </w:r>
          </w:p>
        </w:tc>
        <w:tc>
          <w:tcPr>
            <w:tcW w:w="560" w:type="dxa"/>
            <w:vAlign w:val="bottom"/>
            <w:tcBorders>
              <w:bottom w:val="single" w:sz="8" w:color="6F2875"/>
            </w:tcBorders>
          </w:tcPr>
          <w:p>
            <w:pPr>
              <w:jc w:val="right"/>
              <w:ind w:right="159"/>
              <w:spacing w:after="0" w:line="183" w:lineRule="exact"/>
              <w:rPr>
                <w:sz w:val="20"/>
                <w:szCs w:val="20"/>
                <w:color w:val="auto"/>
              </w:rPr>
            </w:pPr>
            <w:r>
              <w:rPr>
                <w:rFonts w:ascii="Arial" w:cs="Arial" w:eastAsia="Arial" w:hAnsi="Arial"/>
                <w:sz w:val="16"/>
                <w:szCs w:val="16"/>
                <w:b w:val="1"/>
                <w:bCs w:val="1"/>
                <w:color w:val="6F2875"/>
              </w:rPr>
              <w:t>$</w:t>
            </w:r>
          </w:p>
        </w:tc>
        <w:tc>
          <w:tcPr>
            <w:tcW w:w="1040" w:type="dxa"/>
            <w:vAlign w:val="bottom"/>
            <w:tcBorders>
              <w:bottom w:val="single" w:sz="8" w:color="6F2875"/>
            </w:tcBorders>
          </w:tcPr>
          <w:p>
            <w:pPr>
              <w:jc w:val="right"/>
              <w:ind w:right="79"/>
              <w:spacing w:after="0" w:line="183" w:lineRule="exact"/>
              <w:rPr>
                <w:sz w:val="20"/>
                <w:szCs w:val="20"/>
                <w:color w:val="auto"/>
              </w:rPr>
            </w:pPr>
            <w:r>
              <w:rPr>
                <w:rFonts w:ascii="Arial" w:cs="Arial" w:eastAsia="Arial" w:hAnsi="Arial"/>
                <w:sz w:val="16"/>
                <w:szCs w:val="16"/>
                <w:b w:val="1"/>
                <w:bCs w:val="1"/>
                <w:color w:val="6F2875"/>
              </w:rPr>
              <w:t>—</w:t>
            </w:r>
          </w:p>
        </w:tc>
        <w:tc>
          <w:tcPr>
            <w:tcW w:w="660" w:type="dxa"/>
            <w:vAlign w:val="bottom"/>
            <w:tcBorders>
              <w:bottom w:val="single" w:sz="8" w:color="6F2875"/>
            </w:tcBorders>
          </w:tcPr>
          <w:p>
            <w:pPr>
              <w:jc w:val="right"/>
              <w:spacing w:after="0" w:line="183" w:lineRule="exact"/>
              <w:rPr>
                <w:sz w:val="20"/>
                <w:szCs w:val="20"/>
                <w:color w:val="auto"/>
              </w:rPr>
            </w:pPr>
            <w:r>
              <w:rPr>
                <w:rFonts w:ascii="Arial" w:cs="Arial" w:eastAsia="Arial" w:hAnsi="Arial"/>
                <w:sz w:val="16"/>
                <w:szCs w:val="16"/>
                <w:b w:val="1"/>
                <w:bCs w:val="1"/>
                <w:color w:val="6F2875"/>
              </w:rPr>
              <w:t>$</w:t>
            </w:r>
          </w:p>
        </w:tc>
        <w:tc>
          <w:tcPr>
            <w:tcW w:w="980" w:type="dxa"/>
            <w:vAlign w:val="bottom"/>
            <w:tcBorders>
              <w:bottom w:val="single" w:sz="8" w:color="6F2875"/>
            </w:tcBorders>
          </w:tcPr>
          <w:p>
            <w:pPr>
              <w:jc w:val="right"/>
              <w:ind w:right="19"/>
              <w:spacing w:after="0" w:line="183" w:lineRule="exact"/>
              <w:rPr>
                <w:sz w:val="20"/>
                <w:szCs w:val="20"/>
                <w:color w:val="auto"/>
              </w:rPr>
            </w:pPr>
            <w:r>
              <w:rPr>
                <w:rFonts w:ascii="Arial" w:cs="Arial" w:eastAsia="Arial" w:hAnsi="Arial"/>
                <w:sz w:val="16"/>
                <w:szCs w:val="16"/>
                <w:b w:val="1"/>
                <w:bCs w:val="1"/>
                <w:color w:val="6F2875"/>
              </w:rPr>
              <w:t>—</w:t>
            </w:r>
          </w:p>
        </w:tc>
      </w:tr>
    </w:tbl>
    <w:p>
      <w:pPr>
        <w:spacing w:after="0" w:line="45" w:lineRule="exact"/>
        <w:rPr>
          <w:sz w:val="20"/>
          <w:szCs w:val="20"/>
          <w:color w:val="auto"/>
        </w:rPr>
      </w:pPr>
    </w:p>
    <w:p>
      <w:pPr>
        <w:ind w:left="340" w:hanging="332"/>
        <w:spacing w:after="0" w:line="279" w:lineRule="auto"/>
        <w:tabs>
          <w:tab w:leader="none" w:pos="340" w:val="left"/>
        </w:tabs>
        <w:numPr>
          <w:ilvl w:val="0"/>
          <w:numId w:val="40"/>
        </w:numPr>
        <w:rPr>
          <w:rFonts w:ascii="Arial" w:cs="Arial" w:eastAsia="Arial" w:hAnsi="Arial"/>
          <w:sz w:val="14"/>
          <w:szCs w:val="14"/>
          <w:i w:val="1"/>
          <w:iCs w:val="1"/>
          <w:color w:val="231F20"/>
        </w:rPr>
      </w:pPr>
      <w:r>
        <w:rPr>
          <w:rFonts w:ascii="Arial" w:cs="Arial" w:eastAsia="Arial" w:hAnsi="Arial"/>
          <w:sz w:val="14"/>
          <w:szCs w:val="14"/>
          <w:i w:val="1"/>
          <w:iCs w:val="1"/>
          <w:color w:val="231F20"/>
        </w:rPr>
        <w:t>LTIP Potential payments in case of separation due to change in control are calculated adding the amount resulting from multiplying the 34,852 RSUs subject to accelerated vesting in case of a change in control by the closing market price at December 31, 2017 ($79.92).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Mr. Manko</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On July 1, 2016, we entered into a letter agreement with Mr. Manko appointing him to the position of Chief Accounting Officer with effect from July 18, 2016. The letter provides for an annual salary of $295,022 (increased to $312,989 from April 1, 2018). The letter also notes his eligibility to participate our annual short-term incentive plan with a target of 40% of Mr. Manko’s base salary. He is also eligible to receive an equity award subject to the approval of the Compensation Committee with a grant-date value equivalent to 100% of his base salary.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231F20"/>
        </w:rPr>
        <w:t>Potential payments to Mr. Manko in the event of a termination or change-in-control as of December 31,2017 are as set out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ind w:left="60"/>
              <w:spacing w:after="0"/>
              <w:rPr>
                <w:sz w:val="20"/>
                <w:szCs w:val="20"/>
                <w:color w:val="auto"/>
              </w:rPr>
            </w:pPr>
            <w:r>
              <w:rPr>
                <w:rFonts w:ascii="Arial" w:cs="Arial" w:eastAsia="Arial" w:hAnsi="Arial"/>
                <w:sz w:val="16"/>
                <w:szCs w:val="16"/>
                <w:b w:val="1"/>
                <w:bCs w:val="1"/>
                <w:color w:val="6F2875"/>
              </w:rPr>
              <w:t>Type of Payment</w:t>
            </w: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6F2875"/>
              </w:rPr>
              <w:t>Separation due to</w:t>
            </w:r>
          </w:p>
        </w:tc>
        <w:tc>
          <w:tcPr>
            <w:tcW w:w="170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6F2875"/>
              </w:rPr>
              <w:t>Separation due to</w:t>
            </w:r>
          </w:p>
        </w:tc>
        <w:tc>
          <w:tcPr>
            <w:tcW w:w="16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6F2875"/>
              </w:rPr>
              <w:t>Seperation due</w:t>
            </w:r>
          </w:p>
        </w:tc>
        <w:tc>
          <w:tcPr>
            <w:tcW w:w="16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6F2875"/>
              </w:rPr>
              <w:t>Separation due to</w:t>
            </w:r>
          </w:p>
        </w:tc>
      </w:tr>
      <w:tr>
        <w:trPr>
          <w:trHeight w:val="230"/>
        </w:trPr>
        <w:tc>
          <w:tcPr>
            <w:tcW w:w="2460" w:type="dxa"/>
            <w:vAlign w:val="bottom"/>
            <w:tcBorders>
              <w:bottom w:val="single" w:sz="8" w:color="6F2875"/>
            </w:tcBorders>
          </w:tcPr>
          <w:p>
            <w:pPr>
              <w:ind w:left="60"/>
              <w:spacing w:after="0"/>
              <w:rPr>
                <w:sz w:val="20"/>
                <w:szCs w:val="20"/>
                <w:color w:val="auto"/>
              </w:rPr>
            </w:pPr>
            <w:r>
              <w:rPr>
                <w:rFonts w:ascii="Arial" w:cs="Arial" w:eastAsia="Arial" w:hAnsi="Arial"/>
                <w:sz w:val="16"/>
                <w:szCs w:val="16"/>
                <w:b w:val="1"/>
                <w:bCs w:val="1"/>
                <w:color w:val="6F2875"/>
              </w:rPr>
              <w:t>or Benefit</w:t>
            </w:r>
          </w:p>
        </w:tc>
        <w:tc>
          <w:tcPr>
            <w:tcW w:w="2160" w:type="dxa"/>
            <w:vAlign w:val="bottom"/>
            <w:tcBorders>
              <w:bottom w:val="single" w:sz="8" w:color="6F2875"/>
            </w:tcBorders>
            <w:gridSpan w:val="2"/>
          </w:tcPr>
          <w:p>
            <w:pPr>
              <w:jc w:val="right"/>
              <w:ind w:right="19"/>
              <w:spacing w:after="0"/>
              <w:rPr>
                <w:sz w:val="20"/>
                <w:szCs w:val="20"/>
                <w:color w:val="auto"/>
              </w:rPr>
            </w:pPr>
            <w:r>
              <w:rPr>
                <w:rFonts w:ascii="Arial" w:cs="Arial" w:eastAsia="Arial" w:hAnsi="Arial"/>
                <w:sz w:val="16"/>
                <w:szCs w:val="16"/>
                <w:b w:val="1"/>
                <w:bCs w:val="1"/>
                <w:color w:val="6F2875"/>
              </w:rPr>
              <w:t>Termination</w:t>
            </w:r>
          </w:p>
        </w:tc>
        <w:tc>
          <w:tcPr>
            <w:tcW w:w="1840" w:type="dxa"/>
            <w:vAlign w:val="bottom"/>
            <w:tcBorders>
              <w:bottom w:val="single" w:sz="8" w:color="6F2875"/>
            </w:tcBorders>
            <w:gridSpan w:val="2"/>
          </w:tcPr>
          <w:p>
            <w:pPr>
              <w:jc w:val="right"/>
              <w:ind w:right="39"/>
              <w:spacing w:after="0" w:line="230" w:lineRule="exact"/>
              <w:rPr>
                <w:sz w:val="20"/>
                <w:szCs w:val="20"/>
                <w:color w:val="auto"/>
              </w:rPr>
            </w:pPr>
            <w:r>
              <w:rPr>
                <w:rFonts w:ascii="Arial" w:cs="Arial" w:eastAsia="Arial" w:hAnsi="Arial"/>
                <w:sz w:val="16"/>
                <w:szCs w:val="16"/>
                <w:b w:val="1"/>
                <w:bCs w:val="1"/>
                <w:color w:val="6F2875"/>
              </w:rPr>
              <w:t xml:space="preserve">Change in Control </w:t>
            </w:r>
            <w:r>
              <w:rPr>
                <w:rFonts w:ascii="Arial" w:cs="Arial" w:eastAsia="Arial" w:hAnsi="Arial"/>
                <w:sz w:val="26"/>
                <w:szCs w:val="26"/>
                <w:b w:val="1"/>
                <w:bCs w:val="1"/>
                <w:color w:val="6F2875"/>
                <w:vertAlign w:val="superscript"/>
              </w:rPr>
              <w:t>(1)</w:t>
            </w:r>
          </w:p>
        </w:tc>
        <w:tc>
          <w:tcPr>
            <w:tcW w:w="1700" w:type="dxa"/>
            <w:vAlign w:val="bottom"/>
            <w:tcBorders>
              <w:bottom w:val="single" w:sz="8" w:color="6F2875"/>
            </w:tcBorders>
            <w:gridSpan w:val="2"/>
          </w:tcPr>
          <w:p>
            <w:pPr>
              <w:jc w:val="right"/>
              <w:ind w:right="139"/>
              <w:spacing w:after="0" w:line="230" w:lineRule="exact"/>
              <w:rPr>
                <w:sz w:val="20"/>
                <w:szCs w:val="20"/>
                <w:color w:val="auto"/>
              </w:rPr>
            </w:pPr>
            <w:r>
              <w:rPr>
                <w:rFonts w:ascii="Arial" w:cs="Arial" w:eastAsia="Arial" w:hAnsi="Arial"/>
                <w:sz w:val="16"/>
                <w:szCs w:val="16"/>
                <w:b w:val="1"/>
                <w:bCs w:val="1"/>
                <w:color w:val="6F2875"/>
              </w:rPr>
              <w:t xml:space="preserve">Disability </w:t>
            </w:r>
            <w:r>
              <w:rPr>
                <w:rFonts w:ascii="Arial" w:cs="Arial" w:eastAsia="Arial" w:hAnsi="Arial"/>
                <w:sz w:val="26"/>
                <w:szCs w:val="26"/>
                <w:b w:val="1"/>
                <w:bCs w:val="1"/>
                <w:color w:val="6F2875"/>
                <w:vertAlign w:val="superscript"/>
              </w:rPr>
              <w:t>(2)</w:t>
            </w:r>
          </w:p>
        </w:tc>
        <w:tc>
          <w:tcPr>
            <w:tcW w:w="480" w:type="dxa"/>
            <w:vAlign w:val="bottom"/>
            <w:tcBorders>
              <w:bottom w:val="single" w:sz="8" w:color="6F2875"/>
            </w:tcBorders>
          </w:tcPr>
          <w:p>
            <w:pPr>
              <w:spacing w:after="0"/>
              <w:rPr>
                <w:sz w:val="19"/>
                <w:szCs w:val="19"/>
                <w:color w:val="auto"/>
              </w:rPr>
            </w:pPr>
          </w:p>
        </w:tc>
        <w:tc>
          <w:tcPr>
            <w:tcW w:w="1140" w:type="dxa"/>
            <w:vAlign w:val="bottom"/>
            <w:tcBorders>
              <w:bottom w:val="single" w:sz="8" w:color="6F2875"/>
            </w:tcBorders>
          </w:tcPr>
          <w:p>
            <w:pPr>
              <w:jc w:val="right"/>
              <w:ind w:right="79"/>
              <w:spacing w:after="0" w:line="230" w:lineRule="exact"/>
              <w:rPr>
                <w:sz w:val="20"/>
                <w:szCs w:val="20"/>
                <w:color w:val="auto"/>
              </w:rPr>
            </w:pPr>
            <w:r>
              <w:rPr>
                <w:rFonts w:ascii="Arial" w:cs="Arial" w:eastAsia="Arial" w:hAnsi="Arial"/>
                <w:sz w:val="16"/>
                <w:szCs w:val="16"/>
                <w:b w:val="1"/>
                <w:bCs w:val="1"/>
                <w:color w:val="6F2875"/>
              </w:rPr>
              <w:t>to Death</w:t>
            </w:r>
            <w:r>
              <w:rPr>
                <w:rFonts w:ascii="Arial" w:cs="Arial" w:eastAsia="Arial" w:hAnsi="Arial"/>
                <w:sz w:val="26"/>
                <w:szCs w:val="26"/>
                <w:b w:val="1"/>
                <w:bCs w:val="1"/>
                <w:color w:val="6F2875"/>
                <w:vertAlign w:val="superscript"/>
              </w:rPr>
              <w:t>(3)</w:t>
            </w:r>
          </w:p>
        </w:tc>
        <w:tc>
          <w:tcPr>
            <w:tcW w:w="660" w:type="dxa"/>
            <w:vAlign w:val="bottom"/>
            <w:tcBorders>
              <w:bottom w:val="single" w:sz="8" w:color="6F2875"/>
            </w:tcBorders>
          </w:tcPr>
          <w:p>
            <w:pPr>
              <w:spacing w:after="0"/>
              <w:rPr>
                <w:sz w:val="19"/>
                <w:szCs w:val="19"/>
                <w:color w:val="auto"/>
              </w:rPr>
            </w:pPr>
          </w:p>
        </w:tc>
        <w:tc>
          <w:tcPr>
            <w:tcW w:w="980" w:type="dxa"/>
            <w:vAlign w:val="bottom"/>
            <w:tcBorders>
              <w:bottom w:val="single" w:sz="8" w:color="6F2875"/>
            </w:tcBorders>
          </w:tcPr>
          <w:p>
            <w:pPr>
              <w:jc w:val="right"/>
              <w:ind w:right="19"/>
              <w:spacing w:after="0"/>
              <w:rPr>
                <w:sz w:val="20"/>
                <w:szCs w:val="20"/>
                <w:color w:val="auto"/>
              </w:rPr>
            </w:pPr>
            <w:r>
              <w:rPr>
                <w:rFonts w:ascii="Arial" w:cs="Arial" w:eastAsia="Arial" w:hAnsi="Arial"/>
                <w:sz w:val="16"/>
                <w:szCs w:val="16"/>
                <w:b w:val="1"/>
                <w:bCs w:val="1"/>
                <w:color w:val="6F2875"/>
              </w:rPr>
              <w:t>Retirement</w:t>
            </w:r>
          </w:p>
        </w:tc>
      </w:tr>
      <w:tr>
        <w:trPr>
          <w:trHeight w:val="183"/>
        </w:trPr>
        <w:tc>
          <w:tcPr>
            <w:tcW w:w="2460" w:type="dxa"/>
            <w:vAlign w:val="bottom"/>
          </w:tcPr>
          <w:p>
            <w:pPr>
              <w:ind w:left="60"/>
              <w:spacing w:after="0" w:line="183" w:lineRule="exact"/>
              <w:rPr>
                <w:sz w:val="20"/>
                <w:szCs w:val="20"/>
                <w:color w:val="auto"/>
              </w:rPr>
            </w:pPr>
            <w:r>
              <w:rPr>
                <w:rFonts w:ascii="Arial" w:cs="Arial" w:eastAsia="Arial" w:hAnsi="Arial"/>
                <w:sz w:val="16"/>
                <w:szCs w:val="16"/>
                <w:b w:val="1"/>
                <w:bCs w:val="1"/>
                <w:color w:val="231F20"/>
              </w:rPr>
              <w:t>Severance</w:t>
            </w:r>
          </w:p>
        </w:tc>
        <w:tc>
          <w:tcPr>
            <w:tcW w:w="1540" w:type="dxa"/>
            <w:vAlign w:val="bottom"/>
          </w:tcPr>
          <w:p>
            <w:pPr>
              <w:jc w:val="right"/>
              <w:ind w:right="259"/>
              <w:spacing w:after="0" w:line="183" w:lineRule="exact"/>
              <w:rPr>
                <w:sz w:val="20"/>
                <w:szCs w:val="20"/>
                <w:color w:val="auto"/>
              </w:rPr>
            </w:pPr>
            <w:r>
              <w:rPr>
                <w:rFonts w:ascii="Arial" w:cs="Arial" w:eastAsia="Arial" w:hAnsi="Arial"/>
                <w:sz w:val="16"/>
                <w:szCs w:val="16"/>
                <w:color w:val="231F20"/>
              </w:rPr>
              <w:t>$</w:t>
            </w:r>
          </w:p>
        </w:tc>
        <w:tc>
          <w:tcPr>
            <w:tcW w:w="620" w:type="dxa"/>
            <w:vAlign w:val="bottom"/>
          </w:tcPr>
          <w:p>
            <w:pPr>
              <w:jc w:val="right"/>
              <w:ind w:right="19"/>
              <w:spacing w:after="0" w:line="183" w:lineRule="exact"/>
              <w:rPr>
                <w:sz w:val="20"/>
                <w:szCs w:val="20"/>
                <w:color w:val="auto"/>
              </w:rPr>
            </w:pPr>
            <w:r>
              <w:rPr>
                <w:rFonts w:ascii="Arial" w:cs="Arial" w:eastAsia="Arial" w:hAnsi="Arial"/>
                <w:sz w:val="16"/>
                <w:szCs w:val="16"/>
                <w:color w:val="231F20"/>
              </w:rPr>
              <w:t>—</w:t>
            </w: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231F20"/>
              </w:rPr>
              <w:t>$</w:t>
            </w:r>
          </w:p>
        </w:tc>
        <w:tc>
          <w:tcPr>
            <w:tcW w:w="760" w:type="dxa"/>
            <w:vAlign w:val="bottom"/>
          </w:tcPr>
          <w:p>
            <w:pPr>
              <w:jc w:val="right"/>
              <w:ind w:right="39"/>
              <w:spacing w:after="0" w:line="183" w:lineRule="exact"/>
              <w:rPr>
                <w:sz w:val="20"/>
                <w:szCs w:val="20"/>
                <w:color w:val="auto"/>
              </w:rPr>
            </w:pPr>
            <w:r>
              <w:rPr>
                <w:rFonts w:ascii="Arial" w:cs="Arial" w:eastAsia="Arial" w:hAnsi="Arial"/>
                <w:sz w:val="16"/>
                <w:szCs w:val="16"/>
                <w:color w:val="231F20"/>
              </w:rPr>
              <w:t>—</w:t>
            </w: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231F20"/>
              </w:rPr>
              <w:t>$</w:t>
            </w:r>
          </w:p>
        </w:tc>
        <w:tc>
          <w:tcPr>
            <w:tcW w:w="860" w:type="dxa"/>
            <w:vAlign w:val="bottom"/>
          </w:tcPr>
          <w:p>
            <w:pPr>
              <w:jc w:val="right"/>
              <w:ind w:right="139"/>
              <w:spacing w:after="0" w:line="183" w:lineRule="exact"/>
              <w:rPr>
                <w:sz w:val="20"/>
                <w:szCs w:val="20"/>
                <w:color w:val="auto"/>
              </w:rPr>
            </w:pPr>
            <w:r>
              <w:rPr>
                <w:rFonts w:ascii="Arial" w:cs="Arial" w:eastAsia="Arial" w:hAnsi="Arial"/>
                <w:sz w:val="16"/>
                <w:szCs w:val="16"/>
                <w:color w:val="231F20"/>
              </w:rPr>
              <w:t>—</w:t>
            </w:r>
          </w:p>
        </w:tc>
        <w:tc>
          <w:tcPr>
            <w:tcW w:w="480" w:type="dxa"/>
            <w:vAlign w:val="bottom"/>
          </w:tcPr>
          <w:p>
            <w:pPr>
              <w:jc w:val="right"/>
              <w:ind w:right="79"/>
              <w:spacing w:after="0" w:line="183" w:lineRule="exact"/>
              <w:rPr>
                <w:sz w:val="20"/>
                <w:szCs w:val="20"/>
                <w:color w:val="auto"/>
              </w:rPr>
            </w:pPr>
            <w:r>
              <w:rPr>
                <w:rFonts w:ascii="Arial" w:cs="Arial" w:eastAsia="Arial" w:hAnsi="Arial"/>
                <w:sz w:val="16"/>
                <w:szCs w:val="16"/>
                <w:color w:val="231F20"/>
              </w:rPr>
              <w:t>$</w:t>
            </w:r>
          </w:p>
        </w:tc>
        <w:tc>
          <w:tcPr>
            <w:tcW w:w="1140" w:type="dxa"/>
            <w:vAlign w:val="bottom"/>
          </w:tcPr>
          <w:p>
            <w:pPr>
              <w:jc w:val="right"/>
              <w:ind w:right="79"/>
              <w:spacing w:after="0" w:line="183" w:lineRule="exact"/>
              <w:rPr>
                <w:sz w:val="20"/>
                <w:szCs w:val="20"/>
                <w:color w:val="auto"/>
              </w:rPr>
            </w:pPr>
            <w:r>
              <w:rPr>
                <w:rFonts w:ascii="Arial" w:cs="Arial" w:eastAsia="Arial" w:hAnsi="Arial"/>
                <w:sz w:val="16"/>
                <w:szCs w:val="16"/>
                <w:color w:val="231F20"/>
              </w:rPr>
              <w:t>—</w:t>
            </w: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231F20"/>
              </w:rPr>
              <w:t>$</w:t>
            </w:r>
          </w:p>
        </w:tc>
        <w:tc>
          <w:tcPr>
            <w:tcW w:w="980" w:type="dxa"/>
            <w:vAlign w:val="bottom"/>
          </w:tcPr>
          <w:p>
            <w:pPr>
              <w:jc w:val="right"/>
              <w:ind w:right="19"/>
              <w:spacing w:after="0" w:line="183" w:lineRule="exact"/>
              <w:rPr>
                <w:sz w:val="20"/>
                <w:szCs w:val="20"/>
                <w:color w:val="auto"/>
              </w:rPr>
            </w:pPr>
            <w:r>
              <w:rPr>
                <w:rFonts w:ascii="Arial" w:cs="Arial" w:eastAsia="Arial" w:hAnsi="Arial"/>
                <w:sz w:val="16"/>
                <w:szCs w:val="16"/>
                <w:color w:val="231F20"/>
              </w:rPr>
              <w:t>—</w:t>
            </w:r>
          </w:p>
        </w:tc>
      </w:tr>
      <w:tr>
        <w:trPr>
          <w:trHeight w:val="189"/>
        </w:trPr>
        <w:tc>
          <w:tcPr>
            <w:tcW w:w="2460" w:type="dxa"/>
            <w:vAlign w:val="bottom"/>
            <w:shd w:val="clear" w:color="auto" w:fill="F3EDF3"/>
          </w:tcPr>
          <w:p>
            <w:pPr>
              <w:ind w:left="60"/>
              <w:spacing w:after="0"/>
              <w:rPr>
                <w:sz w:val="20"/>
                <w:szCs w:val="20"/>
                <w:color w:val="auto"/>
              </w:rPr>
            </w:pPr>
            <w:r>
              <w:rPr>
                <w:rFonts w:ascii="Arial" w:cs="Arial" w:eastAsia="Arial" w:hAnsi="Arial"/>
                <w:sz w:val="16"/>
                <w:szCs w:val="16"/>
                <w:b w:val="1"/>
                <w:bCs w:val="1"/>
                <w:color w:val="231F20"/>
              </w:rPr>
              <w:t>STIP</w:t>
            </w:r>
          </w:p>
        </w:tc>
        <w:tc>
          <w:tcPr>
            <w:tcW w:w="1540" w:type="dxa"/>
            <w:vAlign w:val="bottom"/>
            <w:shd w:val="clear" w:color="auto" w:fill="F3EDF3"/>
          </w:tcPr>
          <w:p>
            <w:pPr>
              <w:jc w:val="right"/>
              <w:ind w:right="259"/>
              <w:spacing w:after="0"/>
              <w:rPr>
                <w:sz w:val="20"/>
                <w:szCs w:val="20"/>
                <w:color w:val="auto"/>
              </w:rPr>
            </w:pPr>
            <w:r>
              <w:rPr>
                <w:rFonts w:ascii="Arial" w:cs="Arial" w:eastAsia="Arial" w:hAnsi="Arial"/>
                <w:sz w:val="16"/>
                <w:szCs w:val="16"/>
                <w:color w:val="231F20"/>
              </w:rPr>
              <w:t>$</w:t>
            </w:r>
          </w:p>
        </w:tc>
        <w:tc>
          <w:tcPr>
            <w:tcW w:w="620" w:type="dxa"/>
            <w:vAlign w:val="bottom"/>
            <w:shd w:val="clear" w:color="auto" w:fill="F3EDF3"/>
          </w:tcPr>
          <w:p>
            <w:pPr>
              <w:jc w:val="right"/>
              <w:ind w:right="19"/>
              <w:spacing w:after="0"/>
              <w:rPr>
                <w:sz w:val="20"/>
                <w:szCs w:val="20"/>
                <w:color w:val="auto"/>
              </w:rPr>
            </w:pPr>
            <w:r>
              <w:rPr>
                <w:rFonts w:ascii="Arial" w:cs="Arial" w:eastAsia="Arial" w:hAnsi="Arial"/>
                <w:sz w:val="16"/>
                <w:szCs w:val="16"/>
                <w:color w:val="231F20"/>
              </w:rPr>
              <w:t>—</w:t>
            </w:r>
          </w:p>
        </w:tc>
        <w:tc>
          <w:tcPr>
            <w:tcW w:w="108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w:t>
            </w:r>
          </w:p>
        </w:tc>
        <w:tc>
          <w:tcPr>
            <w:tcW w:w="760" w:type="dxa"/>
            <w:vAlign w:val="bottom"/>
            <w:shd w:val="clear" w:color="auto" w:fill="F3EDF3"/>
          </w:tcPr>
          <w:p>
            <w:pPr>
              <w:jc w:val="right"/>
              <w:ind w:right="39"/>
              <w:spacing w:after="0"/>
              <w:rPr>
                <w:sz w:val="20"/>
                <w:szCs w:val="20"/>
                <w:color w:val="auto"/>
              </w:rPr>
            </w:pPr>
            <w:r>
              <w:rPr>
                <w:rFonts w:ascii="Arial" w:cs="Arial" w:eastAsia="Arial" w:hAnsi="Arial"/>
                <w:sz w:val="16"/>
                <w:szCs w:val="16"/>
                <w:color w:val="231F20"/>
              </w:rPr>
              <w:t>—</w:t>
            </w:r>
          </w:p>
        </w:tc>
        <w:tc>
          <w:tcPr>
            <w:tcW w:w="84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w:t>
            </w:r>
          </w:p>
        </w:tc>
        <w:tc>
          <w:tcPr>
            <w:tcW w:w="860" w:type="dxa"/>
            <w:vAlign w:val="bottom"/>
            <w:shd w:val="clear" w:color="auto" w:fill="F3EDF3"/>
          </w:tcPr>
          <w:p>
            <w:pPr>
              <w:jc w:val="right"/>
              <w:ind w:right="139"/>
              <w:spacing w:after="0"/>
              <w:rPr>
                <w:sz w:val="20"/>
                <w:szCs w:val="20"/>
                <w:color w:val="auto"/>
              </w:rPr>
            </w:pPr>
            <w:r>
              <w:rPr>
                <w:rFonts w:ascii="Arial" w:cs="Arial" w:eastAsia="Arial" w:hAnsi="Arial"/>
                <w:sz w:val="16"/>
                <w:szCs w:val="16"/>
                <w:color w:val="231F20"/>
              </w:rPr>
              <w:t>—</w:t>
            </w:r>
          </w:p>
        </w:tc>
        <w:tc>
          <w:tcPr>
            <w:tcW w:w="480" w:type="dxa"/>
            <w:vAlign w:val="bottom"/>
            <w:shd w:val="clear" w:color="auto" w:fill="F3EDF3"/>
          </w:tcPr>
          <w:p>
            <w:pPr>
              <w:jc w:val="right"/>
              <w:ind w:right="79"/>
              <w:spacing w:after="0"/>
              <w:rPr>
                <w:sz w:val="20"/>
                <w:szCs w:val="20"/>
                <w:color w:val="auto"/>
              </w:rPr>
            </w:pPr>
            <w:r>
              <w:rPr>
                <w:rFonts w:ascii="Arial" w:cs="Arial" w:eastAsia="Arial" w:hAnsi="Arial"/>
                <w:sz w:val="16"/>
                <w:szCs w:val="16"/>
                <w:color w:val="231F20"/>
              </w:rPr>
              <w:t>$</w:t>
            </w:r>
          </w:p>
        </w:tc>
        <w:tc>
          <w:tcPr>
            <w:tcW w:w="1140" w:type="dxa"/>
            <w:vAlign w:val="bottom"/>
            <w:shd w:val="clear" w:color="auto" w:fill="F3EDF3"/>
          </w:tcPr>
          <w:p>
            <w:pPr>
              <w:jc w:val="right"/>
              <w:ind w:right="79"/>
              <w:spacing w:after="0"/>
              <w:rPr>
                <w:sz w:val="20"/>
                <w:szCs w:val="20"/>
                <w:color w:val="auto"/>
              </w:rPr>
            </w:pPr>
            <w:r>
              <w:rPr>
                <w:rFonts w:ascii="Arial" w:cs="Arial" w:eastAsia="Arial" w:hAnsi="Arial"/>
                <w:sz w:val="16"/>
                <w:szCs w:val="16"/>
                <w:color w:val="231F20"/>
              </w:rPr>
              <w:t>—</w:t>
            </w:r>
          </w:p>
        </w:tc>
        <w:tc>
          <w:tcPr>
            <w:tcW w:w="66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w:t>
            </w:r>
          </w:p>
        </w:tc>
        <w:tc>
          <w:tcPr>
            <w:tcW w:w="980" w:type="dxa"/>
            <w:vAlign w:val="bottom"/>
            <w:shd w:val="clear" w:color="auto" w:fill="F3EDF3"/>
          </w:tcPr>
          <w:p>
            <w:pPr>
              <w:jc w:val="right"/>
              <w:ind w:right="19"/>
              <w:spacing w:after="0"/>
              <w:rPr>
                <w:sz w:val="20"/>
                <w:szCs w:val="20"/>
                <w:color w:val="auto"/>
              </w:rPr>
            </w:pPr>
            <w:r>
              <w:rPr>
                <w:rFonts w:ascii="Arial" w:cs="Arial" w:eastAsia="Arial" w:hAnsi="Arial"/>
                <w:sz w:val="16"/>
                <w:szCs w:val="16"/>
                <w:color w:val="231F20"/>
              </w:rPr>
              <w:t>—</w:t>
            </w:r>
          </w:p>
        </w:tc>
      </w:tr>
      <w:tr>
        <w:trPr>
          <w:trHeight w:val="189"/>
        </w:trPr>
        <w:tc>
          <w:tcPr>
            <w:tcW w:w="2460" w:type="dxa"/>
            <w:vAlign w:val="bottom"/>
          </w:tcPr>
          <w:p>
            <w:pPr>
              <w:ind w:left="60"/>
              <w:spacing w:after="0"/>
              <w:rPr>
                <w:sz w:val="20"/>
                <w:szCs w:val="20"/>
                <w:color w:val="auto"/>
              </w:rPr>
            </w:pPr>
            <w:r>
              <w:rPr>
                <w:rFonts w:ascii="Arial" w:cs="Arial" w:eastAsia="Arial" w:hAnsi="Arial"/>
                <w:sz w:val="16"/>
                <w:szCs w:val="16"/>
                <w:b w:val="1"/>
                <w:bCs w:val="1"/>
                <w:color w:val="231F20"/>
              </w:rPr>
              <w:t>LTIP</w:t>
            </w:r>
          </w:p>
        </w:tc>
        <w:tc>
          <w:tcPr>
            <w:tcW w:w="1540" w:type="dxa"/>
            <w:vAlign w:val="bottom"/>
          </w:tcPr>
          <w:p>
            <w:pPr>
              <w:jc w:val="right"/>
              <w:ind w:right="259"/>
              <w:spacing w:after="0"/>
              <w:rPr>
                <w:sz w:val="20"/>
                <w:szCs w:val="20"/>
                <w:color w:val="auto"/>
              </w:rPr>
            </w:pPr>
            <w:r>
              <w:rPr>
                <w:rFonts w:ascii="Arial" w:cs="Arial" w:eastAsia="Arial" w:hAnsi="Arial"/>
                <w:sz w:val="16"/>
                <w:szCs w:val="16"/>
                <w:color w:val="231F20"/>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231F20"/>
              </w:rPr>
              <w:t>—</w:t>
            </w:r>
          </w:p>
        </w:tc>
        <w:tc>
          <w:tcPr>
            <w:tcW w:w="1080" w:type="dxa"/>
            <w:vAlign w:val="bottom"/>
          </w:tcPr>
          <w:p>
            <w:pPr>
              <w:jc w:val="right"/>
              <w:spacing w:after="0"/>
              <w:rPr>
                <w:sz w:val="20"/>
                <w:szCs w:val="20"/>
                <w:color w:val="auto"/>
              </w:rPr>
            </w:pPr>
            <w:r>
              <w:rPr>
                <w:rFonts w:ascii="Arial" w:cs="Arial" w:eastAsia="Arial" w:hAnsi="Arial"/>
                <w:sz w:val="16"/>
                <w:szCs w:val="16"/>
                <w:color w:val="231F20"/>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231F20"/>
              </w:rPr>
              <w:t>767,261</w:t>
            </w:r>
          </w:p>
        </w:tc>
        <w:tc>
          <w:tcPr>
            <w:tcW w:w="840" w:type="dxa"/>
            <w:vAlign w:val="bottom"/>
          </w:tcPr>
          <w:p>
            <w:pPr>
              <w:jc w:val="right"/>
              <w:spacing w:after="0"/>
              <w:rPr>
                <w:sz w:val="20"/>
                <w:szCs w:val="20"/>
                <w:color w:val="auto"/>
              </w:rPr>
            </w:pPr>
            <w:r>
              <w:rPr>
                <w:rFonts w:ascii="Arial" w:cs="Arial" w:eastAsia="Arial" w:hAnsi="Arial"/>
                <w:sz w:val="16"/>
                <w:szCs w:val="16"/>
                <w:color w:val="231F20"/>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231F20"/>
              </w:rPr>
              <w:t>384,604</w:t>
            </w:r>
          </w:p>
        </w:tc>
        <w:tc>
          <w:tcPr>
            <w:tcW w:w="480" w:type="dxa"/>
            <w:vAlign w:val="bottom"/>
          </w:tcPr>
          <w:p>
            <w:pPr>
              <w:jc w:val="right"/>
              <w:ind w:right="79"/>
              <w:spacing w:after="0"/>
              <w:rPr>
                <w:sz w:val="20"/>
                <w:szCs w:val="20"/>
                <w:color w:val="auto"/>
              </w:rPr>
            </w:pPr>
            <w:r>
              <w:rPr>
                <w:rFonts w:ascii="Arial" w:cs="Arial" w:eastAsia="Arial" w:hAnsi="Arial"/>
                <w:sz w:val="16"/>
                <w:szCs w:val="16"/>
                <w:color w:val="231F20"/>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231F20"/>
              </w:rPr>
              <w:t>384,604</w:t>
            </w:r>
          </w:p>
        </w:tc>
        <w:tc>
          <w:tcPr>
            <w:tcW w:w="660" w:type="dxa"/>
            <w:vAlign w:val="bottom"/>
          </w:tcPr>
          <w:p>
            <w:pPr>
              <w:jc w:val="right"/>
              <w:spacing w:after="0"/>
              <w:rPr>
                <w:sz w:val="20"/>
                <w:szCs w:val="20"/>
                <w:color w:val="auto"/>
              </w:rPr>
            </w:pPr>
            <w:r>
              <w:rPr>
                <w:rFonts w:ascii="Arial" w:cs="Arial" w:eastAsia="Arial" w:hAnsi="Arial"/>
                <w:sz w:val="16"/>
                <w:szCs w:val="16"/>
                <w:color w:val="231F20"/>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231F20"/>
              </w:rPr>
              <w:t>—</w:t>
            </w:r>
          </w:p>
        </w:tc>
      </w:tr>
      <w:tr>
        <w:trPr>
          <w:trHeight w:val="189"/>
        </w:trPr>
        <w:tc>
          <w:tcPr>
            <w:tcW w:w="2460" w:type="dxa"/>
            <w:vAlign w:val="bottom"/>
            <w:tcBorders>
              <w:bottom w:val="single" w:sz="8" w:color="6F2875"/>
            </w:tcBorders>
            <w:shd w:val="clear" w:color="auto" w:fill="F3EDF3"/>
          </w:tcPr>
          <w:p>
            <w:pPr>
              <w:ind w:left="60"/>
              <w:spacing w:after="0"/>
              <w:rPr>
                <w:sz w:val="20"/>
                <w:szCs w:val="20"/>
                <w:color w:val="auto"/>
              </w:rPr>
            </w:pPr>
            <w:r>
              <w:rPr>
                <w:rFonts w:ascii="Arial" w:cs="Arial" w:eastAsia="Arial" w:hAnsi="Arial"/>
                <w:sz w:val="16"/>
                <w:szCs w:val="16"/>
                <w:b w:val="1"/>
                <w:bCs w:val="1"/>
                <w:color w:val="231F20"/>
              </w:rPr>
              <w:t>Benefits</w:t>
            </w:r>
          </w:p>
        </w:tc>
        <w:tc>
          <w:tcPr>
            <w:tcW w:w="1540" w:type="dxa"/>
            <w:vAlign w:val="bottom"/>
            <w:tcBorders>
              <w:bottom w:val="single" w:sz="8" w:color="6F2875"/>
            </w:tcBorders>
            <w:shd w:val="clear" w:color="auto" w:fill="F3EDF3"/>
          </w:tcPr>
          <w:p>
            <w:pPr>
              <w:jc w:val="right"/>
              <w:ind w:right="259"/>
              <w:spacing w:after="0"/>
              <w:rPr>
                <w:sz w:val="20"/>
                <w:szCs w:val="20"/>
                <w:color w:val="auto"/>
              </w:rPr>
            </w:pPr>
            <w:r>
              <w:rPr>
                <w:rFonts w:ascii="Arial" w:cs="Arial" w:eastAsia="Arial" w:hAnsi="Arial"/>
                <w:sz w:val="16"/>
                <w:szCs w:val="16"/>
                <w:color w:val="231F20"/>
              </w:rPr>
              <w:t>$</w:t>
            </w:r>
          </w:p>
        </w:tc>
        <w:tc>
          <w:tcPr>
            <w:tcW w:w="620" w:type="dxa"/>
            <w:vAlign w:val="bottom"/>
            <w:tcBorders>
              <w:bottom w:val="single" w:sz="8" w:color="6F2875"/>
            </w:tcBorders>
            <w:shd w:val="clear" w:color="auto" w:fill="F3EDF3"/>
          </w:tcPr>
          <w:p>
            <w:pPr>
              <w:jc w:val="right"/>
              <w:ind w:right="19"/>
              <w:spacing w:after="0"/>
              <w:rPr>
                <w:sz w:val="20"/>
                <w:szCs w:val="20"/>
                <w:color w:val="auto"/>
              </w:rPr>
            </w:pPr>
            <w:r>
              <w:rPr>
                <w:rFonts w:ascii="Arial" w:cs="Arial" w:eastAsia="Arial" w:hAnsi="Arial"/>
                <w:sz w:val="16"/>
                <w:szCs w:val="16"/>
                <w:color w:val="231F20"/>
              </w:rPr>
              <w:t>—</w:t>
            </w:r>
          </w:p>
        </w:tc>
        <w:tc>
          <w:tcPr>
            <w:tcW w:w="1080" w:type="dxa"/>
            <w:vAlign w:val="bottom"/>
            <w:tcBorders>
              <w:bottom w:val="single" w:sz="8" w:color="6F2875"/>
            </w:tcBorders>
            <w:shd w:val="clear" w:color="auto" w:fill="F3EDF3"/>
          </w:tcPr>
          <w:p>
            <w:pPr>
              <w:jc w:val="right"/>
              <w:spacing w:after="0"/>
              <w:rPr>
                <w:sz w:val="20"/>
                <w:szCs w:val="20"/>
                <w:color w:val="auto"/>
              </w:rPr>
            </w:pPr>
            <w:r>
              <w:rPr>
                <w:rFonts w:ascii="Arial" w:cs="Arial" w:eastAsia="Arial" w:hAnsi="Arial"/>
                <w:sz w:val="16"/>
                <w:szCs w:val="16"/>
                <w:color w:val="231F20"/>
              </w:rPr>
              <w:t>$</w:t>
            </w:r>
          </w:p>
        </w:tc>
        <w:tc>
          <w:tcPr>
            <w:tcW w:w="760" w:type="dxa"/>
            <w:vAlign w:val="bottom"/>
            <w:tcBorders>
              <w:bottom w:val="single" w:sz="8" w:color="6F2875"/>
            </w:tcBorders>
            <w:shd w:val="clear" w:color="auto" w:fill="F3EDF3"/>
          </w:tcPr>
          <w:p>
            <w:pPr>
              <w:jc w:val="right"/>
              <w:ind w:right="39"/>
              <w:spacing w:after="0"/>
              <w:rPr>
                <w:sz w:val="20"/>
                <w:szCs w:val="20"/>
                <w:color w:val="auto"/>
              </w:rPr>
            </w:pPr>
            <w:r>
              <w:rPr>
                <w:rFonts w:ascii="Arial" w:cs="Arial" w:eastAsia="Arial" w:hAnsi="Arial"/>
                <w:sz w:val="16"/>
                <w:szCs w:val="16"/>
                <w:color w:val="231F20"/>
              </w:rPr>
              <w:t>—</w:t>
            </w:r>
          </w:p>
        </w:tc>
        <w:tc>
          <w:tcPr>
            <w:tcW w:w="840" w:type="dxa"/>
            <w:vAlign w:val="bottom"/>
            <w:tcBorders>
              <w:bottom w:val="single" w:sz="8" w:color="6F2875"/>
            </w:tcBorders>
            <w:shd w:val="clear" w:color="auto" w:fill="F3EDF3"/>
          </w:tcPr>
          <w:p>
            <w:pPr>
              <w:jc w:val="right"/>
              <w:spacing w:after="0"/>
              <w:rPr>
                <w:sz w:val="20"/>
                <w:szCs w:val="20"/>
                <w:color w:val="auto"/>
              </w:rPr>
            </w:pPr>
            <w:r>
              <w:rPr>
                <w:rFonts w:ascii="Arial" w:cs="Arial" w:eastAsia="Arial" w:hAnsi="Arial"/>
                <w:sz w:val="16"/>
                <w:szCs w:val="16"/>
                <w:color w:val="231F20"/>
              </w:rPr>
              <w:t>$</w:t>
            </w:r>
          </w:p>
        </w:tc>
        <w:tc>
          <w:tcPr>
            <w:tcW w:w="860" w:type="dxa"/>
            <w:vAlign w:val="bottom"/>
            <w:tcBorders>
              <w:bottom w:val="single" w:sz="8" w:color="6F2875"/>
            </w:tcBorders>
            <w:shd w:val="clear" w:color="auto" w:fill="F3EDF3"/>
          </w:tcPr>
          <w:p>
            <w:pPr>
              <w:jc w:val="right"/>
              <w:ind w:right="139"/>
              <w:spacing w:after="0"/>
              <w:rPr>
                <w:sz w:val="20"/>
                <w:szCs w:val="20"/>
                <w:color w:val="auto"/>
              </w:rPr>
            </w:pPr>
            <w:r>
              <w:rPr>
                <w:rFonts w:ascii="Arial" w:cs="Arial" w:eastAsia="Arial" w:hAnsi="Arial"/>
                <w:sz w:val="16"/>
                <w:szCs w:val="16"/>
                <w:color w:val="231F20"/>
              </w:rPr>
              <w:t>—</w:t>
            </w:r>
          </w:p>
        </w:tc>
        <w:tc>
          <w:tcPr>
            <w:tcW w:w="480" w:type="dxa"/>
            <w:vAlign w:val="bottom"/>
            <w:tcBorders>
              <w:bottom w:val="single" w:sz="8" w:color="6F2875"/>
            </w:tcBorders>
            <w:shd w:val="clear" w:color="auto" w:fill="F3EDF3"/>
          </w:tcPr>
          <w:p>
            <w:pPr>
              <w:jc w:val="right"/>
              <w:ind w:right="79"/>
              <w:spacing w:after="0"/>
              <w:rPr>
                <w:sz w:val="20"/>
                <w:szCs w:val="20"/>
                <w:color w:val="auto"/>
              </w:rPr>
            </w:pPr>
            <w:r>
              <w:rPr>
                <w:rFonts w:ascii="Arial" w:cs="Arial" w:eastAsia="Arial" w:hAnsi="Arial"/>
                <w:sz w:val="16"/>
                <w:szCs w:val="16"/>
                <w:color w:val="231F20"/>
              </w:rPr>
              <w:t>$</w:t>
            </w:r>
          </w:p>
        </w:tc>
        <w:tc>
          <w:tcPr>
            <w:tcW w:w="1140" w:type="dxa"/>
            <w:vAlign w:val="bottom"/>
            <w:tcBorders>
              <w:bottom w:val="single" w:sz="8" w:color="6F2875"/>
            </w:tcBorders>
            <w:shd w:val="clear" w:color="auto" w:fill="F3EDF3"/>
          </w:tcPr>
          <w:p>
            <w:pPr>
              <w:jc w:val="right"/>
              <w:ind w:right="79"/>
              <w:spacing w:after="0"/>
              <w:rPr>
                <w:sz w:val="20"/>
                <w:szCs w:val="20"/>
                <w:color w:val="auto"/>
              </w:rPr>
            </w:pPr>
            <w:r>
              <w:rPr>
                <w:rFonts w:ascii="Arial" w:cs="Arial" w:eastAsia="Arial" w:hAnsi="Arial"/>
                <w:sz w:val="16"/>
                <w:szCs w:val="16"/>
                <w:color w:val="231F20"/>
              </w:rPr>
              <w:t>—</w:t>
            </w:r>
          </w:p>
        </w:tc>
        <w:tc>
          <w:tcPr>
            <w:tcW w:w="660" w:type="dxa"/>
            <w:vAlign w:val="bottom"/>
            <w:tcBorders>
              <w:bottom w:val="single" w:sz="8" w:color="6F2875"/>
            </w:tcBorders>
            <w:shd w:val="clear" w:color="auto" w:fill="F3EDF3"/>
          </w:tcPr>
          <w:p>
            <w:pPr>
              <w:jc w:val="right"/>
              <w:spacing w:after="0"/>
              <w:rPr>
                <w:sz w:val="20"/>
                <w:szCs w:val="20"/>
                <w:color w:val="auto"/>
              </w:rPr>
            </w:pPr>
            <w:r>
              <w:rPr>
                <w:rFonts w:ascii="Arial" w:cs="Arial" w:eastAsia="Arial" w:hAnsi="Arial"/>
                <w:sz w:val="16"/>
                <w:szCs w:val="16"/>
                <w:color w:val="231F20"/>
              </w:rPr>
              <w:t>$</w:t>
            </w:r>
          </w:p>
        </w:tc>
        <w:tc>
          <w:tcPr>
            <w:tcW w:w="980" w:type="dxa"/>
            <w:vAlign w:val="bottom"/>
            <w:tcBorders>
              <w:bottom w:val="single" w:sz="8" w:color="6F2875"/>
            </w:tcBorders>
            <w:shd w:val="clear" w:color="auto" w:fill="F3EDF3"/>
          </w:tcPr>
          <w:p>
            <w:pPr>
              <w:jc w:val="right"/>
              <w:ind w:right="19"/>
              <w:spacing w:after="0"/>
              <w:rPr>
                <w:sz w:val="20"/>
                <w:szCs w:val="20"/>
                <w:color w:val="auto"/>
              </w:rPr>
            </w:pPr>
            <w:r>
              <w:rPr>
                <w:rFonts w:ascii="Arial" w:cs="Arial" w:eastAsia="Arial" w:hAnsi="Arial"/>
                <w:sz w:val="16"/>
                <w:szCs w:val="16"/>
                <w:color w:val="231F20"/>
              </w:rPr>
              <w:t>—</w:t>
            </w:r>
          </w:p>
        </w:tc>
      </w:tr>
      <w:tr>
        <w:trPr>
          <w:trHeight w:val="183"/>
        </w:trPr>
        <w:tc>
          <w:tcPr>
            <w:tcW w:w="2460" w:type="dxa"/>
            <w:vAlign w:val="bottom"/>
            <w:tcBorders>
              <w:bottom w:val="single" w:sz="8" w:color="6F2875"/>
            </w:tcBorders>
          </w:tcPr>
          <w:p>
            <w:pPr>
              <w:ind w:left="60"/>
              <w:spacing w:after="0" w:line="183" w:lineRule="exact"/>
              <w:rPr>
                <w:sz w:val="20"/>
                <w:szCs w:val="20"/>
                <w:color w:val="auto"/>
              </w:rPr>
            </w:pPr>
            <w:r>
              <w:rPr>
                <w:rFonts w:ascii="Arial" w:cs="Arial" w:eastAsia="Arial" w:hAnsi="Arial"/>
                <w:sz w:val="16"/>
                <w:szCs w:val="16"/>
                <w:b w:val="1"/>
                <w:bCs w:val="1"/>
                <w:color w:val="6F2875"/>
              </w:rPr>
              <w:t>TOTAL</w:t>
            </w:r>
          </w:p>
        </w:tc>
        <w:tc>
          <w:tcPr>
            <w:tcW w:w="1540" w:type="dxa"/>
            <w:vAlign w:val="bottom"/>
            <w:tcBorders>
              <w:bottom w:val="single" w:sz="8" w:color="6F2875"/>
            </w:tcBorders>
          </w:tcPr>
          <w:p>
            <w:pPr>
              <w:jc w:val="right"/>
              <w:ind w:right="259"/>
              <w:spacing w:after="0" w:line="183" w:lineRule="exact"/>
              <w:rPr>
                <w:sz w:val="20"/>
                <w:szCs w:val="20"/>
                <w:color w:val="auto"/>
              </w:rPr>
            </w:pPr>
            <w:r>
              <w:rPr>
                <w:rFonts w:ascii="Arial" w:cs="Arial" w:eastAsia="Arial" w:hAnsi="Arial"/>
                <w:sz w:val="16"/>
                <w:szCs w:val="16"/>
                <w:b w:val="1"/>
                <w:bCs w:val="1"/>
                <w:color w:val="6F2875"/>
              </w:rPr>
              <w:t>$</w:t>
            </w:r>
          </w:p>
        </w:tc>
        <w:tc>
          <w:tcPr>
            <w:tcW w:w="620" w:type="dxa"/>
            <w:vAlign w:val="bottom"/>
            <w:tcBorders>
              <w:bottom w:val="single" w:sz="8" w:color="6F2875"/>
            </w:tcBorders>
          </w:tcPr>
          <w:p>
            <w:pPr>
              <w:jc w:val="right"/>
              <w:ind w:right="19"/>
              <w:spacing w:after="0" w:line="183" w:lineRule="exact"/>
              <w:rPr>
                <w:sz w:val="20"/>
                <w:szCs w:val="20"/>
                <w:color w:val="auto"/>
              </w:rPr>
            </w:pPr>
            <w:r>
              <w:rPr>
                <w:rFonts w:ascii="Arial" w:cs="Arial" w:eastAsia="Arial" w:hAnsi="Arial"/>
                <w:sz w:val="16"/>
                <w:szCs w:val="16"/>
                <w:b w:val="1"/>
                <w:bCs w:val="1"/>
                <w:color w:val="6F2875"/>
              </w:rPr>
              <w:t>—</w:t>
            </w:r>
          </w:p>
        </w:tc>
        <w:tc>
          <w:tcPr>
            <w:tcW w:w="1080" w:type="dxa"/>
            <w:vAlign w:val="bottom"/>
            <w:tcBorders>
              <w:bottom w:val="single" w:sz="8" w:color="6F2875"/>
            </w:tcBorders>
          </w:tcPr>
          <w:p>
            <w:pPr>
              <w:jc w:val="right"/>
              <w:spacing w:after="0" w:line="183" w:lineRule="exact"/>
              <w:rPr>
                <w:sz w:val="20"/>
                <w:szCs w:val="20"/>
                <w:color w:val="auto"/>
              </w:rPr>
            </w:pPr>
            <w:r>
              <w:rPr>
                <w:rFonts w:ascii="Arial" w:cs="Arial" w:eastAsia="Arial" w:hAnsi="Arial"/>
                <w:sz w:val="16"/>
                <w:szCs w:val="16"/>
                <w:b w:val="1"/>
                <w:bCs w:val="1"/>
                <w:color w:val="6F2875"/>
              </w:rPr>
              <w:t>$</w:t>
            </w:r>
          </w:p>
        </w:tc>
        <w:tc>
          <w:tcPr>
            <w:tcW w:w="760" w:type="dxa"/>
            <w:vAlign w:val="bottom"/>
            <w:tcBorders>
              <w:bottom w:val="single" w:sz="8" w:color="6F2875"/>
            </w:tcBorders>
          </w:tcPr>
          <w:p>
            <w:pPr>
              <w:jc w:val="right"/>
              <w:ind w:right="39"/>
              <w:spacing w:after="0" w:line="183" w:lineRule="exact"/>
              <w:rPr>
                <w:sz w:val="20"/>
                <w:szCs w:val="20"/>
                <w:color w:val="auto"/>
              </w:rPr>
            </w:pPr>
            <w:r>
              <w:rPr>
                <w:rFonts w:ascii="Arial" w:cs="Arial" w:eastAsia="Arial" w:hAnsi="Arial"/>
                <w:sz w:val="16"/>
                <w:szCs w:val="16"/>
                <w:b w:val="1"/>
                <w:bCs w:val="1"/>
                <w:color w:val="6F2875"/>
              </w:rPr>
              <w:t>767,261</w:t>
            </w:r>
          </w:p>
        </w:tc>
        <w:tc>
          <w:tcPr>
            <w:tcW w:w="840" w:type="dxa"/>
            <w:vAlign w:val="bottom"/>
            <w:tcBorders>
              <w:bottom w:val="single" w:sz="8" w:color="6F2875"/>
            </w:tcBorders>
          </w:tcPr>
          <w:p>
            <w:pPr>
              <w:jc w:val="right"/>
              <w:spacing w:after="0" w:line="183" w:lineRule="exact"/>
              <w:rPr>
                <w:sz w:val="20"/>
                <w:szCs w:val="20"/>
                <w:color w:val="auto"/>
              </w:rPr>
            </w:pPr>
            <w:r>
              <w:rPr>
                <w:rFonts w:ascii="Arial" w:cs="Arial" w:eastAsia="Arial" w:hAnsi="Arial"/>
                <w:sz w:val="16"/>
                <w:szCs w:val="16"/>
                <w:b w:val="1"/>
                <w:bCs w:val="1"/>
                <w:color w:val="6F2875"/>
              </w:rPr>
              <w:t>$</w:t>
            </w:r>
          </w:p>
        </w:tc>
        <w:tc>
          <w:tcPr>
            <w:tcW w:w="860" w:type="dxa"/>
            <w:vAlign w:val="bottom"/>
            <w:tcBorders>
              <w:bottom w:val="single" w:sz="8" w:color="6F2875"/>
            </w:tcBorders>
          </w:tcPr>
          <w:p>
            <w:pPr>
              <w:jc w:val="right"/>
              <w:ind w:right="139"/>
              <w:spacing w:after="0" w:line="183" w:lineRule="exact"/>
              <w:rPr>
                <w:sz w:val="20"/>
                <w:szCs w:val="20"/>
                <w:color w:val="auto"/>
              </w:rPr>
            </w:pPr>
            <w:r>
              <w:rPr>
                <w:rFonts w:ascii="Arial" w:cs="Arial" w:eastAsia="Arial" w:hAnsi="Arial"/>
                <w:sz w:val="16"/>
                <w:szCs w:val="16"/>
                <w:b w:val="1"/>
                <w:bCs w:val="1"/>
                <w:color w:val="6F2875"/>
              </w:rPr>
              <w:t>384,604</w:t>
            </w:r>
          </w:p>
        </w:tc>
        <w:tc>
          <w:tcPr>
            <w:tcW w:w="480" w:type="dxa"/>
            <w:vAlign w:val="bottom"/>
            <w:tcBorders>
              <w:bottom w:val="single" w:sz="8" w:color="6F2875"/>
            </w:tcBorders>
          </w:tcPr>
          <w:p>
            <w:pPr>
              <w:jc w:val="right"/>
              <w:ind w:right="79"/>
              <w:spacing w:after="0" w:line="183" w:lineRule="exact"/>
              <w:rPr>
                <w:sz w:val="20"/>
                <w:szCs w:val="20"/>
                <w:color w:val="auto"/>
              </w:rPr>
            </w:pPr>
            <w:r>
              <w:rPr>
                <w:rFonts w:ascii="Arial" w:cs="Arial" w:eastAsia="Arial" w:hAnsi="Arial"/>
                <w:sz w:val="16"/>
                <w:szCs w:val="16"/>
                <w:b w:val="1"/>
                <w:bCs w:val="1"/>
                <w:color w:val="6F2875"/>
              </w:rPr>
              <w:t>$</w:t>
            </w:r>
          </w:p>
        </w:tc>
        <w:tc>
          <w:tcPr>
            <w:tcW w:w="1140" w:type="dxa"/>
            <w:vAlign w:val="bottom"/>
            <w:tcBorders>
              <w:bottom w:val="single" w:sz="8" w:color="6F2875"/>
            </w:tcBorders>
          </w:tcPr>
          <w:p>
            <w:pPr>
              <w:jc w:val="right"/>
              <w:ind w:right="79"/>
              <w:spacing w:after="0" w:line="183" w:lineRule="exact"/>
              <w:rPr>
                <w:sz w:val="20"/>
                <w:szCs w:val="20"/>
                <w:color w:val="auto"/>
              </w:rPr>
            </w:pPr>
            <w:r>
              <w:rPr>
                <w:rFonts w:ascii="Arial" w:cs="Arial" w:eastAsia="Arial" w:hAnsi="Arial"/>
                <w:sz w:val="16"/>
                <w:szCs w:val="16"/>
                <w:b w:val="1"/>
                <w:bCs w:val="1"/>
                <w:color w:val="6F2875"/>
              </w:rPr>
              <w:t>384,604</w:t>
            </w:r>
          </w:p>
        </w:tc>
        <w:tc>
          <w:tcPr>
            <w:tcW w:w="660" w:type="dxa"/>
            <w:vAlign w:val="bottom"/>
            <w:tcBorders>
              <w:bottom w:val="single" w:sz="8" w:color="6F2875"/>
            </w:tcBorders>
          </w:tcPr>
          <w:p>
            <w:pPr>
              <w:jc w:val="right"/>
              <w:spacing w:after="0" w:line="183" w:lineRule="exact"/>
              <w:rPr>
                <w:sz w:val="20"/>
                <w:szCs w:val="20"/>
                <w:color w:val="auto"/>
              </w:rPr>
            </w:pPr>
            <w:r>
              <w:rPr>
                <w:rFonts w:ascii="Arial" w:cs="Arial" w:eastAsia="Arial" w:hAnsi="Arial"/>
                <w:sz w:val="16"/>
                <w:szCs w:val="16"/>
                <w:b w:val="1"/>
                <w:bCs w:val="1"/>
                <w:color w:val="6F2875"/>
              </w:rPr>
              <w:t>$</w:t>
            </w:r>
          </w:p>
        </w:tc>
        <w:tc>
          <w:tcPr>
            <w:tcW w:w="980" w:type="dxa"/>
            <w:vAlign w:val="bottom"/>
            <w:tcBorders>
              <w:bottom w:val="single" w:sz="8" w:color="6F2875"/>
            </w:tcBorders>
          </w:tcPr>
          <w:p>
            <w:pPr>
              <w:jc w:val="right"/>
              <w:ind w:right="19"/>
              <w:spacing w:after="0" w:line="183" w:lineRule="exact"/>
              <w:rPr>
                <w:sz w:val="20"/>
                <w:szCs w:val="20"/>
                <w:color w:val="auto"/>
              </w:rPr>
            </w:pPr>
            <w:r>
              <w:rPr>
                <w:rFonts w:ascii="Arial" w:cs="Arial" w:eastAsia="Arial" w:hAnsi="Arial"/>
                <w:sz w:val="16"/>
                <w:szCs w:val="16"/>
                <w:b w:val="1"/>
                <w:bCs w:val="1"/>
                <w:color w:val="6F2875"/>
              </w:rPr>
              <w:t>—</w:t>
            </w:r>
          </w:p>
        </w:tc>
      </w:tr>
    </w:tbl>
    <w:p>
      <w:pPr>
        <w:spacing w:after="0" w:line="45" w:lineRule="exact"/>
        <w:rPr>
          <w:sz w:val="20"/>
          <w:szCs w:val="20"/>
          <w:color w:val="auto"/>
        </w:rPr>
      </w:pPr>
    </w:p>
    <w:p>
      <w:pPr>
        <w:jc w:val="both"/>
        <w:ind w:left="340" w:hanging="332"/>
        <w:spacing w:after="0" w:line="254" w:lineRule="auto"/>
        <w:tabs>
          <w:tab w:leader="none" w:pos="340" w:val="left"/>
        </w:tabs>
        <w:numPr>
          <w:ilvl w:val="0"/>
          <w:numId w:val="41"/>
        </w:numPr>
        <w:rPr>
          <w:rFonts w:ascii="Arial" w:cs="Arial" w:eastAsia="Arial" w:hAnsi="Arial"/>
          <w:sz w:val="14"/>
          <w:szCs w:val="14"/>
          <w:i w:val="1"/>
          <w:iCs w:val="1"/>
          <w:color w:val="231F20"/>
        </w:rPr>
      </w:pPr>
      <w:r>
        <w:rPr>
          <w:rFonts w:ascii="Arial" w:cs="Arial" w:eastAsia="Arial" w:hAnsi="Arial"/>
          <w:sz w:val="14"/>
          <w:szCs w:val="14"/>
          <w:i w:val="1"/>
          <w:iCs w:val="1"/>
          <w:color w:val="231F20"/>
        </w:rPr>
        <w:t>LTIP Potential payments in case of separation due to change in control are calculated adding the amount resulting from multiplying the 4,788 RSUs subject to accelerated vesting in case of a change in control by the closing market price at December 31, 2017 ($79.92) and the amount resulting multiplying each SARs award subject to accelerated vesting in case of a change in control by the difference between the closing market price at December 31, 2017 ($79.92) and the exercise price for each SARs , as follows (10,439 SARs with an exercise price of $56.17) and (7,224 SARs with an exercise price of $61.00).</w:t>
      </w:r>
    </w:p>
    <w:p>
      <w:pPr>
        <w:spacing w:after="0" w:line="20" w:lineRule="exact"/>
        <w:rPr>
          <w:rFonts w:ascii="Arial" w:cs="Arial" w:eastAsia="Arial" w:hAnsi="Arial"/>
          <w:sz w:val="14"/>
          <w:szCs w:val="14"/>
          <w:i w:val="1"/>
          <w:iCs w:val="1"/>
          <w:color w:val="231F20"/>
        </w:rPr>
      </w:pPr>
    </w:p>
    <w:p>
      <w:pPr>
        <w:jc w:val="both"/>
        <w:ind w:left="340" w:hanging="332"/>
        <w:spacing w:after="0" w:line="260" w:lineRule="auto"/>
        <w:tabs>
          <w:tab w:leader="none" w:pos="340" w:val="left"/>
        </w:tabs>
        <w:numPr>
          <w:ilvl w:val="0"/>
          <w:numId w:val="41"/>
        </w:numPr>
        <w:rPr>
          <w:rFonts w:ascii="Arial" w:cs="Arial" w:eastAsia="Arial" w:hAnsi="Arial"/>
          <w:sz w:val="14"/>
          <w:szCs w:val="14"/>
          <w:i w:val="1"/>
          <w:iCs w:val="1"/>
          <w:color w:val="231F20"/>
        </w:rPr>
      </w:pPr>
      <w:r>
        <w:rPr>
          <w:rFonts w:ascii="Arial" w:cs="Arial" w:eastAsia="Arial" w:hAnsi="Arial"/>
          <w:sz w:val="14"/>
          <w:szCs w:val="14"/>
          <w:i w:val="1"/>
          <w:iCs w:val="1"/>
          <w:color w:val="231F20"/>
        </w:rPr>
        <w:t>LTIP Potential payments in case of separation due to disability calculated by multiplying each SARs award subject to accelerated vesting in case of a disability by the difference between the closing market price at December 31, 2017 ($79.92) and the exercise price for each SARs , as follows (10,439 SARs with an exercise price of $56.17) and (7,224 SARs with an exercise price of $61.00).</w:t>
      </w:r>
    </w:p>
    <w:p>
      <w:pPr>
        <w:spacing w:after="0" w:line="16" w:lineRule="exact"/>
        <w:rPr>
          <w:rFonts w:ascii="Arial" w:cs="Arial" w:eastAsia="Arial" w:hAnsi="Arial"/>
          <w:sz w:val="14"/>
          <w:szCs w:val="14"/>
          <w:i w:val="1"/>
          <w:iCs w:val="1"/>
          <w:color w:val="231F20"/>
        </w:rPr>
      </w:pPr>
    </w:p>
    <w:p>
      <w:pPr>
        <w:jc w:val="both"/>
        <w:ind w:left="340" w:hanging="332"/>
        <w:spacing w:after="0" w:line="260" w:lineRule="auto"/>
        <w:tabs>
          <w:tab w:leader="none" w:pos="340" w:val="left"/>
        </w:tabs>
        <w:numPr>
          <w:ilvl w:val="0"/>
          <w:numId w:val="41"/>
        </w:numPr>
        <w:rPr>
          <w:rFonts w:ascii="Arial" w:cs="Arial" w:eastAsia="Arial" w:hAnsi="Arial"/>
          <w:sz w:val="14"/>
          <w:szCs w:val="14"/>
          <w:i w:val="1"/>
          <w:iCs w:val="1"/>
          <w:color w:val="231F20"/>
        </w:rPr>
      </w:pPr>
      <w:r>
        <w:rPr>
          <w:rFonts w:ascii="Arial" w:cs="Arial" w:eastAsia="Arial" w:hAnsi="Arial"/>
          <w:sz w:val="14"/>
          <w:szCs w:val="14"/>
          <w:i w:val="1"/>
          <w:iCs w:val="1"/>
          <w:color w:val="231F20"/>
        </w:rPr>
        <w:t>LTIP Potential payments in case of separation due to death calculated by multiplying each SARs award subject to accelerated vesting in case of a disability by the difference between the closing market price at December 31, 2017 ($79.92) and the exercise price for each SARs , as follows (10,439 SARs with an exercise price of $56.17) and (7,224 SARs with an exercise price of $61.00).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Ms. Skeffington</w:t>
      </w: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On May 24, 2017, we entered into a service agreement with Ms. Skeffington effective June 12, 2017. The agreement provides for an annual base salary in the amount of £300,000 ($404,737) (later increased to £310,000 ($418,221) as of April 1, 2018) and an opportunity to earn an annual cash incentive bonus with a target amount equal to 55% (increased to 60% in 2018) of her annual base salary. In addition, we agreed to pay Ms. Skeffington an annual car allowance of £13,200 ($17,808.40) and pension contributions equal to 15% of the sum of her base salary and annual bonus. Ms. Skeffington is also be eligible to participate in our employee benefit plans made available to all our UK-based employees. The agreement will continue in effect until the expiration of 12 months following notice of termination. Ms. Skeffington also benefitted from certain relocation benefits under the agreement.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231F20"/>
        </w:rPr>
        <w:t>Potential payments to Ms. Skeffington in the event of a termination or change-in-control as of December 31,2017 are as set out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gridSpan w:val="2"/>
          </w:tcPr>
          <w:p>
            <w:pPr>
              <w:ind w:left="60"/>
              <w:spacing w:after="0"/>
              <w:rPr>
                <w:sz w:val="20"/>
                <w:szCs w:val="20"/>
                <w:color w:val="auto"/>
              </w:rPr>
            </w:pPr>
            <w:r>
              <w:rPr>
                <w:rFonts w:ascii="Arial" w:cs="Arial" w:eastAsia="Arial" w:hAnsi="Arial"/>
                <w:sz w:val="16"/>
                <w:szCs w:val="16"/>
                <w:b w:val="1"/>
                <w:bCs w:val="1"/>
                <w:color w:val="6F2875"/>
              </w:rPr>
              <w:t>Type of Payment</w:t>
            </w:r>
          </w:p>
        </w:tc>
        <w:tc>
          <w:tcPr>
            <w:tcW w:w="20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6F2875"/>
              </w:rPr>
              <w:t xml:space="preserve">Termination </w:t>
            </w:r>
            <w:r>
              <w:rPr>
                <w:rFonts w:ascii="Arial" w:cs="Arial" w:eastAsia="Arial" w:hAnsi="Arial"/>
                <w:sz w:val="27"/>
                <w:szCs w:val="27"/>
                <w:b w:val="1"/>
                <w:bCs w:val="1"/>
                <w:color w:val="6F2875"/>
                <w:vertAlign w:val="superscript"/>
              </w:rPr>
              <w:t>(1)(5)</w:t>
            </w:r>
          </w:p>
        </w:tc>
        <w:tc>
          <w:tcPr>
            <w:tcW w:w="22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6F2875"/>
              </w:rPr>
              <w:t>Separation due to Change</w:t>
            </w:r>
          </w:p>
        </w:tc>
        <w:tc>
          <w:tcPr>
            <w:tcW w:w="1620" w:type="dxa"/>
            <w:vAlign w:val="bottom"/>
            <w:gridSpan w:val="3"/>
          </w:tcPr>
          <w:p>
            <w:pPr>
              <w:jc w:val="right"/>
              <w:ind w:right="79"/>
              <w:spacing w:after="0"/>
              <w:rPr>
                <w:sz w:val="20"/>
                <w:szCs w:val="20"/>
                <w:color w:val="auto"/>
              </w:rPr>
            </w:pPr>
            <w:r>
              <w:rPr>
                <w:rFonts w:ascii="Arial" w:cs="Arial" w:eastAsia="Arial" w:hAnsi="Arial"/>
                <w:sz w:val="16"/>
                <w:szCs w:val="16"/>
                <w:b w:val="1"/>
                <w:bCs w:val="1"/>
                <w:color w:val="6F2875"/>
              </w:rPr>
              <w:t>Separation due to</w:t>
            </w: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6F2875"/>
              </w:rPr>
              <w:t>Seperation due to</w:t>
            </w:r>
          </w:p>
        </w:tc>
        <w:tc>
          <w:tcPr>
            <w:tcW w:w="17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6F2875"/>
              </w:rPr>
              <w:t>Separation due to</w:t>
            </w:r>
          </w:p>
        </w:tc>
        <w:tc>
          <w:tcPr>
            <w:tcW w:w="0" w:type="dxa"/>
            <w:vAlign w:val="bottom"/>
          </w:tcPr>
          <w:p>
            <w:pPr>
              <w:spacing w:after="0"/>
              <w:rPr>
                <w:sz w:val="1"/>
                <w:szCs w:val="1"/>
                <w:color w:val="auto"/>
              </w:rPr>
            </w:pPr>
          </w:p>
        </w:tc>
      </w:tr>
      <w:tr>
        <w:trPr>
          <w:trHeight w:val="230"/>
        </w:trPr>
        <w:tc>
          <w:tcPr>
            <w:tcW w:w="2140" w:type="dxa"/>
            <w:vAlign w:val="bottom"/>
            <w:tcBorders>
              <w:bottom w:val="single" w:sz="8" w:color="6F2775"/>
            </w:tcBorders>
            <w:gridSpan w:val="2"/>
          </w:tcPr>
          <w:p>
            <w:pPr>
              <w:ind w:left="60"/>
              <w:spacing w:after="0"/>
              <w:rPr>
                <w:sz w:val="20"/>
                <w:szCs w:val="20"/>
                <w:color w:val="auto"/>
              </w:rPr>
            </w:pPr>
            <w:r>
              <w:rPr>
                <w:rFonts w:ascii="Arial" w:cs="Arial" w:eastAsia="Arial" w:hAnsi="Arial"/>
                <w:sz w:val="16"/>
                <w:szCs w:val="16"/>
                <w:b w:val="1"/>
                <w:bCs w:val="1"/>
                <w:color w:val="6F2875"/>
              </w:rPr>
              <w:t>or Benefit</w:t>
            </w:r>
          </w:p>
        </w:tc>
        <w:tc>
          <w:tcPr>
            <w:tcW w:w="2080" w:type="dxa"/>
            <w:vAlign w:val="bottom"/>
            <w:tcBorders>
              <w:bottom w:val="single" w:sz="8" w:color="6F2775"/>
            </w:tcBorders>
            <w:gridSpan w:val="3"/>
            <w:vMerge w:val="continue"/>
          </w:tcPr>
          <w:p>
            <w:pPr>
              <w:spacing w:after="0"/>
              <w:rPr>
                <w:sz w:val="19"/>
                <w:szCs w:val="19"/>
                <w:color w:val="auto"/>
              </w:rPr>
            </w:pPr>
          </w:p>
        </w:tc>
        <w:tc>
          <w:tcPr>
            <w:tcW w:w="2280" w:type="dxa"/>
            <w:vAlign w:val="bottom"/>
            <w:tcBorders>
              <w:bottom w:val="single" w:sz="8" w:color="6F2775"/>
            </w:tcBorders>
            <w:gridSpan w:val="2"/>
          </w:tcPr>
          <w:p>
            <w:pPr>
              <w:jc w:val="right"/>
              <w:ind w:right="19"/>
              <w:spacing w:after="0" w:line="230" w:lineRule="exact"/>
              <w:rPr>
                <w:sz w:val="20"/>
                <w:szCs w:val="20"/>
                <w:color w:val="auto"/>
              </w:rPr>
            </w:pPr>
            <w:r>
              <w:rPr>
                <w:rFonts w:ascii="Arial" w:cs="Arial" w:eastAsia="Arial" w:hAnsi="Arial"/>
                <w:sz w:val="16"/>
                <w:szCs w:val="16"/>
                <w:b w:val="1"/>
                <w:bCs w:val="1"/>
                <w:color w:val="6F2875"/>
              </w:rPr>
              <w:t xml:space="preserve">in Control </w:t>
            </w:r>
            <w:r>
              <w:rPr>
                <w:rFonts w:ascii="Arial" w:cs="Arial" w:eastAsia="Arial" w:hAnsi="Arial"/>
                <w:sz w:val="26"/>
                <w:szCs w:val="26"/>
                <w:b w:val="1"/>
                <w:bCs w:val="1"/>
                <w:color w:val="6F2875"/>
                <w:vertAlign w:val="superscript"/>
              </w:rPr>
              <w:t>(2)</w:t>
            </w:r>
          </w:p>
        </w:tc>
        <w:tc>
          <w:tcPr>
            <w:tcW w:w="1620" w:type="dxa"/>
            <w:vAlign w:val="bottom"/>
            <w:tcBorders>
              <w:bottom w:val="single" w:sz="8" w:color="6F2775"/>
            </w:tcBorders>
            <w:gridSpan w:val="3"/>
          </w:tcPr>
          <w:p>
            <w:pPr>
              <w:jc w:val="right"/>
              <w:ind w:right="79"/>
              <w:spacing w:after="0" w:line="230" w:lineRule="exact"/>
              <w:rPr>
                <w:sz w:val="20"/>
                <w:szCs w:val="20"/>
                <w:color w:val="auto"/>
              </w:rPr>
            </w:pPr>
            <w:r>
              <w:rPr>
                <w:rFonts w:ascii="Arial" w:cs="Arial" w:eastAsia="Arial" w:hAnsi="Arial"/>
                <w:sz w:val="16"/>
                <w:szCs w:val="16"/>
                <w:b w:val="1"/>
                <w:bCs w:val="1"/>
                <w:color w:val="6F2875"/>
              </w:rPr>
              <w:t xml:space="preserve">Disability </w:t>
            </w:r>
            <w:r>
              <w:rPr>
                <w:rFonts w:ascii="Arial" w:cs="Arial" w:eastAsia="Arial" w:hAnsi="Arial"/>
                <w:sz w:val="26"/>
                <w:szCs w:val="26"/>
                <w:b w:val="1"/>
                <w:bCs w:val="1"/>
                <w:color w:val="6F2875"/>
                <w:vertAlign w:val="superscript"/>
              </w:rPr>
              <w:t>(3)</w:t>
            </w:r>
          </w:p>
        </w:tc>
        <w:tc>
          <w:tcPr>
            <w:tcW w:w="1600" w:type="dxa"/>
            <w:vAlign w:val="bottom"/>
            <w:tcBorders>
              <w:bottom w:val="single" w:sz="8" w:color="6F2775"/>
            </w:tcBorders>
            <w:gridSpan w:val="2"/>
          </w:tcPr>
          <w:p>
            <w:pPr>
              <w:ind w:left="860"/>
              <w:spacing w:after="0" w:line="230" w:lineRule="exact"/>
              <w:rPr>
                <w:sz w:val="20"/>
                <w:szCs w:val="20"/>
                <w:color w:val="auto"/>
              </w:rPr>
            </w:pPr>
            <w:r>
              <w:rPr>
                <w:rFonts w:ascii="Arial" w:cs="Arial" w:eastAsia="Arial" w:hAnsi="Arial"/>
                <w:sz w:val="16"/>
                <w:szCs w:val="16"/>
                <w:b w:val="1"/>
                <w:bCs w:val="1"/>
                <w:color w:val="6F2875"/>
              </w:rPr>
              <w:t xml:space="preserve">Death </w:t>
            </w:r>
            <w:r>
              <w:rPr>
                <w:rFonts w:ascii="Arial" w:cs="Arial" w:eastAsia="Arial" w:hAnsi="Arial"/>
                <w:sz w:val="26"/>
                <w:szCs w:val="26"/>
                <w:b w:val="1"/>
                <w:bCs w:val="1"/>
                <w:color w:val="6F2875"/>
                <w:vertAlign w:val="superscript"/>
              </w:rPr>
              <w:t>(4)</w:t>
            </w:r>
          </w:p>
        </w:tc>
        <w:tc>
          <w:tcPr>
            <w:tcW w:w="720" w:type="dxa"/>
            <w:vAlign w:val="bottom"/>
            <w:tcBorders>
              <w:bottom w:val="single" w:sz="8" w:color="6F2775"/>
            </w:tcBorders>
          </w:tcPr>
          <w:p>
            <w:pPr>
              <w:spacing w:after="0"/>
              <w:rPr>
                <w:sz w:val="19"/>
                <w:szCs w:val="19"/>
                <w:color w:val="auto"/>
              </w:rPr>
            </w:pPr>
          </w:p>
        </w:tc>
        <w:tc>
          <w:tcPr>
            <w:tcW w:w="980" w:type="dxa"/>
            <w:vAlign w:val="bottom"/>
            <w:tcBorders>
              <w:bottom w:val="single" w:sz="8" w:color="6F2775"/>
            </w:tcBorders>
          </w:tcPr>
          <w:p>
            <w:pPr>
              <w:jc w:val="right"/>
              <w:ind w:right="19"/>
              <w:spacing w:after="0"/>
              <w:rPr>
                <w:sz w:val="20"/>
                <w:szCs w:val="20"/>
                <w:color w:val="auto"/>
              </w:rPr>
            </w:pPr>
            <w:r>
              <w:rPr>
                <w:rFonts w:ascii="Arial" w:cs="Arial" w:eastAsia="Arial" w:hAnsi="Arial"/>
                <w:sz w:val="16"/>
                <w:szCs w:val="16"/>
                <w:b w:val="1"/>
                <w:bCs w:val="1"/>
                <w:color w:val="6F2875"/>
              </w:rPr>
              <w:t>Retirement</w:t>
            </w:r>
          </w:p>
        </w:tc>
        <w:tc>
          <w:tcPr>
            <w:tcW w:w="0" w:type="dxa"/>
            <w:vAlign w:val="bottom"/>
          </w:tcPr>
          <w:p>
            <w:pPr>
              <w:spacing w:after="0"/>
              <w:rPr>
                <w:sz w:val="1"/>
                <w:szCs w:val="1"/>
                <w:color w:val="auto"/>
              </w:rPr>
            </w:pPr>
          </w:p>
        </w:tc>
      </w:tr>
      <w:tr>
        <w:trPr>
          <w:trHeight w:val="183"/>
        </w:trPr>
        <w:tc>
          <w:tcPr>
            <w:tcW w:w="2140" w:type="dxa"/>
            <w:vAlign w:val="bottom"/>
            <w:gridSpan w:val="2"/>
          </w:tcPr>
          <w:p>
            <w:pPr>
              <w:ind w:left="60"/>
              <w:spacing w:after="0" w:line="183" w:lineRule="exact"/>
              <w:rPr>
                <w:sz w:val="20"/>
                <w:szCs w:val="20"/>
                <w:color w:val="auto"/>
              </w:rPr>
            </w:pPr>
            <w:r>
              <w:rPr>
                <w:rFonts w:ascii="Arial" w:cs="Arial" w:eastAsia="Arial" w:hAnsi="Arial"/>
                <w:sz w:val="16"/>
                <w:szCs w:val="16"/>
                <w:b w:val="1"/>
                <w:bCs w:val="1"/>
                <w:color w:val="231F20"/>
              </w:rPr>
              <w:t>Severance (1,2)</w:t>
            </w:r>
          </w:p>
        </w:tc>
        <w:tc>
          <w:tcPr>
            <w:tcW w:w="1320" w:type="dxa"/>
            <w:vAlign w:val="bottom"/>
          </w:tcPr>
          <w:p>
            <w:pPr>
              <w:jc w:val="right"/>
              <w:ind w:right="79"/>
              <w:spacing w:after="0" w:line="183" w:lineRule="exact"/>
              <w:rPr>
                <w:sz w:val="20"/>
                <w:szCs w:val="20"/>
                <w:color w:val="auto"/>
              </w:rPr>
            </w:pPr>
            <w:r>
              <w:rPr>
                <w:rFonts w:ascii="Arial" w:cs="Arial" w:eastAsia="Arial" w:hAnsi="Arial"/>
                <w:sz w:val="16"/>
                <w:szCs w:val="16"/>
                <w:color w:val="231F20"/>
              </w:rPr>
              <w:t>$</w:t>
            </w:r>
          </w:p>
        </w:tc>
        <w:tc>
          <w:tcPr>
            <w:tcW w:w="760" w:type="dxa"/>
            <w:vAlign w:val="bottom"/>
            <w:gridSpan w:val="2"/>
          </w:tcPr>
          <w:p>
            <w:pPr>
              <w:jc w:val="right"/>
              <w:spacing w:after="0" w:line="183" w:lineRule="exact"/>
              <w:rPr>
                <w:sz w:val="20"/>
                <w:szCs w:val="20"/>
                <w:color w:val="auto"/>
              </w:rPr>
            </w:pPr>
            <w:r>
              <w:rPr>
                <w:rFonts w:ascii="Arial" w:cs="Arial" w:eastAsia="Arial" w:hAnsi="Arial"/>
                <w:sz w:val="16"/>
                <w:szCs w:val="16"/>
                <w:color w:val="231F20"/>
              </w:rPr>
              <w:t>404,737</w:t>
            </w:r>
          </w:p>
        </w:tc>
        <w:tc>
          <w:tcPr>
            <w:tcW w:w="1460" w:type="dxa"/>
            <w:vAlign w:val="bottom"/>
          </w:tcPr>
          <w:p>
            <w:pPr>
              <w:jc w:val="right"/>
              <w:ind w:right="59"/>
              <w:spacing w:after="0" w:line="183" w:lineRule="exact"/>
              <w:rPr>
                <w:sz w:val="20"/>
                <w:szCs w:val="20"/>
                <w:color w:val="auto"/>
              </w:rPr>
            </w:pPr>
            <w:r>
              <w:rPr>
                <w:rFonts w:ascii="Arial" w:cs="Arial" w:eastAsia="Arial" w:hAnsi="Arial"/>
                <w:sz w:val="16"/>
                <w:szCs w:val="16"/>
                <w:color w:val="231F20"/>
              </w:rPr>
              <w:t>$</w:t>
            </w:r>
          </w:p>
        </w:tc>
        <w:tc>
          <w:tcPr>
            <w:tcW w:w="820" w:type="dxa"/>
            <w:vAlign w:val="bottom"/>
          </w:tcPr>
          <w:p>
            <w:pPr>
              <w:jc w:val="right"/>
              <w:ind w:right="19"/>
              <w:spacing w:after="0" w:line="183" w:lineRule="exact"/>
              <w:rPr>
                <w:sz w:val="20"/>
                <w:szCs w:val="20"/>
                <w:color w:val="auto"/>
              </w:rPr>
            </w:pPr>
            <w:r>
              <w:rPr>
                <w:rFonts w:ascii="Arial" w:cs="Arial" w:eastAsia="Arial" w:hAnsi="Arial"/>
                <w:sz w:val="16"/>
                <w:szCs w:val="16"/>
                <w:color w:val="231F20"/>
              </w:rPr>
              <w:t>—</w:t>
            </w:r>
          </w:p>
        </w:tc>
        <w:tc>
          <w:tcPr>
            <w:tcW w:w="82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231F20"/>
              </w:rPr>
              <w:t>$</w:t>
            </w:r>
          </w:p>
        </w:tc>
        <w:tc>
          <w:tcPr>
            <w:tcW w:w="800" w:type="dxa"/>
            <w:vAlign w:val="bottom"/>
          </w:tcPr>
          <w:p>
            <w:pPr>
              <w:jc w:val="right"/>
              <w:ind w:right="79"/>
              <w:spacing w:after="0" w:line="183" w:lineRule="exact"/>
              <w:rPr>
                <w:sz w:val="20"/>
                <w:szCs w:val="20"/>
                <w:color w:val="auto"/>
              </w:rPr>
            </w:pPr>
            <w:r>
              <w:rPr>
                <w:rFonts w:ascii="Arial" w:cs="Arial" w:eastAsia="Arial" w:hAnsi="Arial"/>
                <w:sz w:val="16"/>
                <w:szCs w:val="16"/>
                <w:color w:val="231F20"/>
              </w:rPr>
              <w:t>—</w:t>
            </w:r>
          </w:p>
        </w:tc>
        <w:tc>
          <w:tcPr>
            <w:tcW w:w="920" w:type="dxa"/>
            <w:vAlign w:val="bottom"/>
          </w:tcPr>
          <w:p>
            <w:pPr>
              <w:ind w:left="840"/>
              <w:spacing w:after="0"/>
              <w:rPr>
                <w:sz w:val="20"/>
                <w:szCs w:val="20"/>
                <w:color w:val="auto"/>
              </w:rPr>
            </w:pPr>
            <w:r>
              <w:rPr>
                <w:rFonts w:ascii="Arial" w:cs="Arial" w:eastAsia="Arial" w:hAnsi="Arial"/>
                <w:sz w:val="15"/>
                <w:szCs w:val="15"/>
                <w:color w:val="231F20"/>
                <w:w w:val="71"/>
              </w:rPr>
              <w:t>$</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231F20"/>
              </w:rPr>
              <w:t>—</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w:t>
            </w:r>
          </w:p>
        </w:tc>
        <w:tc>
          <w:tcPr>
            <w:tcW w:w="980" w:type="dxa"/>
            <w:vAlign w:val="bottom"/>
          </w:tcPr>
          <w:p>
            <w:pPr>
              <w:jc w:val="right"/>
              <w:ind w:right="19"/>
              <w:spacing w:after="0" w:line="183" w:lineRule="exact"/>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9"/>
        </w:trPr>
        <w:tc>
          <w:tcPr>
            <w:tcW w:w="2140" w:type="dxa"/>
            <w:vAlign w:val="bottom"/>
            <w:gridSpan w:val="2"/>
            <w:shd w:val="clear" w:color="auto" w:fill="F3EDF3"/>
          </w:tcPr>
          <w:p>
            <w:pPr>
              <w:ind w:left="60"/>
              <w:spacing w:after="0"/>
              <w:rPr>
                <w:sz w:val="20"/>
                <w:szCs w:val="20"/>
                <w:color w:val="auto"/>
              </w:rPr>
            </w:pPr>
            <w:r>
              <w:rPr>
                <w:rFonts w:ascii="Arial" w:cs="Arial" w:eastAsia="Arial" w:hAnsi="Arial"/>
                <w:sz w:val="16"/>
                <w:szCs w:val="16"/>
                <w:b w:val="1"/>
                <w:bCs w:val="1"/>
                <w:color w:val="231F20"/>
              </w:rPr>
              <w:t>STIP</w:t>
            </w:r>
          </w:p>
        </w:tc>
        <w:tc>
          <w:tcPr>
            <w:tcW w:w="1320" w:type="dxa"/>
            <w:vAlign w:val="bottom"/>
            <w:shd w:val="clear" w:color="auto" w:fill="F3EDF3"/>
          </w:tcPr>
          <w:p>
            <w:pPr>
              <w:jc w:val="right"/>
              <w:ind w:right="79"/>
              <w:spacing w:after="0"/>
              <w:rPr>
                <w:sz w:val="20"/>
                <w:szCs w:val="20"/>
                <w:color w:val="auto"/>
              </w:rPr>
            </w:pPr>
            <w:r>
              <w:rPr>
                <w:rFonts w:ascii="Arial" w:cs="Arial" w:eastAsia="Arial" w:hAnsi="Arial"/>
                <w:sz w:val="16"/>
                <w:szCs w:val="16"/>
                <w:color w:val="231F20"/>
              </w:rPr>
              <w:t>$</w:t>
            </w:r>
          </w:p>
        </w:tc>
        <w:tc>
          <w:tcPr>
            <w:tcW w:w="560" w:type="dxa"/>
            <w:vAlign w:val="bottom"/>
            <w:shd w:val="clear" w:color="auto" w:fill="F3EDF3"/>
          </w:tcPr>
          <w:p>
            <w:pPr>
              <w:spacing w:after="0"/>
              <w:rPr>
                <w:sz w:val="16"/>
                <w:szCs w:val="16"/>
                <w:color w:val="auto"/>
              </w:rPr>
            </w:pPr>
          </w:p>
        </w:tc>
        <w:tc>
          <w:tcPr>
            <w:tcW w:w="200" w:type="dxa"/>
            <w:vAlign w:val="bottom"/>
            <w:shd w:val="clear" w:color="auto" w:fill="F3EDF3"/>
          </w:tcPr>
          <w:p>
            <w:pPr>
              <w:jc w:val="right"/>
              <w:spacing w:after="0"/>
              <w:rPr>
                <w:sz w:val="20"/>
                <w:szCs w:val="20"/>
                <w:color w:val="auto"/>
              </w:rPr>
            </w:pPr>
            <w:r>
              <w:rPr>
                <w:rFonts w:ascii="Arial" w:cs="Arial" w:eastAsia="Arial" w:hAnsi="Arial"/>
                <w:sz w:val="16"/>
                <w:szCs w:val="16"/>
                <w:color w:val="231F20"/>
                <w:w w:val="99"/>
              </w:rPr>
              <w:t>—</w:t>
            </w:r>
          </w:p>
        </w:tc>
        <w:tc>
          <w:tcPr>
            <w:tcW w:w="1460" w:type="dxa"/>
            <w:vAlign w:val="bottom"/>
            <w:shd w:val="clear" w:color="auto" w:fill="F3EDF3"/>
          </w:tcPr>
          <w:p>
            <w:pPr>
              <w:jc w:val="right"/>
              <w:ind w:right="59"/>
              <w:spacing w:after="0"/>
              <w:rPr>
                <w:sz w:val="20"/>
                <w:szCs w:val="20"/>
                <w:color w:val="auto"/>
              </w:rPr>
            </w:pPr>
            <w:r>
              <w:rPr>
                <w:rFonts w:ascii="Arial" w:cs="Arial" w:eastAsia="Arial" w:hAnsi="Arial"/>
                <w:sz w:val="16"/>
                <w:szCs w:val="16"/>
                <w:color w:val="231F20"/>
              </w:rPr>
              <w:t>$</w:t>
            </w:r>
          </w:p>
        </w:tc>
        <w:tc>
          <w:tcPr>
            <w:tcW w:w="820" w:type="dxa"/>
            <w:vAlign w:val="bottom"/>
            <w:shd w:val="clear" w:color="auto" w:fill="F3EDF3"/>
          </w:tcPr>
          <w:p>
            <w:pPr>
              <w:jc w:val="right"/>
              <w:ind w:right="19"/>
              <w:spacing w:after="0"/>
              <w:rPr>
                <w:sz w:val="20"/>
                <w:szCs w:val="20"/>
                <w:color w:val="auto"/>
              </w:rPr>
            </w:pPr>
            <w:r>
              <w:rPr>
                <w:rFonts w:ascii="Arial" w:cs="Arial" w:eastAsia="Arial" w:hAnsi="Arial"/>
                <w:sz w:val="16"/>
                <w:szCs w:val="16"/>
                <w:color w:val="231F20"/>
              </w:rPr>
              <w:t>—</w:t>
            </w:r>
          </w:p>
        </w:tc>
        <w:tc>
          <w:tcPr>
            <w:tcW w:w="820" w:type="dxa"/>
            <w:vAlign w:val="bottom"/>
            <w:gridSpan w:val="2"/>
            <w:shd w:val="clear" w:color="auto" w:fill="F3EDF3"/>
          </w:tcPr>
          <w:p>
            <w:pPr>
              <w:jc w:val="right"/>
              <w:ind w:right="40"/>
              <w:spacing w:after="0"/>
              <w:rPr>
                <w:sz w:val="20"/>
                <w:szCs w:val="20"/>
                <w:color w:val="auto"/>
              </w:rPr>
            </w:pPr>
            <w:r>
              <w:rPr>
                <w:rFonts w:ascii="Arial" w:cs="Arial" w:eastAsia="Arial" w:hAnsi="Arial"/>
                <w:sz w:val="16"/>
                <w:szCs w:val="16"/>
                <w:color w:val="231F20"/>
              </w:rPr>
              <w:t>$</w:t>
            </w:r>
          </w:p>
        </w:tc>
        <w:tc>
          <w:tcPr>
            <w:tcW w:w="800" w:type="dxa"/>
            <w:vAlign w:val="bottom"/>
            <w:shd w:val="clear" w:color="auto" w:fill="F3EDF3"/>
          </w:tcPr>
          <w:p>
            <w:pPr>
              <w:jc w:val="right"/>
              <w:ind w:right="79"/>
              <w:spacing w:after="0"/>
              <w:rPr>
                <w:sz w:val="20"/>
                <w:szCs w:val="20"/>
                <w:color w:val="auto"/>
              </w:rPr>
            </w:pPr>
            <w:r>
              <w:rPr>
                <w:rFonts w:ascii="Arial" w:cs="Arial" w:eastAsia="Arial" w:hAnsi="Arial"/>
                <w:sz w:val="16"/>
                <w:szCs w:val="16"/>
                <w:color w:val="231F20"/>
              </w:rPr>
              <w:t>—</w:t>
            </w:r>
          </w:p>
        </w:tc>
        <w:tc>
          <w:tcPr>
            <w:tcW w:w="920" w:type="dxa"/>
            <w:vAlign w:val="bottom"/>
            <w:shd w:val="clear" w:color="auto" w:fill="F3EDF3"/>
          </w:tcPr>
          <w:p>
            <w:pPr>
              <w:ind w:left="840"/>
              <w:spacing w:after="0"/>
              <w:rPr>
                <w:sz w:val="20"/>
                <w:szCs w:val="20"/>
                <w:color w:val="auto"/>
              </w:rPr>
            </w:pPr>
            <w:r>
              <w:rPr>
                <w:rFonts w:ascii="Arial" w:cs="Arial" w:eastAsia="Arial" w:hAnsi="Arial"/>
                <w:sz w:val="15"/>
                <w:szCs w:val="15"/>
                <w:color w:val="231F20"/>
                <w:w w:val="71"/>
              </w:rPr>
              <w:t>$</w:t>
            </w:r>
          </w:p>
        </w:tc>
        <w:tc>
          <w:tcPr>
            <w:tcW w:w="68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w:t>
            </w:r>
          </w:p>
        </w:tc>
        <w:tc>
          <w:tcPr>
            <w:tcW w:w="72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w:t>
            </w:r>
          </w:p>
        </w:tc>
        <w:tc>
          <w:tcPr>
            <w:tcW w:w="980" w:type="dxa"/>
            <w:vAlign w:val="bottom"/>
            <w:shd w:val="clear" w:color="auto" w:fill="F3EDF3"/>
          </w:tcPr>
          <w:p>
            <w:pPr>
              <w:jc w:val="right"/>
              <w:ind w:right="19"/>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9"/>
        </w:trPr>
        <w:tc>
          <w:tcPr>
            <w:tcW w:w="2140" w:type="dxa"/>
            <w:vAlign w:val="bottom"/>
            <w:gridSpan w:val="2"/>
          </w:tcPr>
          <w:p>
            <w:pPr>
              <w:ind w:left="60"/>
              <w:spacing w:after="0"/>
              <w:rPr>
                <w:sz w:val="20"/>
                <w:szCs w:val="20"/>
                <w:color w:val="auto"/>
              </w:rPr>
            </w:pPr>
            <w:r>
              <w:rPr>
                <w:rFonts w:ascii="Arial" w:cs="Arial" w:eastAsia="Arial" w:hAnsi="Arial"/>
                <w:sz w:val="16"/>
                <w:szCs w:val="16"/>
                <w:b w:val="1"/>
                <w:bCs w:val="1"/>
                <w:color w:val="231F20"/>
              </w:rPr>
              <w:t>LTIP (3,4)</w:t>
            </w:r>
          </w:p>
        </w:tc>
        <w:tc>
          <w:tcPr>
            <w:tcW w:w="1320" w:type="dxa"/>
            <w:vAlign w:val="bottom"/>
          </w:tcPr>
          <w:p>
            <w:pPr>
              <w:jc w:val="right"/>
              <w:ind w:right="79"/>
              <w:spacing w:after="0"/>
              <w:rPr>
                <w:sz w:val="20"/>
                <w:szCs w:val="20"/>
                <w:color w:val="auto"/>
              </w:rPr>
            </w:pPr>
            <w:r>
              <w:rPr>
                <w:rFonts w:ascii="Arial" w:cs="Arial" w:eastAsia="Arial" w:hAnsi="Arial"/>
                <w:sz w:val="16"/>
                <w:szCs w:val="16"/>
                <w:color w:val="231F20"/>
              </w:rPr>
              <w:t>$</w:t>
            </w:r>
          </w:p>
        </w:tc>
        <w:tc>
          <w:tcPr>
            <w:tcW w:w="5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231F20"/>
                <w:w w:val="99"/>
              </w:rPr>
              <w:t>—</w:t>
            </w:r>
          </w:p>
        </w:tc>
        <w:tc>
          <w:tcPr>
            <w:tcW w:w="1460" w:type="dxa"/>
            <w:vAlign w:val="bottom"/>
          </w:tcPr>
          <w:p>
            <w:pPr>
              <w:jc w:val="right"/>
              <w:ind w:right="59"/>
              <w:spacing w:after="0"/>
              <w:rPr>
                <w:sz w:val="20"/>
                <w:szCs w:val="20"/>
                <w:color w:val="auto"/>
              </w:rPr>
            </w:pPr>
            <w:r>
              <w:rPr>
                <w:rFonts w:ascii="Arial" w:cs="Arial" w:eastAsia="Arial" w:hAnsi="Arial"/>
                <w:sz w:val="16"/>
                <w:szCs w:val="16"/>
                <w:color w:val="231F20"/>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231F20"/>
              </w:rPr>
              <w:t>669,733</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231F20"/>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231F20"/>
              </w:rPr>
              <w:t>303,299</w:t>
            </w:r>
          </w:p>
        </w:tc>
        <w:tc>
          <w:tcPr>
            <w:tcW w:w="920" w:type="dxa"/>
            <w:vAlign w:val="bottom"/>
          </w:tcPr>
          <w:p>
            <w:pPr>
              <w:ind w:left="840"/>
              <w:spacing w:after="0"/>
              <w:rPr>
                <w:sz w:val="20"/>
                <w:szCs w:val="20"/>
                <w:color w:val="auto"/>
              </w:rPr>
            </w:pPr>
            <w:r>
              <w:rPr>
                <w:rFonts w:ascii="Arial" w:cs="Arial" w:eastAsia="Arial" w:hAnsi="Arial"/>
                <w:sz w:val="15"/>
                <w:szCs w:val="15"/>
                <w:color w:val="231F20"/>
                <w:w w:val="71"/>
              </w:rPr>
              <w:t>$</w:t>
            </w:r>
          </w:p>
        </w:tc>
        <w:tc>
          <w:tcPr>
            <w:tcW w:w="680" w:type="dxa"/>
            <w:vAlign w:val="bottom"/>
          </w:tcPr>
          <w:p>
            <w:pPr>
              <w:jc w:val="right"/>
              <w:spacing w:after="0"/>
              <w:rPr>
                <w:sz w:val="20"/>
                <w:szCs w:val="20"/>
                <w:color w:val="auto"/>
              </w:rPr>
            </w:pPr>
            <w:r>
              <w:rPr>
                <w:rFonts w:ascii="Arial" w:cs="Arial" w:eastAsia="Arial" w:hAnsi="Arial"/>
                <w:sz w:val="16"/>
                <w:szCs w:val="16"/>
                <w:color w:val="231F20"/>
              </w:rPr>
              <w:t>303,299</w:t>
            </w:r>
          </w:p>
        </w:tc>
        <w:tc>
          <w:tcPr>
            <w:tcW w:w="720" w:type="dxa"/>
            <w:vAlign w:val="bottom"/>
          </w:tcPr>
          <w:p>
            <w:pPr>
              <w:jc w:val="right"/>
              <w:spacing w:after="0"/>
              <w:rPr>
                <w:sz w:val="20"/>
                <w:szCs w:val="20"/>
                <w:color w:val="auto"/>
              </w:rPr>
            </w:pPr>
            <w:r>
              <w:rPr>
                <w:rFonts w:ascii="Arial" w:cs="Arial" w:eastAsia="Arial" w:hAnsi="Arial"/>
                <w:sz w:val="16"/>
                <w:szCs w:val="16"/>
                <w:color w:val="231F20"/>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9"/>
        </w:trPr>
        <w:tc>
          <w:tcPr>
            <w:tcW w:w="2140" w:type="dxa"/>
            <w:vAlign w:val="bottom"/>
            <w:tcBorders>
              <w:bottom w:val="single" w:sz="8" w:color="6F2875"/>
            </w:tcBorders>
            <w:gridSpan w:val="2"/>
            <w:shd w:val="clear" w:color="auto" w:fill="F3EDF3"/>
          </w:tcPr>
          <w:p>
            <w:pPr>
              <w:ind w:left="60"/>
              <w:spacing w:after="0"/>
              <w:rPr>
                <w:sz w:val="20"/>
                <w:szCs w:val="20"/>
                <w:color w:val="auto"/>
              </w:rPr>
            </w:pPr>
            <w:r>
              <w:rPr>
                <w:rFonts w:ascii="Arial" w:cs="Arial" w:eastAsia="Arial" w:hAnsi="Arial"/>
                <w:sz w:val="16"/>
                <w:szCs w:val="16"/>
                <w:b w:val="1"/>
                <w:bCs w:val="1"/>
                <w:color w:val="231F20"/>
              </w:rPr>
              <w:t>Benefits</w:t>
            </w:r>
          </w:p>
        </w:tc>
        <w:tc>
          <w:tcPr>
            <w:tcW w:w="1320" w:type="dxa"/>
            <w:vAlign w:val="bottom"/>
            <w:tcBorders>
              <w:bottom w:val="single" w:sz="8" w:color="6F2875"/>
            </w:tcBorders>
            <w:shd w:val="clear" w:color="auto" w:fill="F3EDF3"/>
          </w:tcPr>
          <w:p>
            <w:pPr>
              <w:jc w:val="right"/>
              <w:ind w:right="79"/>
              <w:spacing w:after="0"/>
              <w:rPr>
                <w:sz w:val="20"/>
                <w:szCs w:val="20"/>
                <w:color w:val="auto"/>
              </w:rPr>
            </w:pPr>
            <w:r>
              <w:rPr>
                <w:rFonts w:ascii="Arial" w:cs="Arial" w:eastAsia="Arial" w:hAnsi="Arial"/>
                <w:sz w:val="16"/>
                <w:szCs w:val="16"/>
                <w:color w:val="231F20"/>
              </w:rPr>
              <w:t>$</w:t>
            </w:r>
          </w:p>
        </w:tc>
        <w:tc>
          <w:tcPr>
            <w:tcW w:w="560" w:type="dxa"/>
            <w:vAlign w:val="bottom"/>
            <w:tcBorders>
              <w:bottom w:val="single" w:sz="8" w:color="6F2875"/>
            </w:tcBorders>
            <w:shd w:val="clear" w:color="auto" w:fill="F3EDF3"/>
          </w:tcPr>
          <w:p>
            <w:pPr>
              <w:spacing w:after="0"/>
              <w:rPr>
                <w:sz w:val="16"/>
                <w:szCs w:val="16"/>
                <w:color w:val="auto"/>
              </w:rPr>
            </w:pPr>
          </w:p>
        </w:tc>
        <w:tc>
          <w:tcPr>
            <w:tcW w:w="200" w:type="dxa"/>
            <w:vAlign w:val="bottom"/>
            <w:tcBorders>
              <w:bottom w:val="single" w:sz="8" w:color="6F2875"/>
            </w:tcBorders>
            <w:shd w:val="clear" w:color="auto" w:fill="F3EDF3"/>
          </w:tcPr>
          <w:p>
            <w:pPr>
              <w:jc w:val="right"/>
              <w:spacing w:after="0"/>
              <w:rPr>
                <w:sz w:val="20"/>
                <w:szCs w:val="20"/>
                <w:color w:val="auto"/>
              </w:rPr>
            </w:pPr>
            <w:r>
              <w:rPr>
                <w:rFonts w:ascii="Arial" w:cs="Arial" w:eastAsia="Arial" w:hAnsi="Arial"/>
                <w:sz w:val="16"/>
                <w:szCs w:val="16"/>
                <w:color w:val="231F20"/>
                <w:w w:val="99"/>
              </w:rPr>
              <w:t>—</w:t>
            </w:r>
          </w:p>
        </w:tc>
        <w:tc>
          <w:tcPr>
            <w:tcW w:w="1460" w:type="dxa"/>
            <w:vAlign w:val="bottom"/>
            <w:tcBorders>
              <w:bottom w:val="single" w:sz="8" w:color="6F2875"/>
            </w:tcBorders>
            <w:shd w:val="clear" w:color="auto" w:fill="F3EDF3"/>
          </w:tcPr>
          <w:p>
            <w:pPr>
              <w:jc w:val="right"/>
              <w:ind w:right="59"/>
              <w:spacing w:after="0"/>
              <w:rPr>
                <w:sz w:val="20"/>
                <w:szCs w:val="20"/>
                <w:color w:val="auto"/>
              </w:rPr>
            </w:pPr>
            <w:r>
              <w:rPr>
                <w:rFonts w:ascii="Arial" w:cs="Arial" w:eastAsia="Arial" w:hAnsi="Arial"/>
                <w:sz w:val="16"/>
                <w:szCs w:val="16"/>
                <w:color w:val="231F20"/>
              </w:rPr>
              <w:t>$</w:t>
            </w:r>
          </w:p>
        </w:tc>
        <w:tc>
          <w:tcPr>
            <w:tcW w:w="820" w:type="dxa"/>
            <w:vAlign w:val="bottom"/>
            <w:tcBorders>
              <w:bottom w:val="single" w:sz="8" w:color="6F2875"/>
            </w:tcBorders>
            <w:shd w:val="clear" w:color="auto" w:fill="F3EDF3"/>
          </w:tcPr>
          <w:p>
            <w:pPr>
              <w:jc w:val="right"/>
              <w:ind w:right="19"/>
              <w:spacing w:after="0"/>
              <w:rPr>
                <w:sz w:val="20"/>
                <w:szCs w:val="20"/>
                <w:color w:val="auto"/>
              </w:rPr>
            </w:pPr>
            <w:r>
              <w:rPr>
                <w:rFonts w:ascii="Arial" w:cs="Arial" w:eastAsia="Arial" w:hAnsi="Arial"/>
                <w:sz w:val="16"/>
                <w:szCs w:val="16"/>
                <w:color w:val="231F20"/>
              </w:rPr>
              <w:t>—</w:t>
            </w:r>
          </w:p>
        </w:tc>
        <w:tc>
          <w:tcPr>
            <w:tcW w:w="820" w:type="dxa"/>
            <w:vAlign w:val="bottom"/>
            <w:tcBorders>
              <w:bottom w:val="single" w:sz="8" w:color="6F2875"/>
            </w:tcBorders>
            <w:gridSpan w:val="2"/>
            <w:shd w:val="clear" w:color="auto" w:fill="F3EDF3"/>
          </w:tcPr>
          <w:p>
            <w:pPr>
              <w:jc w:val="right"/>
              <w:ind w:right="40"/>
              <w:spacing w:after="0"/>
              <w:rPr>
                <w:sz w:val="20"/>
                <w:szCs w:val="20"/>
                <w:color w:val="auto"/>
              </w:rPr>
            </w:pPr>
            <w:r>
              <w:rPr>
                <w:rFonts w:ascii="Arial" w:cs="Arial" w:eastAsia="Arial" w:hAnsi="Arial"/>
                <w:sz w:val="16"/>
                <w:szCs w:val="16"/>
                <w:color w:val="231F20"/>
              </w:rPr>
              <w:t>$</w:t>
            </w:r>
          </w:p>
        </w:tc>
        <w:tc>
          <w:tcPr>
            <w:tcW w:w="800" w:type="dxa"/>
            <w:vAlign w:val="bottom"/>
            <w:tcBorders>
              <w:bottom w:val="single" w:sz="8" w:color="6F2875"/>
            </w:tcBorders>
            <w:shd w:val="clear" w:color="auto" w:fill="F3EDF3"/>
          </w:tcPr>
          <w:p>
            <w:pPr>
              <w:jc w:val="right"/>
              <w:ind w:right="79"/>
              <w:spacing w:after="0"/>
              <w:rPr>
                <w:sz w:val="20"/>
                <w:szCs w:val="20"/>
                <w:color w:val="auto"/>
              </w:rPr>
            </w:pPr>
            <w:r>
              <w:rPr>
                <w:rFonts w:ascii="Arial" w:cs="Arial" w:eastAsia="Arial" w:hAnsi="Arial"/>
                <w:sz w:val="16"/>
                <w:szCs w:val="16"/>
                <w:color w:val="231F20"/>
              </w:rPr>
              <w:t>—</w:t>
            </w:r>
          </w:p>
        </w:tc>
        <w:tc>
          <w:tcPr>
            <w:tcW w:w="920" w:type="dxa"/>
            <w:vAlign w:val="bottom"/>
            <w:tcBorders>
              <w:bottom w:val="single" w:sz="8" w:color="6F2875"/>
            </w:tcBorders>
            <w:shd w:val="clear" w:color="auto" w:fill="F3EDF3"/>
          </w:tcPr>
          <w:p>
            <w:pPr>
              <w:ind w:left="840"/>
              <w:spacing w:after="0"/>
              <w:rPr>
                <w:sz w:val="20"/>
                <w:szCs w:val="20"/>
                <w:color w:val="auto"/>
              </w:rPr>
            </w:pPr>
            <w:r>
              <w:rPr>
                <w:rFonts w:ascii="Arial" w:cs="Arial" w:eastAsia="Arial" w:hAnsi="Arial"/>
                <w:sz w:val="15"/>
                <w:szCs w:val="15"/>
                <w:color w:val="231F20"/>
                <w:w w:val="71"/>
              </w:rPr>
              <w:t>$</w:t>
            </w:r>
          </w:p>
        </w:tc>
        <w:tc>
          <w:tcPr>
            <w:tcW w:w="680" w:type="dxa"/>
            <w:vAlign w:val="bottom"/>
            <w:tcBorders>
              <w:bottom w:val="single" w:sz="8" w:color="6F2875"/>
            </w:tcBorders>
            <w:shd w:val="clear" w:color="auto" w:fill="F3EDF3"/>
          </w:tcPr>
          <w:p>
            <w:pPr>
              <w:jc w:val="right"/>
              <w:spacing w:after="0"/>
              <w:rPr>
                <w:sz w:val="20"/>
                <w:szCs w:val="20"/>
                <w:color w:val="auto"/>
              </w:rPr>
            </w:pPr>
            <w:r>
              <w:rPr>
                <w:rFonts w:ascii="Arial" w:cs="Arial" w:eastAsia="Arial" w:hAnsi="Arial"/>
                <w:sz w:val="16"/>
                <w:szCs w:val="16"/>
                <w:color w:val="231F20"/>
              </w:rPr>
              <w:t>—</w:t>
            </w:r>
          </w:p>
        </w:tc>
        <w:tc>
          <w:tcPr>
            <w:tcW w:w="720" w:type="dxa"/>
            <w:vAlign w:val="bottom"/>
            <w:tcBorders>
              <w:bottom w:val="single" w:sz="8" w:color="6F2875"/>
            </w:tcBorders>
            <w:shd w:val="clear" w:color="auto" w:fill="F3EDF3"/>
          </w:tcPr>
          <w:p>
            <w:pPr>
              <w:jc w:val="right"/>
              <w:spacing w:after="0"/>
              <w:rPr>
                <w:sz w:val="20"/>
                <w:szCs w:val="20"/>
                <w:color w:val="auto"/>
              </w:rPr>
            </w:pPr>
            <w:r>
              <w:rPr>
                <w:rFonts w:ascii="Arial" w:cs="Arial" w:eastAsia="Arial" w:hAnsi="Arial"/>
                <w:sz w:val="16"/>
                <w:szCs w:val="16"/>
                <w:color w:val="231F20"/>
              </w:rPr>
              <w:t>$</w:t>
            </w:r>
          </w:p>
        </w:tc>
        <w:tc>
          <w:tcPr>
            <w:tcW w:w="980" w:type="dxa"/>
            <w:vAlign w:val="bottom"/>
            <w:tcBorders>
              <w:bottom w:val="single" w:sz="8" w:color="6F2875"/>
            </w:tcBorders>
            <w:shd w:val="clear" w:color="auto" w:fill="F3EDF3"/>
          </w:tcPr>
          <w:p>
            <w:pPr>
              <w:jc w:val="right"/>
              <w:ind w:right="19"/>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3"/>
        </w:trPr>
        <w:tc>
          <w:tcPr>
            <w:tcW w:w="2140" w:type="dxa"/>
            <w:vAlign w:val="bottom"/>
            <w:tcBorders>
              <w:bottom w:val="single" w:sz="8" w:color="6F2875"/>
            </w:tcBorders>
            <w:gridSpan w:val="2"/>
          </w:tcPr>
          <w:p>
            <w:pPr>
              <w:ind w:left="60"/>
              <w:spacing w:after="0" w:line="183" w:lineRule="exact"/>
              <w:rPr>
                <w:sz w:val="20"/>
                <w:szCs w:val="20"/>
                <w:color w:val="auto"/>
              </w:rPr>
            </w:pPr>
            <w:r>
              <w:rPr>
                <w:rFonts w:ascii="Arial" w:cs="Arial" w:eastAsia="Arial" w:hAnsi="Arial"/>
                <w:sz w:val="16"/>
                <w:szCs w:val="16"/>
                <w:b w:val="1"/>
                <w:bCs w:val="1"/>
                <w:color w:val="6F2875"/>
              </w:rPr>
              <w:t>TOTAL</w:t>
            </w:r>
          </w:p>
        </w:tc>
        <w:tc>
          <w:tcPr>
            <w:tcW w:w="1320" w:type="dxa"/>
            <w:vAlign w:val="bottom"/>
            <w:tcBorders>
              <w:bottom w:val="single" w:sz="8" w:color="6F2875"/>
            </w:tcBorders>
          </w:tcPr>
          <w:p>
            <w:pPr>
              <w:jc w:val="right"/>
              <w:ind w:right="79"/>
              <w:spacing w:after="0" w:line="183" w:lineRule="exact"/>
              <w:rPr>
                <w:sz w:val="20"/>
                <w:szCs w:val="20"/>
                <w:color w:val="auto"/>
              </w:rPr>
            </w:pPr>
            <w:r>
              <w:rPr>
                <w:rFonts w:ascii="Arial" w:cs="Arial" w:eastAsia="Arial" w:hAnsi="Arial"/>
                <w:sz w:val="16"/>
                <w:szCs w:val="16"/>
                <w:b w:val="1"/>
                <w:bCs w:val="1"/>
                <w:color w:val="6F2875"/>
              </w:rPr>
              <w:t>$</w:t>
            </w:r>
          </w:p>
        </w:tc>
        <w:tc>
          <w:tcPr>
            <w:tcW w:w="760" w:type="dxa"/>
            <w:vAlign w:val="bottom"/>
            <w:tcBorders>
              <w:bottom w:val="single" w:sz="8" w:color="6F2875"/>
            </w:tcBorders>
            <w:gridSpan w:val="2"/>
          </w:tcPr>
          <w:p>
            <w:pPr>
              <w:jc w:val="right"/>
              <w:spacing w:after="0" w:line="183" w:lineRule="exact"/>
              <w:rPr>
                <w:sz w:val="20"/>
                <w:szCs w:val="20"/>
                <w:color w:val="auto"/>
              </w:rPr>
            </w:pPr>
            <w:r>
              <w:rPr>
                <w:rFonts w:ascii="Arial" w:cs="Arial" w:eastAsia="Arial" w:hAnsi="Arial"/>
                <w:sz w:val="16"/>
                <w:szCs w:val="16"/>
                <w:b w:val="1"/>
                <w:bCs w:val="1"/>
                <w:color w:val="6F2875"/>
              </w:rPr>
              <w:t>404,737</w:t>
            </w:r>
          </w:p>
        </w:tc>
        <w:tc>
          <w:tcPr>
            <w:tcW w:w="1460" w:type="dxa"/>
            <w:vAlign w:val="bottom"/>
            <w:tcBorders>
              <w:bottom w:val="single" w:sz="8" w:color="6F2875"/>
            </w:tcBorders>
          </w:tcPr>
          <w:p>
            <w:pPr>
              <w:jc w:val="right"/>
              <w:ind w:right="59"/>
              <w:spacing w:after="0" w:line="183" w:lineRule="exact"/>
              <w:rPr>
                <w:sz w:val="20"/>
                <w:szCs w:val="20"/>
                <w:color w:val="auto"/>
              </w:rPr>
            </w:pPr>
            <w:r>
              <w:rPr>
                <w:rFonts w:ascii="Arial" w:cs="Arial" w:eastAsia="Arial" w:hAnsi="Arial"/>
                <w:sz w:val="16"/>
                <w:szCs w:val="16"/>
                <w:b w:val="1"/>
                <w:bCs w:val="1"/>
                <w:color w:val="6F2875"/>
              </w:rPr>
              <w:t>$</w:t>
            </w:r>
          </w:p>
        </w:tc>
        <w:tc>
          <w:tcPr>
            <w:tcW w:w="820" w:type="dxa"/>
            <w:vAlign w:val="bottom"/>
            <w:tcBorders>
              <w:bottom w:val="single" w:sz="8" w:color="6F2875"/>
            </w:tcBorders>
          </w:tcPr>
          <w:p>
            <w:pPr>
              <w:jc w:val="right"/>
              <w:ind w:right="19"/>
              <w:spacing w:after="0" w:line="183" w:lineRule="exact"/>
              <w:rPr>
                <w:sz w:val="20"/>
                <w:szCs w:val="20"/>
                <w:color w:val="auto"/>
              </w:rPr>
            </w:pPr>
            <w:r>
              <w:rPr>
                <w:rFonts w:ascii="Arial" w:cs="Arial" w:eastAsia="Arial" w:hAnsi="Arial"/>
                <w:sz w:val="16"/>
                <w:szCs w:val="16"/>
                <w:b w:val="1"/>
                <w:bCs w:val="1"/>
                <w:color w:val="6F2875"/>
              </w:rPr>
              <w:t>669,733</w:t>
            </w:r>
          </w:p>
        </w:tc>
        <w:tc>
          <w:tcPr>
            <w:tcW w:w="820" w:type="dxa"/>
            <w:vAlign w:val="bottom"/>
            <w:tcBorders>
              <w:bottom w:val="single" w:sz="8" w:color="6F2875"/>
            </w:tcBorders>
            <w:gridSpan w:val="2"/>
          </w:tcPr>
          <w:p>
            <w:pPr>
              <w:jc w:val="right"/>
              <w:ind w:right="40"/>
              <w:spacing w:after="0" w:line="183" w:lineRule="exact"/>
              <w:rPr>
                <w:sz w:val="20"/>
                <w:szCs w:val="20"/>
                <w:color w:val="auto"/>
              </w:rPr>
            </w:pPr>
            <w:r>
              <w:rPr>
                <w:rFonts w:ascii="Arial" w:cs="Arial" w:eastAsia="Arial" w:hAnsi="Arial"/>
                <w:sz w:val="16"/>
                <w:szCs w:val="16"/>
                <w:b w:val="1"/>
                <w:bCs w:val="1"/>
                <w:color w:val="6F2875"/>
              </w:rPr>
              <w:t>$</w:t>
            </w:r>
          </w:p>
        </w:tc>
        <w:tc>
          <w:tcPr>
            <w:tcW w:w="800" w:type="dxa"/>
            <w:vAlign w:val="bottom"/>
            <w:tcBorders>
              <w:bottom w:val="single" w:sz="8" w:color="6F2875"/>
            </w:tcBorders>
          </w:tcPr>
          <w:p>
            <w:pPr>
              <w:jc w:val="right"/>
              <w:ind w:right="79"/>
              <w:spacing w:after="0" w:line="183" w:lineRule="exact"/>
              <w:rPr>
                <w:sz w:val="20"/>
                <w:szCs w:val="20"/>
                <w:color w:val="auto"/>
              </w:rPr>
            </w:pPr>
            <w:r>
              <w:rPr>
                <w:rFonts w:ascii="Arial" w:cs="Arial" w:eastAsia="Arial" w:hAnsi="Arial"/>
                <w:sz w:val="16"/>
                <w:szCs w:val="16"/>
                <w:b w:val="1"/>
                <w:bCs w:val="1"/>
                <w:color w:val="6F2875"/>
              </w:rPr>
              <w:t>303,299</w:t>
            </w:r>
          </w:p>
        </w:tc>
        <w:tc>
          <w:tcPr>
            <w:tcW w:w="920" w:type="dxa"/>
            <w:vAlign w:val="bottom"/>
            <w:tcBorders>
              <w:bottom w:val="single" w:sz="8" w:color="6F2875"/>
            </w:tcBorders>
          </w:tcPr>
          <w:p>
            <w:pPr>
              <w:ind w:left="840"/>
              <w:spacing w:after="0"/>
              <w:rPr>
                <w:sz w:val="20"/>
                <w:szCs w:val="20"/>
                <w:color w:val="auto"/>
              </w:rPr>
            </w:pPr>
            <w:r>
              <w:rPr>
                <w:rFonts w:ascii="Arial" w:cs="Arial" w:eastAsia="Arial" w:hAnsi="Arial"/>
                <w:sz w:val="15"/>
                <w:szCs w:val="15"/>
                <w:b w:val="1"/>
                <w:bCs w:val="1"/>
                <w:color w:val="6F2875"/>
                <w:w w:val="71"/>
              </w:rPr>
              <w:t>$</w:t>
            </w:r>
          </w:p>
        </w:tc>
        <w:tc>
          <w:tcPr>
            <w:tcW w:w="680" w:type="dxa"/>
            <w:vAlign w:val="bottom"/>
            <w:tcBorders>
              <w:bottom w:val="single" w:sz="8" w:color="6F2875"/>
            </w:tcBorders>
          </w:tcPr>
          <w:p>
            <w:pPr>
              <w:jc w:val="right"/>
              <w:spacing w:after="0" w:line="183" w:lineRule="exact"/>
              <w:rPr>
                <w:sz w:val="20"/>
                <w:szCs w:val="20"/>
                <w:color w:val="auto"/>
              </w:rPr>
            </w:pPr>
            <w:r>
              <w:rPr>
                <w:rFonts w:ascii="Arial" w:cs="Arial" w:eastAsia="Arial" w:hAnsi="Arial"/>
                <w:sz w:val="16"/>
                <w:szCs w:val="16"/>
                <w:b w:val="1"/>
                <w:bCs w:val="1"/>
                <w:color w:val="6F2875"/>
              </w:rPr>
              <w:t>303,299</w:t>
            </w:r>
          </w:p>
        </w:tc>
        <w:tc>
          <w:tcPr>
            <w:tcW w:w="720" w:type="dxa"/>
            <w:vAlign w:val="bottom"/>
            <w:tcBorders>
              <w:bottom w:val="single" w:sz="8" w:color="6F2875"/>
            </w:tcBorders>
          </w:tcPr>
          <w:p>
            <w:pPr>
              <w:jc w:val="right"/>
              <w:spacing w:after="0" w:line="183" w:lineRule="exact"/>
              <w:rPr>
                <w:sz w:val="20"/>
                <w:szCs w:val="20"/>
                <w:color w:val="auto"/>
              </w:rPr>
            </w:pPr>
            <w:r>
              <w:rPr>
                <w:rFonts w:ascii="Arial" w:cs="Arial" w:eastAsia="Arial" w:hAnsi="Arial"/>
                <w:sz w:val="16"/>
                <w:szCs w:val="16"/>
                <w:b w:val="1"/>
                <w:bCs w:val="1"/>
                <w:color w:val="6F2875"/>
              </w:rPr>
              <w:t>$</w:t>
            </w:r>
          </w:p>
        </w:tc>
        <w:tc>
          <w:tcPr>
            <w:tcW w:w="980" w:type="dxa"/>
            <w:vAlign w:val="bottom"/>
            <w:tcBorders>
              <w:bottom w:val="single" w:sz="8" w:color="6F2875"/>
            </w:tcBorders>
          </w:tcPr>
          <w:p>
            <w:pPr>
              <w:jc w:val="right"/>
              <w:ind w:right="19"/>
              <w:spacing w:after="0" w:line="183" w:lineRule="exact"/>
              <w:rPr>
                <w:sz w:val="20"/>
                <w:szCs w:val="20"/>
                <w:color w:val="auto"/>
              </w:rPr>
            </w:pPr>
            <w:r>
              <w:rPr>
                <w:rFonts w:ascii="Arial" w:cs="Arial" w:eastAsia="Arial" w:hAnsi="Arial"/>
                <w:sz w:val="16"/>
                <w:szCs w:val="16"/>
                <w:b w:val="1"/>
                <w:bCs w:val="1"/>
                <w:color w:val="6F2875"/>
              </w:rPr>
              <w:t>—</w:t>
            </w:r>
          </w:p>
        </w:tc>
        <w:tc>
          <w:tcPr>
            <w:tcW w:w="0" w:type="dxa"/>
            <w:vAlign w:val="bottom"/>
          </w:tcPr>
          <w:p>
            <w:pPr>
              <w:spacing w:after="0"/>
              <w:rPr>
                <w:sz w:val="1"/>
                <w:szCs w:val="1"/>
                <w:color w:val="auto"/>
              </w:rPr>
            </w:pPr>
          </w:p>
        </w:tc>
      </w:tr>
      <w:tr>
        <w:trPr>
          <w:trHeight w:val="304"/>
        </w:trPr>
        <w:tc>
          <w:tcPr>
            <w:tcW w:w="360" w:type="dxa"/>
            <w:vAlign w:val="bottom"/>
            <w:vMerge w:val="restart"/>
          </w:tcPr>
          <w:p>
            <w:pPr>
              <w:spacing w:after="0"/>
              <w:rPr>
                <w:sz w:val="20"/>
                <w:szCs w:val="20"/>
                <w:color w:val="auto"/>
              </w:rPr>
            </w:pPr>
            <w:r>
              <w:rPr>
                <w:rFonts w:ascii="Arial" w:cs="Arial" w:eastAsia="Arial" w:hAnsi="Arial"/>
                <w:sz w:val="16"/>
                <w:szCs w:val="16"/>
                <w:b w:val="1"/>
                <w:bCs w:val="1"/>
                <w:color w:val="auto"/>
              </w:rPr>
              <w:t>42</w:t>
            </w:r>
          </w:p>
        </w:tc>
        <w:tc>
          <w:tcPr>
            <w:tcW w:w="17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6F2875"/>
              </w:rPr>
              <w:t>www.livanova.com</w:t>
            </w:r>
          </w:p>
        </w:tc>
        <w:tc>
          <w:tcPr>
            <w:tcW w:w="0" w:type="dxa"/>
            <w:vAlign w:val="bottom"/>
          </w:tcPr>
          <w:p>
            <w:pPr>
              <w:spacing w:after="0"/>
              <w:rPr>
                <w:sz w:val="1"/>
                <w:szCs w:val="1"/>
                <w:color w:val="auto"/>
              </w:rPr>
            </w:pPr>
          </w:p>
        </w:tc>
      </w:tr>
      <w:tr>
        <w:trPr>
          <w:trHeight w:val="69"/>
        </w:trPr>
        <w:tc>
          <w:tcPr>
            <w:tcW w:w="360" w:type="dxa"/>
            <w:vAlign w:val="bottom"/>
            <w:vMerge w:val="continue"/>
          </w:tcPr>
          <w:p>
            <w:pPr>
              <w:spacing w:after="0"/>
              <w:rPr>
                <w:sz w:val="5"/>
                <w:szCs w:val="5"/>
                <w:color w:val="auto"/>
              </w:rPr>
            </w:pPr>
          </w:p>
        </w:tc>
        <w:tc>
          <w:tcPr>
            <w:tcW w:w="17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360" w:type="dxa"/>
            <w:vAlign w:val="bottom"/>
            <w:tcBorders>
              <w:bottom w:val="single" w:sz="8" w:color="C0C0C0"/>
            </w:tcBorders>
          </w:tcPr>
          <w:p>
            <w:pPr>
              <w:spacing w:after="0"/>
              <w:rPr>
                <w:sz w:val="24"/>
                <w:szCs w:val="24"/>
                <w:color w:val="auto"/>
              </w:rPr>
            </w:pPr>
          </w:p>
        </w:tc>
        <w:tc>
          <w:tcPr>
            <w:tcW w:w="1780" w:type="dxa"/>
            <w:vAlign w:val="bottom"/>
            <w:tcBorders>
              <w:bottom w:val="single" w:sz="8" w:color="C0C0C0"/>
            </w:tcBorders>
          </w:tcPr>
          <w:p>
            <w:pPr>
              <w:spacing w:after="0"/>
              <w:rPr>
                <w:sz w:val="24"/>
                <w:szCs w:val="24"/>
                <w:color w:val="auto"/>
              </w:rPr>
            </w:pPr>
          </w:p>
        </w:tc>
        <w:tc>
          <w:tcPr>
            <w:tcW w:w="1320" w:type="dxa"/>
            <w:vAlign w:val="bottom"/>
            <w:tcBorders>
              <w:bottom w:val="single" w:sz="8" w:color="C0C0C0"/>
            </w:tcBorders>
          </w:tcPr>
          <w:p>
            <w:pPr>
              <w:spacing w:after="0"/>
              <w:rPr>
                <w:sz w:val="24"/>
                <w:szCs w:val="24"/>
                <w:color w:val="auto"/>
              </w:rPr>
            </w:pPr>
          </w:p>
        </w:tc>
        <w:tc>
          <w:tcPr>
            <w:tcW w:w="560" w:type="dxa"/>
            <w:vAlign w:val="bottom"/>
            <w:tcBorders>
              <w:bottom w:val="single" w:sz="8" w:color="C0C0C0"/>
            </w:tcBorders>
          </w:tcPr>
          <w:p>
            <w:pPr>
              <w:spacing w:after="0"/>
              <w:rPr>
                <w:sz w:val="24"/>
                <w:szCs w:val="24"/>
                <w:color w:val="auto"/>
              </w:rPr>
            </w:pPr>
          </w:p>
        </w:tc>
        <w:tc>
          <w:tcPr>
            <w:tcW w:w="200" w:type="dxa"/>
            <w:vAlign w:val="bottom"/>
            <w:tcBorders>
              <w:bottom w:val="single" w:sz="8" w:color="C0C0C0"/>
            </w:tcBorders>
          </w:tcPr>
          <w:p>
            <w:pPr>
              <w:spacing w:after="0"/>
              <w:rPr>
                <w:sz w:val="24"/>
                <w:szCs w:val="24"/>
                <w:color w:val="auto"/>
              </w:rPr>
            </w:pPr>
          </w:p>
        </w:tc>
        <w:tc>
          <w:tcPr>
            <w:tcW w:w="1460" w:type="dxa"/>
            <w:vAlign w:val="bottom"/>
            <w:tcBorders>
              <w:bottom w:val="single" w:sz="8" w:color="C0C0C0"/>
            </w:tcBorders>
          </w:tcPr>
          <w:p>
            <w:pPr>
              <w:spacing w:after="0"/>
              <w:rPr>
                <w:sz w:val="24"/>
                <w:szCs w:val="24"/>
                <w:color w:val="auto"/>
              </w:rPr>
            </w:pPr>
          </w:p>
        </w:tc>
        <w:tc>
          <w:tcPr>
            <w:tcW w:w="820" w:type="dxa"/>
            <w:vAlign w:val="bottom"/>
            <w:tcBorders>
              <w:bottom w:val="single" w:sz="8" w:color="C0C0C0"/>
            </w:tcBorders>
          </w:tcPr>
          <w:p>
            <w:pPr>
              <w:spacing w:after="0"/>
              <w:rPr>
                <w:sz w:val="24"/>
                <w:szCs w:val="24"/>
                <w:color w:val="auto"/>
              </w:rPr>
            </w:pPr>
          </w:p>
        </w:tc>
        <w:tc>
          <w:tcPr>
            <w:tcW w:w="600" w:type="dxa"/>
            <w:vAlign w:val="bottom"/>
            <w:tcBorders>
              <w:bottom w:val="single" w:sz="8" w:color="C0C0C0"/>
            </w:tcBorders>
          </w:tcPr>
          <w:p>
            <w:pPr>
              <w:spacing w:after="0"/>
              <w:rPr>
                <w:sz w:val="24"/>
                <w:szCs w:val="24"/>
                <w:color w:val="auto"/>
              </w:rPr>
            </w:pPr>
          </w:p>
        </w:tc>
        <w:tc>
          <w:tcPr>
            <w:tcW w:w="220" w:type="dxa"/>
            <w:vAlign w:val="bottom"/>
            <w:tcBorders>
              <w:bottom w:val="single" w:sz="8" w:color="C0C0C0"/>
            </w:tcBorders>
          </w:tcPr>
          <w:p>
            <w:pPr>
              <w:spacing w:after="0"/>
              <w:rPr>
                <w:sz w:val="24"/>
                <w:szCs w:val="24"/>
                <w:color w:val="auto"/>
              </w:rPr>
            </w:pPr>
          </w:p>
        </w:tc>
        <w:tc>
          <w:tcPr>
            <w:tcW w:w="800" w:type="dxa"/>
            <w:vAlign w:val="bottom"/>
            <w:tcBorders>
              <w:bottom w:val="single" w:sz="8" w:color="C0C0C0"/>
            </w:tcBorders>
          </w:tcPr>
          <w:p>
            <w:pPr>
              <w:spacing w:after="0"/>
              <w:rPr>
                <w:sz w:val="24"/>
                <w:szCs w:val="24"/>
                <w:color w:val="auto"/>
              </w:rPr>
            </w:pPr>
          </w:p>
        </w:tc>
        <w:tc>
          <w:tcPr>
            <w:tcW w:w="920" w:type="dxa"/>
            <w:vAlign w:val="bottom"/>
            <w:tcBorders>
              <w:bottom w:val="single" w:sz="8" w:color="C0C0C0"/>
            </w:tcBorders>
          </w:tcPr>
          <w:p>
            <w:pPr>
              <w:spacing w:after="0"/>
              <w:rPr>
                <w:sz w:val="24"/>
                <w:szCs w:val="24"/>
                <w:color w:val="auto"/>
              </w:rPr>
            </w:pPr>
          </w:p>
        </w:tc>
        <w:tc>
          <w:tcPr>
            <w:tcW w:w="680" w:type="dxa"/>
            <w:vAlign w:val="bottom"/>
            <w:tcBorders>
              <w:bottom w:val="single" w:sz="8" w:color="C0C0C0"/>
            </w:tcBorders>
          </w:tcPr>
          <w:p>
            <w:pPr>
              <w:spacing w:after="0"/>
              <w:rPr>
                <w:sz w:val="24"/>
                <w:szCs w:val="24"/>
                <w:color w:val="auto"/>
              </w:rPr>
            </w:pPr>
          </w:p>
        </w:tc>
        <w:tc>
          <w:tcPr>
            <w:tcW w:w="720" w:type="dxa"/>
            <w:vAlign w:val="bottom"/>
            <w:tcBorders>
              <w:bottom w:val="single" w:sz="8" w:color="C0C0C0"/>
            </w:tcBorders>
          </w:tcPr>
          <w:p>
            <w:pPr>
              <w:spacing w:after="0"/>
              <w:rPr>
                <w:sz w:val="24"/>
                <w:szCs w:val="24"/>
                <w:color w:val="auto"/>
              </w:rPr>
            </w:pPr>
          </w:p>
        </w:tc>
        <w:tc>
          <w:tcPr>
            <w:tcW w:w="98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4"/>
          <w:szCs w:val="14"/>
          <w:i w:val="1"/>
          <w:iCs w:val="1"/>
          <w:color w:val="231F20"/>
        </w:rPr>
      </w:pPr>
      <w:r>
        <w:rPr>
          <w:rFonts w:ascii="Arial" w:cs="Arial" w:eastAsia="Arial" w:hAnsi="Arial"/>
          <w:sz w:val="14"/>
          <w:szCs w:val="14"/>
          <w:i w:val="1"/>
          <w:iCs w:val="1"/>
          <w:color w:val="231F20"/>
        </w:rPr>
        <w:t>The severance amount represents twelve months of basic salary ($404,737).</w:t>
      </w:r>
    </w:p>
    <w:p>
      <w:pPr>
        <w:spacing w:after="0" w:line="55" w:lineRule="exact"/>
        <w:rPr>
          <w:rFonts w:ascii="Arial" w:cs="Arial" w:eastAsia="Arial" w:hAnsi="Arial"/>
          <w:sz w:val="14"/>
          <w:szCs w:val="14"/>
          <w:i w:val="1"/>
          <w:iCs w:val="1"/>
          <w:color w:val="231F20"/>
        </w:rPr>
      </w:pPr>
    </w:p>
    <w:p>
      <w:pPr>
        <w:jc w:val="both"/>
        <w:ind w:left="340" w:hanging="332"/>
        <w:spacing w:after="0" w:line="254" w:lineRule="auto"/>
        <w:tabs>
          <w:tab w:leader="none" w:pos="340" w:val="left"/>
        </w:tabs>
        <w:numPr>
          <w:ilvl w:val="0"/>
          <w:numId w:val="42"/>
        </w:numPr>
        <w:rPr>
          <w:rFonts w:ascii="Arial" w:cs="Arial" w:eastAsia="Arial" w:hAnsi="Arial"/>
          <w:sz w:val="14"/>
          <w:szCs w:val="14"/>
          <w:i w:val="1"/>
          <w:iCs w:val="1"/>
          <w:color w:val="231F20"/>
        </w:rPr>
      </w:pPr>
      <w:r>
        <w:rPr>
          <w:rFonts w:ascii="Arial" w:cs="Arial" w:eastAsia="Arial" w:hAnsi="Arial"/>
          <w:sz w:val="14"/>
          <w:szCs w:val="14"/>
          <w:i w:val="1"/>
          <w:iCs w:val="1"/>
          <w:color w:val="231F20"/>
        </w:rPr>
        <w:t>LTIP Potential payments in case of separation due to change in control are calculated adding the amount resulting from multiplying the 4,585 RSUs subject to accelerated vesting in case of a change in control by the closing market price at December 31, 2017 ($79.92) and the amount resulting multiplying each SARs award subject to accelerated vesting in case of a change in control by the difference between the closing market price at December 31, 2017 ($79.92) and the exercise price for each SARs , as follows (15,203 SARs with an exercise price of $59.97).</w:t>
      </w:r>
    </w:p>
    <w:p>
      <w:pPr>
        <w:spacing w:after="0" w:line="20" w:lineRule="exact"/>
        <w:rPr>
          <w:rFonts w:ascii="Arial" w:cs="Arial" w:eastAsia="Arial" w:hAnsi="Arial"/>
          <w:sz w:val="14"/>
          <w:szCs w:val="14"/>
          <w:i w:val="1"/>
          <w:iCs w:val="1"/>
          <w:color w:val="231F20"/>
        </w:rPr>
      </w:pPr>
    </w:p>
    <w:p>
      <w:pPr>
        <w:jc w:val="both"/>
        <w:ind w:left="340" w:hanging="332"/>
        <w:spacing w:after="0" w:line="279" w:lineRule="auto"/>
        <w:tabs>
          <w:tab w:leader="none" w:pos="340" w:val="left"/>
        </w:tabs>
        <w:numPr>
          <w:ilvl w:val="0"/>
          <w:numId w:val="42"/>
        </w:numPr>
        <w:rPr>
          <w:rFonts w:ascii="Arial" w:cs="Arial" w:eastAsia="Arial" w:hAnsi="Arial"/>
          <w:sz w:val="14"/>
          <w:szCs w:val="14"/>
          <w:i w:val="1"/>
          <w:iCs w:val="1"/>
          <w:color w:val="231F20"/>
        </w:rPr>
      </w:pPr>
      <w:r>
        <w:rPr>
          <w:rFonts w:ascii="Arial" w:cs="Arial" w:eastAsia="Arial" w:hAnsi="Arial"/>
          <w:sz w:val="14"/>
          <w:szCs w:val="14"/>
          <w:i w:val="1"/>
          <w:iCs w:val="1"/>
          <w:color w:val="231F20"/>
        </w:rPr>
        <w:t>LTIP Potential payments in case of separation due to disability calculated by multiplying each SARs award subject to accelerated vesting in case of a disability by the difference between the closing market price at December 31, 2017 ($79.92) and the exercise price for each SARs ,as follows (15,203 SARs with an exercise price of $59.97).</w:t>
      </w:r>
    </w:p>
    <w:p>
      <w:pPr>
        <w:spacing w:after="0" w:line="3" w:lineRule="exact"/>
        <w:rPr>
          <w:rFonts w:ascii="Arial" w:cs="Arial" w:eastAsia="Arial" w:hAnsi="Arial"/>
          <w:sz w:val="14"/>
          <w:szCs w:val="14"/>
          <w:i w:val="1"/>
          <w:iCs w:val="1"/>
          <w:color w:val="231F20"/>
        </w:rPr>
      </w:pPr>
    </w:p>
    <w:p>
      <w:pPr>
        <w:ind w:left="340" w:hanging="332"/>
        <w:spacing w:after="0" w:line="279" w:lineRule="auto"/>
        <w:tabs>
          <w:tab w:leader="none" w:pos="340" w:val="left"/>
        </w:tabs>
        <w:numPr>
          <w:ilvl w:val="0"/>
          <w:numId w:val="42"/>
        </w:numPr>
        <w:rPr>
          <w:rFonts w:ascii="Arial" w:cs="Arial" w:eastAsia="Arial" w:hAnsi="Arial"/>
          <w:sz w:val="14"/>
          <w:szCs w:val="14"/>
          <w:i w:val="1"/>
          <w:iCs w:val="1"/>
          <w:color w:val="231F20"/>
        </w:rPr>
      </w:pPr>
      <w:r>
        <w:rPr>
          <w:rFonts w:ascii="Arial" w:cs="Arial" w:eastAsia="Arial" w:hAnsi="Arial"/>
          <w:sz w:val="14"/>
          <w:szCs w:val="14"/>
          <w:i w:val="1"/>
          <w:iCs w:val="1"/>
          <w:color w:val="231F20"/>
        </w:rPr>
        <w:t>LTIP Potential payments in case of separation due to death calculated by multiplying each SARs award subject to accelerated vesting in case of a disability by the difference between the closing market price at December 31, 2017 ($79.92) and the exercise price for each SARs , as follows (15,203 SARs with an exercise price of $59.97).</w:t>
      </w:r>
    </w:p>
    <w:p>
      <w:pPr>
        <w:spacing w:after="0" w:line="3" w:lineRule="exact"/>
        <w:rPr>
          <w:rFonts w:ascii="Arial" w:cs="Arial" w:eastAsia="Arial" w:hAnsi="Arial"/>
          <w:sz w:val="14"/>
          <w:szCs w:val="14"/>
          <w:i w:val="1"/>
          <w:iCs w:val="1"/>
          <w:color w:val="231F20"/>
        </w:rPr>
      </w:pPr>
    </w:p>
    <w:p>
      <w:pPr>
        <w:ind w:left="340" w:hanging="332"/>
        <w:spacing w:after="0"/>
        <w:tabs>
          <w:tab w:leader="none" w:pos="340" w:val="left"/>
        </w:tabs>
        <w:numPr>
          <w:ilvl w:val="0"/>
          <w:numId w:val="42"/>
        </w:numPr>
        <w:rPr>
          <w:rFonts w:ascii="Arial" w:cs="Arial" w:eastAsia="Arial" w:hAnsi="Arial"/>
          <w:sz w:val="14"/>
          <w:szCs w:val="14"/>
          <w:i w:val="1"/>
          <w:iCs w:val="1"/>
          <w:color w:val="231F20"/>
        </w:rPr>
      </w:pPr>
      <w:r>
        <w:rPr>
          <w:rFonts w:ascii="Arial" w:cs="Arial" w:eastAsia="Arial" w:hAnsi="Arial"/>
          <w:sz w:val="14"/>
          <w:szCs w:val="14"/>
          <w:i w:val="1"/>
          <w:iCs w:val="1"/>
          <w:color w:val="231F20"/>
        </w:rPr>
        <w:t>For the amounts on this table, we used an exchange rate of $1.349124 per British pound, which reflects the exchange rate on December 31, 2017.</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FC5D45"/>
        </w:rPr>
        <w:t>Payments Which Have Been Triggered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Mr. Sehgal</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We entered into an employment agreement with Mr. Sehgal effective October 19, 2015, whereby Mr. Sehgal was appointed Chief Financial Officer. Mr. Sehgal resigned effective May 31, 2017, and his employment agreement terminated. Pursuant to his employment agreement, Mr. Sehgal was eligible for an annual base salary of not less than £320,000 ($431,720) (inclusive of all director fees, if any), payable in equal monthly installments, and an annual variable bonus with a target of 75% of his annual base salary. Mr. Sehgal’s employment agreement also provided for a monthly car allowance of £1,100 ($1,484).</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During the term of employment and for a 12-month period thereafter, Mr. Sehgal is subject to standard restrictive covenants, including confidentiality, non-competition and non-solicitation restrictions.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231F20"/>
        </w:rPr>
        <w:t>As Mr. Sehgal’s employment terminated on May 21, 2017, he is not entitled to any severance or change-of-control benefits as of December 31,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Mr. Sheridan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6F2875"/>
        </w:rPr>
        <w:t>Mr. Sheridan’s 2017 First Consultancy Agreement</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In connection with Mr. Sheridan’s termination as an employee of the Company, we entered into a consultancy agreement with him for the provision of litigation support to the Company. Pursuant to this agreement, he will be paid €10,000 ($11,979) per month until June 30, 2019 and an additional amount of €275 ($329) per hour for every hour per month worked in excess of 40 hours.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6F2875"/>
        </w:rPr>
        <w:t>Mr. Sheridan’s 2017 Second Consultancy Agreement</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Under the terms of this consultancy agreement, Mr. Sheridan will provide services in connection with the examination and, if appropriate, the execution of strategic options regarding CRM. Under the agreement, Mr. Sheridan will receive as consideration for his services the following retainer fees: (i) an upfront one-off retainer of €50,000 ($59,893); (ii) a monthly retainer of €25,000 ($29,947) until such time as either the termination of the Consultancy Agreement or an agreement has been signed in respect of the sale of CRM; and (iii) where an agreement has been signed in respect of the sale of the CRM, from such signing, a monthly retainer of €15,000 ($17,968) until the termination of the agreement.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231F20"/>
        </w:rPr>
        <w:t>In addition to the above retainer fees, Mr. Sheridan is also eligible for a separate success fee of €100,000 ($119,786) payable on each of the following events:</w:t>
      </w:r>
    </w:p>
    <w:p>
      <w:pPr>
        <w:spacing w:after="0" w:line="5" w:lineRule="exact"/>
        <w:rPr>
          <w:sz w:val="20"/>
          <w:szCs w:val="20"/>
          <w:color w:val="auto"/>
        </w:rPr>
      </w:pPr>
    </w:p>
    <w:p>
      <w:pPr>
        <w:jc w:val="both"/>
        <w:ind w:firstLine="8"/>
        <w:spacing w:after="0" w:line="250" w:lineRule="auto"/>
        <w:tabs>
          <w:tab w:leader="none" w:pos="223" w:val="left"/>
        </w:tabs>
        <w:numPr>
          <w:ilvl w:val="0"/>
          <w:numId w:val="43"/>
        </w:numPr>
        <w:rPr>
          <w:rFonts w:ascii="Arial" w:cs="Arial" w:eastAsia="Arial" w:hAnsi="Arial"/>
          <w:sz w:val="16"/>
          <w:szCs w:val="16"/>
          <w:color w:val="231F20"/>
        </w:rPr>
      </w:pPr>
      <w:r>
        <w:rPr>
          <w:rFonts w:ascii="Arial" w:cs="Arial" w:eastAsia="Arial" w:hAnsi="Arial"/>
          <w:sz w:val="16"/>
          <w:szCs w:val="16"/>
          <w:color w:val="231F20"/>
        </w:rPr>
        <w:t>the signing of an agreement for the sale of the aforementioned division of the Company; (ii) the closing of the sale transaction; and (iii) the public announcement before December 31, 2017 of the Company’s intention to effect a sale of the aforementioned division. Mr. Sheridan is also eligible under this agreement to a lease vehicle consistent with the terms of any car policy applicable to our employees in Italy and to a continuation of his health insurance and supplementary medical insurance benefits. Mr. Sheridan is subject to certain restrictions on taking other engagements or employment as well as being subject to an ongoing duty of confidentiality to us.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231F20"/>
        </w:rPr>
        <w:t>The Company may terminate this agreement on three months’ notice, but such termination has no effect on the payment of the success fees mentioned above.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231F20"/>
        </w:rPr>
        <w:t>Potential payments to Mr. Sheridan in the event of a termination or change-in-control as of December 31,2017 are as set out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6F2875"/>
              </w:rPr>
              <w:t>Separation due to</w:t>
            </w:r>
          </w:p>
        </w:tc>
        <w:tc>
          <w:tcPr>
            <w:tcW w:w="15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6F2875"/>
              </w:rPr>
              <w:t>Separation due</w:t>
            </w:r>
          </w:p>
        </w:tc>
        <w:tc>
          <w:tcPr>
            <w:tcW w:w="15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6F2875"/>
              </w:rPr>
              <w:t>Separation due</w:t>
            </w:r>
          </w:p>
        </w:tc>
        <w:tc>
          <w:tcPr>
            <w:tcW w:w="16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6F2875"/>
              </w:rPr>
              <w:t>Separation due to</w:t>
            </w:r>
          </w:p>
        </w:tc>
        <w:tc>
          <w:tcPr>
            <w:tcW w:w="0" w:type="dxa"/>
            <w:vAlign w:val="bottom"/>
          </w:tcPr>
          <w:p>
            <w:pPr>
              <w:spacing w:after="0"/>
              <w:rPr>
                <w:sz w:val="1"/>
                <w:szCs w:val="1"/>
                <w:color w:val="auto"/>
              </w:rPr>
            </w:pPr>
          </w:p>
        </w:tc>
      </w:tr>
      <w:tr>
        <w:trPr>
          <w:trHeight w:val="189"/>
        </w:trPr>
        <w:tc>
          <w:tcPr>
            <w:tcW w:w="2680" w:type="dxa"/>
            <w:vAlign w:val="bottom"/>
          </w:tcPr>
          <w:p>
            <w:pPr>
              <w:ind w:left="60"/>
              <w:spacing w:after="0"/>
              <w:rPr>
                <w:sz w:val="20"/>
                <w:szCs w:val="20"/>
                <w:color w:val="auto"/>
              </w:rPr>
            </w:pPr>
            <w:r>
              <w:rPr>
                <w:rFonts w:ascii="Arial" w:cs="Arial" w:eastAsia="Arial" w:hAnsi="Arial"/>
                <w:sz w:val="16"/>
                <w:szCs w:val="16"/>
                <w:b w:val="1"/>
                <w:bCs w:val="1"/>
                <w:color w:val="6F2875"/>
              </w:rPr>
              <w:t>Type of Payment</w:t>
            </w:r>
          </w:p>
        </w:tc>
        <w:tc>
          <w:tcPr>
            <w:tcW w:w="1320" w:type="dxa"/>
            <w:vAlign w:val="bottom"/>
          </w:tcPr>
          <w:p>
            <w:pPr>
              <w:spacing w:after="0"/>
              <w:rPr>
                <w:sz w:val="16"/>
                <w:szCs w:val="16"/>
                <w:color w:val="auto"/>
              </w:rPr>
            </w:pPr>
          </w:p>
        </w:tc>
        <w:tc>
          <w:tcPr>
            <w:tcW w:w="10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6F2875"/>
              </w:rPr>
              <w:t>Termination</w:t>
            </w:r>
          </w:p>
        </w:tc>
        <w:tc>
          <w:tcPr>
            <w:tcW w:w="16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6F2875"/>
              </w:rPr>
              <w:t>Change in Control</w:t>
            </w:r>
          </w:p>
        </w:tc>
        <w:tc>
          <w:tcPr>
            <w:tcW w:w="15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6F2875"/>
              </w:rPr>
              <w:t>to Disability</w:t>
            </w:r>
          </w:p>
        </w:tc>
        <w:tc>
          <w:tcPr>
            <w:tcW w:w="15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6F2875"/>
              </w:rPr>
              <w:t>to Death</w:t>
            </w:r>
          </w:p>
        </w:tc>
        <w:tc>
          <w:tcPr>
            <w:tcW w:w="16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6F2875"/>
              </w:rPr>
              <w:t>Retirement</w:t>
            </w:r>
          </w:p>
        </w:tc>
        <w:tc>
          <w:tcPr>
            <w:tcW w:w="0" w:type="dxa"/>
            <w:vAlign w:val="bottom"/>
          </w:tcPr>
          <w:p>
            <w:pPr>
              <w:spacing w:after="0"/>
              <w:rPr>
                <w:sz w:val="1"/>
                <w:szCs w:val="1"/>
                <w:color w:val="auto"/>
              </w:rPr>
            </w:pPr>
          </w:p>
        </w:tc>
      </w:tr>
      <w:tr>
        <w:trPr>
          <w:trHeight w:val="207"/>
        </w:trPr>
        <w:tc>
          <w:tcPr>
            <w:tcW w:w="2680" w:type="dxa"/>
            <w:vAlign w:val="bottom"/>
            <w:tcBorders>
              <w:bottom w:val="single" w:sz="8" w:color="6F2875"/>
            </w:tcBorders>
          </w:tcPr>
          <w:p>
            <w:pPr>
              <w:ind w:left="60"/>
              <w:spacing w:after="0"/>
              <w:rPr>
                <w:sz w:val="20"/>
                <w:szCs w:val="20"/>
                <w:color w:val="auto"/>
              </w:rPr>
            </w:pPr>
            <w:r>
              <w:rPr>
                <w:rFonts w:ascii="Arial" w:cs="Arial" w:eastAsia="Arial" w:hAnsi="Arial"/>
                <w:sz w:val="16"/>
                <w:szCs w:val="16"/>
                <w:b w:val="1"/>
                <w:bCs w:val="1"/>
                <w:color w:val="6F2875"/>
              </w:rPr>
              <w:t>or Benefit</w:t>
            </w:r>
          </w:p>
        </w:tc>
        <w:tc>
          <w:tcPr>
            <w:tcW w:w="1320" w:type="dxa"/>
            <w:vAlign w:val="bottom"/>
            <w:tcBorders>
              <w:bottom w:val="single" w:sz="8" w:color="6F2875"/>
            </w:tcBorders>
          </w:tcPr>
          <w:p>
            <w:pPr>
              <w:spacing w:after="0"/>
              <w:rPr>
                <w:sz w:val="18"/>
                <w:szCs w:val="18"/>
                <w:color w:val="auto"/>
              </w:rPr>
            </w:pPr>
          </w:p>
        </w:tc>
        <w:tc>
          <w:tcPr>
            <w:tcW w:w="160" w:type="dxa"/>
            <w:vAlign w:val="bottom"/>
            <w:tcBorders>
              <w:bottom w:val="single" w:sz="8" w:color="6F2875"/>
            </w:tcBorders>
          </w:tcPr>
          <w:p>
            <w:pPr>
              <w:spacing w:after="0"/>
              <w:rPr>
                <w:sz w:val="18"/>
                <w:szCs w:val="18"/>
                <w:color w:val="auto"/>
              </w:rPr>
            </w:pPr>
          </w:p>
        </w:tc>
        <w:tc>
          <w:tcPr>
            <w:tcW w:w="920" w:type="dxa"/>
            <w:vAlign w:val="bottom"/>
            <w:tcBorders>
              <w:bottom w:val="single" w:sz="8" w:color="6F2875"/>
            </w:tcBorders>
          </w:tcPr>
          <w:p>
            <w:pPr>
              <w:jc w:val="right"/>
              <w:ind w:right="39"/>
              <w:spacing w:after="0"/>
              <w:rPr>
                <w:sz w:val="20"/>
                <w:szCs w:val="20"/>
                <w:color w:val="auto"/>
              </w:rPr>
            </w:pPr>
            <w:r>
              <w:rPr>
                <w:rFonts w:ascii="Arial" w:cs="Arial" w:eastAsia="Arial" w:hAnsi="Arial"/>
                <w:sz w:val="16"/>
                <w:szCs w:val="16"/>
                <w:b w:val="1"/>
                <w:bCs w:val="1"/>
                <w:color w:val="6F2875"/>
              </w:rPr>
              <w:t>($)</w:t>
            </w:r>
          </w:p>
        </w:tc>
        <w:tc>
          <w:tcPr>
            <w:tcW w:w="720" w:type="dxa"/>
            <w:vAlign w:val="bottom"/>
            <w:tcBorders>
              <w:bottom w:val="single" w:sz="8" w:color="6F2875"/>
            </w:tcBorders>
          </w:tcPr>
          <w:p>
            <w:pPr>
              <w:spacing w:after="0"/>
              <w:rPr>
                <w:sz w:val="18"/>
                <w:szCs w:val="18"/>
                <w:color w:val="auto"/>
              </w:rPr>
            </w:pPr>
          </w:p>
        </w:tc>
        <w:tc>
          <w:tcPr>
            <w:tcW w:w="880" w:type="dxa"/>
            <w:vAlign w:val="bottom"/>
            <w:tcBorders>
              <w:bottom w:val="single" w:sz="8" w:color="6F2875"/>
            </w:tcBorders>
          </w:tcPr>
          <w:p>
            <w:pPr>
              <w:jc w:val="right"/>
              <w:ind w:right="19"/>
              <w:spacing w:after="0"/>
              <w:rPr>
                <w:sz w:val="20"/>
                <w:szCs w:val="20"/>
                <w:color w:val="auto"/>
              </w:rPr>
            </w:pPr>
            <w:r>
              <w:rPr>
                <w:rFonts w:ascii="Arial" w:cs="Arial" w:eastAsia="Arial" w:hAnsi="Arial"/>
                <w:sz w:val="16"/>
                <w:szCs w:val="16"/>
                <w:b w:val="1"/>
                <w:bCs w:val="1"/>
                <w:color w:val="6F2875"/>
              </w:rPr>
              <w:t>($)</w:t>
            </w:r>
          </w:p>
        </w:tc>
        <w:tc>
          <w:tcPr>
            <w:tcW w:w="1520" w:type="dxa"/>
            <w:vAlign w:val="bottom"/>
            <w:tcBorders>
              <w:bottom w:val="single" w:sz="8" w:color="6F2875"/>
            </w:tcBorders>
            <w:gridSpan w:val="2"/>
          </w:tcPr>
          <w:p>
            <w:pPr>
              <w:jc w:val="right"/>
              <w:ind w:right="260"/>
              <w:spacing w:after="0"/>
              <w:rPr>
                <w:sz w:val="20"/>
                <w:szCs w:val="20"/>
                <w:color w:val="auto"/>
              </w:rPr>
            </w:pPr>
            <w:r>
              <w:rPr>
                <w:rFonts w:ascii="Arial" w:cs="Arial" w:eastAsia="Arial" w:hAnsi="Arial"/>
                <w:sz w:val="16"/>
                <w:szCs w:val="16"/>
                <w:b w:val="1"/>
                <w:bCs w:val="1"/>
                <w:color w:val="6F2875"/>
              </w:rPr>
              <w:t>($)</w:t>
            </w:r>
          </w:p>
        </w:tc>
        <w:tc>
          <w:tcPr>
            <w:tcW w:w="1040" w:type="dxa"/>
            <w:vAlign w:val="bottom"/>
            <w:tcBorders>
              <w:bottom w:val="single" w:sz="8" w:color="6F2875"/>
            </w:tcBorders>
          </w:tcPr>
          <w:p>
            <w:pPr>
              <w:spacing w:after="0"/>
              <w:rPr>
                <w:sz w:val="18"/>
                <w:szCs w:val="18"/>
                <w:color w:val="auto"/>
              </w:rPr>
            </w:pPr>
          </w:p>
        </w:tc>
        <w:tc>
          <w:tcPr>
            <w:tcW w:w="540" w:type="dxa"/>
            <w:vAlign w:val="bottom"/>
            <w:tcBorders>
              <w:bottom w:val="single" w:sz="8" w:color="6F2875"/>
            </w:tcBorders>
          </w:tcPr>
          <w:p>
            <w:pPr>
              <w:jc w:val="right"/>
              <w:ind w:right="79"/>
              <w:spacing w:after="0"/>
              <w:rPr>
                <w:sz w:val="20"/>
                <w:szCs w:val="20"/>
                <w:color w:val="auto"/>
              </w:rPr>
            </w:pPr>
            <w:r>
              <w:rPr>
                <w:rFonts w:ascii="Arial" w:cs="Arial" w:eastAsia="Arial" w:hAnsi="Arial"/>
                <w:sz w:val="16"/>
                <w:szCs w:val="16"/>
                <w:b w:val="1"/>
                <w:bCs w:val="1"/>
                <w:color w:val="6F2875"/>
              </w:rPr>
              <w:t>($)</w:t>
            </w:r>
          </w:p>
        </w:tc>
        <w:tc>
          <w:tcPr>
            <w:tcW w:w="1300" w:type="dxa"/>
            <w:vAlign w:val="bottom"/>
            <w:tcBorders>
              <w:bottom w:val="single" w:sz="8" w:color="6F2875"/>
            </w:tcBorders>
          </w:tcPr>
          <w:p>
            <w:pPr>
              <w:spacing w:after="0"/>
              <w:rPr>
                <w:sz w:val="18"/>
                <w:szCs w:val="18"/>
                <w:color w:val="auto"/>
              </w:rPr>
            </w:pPr>
          </w:p>
        </w:tc>
        <w:tc>
          <w:tcPr>
            <w:tcW w:w="340" w:type="dxa"/>
            <w:vAlign w:val="bottom"/>
            <w:tcBorders>
              <w:bottom w:val="single" w:sz="8" w:color="6F2875"/>
            </w:tcBorders>
          </w:tcPr>
          <w:p>
            <w:pPr>
              <w:jc w:val="right"/>
              <w:ind w:right="19"/>
              <w:spacing w:after="0"/>
              <w:rPr>
                <w:sz w:val="20"/>
                <w:szCs w:val="20"/>
                <w:color w:val="auto"/>
              </w:rPr>
            </w:pPr>
            <w:r>
              <w:rPr>
                <w:rFonts w:ascii="Arial" w:cs="Arial" w:eastAsia="Arial" w:hAnsi="Arial"/>
                <w:sz w:val="16"/>
                <w:szCs w:val="16"/>
                <w:b w:val="1"/>
                <w:bCs w:val="1"/>
                <w:color w:val="6F2875"/>
              </w:rPr>
              <w:t>($)</w:t>
            </w:r>
          </w:p>
        </w:tc>
        <w:tc>
          <w:tcPr>
            <w:tcW w:w="0" w:type="dxa"/>
            <w:vAlign w:val="bottom"/>
          </w:tcPr>
          <w:p>
            <w:pPr>
              <w:spacing w:after="0"/>
              <w:rPr>
                <w:sz w:val="1"/>
                <w:szCs w:val="1"/>
                <w:color w:val="auto"/>
              </w:rPr>
            </w:pPr>
          </w:p>
        </w:tc>
      </w:tr>
      <w:tr>
        <w:trPr>
          <w:trHeight w:val="183"/>
        </w:trPr>
        <w:tc>
          <w:tcPr>
            <w:tcW w:w="2680" w:type="dxa"/>
            <w:vAlign w:val="bottom"/>
          </w:tcPr>
          <w:p>
            <w:pPr>
              <w:ind w:left="60"/>
              <w:spacing w:after="0" w:line="183" w:lineRule="exact"/>
              <w:rPr>
                <w:sz w:val="20"/>
                <w:szCs w:val="20"/>
                <w:color w:val="auto"/>
              </w:rPr>
            </w:pPr>
            <w:r>
              <w:rPr>
                <w:rFonts w:ascii="Arial" w:cs="Arial" w:eastAsia="Arial" w:hAnsi="Arial"/>
                <w:sz w:val="16"/>
                <w:szCs w:val="16"/>
                <w:b w:val="1"/>
                <w:bCs w:val="1"/>
                <w:color w:val="231F20"/>
              </w:rPr>
              <w:t>Severance</w:t>
            </w:r>
          </w:p>
        </w:tc>
        <w:tc>
          <w:tcPr>
            <w:tcW w:w="1480" w:type="dxa"/>
            <w:vAlign w:val="bottom"/>
            <w:gridSpan w:val="2"/>
          </w:tcPr>
          <w:p>
            <w:pPr>
              <w:jc w:val="right"/>
              <w:spacing w:after="0" w:line="183" w:lineRule="exact"/>
              <w:rPr>
                <w:sz w:val="20"/>
                <w:szCs w:val="20"/>
                <w:color w:val="auto"/>
              </w:rPr>
            </w:pPr>
            <w:r>
              <w:rPr>
                <w:rFonts w:ascii="Arial" w:cs="Arial" w:eastAsia="Arial" w:hAnsi="Arial"/>
                <w:sz w:val="16"/>
                <w:szCs w:val="16"/>
                <w:color w:val="231F20"/>
              </w:rPr>
              <w:t>$</w:t>
            </w:r>
          </w:p>
        </w:tc>
        <w:tc>
          <w:tcPr>
            <w:tcW w:w="920" w:type="dxa"/>
            <w:vAlign w:val="bottom"/>
          </w:tcPr>
          <w:p>
            <w:pPr>
              <w:jc w:val="right"/>
              <w:ind w:right="39"/>
              <w:spacing w:after="0" w:line="183" w:lineRule="exact"/>
              <w:rPr>
                <w:sz w:val="20"/>
                <w:szCs w:val="20"/>
                <w:color w:val="auto"/>
              </w:rPr>
            </w:pPr>
            <w:r>
              <w:rPr>
                <w:rFonts w:ascii="Arial" w:cs="Arial" w:eastAsia="Arial" w:hAnsi="Arial"/>
                <w:sz w:val="16"/>
                <w:szCs w:val="16"/>
                <w:color w:val="231F20"/>
              </w:rPr>
              <w:t>418,221</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231F20"/>
              </w:rPr>
              <w:t>$</w:t>
            </w:r>
          </w:p>
        </w:tc>
        <w:tc>
          <w:tcPr>
            <w:tcW w:w="880" w:type="dxa"/>
            <w:vAlign w:val="bottom"/>
          </w:tcPr>
          <w:p>
            <w:pPr>
              <w:jc w:val="right"/>
              <w:ind w:right="19"/>
              <w:spacing w:after="0" w:line="183" w:lineRule="exact"/>
              <w:rPr>
                <w:sz w:val="20"/>
                <w:szCs w:val="20"/>
                <w:color w:val="auto"/>
              </w:rPr>
            </w:pPr>
            <w:r>
              <w:rPr>
                <w:rFonts w:ascii="Arial" w:cs="Arial" w:eastAsia="Arial" w:hAnsi="Arial"/>
                <w:sz w:val="16"/>
                <w:szCs w:val="16"/>
                <w:color w:val="231F20"/>
              </w:rPr>
              <w:t>0</w:t>
            </w:r>
          </w:p>
        </w:tc>
        <w:tc>
          <w:tcPr>
            <w:tcW w:w="1520" w:type="dxa"/>
            <w:vAlign w:val="bottom"/>
            <w:gridSpan w:val="2"/>
          </w:tcPr>
          <w:p>
            <w:pPr>
              <w:jc w:val="right"/>
              <w:ind w:right="260"/>
              <w:spacing w:after="0" w:line="183" w:lineRule="exact"/>
              <w:rPr>
                <w:sz w:val="20"/>
                <w:szCs w:val="20"/>
                <w:color w:val="auto"/>
              </w:rPr>
            </w:pPr>
            <w:r>
              <w:rPr>
                <w:rFonts w:ascii="Arial" w:cs="Arial" w:eastAsia="Arial" w:hAnsi="Arial"/>
                <w:sz w:val="16"/>
                <w:szCs w:val="16"/>
                <w:color w:val="231F20"/>
              </w:rPr>
              <w:t>$ 209,110</w:t>
            </w: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80" w:type="dxa"/>
            <w:vAlign w:val="bottom"/>
            <w:shd w:val="clear" w:color="auto" w:fill="F3EDF3"/>
          </w:tcPr>
          <w:p>
            <w:pPr>
              <w:ind w:left="60"/>
              <w:spacing w:after="0"/>
              <w:rPr>
                <w:sz w:val="20"/>
                <w:szCs w:val="20"/>
                <w:color w:val="auto"/>
              </w:rPr>
            </w:pPr>
            <w:r>
              <w:rPr>
                <w:rFonts w:ascii="Arial" w:cs="Arial" w:eastAsia="Arial" w:hAnsi="Arial"/>
                <w:sz w:val="16"/>
                <w:szCs w:val="16"/>
                <w:b w:val="1"/>
                <w:bCs w:val="1"/>
                <w:color w:val="231F20"/>
              </w:rPr>
              <w:t>STIP</w:t>
            </w:r>
          </w:p>
        </w:tc>
        <w:tc>
          <w:tcPr>
            <w:tcW w:w="1320" w:type="dxa"/>
            <w:vAlign w:val="bottom"/>
            <w:shd w:val="clear" w:color="auto" w:fill="F3EDF3"/>
          </w:tcPr>
          <w:p>
            <w:pPr>
              <w:spacing w:after="0"/>
              <w:rPr>
                <w:sz w:val="16"/>
                <w:szCs w:val="16"/>
                <w:color w:val="auto"/>
              </w:rPr>
            </w:pPr>
          </w:p>
        </w:tc>
        <w:tc>
          <w:tcPr>
            <w:tcW w:w="160" w:type="dxa"/>
            <w:vAlign w:val="bottom"/>
            <w:shd w:val="clear" w:color="auto" w:fill="F3EDF3"/>
          </w:tcPr>
          <w:p>
            <w:pPr>
              <w:spacing w:after="0"/>
              <w:rPr>
                <w:sz w:val="16"/>
                <w:szCs w:val="16"/>
                <w:color w:val="auto"/>
              </w:rPr>
            </w:pPr>
          </w:p>
        </w:tc>
        <w:tc>
          <w:tcPr>
            <w:tcW w:w="920" w:type="dxa"/>
            <w:vAlign w:val="bottom"/>
            <w:shd w:val="clear" w:color="auto" w:fill="F3EDF3"/>
          </w:tcPr>
          <w:p>
            <w:pPr>
              <w:spacing w:after="0"/>
              <w:rPr>
                <w:sz w:val="16"/>
                <w:szCs w:val="16"/>
                <w:color w:val="auto"/>
              </w:rPr>
            </w:pPr>
          </w:p>
        </w:tc>
        <w:tc>
          <w:tcPr>
            <w:tcW w:w="72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w:t>
            </w:r>
          </w:p>
        </w:tc>
        <w:tc>
          <w:tcPr>
            <w:tcW w:w="880" w:type="dxa"/>
            <w:vAlign w:val="bottom"/>
            <w:shd w:val="clear" w:color="auto" w:fill="F3EDF3"/>
          </w:tcPr>
          <w:p>
            <w:pPr>
              <w:jc w:val="right"/>
              <w:ind w:right="19"/>
              <w:spacing w:after="0"/>
              <w:rPr>
                <w:sz w:val="20"/>
                <w:szCs w:val="20"/>
                <w:color w:val="auto"/>
              </w:rPr>
            </w:pPr>
            <w:r>
              <w:rPr>
                <w:rFonts w:ascii="Arial" w:cs="Arial" w:eastAsia="Arial" w:hAnsi="Arial"/>
                <w:sz w:val="16"/>
                <w:szCs w:val="16"/>
                <w:color w:val="231F20"/>
              </w:rPr>
              <w:t>0</w:t>
            </w:r>
          </w:p>
        </w:tc>
        <w:tc>
          <w:tcPr>
            <w:tcW w:w="420" w:type="dxa"/>
            <w:vAlign w:val="bottom"/>
            <w:shd w:val="clear" w:color="auto" w:fill="F3EDF3"/>
          </w:tcPr>
          <w:p>
            <w:pPr>
              <w:spacing w:after="0"/>
              <w:rPr>
                <w:sz w:val="16"/>
                <w:szCs w:val="16"/>
                <w:color w:val="auto"/>
              </w:rPr>
            </w:pPr>
          </w:p>
        </w:tc>
        <w:tc>
          <w:tcPr>
            <w:tcW w:w="1100" w:type="dxa"/>
            <w:vAlign w:val="bottom"/>
            <w:shd w:val="clear" w:color="auto" w:fill="F3EDF3"/>
          </w:tcPr>
          <w:p>
            <w:pPr>
              <w:spacing w:after="0"/>
              <w:rPr>
                <w:sz w:val="16"/>
                <w:szCs w:val="16"/>
                <w:color w:val="auto"/>
              </w:rPr>
            </w:pPr>
          </w:p>
        </w:tc>
        <w:tc>
          <w:tcPr>
            <w:tcW w:w="1040" w:type="dxa"/>
            <w:vAlign w:val="bottom"/>
            <w:shd w:val="clear" w:color="auto" w:fill="F3EDF3"/>
          </w:tcPr>
          <w:p>
            <w:pPr>
              <w:spacing w:after="0"/>
              <w:rPr>
                <w:sz w:val="16"/>
                <w:szCs w:val="16"/>
                <w:color w:val="auto"/>
              </w:rPr>
            </w:pPr>
          </w:p>
        </w:tc>
        <w:tc>
          <w:tcPr>
            <w:tcW w:w="540" w:type="dxa"/>
            <w:vAlign w:val="bottom"/>
            <w:shd w:val="clear" w:color="auto" w:fill="F3EDF3"/>
          </w:tcPr>
          <w:p>
            <w:pPr>
              <w:spacing w:after="0"/>
              <w:rPr>
                <w:sz w:val="16"/>
                <w:szCs w:val="16"/>
                <w:color w:val="auto"/>
              </w:rPr>
            </w:pPr>
          </w:p>
        </w:tc>
        <w:tc>
          <w:tcPr>
            <w:tcW w:w="1300" w:type="dxa"/>
            <w:vAlign w:val="bottom"/>
            <w:shd w:val="clear" w:color="auto" w:fill="F3EDF3"/>
          </w:tcPr>
          <w:p>
            <w:pPr>
              <w:spacing w:after="0"/>
              <w:rPr>
                <w:sz w:val="16"/>
                <w:szCs w:val="16"/>
                <w:color w:val="auto"/>
              </w:rPr>
            </w:pPr>
          </w:p>
        </w:tc>
        <w:tc>
          <w:tcPr>
            <w:tcW w:w="340" w:type="dxa"/>
            <w:vAlign w:val="bottom"/>
            <w:shd w:val="clear" w:color="auto" w:fill="F3EDF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60"/>
              <w:spacing w:after="0"/>
              <w:rPr>
                <w:sz w:val="20"/>
                <w:szCs w:val="20"/>
                <w:color w:val="auto"/>
              </w:rPr>
            </w:pPr>
            <w:r>
              <w:rPr>
                <w:rFonts w:ascii="Arial" w:cs="Arial" w:eastAsia="Arial" w:hAnsi="Arial"/>
                <w:sz w:val="16"/>
                <w:szCs w:val="16"/>
                <w:b w:val="1"/>
                <w:bCs w:val="1"/>
                <w:color w:val="231F20"/>
              </w:rPr>
              <w:t>LTIP</w:t>
            </w: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231F20"/>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231F20"/>
              </w:rPr>
              <w:t>1,664,893</w:t>
            </w: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80" w:type="dxa"/>
            <w:vAlign w:val="bottom"/>
            <w:tcBorders>
              <w:bottom w:val="single" w:sz="8" w:color="6F2875"/>
            </w:tcBorders>
            <w:shd w:val="clear" w:color="auto" w:fill="F3EDF3"/>
          </w:tcPr>
          <w:p>
            <w:pPr>
              <w:ind w:left="60"/>
              <w:spacing w:after="0"/>
              <w:rPr>
                <w:sz w:val="20"/>
                <w:szCs w:val="20"/>
                <w:color w:val="auto"/>
              </w:rPr>
            </w:pPr>
            <w:r>
              <w:rPr>
                <w:rFonts w:ascii="Arial" w:cs="Arial" w:eastAsia="Arial" w:hAnsi="Arial"/>
                <w:sz w:val="16"/>
                <w:szCs w:val="16"/>
                <w:b w:val="1"/>
                <w:bCs w:val="1"/>
                <w:color w:val="231F20"/>
              </w:rPr>
              <w:t>Benefits</w:t>
            </w:r>
          </w:p>
        </w:tc>
        <w:tc>
          <w:tcPr>
            <w:tcW w:w="1320" w:type="dxa"/>
            <w:vAlign w:val="bottom"/>
            <w:tcBorders>
              <w:bottom w:val="single" w:sz="8" w:color="6F2875"/>
            </w:tcBorders>
            <w:shd w:val="clear" w:color="auto" w:fill="F3EDF3"/>
          </w:tcPr>
          <w:p>
            <w:pPr>
              <w:spacing w:after="0"/>
              <w:rPr>
                <w:sz w:val="16"/>
                <w:szCs w:val="16"/>
                <w:color w:val="auto"/>
              </w:rPr>
            </w:pPr>
          </w:p>
        </w:tc>
        <w:tc>
          <w:tcPr>
            <w:tcW w:w="160" w:type="dxa"/>
            <w:vAlign w:val="bottom"/>
            <w:tcBorders>
              <w:bottom w:val="single" w:sz="8" w:color="6F2875"/>
            </w:tcBorders>
            <w:shd w:val="clear" w:color="auto" w:fill="F3EDF3"/>
          </w:tcPr>
          <w:p>
            <w:pPr>
              <w:spacing w:after="0"/>
              <w:rPr>
                <w:sz w:val="16"/>
                <w:szCs w:val="16"/>
                <w:color w:val="auto"/>
              </w:rPr>
            </w:pPr>
          </w:p>
        </w:tc>
        <w:tc>
          <w:tcPr>
            <w:tcW w:w="920" w:type="dxa"/>
            <w:vAlign w:val="bottom"/>
            <w:tcBorders>
              <w:bottom w:val="single" w:sz="8" w:color="6F2875"/>
            </w:tcBorders>
            <w:shd w:val="clear" w:color="auto" w:fill="F3EDF3"/>
          </w:tcPr>
          <w:p>
            <w:pPr>
              <w:spacing w:after="0"/>
              <w:rPr>
                <w:sz w:val="16"/>
                <w:szCs w:val="16"/>
                <w:color w:val="auto"/>
              </w:rPr>
            </w:pPr>
          </w:p>
        </w:tc>
        <w:tc>
          <w:tcPr>
            <w:tcW w:w="720" w:type="dxa"/>
            <w:vAlign w:val="bottom"/>
            <w:tcBorders>
              <w:bottom w:val="single" w:sz="8" w:color="6F2875"/>
            </w:tcBorders>
            <w:shd w:val="clear" w:color="auto" w:fill="F3EDF3"/>
          </w:tcPr>
          <w:p>
            <w:pPr>
              <w:spacing w:after="0"/>
              <w:rPr>
                <w:sz w:val="16"/>
                <w:szCs w:val="16"/>
                <w:color w:val="auto"/>
              </w:rPr>
            </w:pPr>
          </w:p>
        </w:tc>
        <w:tc>
          <w:tcPr>
            <w:tcW w:w="880" w:type="dxa"/>
            <w:vAlign w:val="bottom"/>
            <w:tcBorders>
              <w:bottom w:val="single" w:sz="8" w:color="6F2875"/>
            </w:tcBorders>
            <w:shd w:val="clear" w:color="auto" w:fill="F3EDF3"/>
          </w:tcPr>
          <w:p>
            <w:pPr>
              <w:spacing w:after="0"/>
              <w:rPr>
                <w:sz w:val="16"/>
                <w:szCs w:val="16"/>
                <w:color w:val="auto"/>
              </w:rPr>
            </w:pPr>
          </w:p>
        </w:tc>
        <w:tc>
          <w:tcPr>
            <w:tcW w:w="420" w:type="dxa"/>
            <w:vAlign w:val="bottom"/>
            <w:tcBorders>
              <w:bottom w:val="single" w:sz="8" w:color="6F2875"/>
            </w:tcBorders>
            <w:shd w:val="clear" w:color="auto" w:fill="F3EDF3"/>
          </w:tcPr>
          <w:p>
            <w:pPr>
              <w:spacing w:after="0"/>
              <w:rPr>
                <w:sz w:val="16"/>
                <w:szCs w:val="16"/>
                <w:color w:val="auto"/>
              </w:rPr>
            </w:pPr>
          </w:p>
        </w:tc>
        <w:tc>
          <w:tcPr>
            <w:tcW w:w="1100" w:type="dxa"/>
            <w:vAlign w:val="bottom"/>
            <w:tcBorders>
              <w:bottom w:val="single" w:sz="8" w:color="6F2875"/>
            </w:tcBorders>
            <w:shd w:val="clear" w:color="auto" w:fill="F3EDF3"/>
          </w:tcPr>
          <w:p>
            <w:pPr>
              <w:spacing w:after="0"/>
              <w:rPr>
                <w:sz w:val="16"/>
                <w:szCs w:val="16"/>
                <w:color w:val="auto"/>
              </w:rPr>
            </w:pPr>
          </w:p>
        </w:tc>
        <w:tc>
          <w:tcPr>
            <w:tcW w:w="1040" w:type="dxa"/>
            <w:vAlign w:val="bottom"/>
            <w:tcBorders>
              <w:bottom w:val="single" w:sz="8" w:color="6F2875"/>
            </w:tcBorders>
            <w:shd w:val="clear" w:color="auto" w:fill="F3EDF3"/>
          </w:tcPr>
          <w:p>
            <w:pPr>
              <w:spacing w:after="0"/>
              <w:rPr>
                <w:sz w:val="16"/>
                <w:szCs w:val="16"/>
                <w:color w:val="auto"/>
              </w:rPr>
            </w:pPr>
          </w:p>
        </w:tc>
        <w:tc>
          <w:tcPr>
            <w:tcW w:w="540" w:type="dxa"/>
            <w:vAlign w:val="bottom"/>
            <w:tcBorders>
              <w:bottom w:val="single" w:sz="8" w:color="6F2875"/>
            </w:tcBorders>
            <w:shd w:val="clear" w:color="auto" w:fill="F3EDF3"/>
          </w:tcPr>
          <w:p>
            <w:pPr>
              <w:spacing w:after="0"/>
              <w:rPr>
                <w:sz w:val="16"/>
                <w:szCs w:val="16"/>
                <w:color w:val="auto"/>
              </w:rPr>
            </w:pPr>
          </w:p>
        </w:tc>
        <w:tc>
          <w:tcPr>
            <w:tcW w:w="1300" w:type="dxa"/>
            <w:vAlign w:val="bottom"/>
            <w:tcBorders>
              <w:bottom w:val="single" w:sz="8" w:color="6F2875"/>
            </w:tcBorders>
            <w:shd w:val="clear" w:color="auto" w:fill="F3EDF3"/>
          </w:tcPr>
          <w:p>
            <w:pPr>
              <w:spacing w:after="0"/>
              <w:rPr>
                <w:sz w:val="16"/>
                <w:szCs w:val="16"/>
                <w:color w:val="auto"/>
              </w:rPr>
            </w:pPr>
          </w:p>
        </w:tc>
        <w:tc>
          <w:tcPr>
            <w:tcW w:w="340" w:type="dxa"/>
            <w:vAlign w:val="bottom"/>
            <w:tcBorders>
              <w:bottom w:val="single" w:sz="8" w:color="6F2875"/>
            </w:tcBorders>
            <w:shd w:val="clear" w:color="auto" w:fill="F3EDF3"/>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80" w:type="dxa"/>
            <w:vAlign w:val="bottom"/>
            <w:tcBorders>
              <w:bottom w:val="single" w:sz="8" w:color="6F2875"/>
            </w:tcBorders>
          </w:tcPr>
          <w:p>
            <w:pPr>
              <w:ind w:left="60"/>
              <w:spacing w:after="0" w:line="183" w:lineRule="exact"/>
              <w:rPr>
                <w:sz w:val="20"/>
                <w:szCs w:val="20"/>
                <w:color w:val="auto"/>
              </w:rPr>
            </w:pPr>
            <w:r>
              <w:rPr>
                <w:rFonts w:ascii="Arial" w:cs="Arial" w:eastAsia="Arial" w:hAnsi="Arial"/>
                <w:sz w:val="16"/>
                <w:szCs w:val="16"/>
                <w:b w:val="1"/>
                <w:bCs w:val="1"/>
                <w:color w:val="6F2875"/>
              </w:rPr>
              <w:t>TOTAL</w:t>
            </w:r>
          </w:p>
        </w:tc>
        <w:tc>
          <w:tcPr>
            <w:tcW w:w="1480" w:type="dxa"/>
            <w:vAlign w:val="bottom"/>
            <w:tcBorders>
              <w:bottom w:val="single" w:sz="8" w:color="6F2875"/>
            </w:tcBorders>
            <w:gridSpan w:val="2"/>
          </w:tcPr>
          <w:p>
            <w:pPr>
              <w:jc w:val="right"/>
              <w:spacing w:after="0" w:line="183" w:lineRule="exact"/>
              <w:rPr>
                <w:sz w:val="20"/>
                <w:szCs w:val="20"/>
                <w:color w:val="auto"/>
              </w:rPr>
            </w:pPr>
            <w:r>
              <w:rPr>
                <w:rFonts w:ascii="Arial" w:cs="Arial" w:eastAsia="Arial" w:hAnsi="Arial"/>
                <w:sz w:val="16"/>
                <w:szCs w:val="16"/>
                <w:b w:val="1"/>
                <w:bCs w:val="1"/>
                <w:color w:val="6F2875"/>
              </w:rPr>
              <w:t>$</w:t>
            </w:r>
          </w:p>
        </w:tc>
        <w:tc>
          <w:tcPr>
            <w:tcW w:w="920" w:type="dxa"/>
            <w:vAlign w:val="bottom"/>
            <w:tcBorders>
              <w:bottom w:val="single" w:sz="8" w:color="6F2875"/>
            </w:tcBorders>
          </w:tcPr>
          <w:p>
            <w:pPr>
              <w:jc w:val="right"/>
              <w:ind w:right="39"/>
              <w:spacing w:after="0" w:line="183" w:lineRule="exact"/>
              <w:rPr>
                <w:sz w:val="20"/>
                <w:szCs w:val="20"/>
                <w:color w:val="auto"/>
              </w:rPr>
            </w:pPr>
            <w:r>
              <w:rPr>
                <w:rFonts w:ascii="Arial" w:cs="Arial" w:eastAsia="Arial" w:hAnsi="Arial"/>
                <w:sz w:val="16"/>
                <w:szCs w:val="16"/>
                <w:b w:val="1"/>
                <w:bCs w:val="1"/>
                <w:color w:val="6F2875"/>
              </w:rPr>
              <w:t>418,221</w:t>
            </w:r>
          </w:p>
        </w:tc>
        <w:tc>
          <w:tcPr>
            <w:tcW w:w="720" w:type="dxa"/>
            <w:vAlign w:val="bottom"/>
            <w:tcBorders>
              <w:bottom w:val="single" w:sz="8" w:color="6F2875"/>
            </w:tcBorders>
          </w:tcPr>
          <w:p>
            <w:pPr>
              <w:jc w:val="right"/>
              <w:spacing w:after="0" w:line="183" w:lineRule="exact"/>
              <w:rPr>
                <w:sz w:val="20"/>
                <w:szCs w:val="20"/>
                <w:color w:val="auto"/>
              </w:rPr>
            </w:pPr>
            <w:r>
              <w:rPr>
                <w:rFonts w:ascii="Arial" w:cs="Arial" w:eastAsia="Arial" w:hAnsi="Arial"/>
                <w:sz w:val="16"/>
                <w:szCs w:val="16"/>
                <w:b w:val="1"/>
                <w:bCs w:val="1"/>
                <w:color w:val="6F2875"/>
              </w:rPr>
              <w:t>$</w:t>
            </w:r>
          </w:p>
        </w:tc>
        <w:tc>
          <w:tcPr>
            <w:tcW w:w="880" w:type="dxa"/>
            <w:vAlign w:val="bottom"/>
            <w:tcBorders>
              <w:bottom w:val="single" w:sz="8" w:color="6F2875"/>
            </w:tcBorders>
          </w:tcPr>
          <w:p>
            <w:pPr>
              <w:jc w:val="right"/>
              <w:ind w:right="19"/>
              <w:spacing w:after="0" w:line="183" w:lineRule="exact"/>
              <w:rPr>
                <w:sz w:val="20"/>
                <w:szCs w:val="20"/>
                <w:color w:val="auto"/>
              </w:rPr>
            </w:pPr>
            <w:r>
              <w:rPr>
                <w:rFonts w:ascii="Arial" w:cs="Arial" w:eastAsia="Arial" w:hAnsi="Arial"/>
                <w:sz w:val="16"/>
                <w:szCs w:val="16"/>
                <w:b w:val="1"/>
                <w:bCs w:val="1"/>
                <w:color w:val="6F2875"/>
              </w:rPr>
              <w:t>1,664,893</w:t>
            </w:r>
          </w:p>
        </w:tc>
        <w:tc>
          <w:tcPr>
            <w:tcW w:w="1520" w:type="dxa"/>
            <w:vAlign w:val="bottom"/>
            <w:tcBorders>
              <w:bottom w:val="single" w:sz="8" w:color="6F2875"/>
            </w:tcBorders>
            <w:gridSpan w:val="2"/>
          </w:tcPr>
          <w:p>
            <w:pPr>
              <w:jc w:val="right"/>
              <w:ind w:right="260"/>
              <w:spacing w:after="0" w:line="183" w:lineRule="exact"/>
              <w:rPr>
                <w:sz w:val="20"/>
                <w:szCs w:val="20"/>
                <w:color w:val="auto"/>
              </w:rPr>
            </w:pPr>
            <w:r>
              <w:rPr>
                <w:rFonts w:ascii="Arial" w:cs="Arial" w:eastAsia="Arial" w:hAnsi="Arial"/>
                <w:sz w:val="16"/>
                <w:szCs w:val="16"/>
                <w:b w:val="1"/>
                <w:bCs w:val="1"/>
                <w:color w:val="6F2875"/>
              </w:rPr>
              <w:t>$ 209,110</w:t>
            </w:r>
          </w:p>
        </w:tc>
        <w:tc>
          <w:tcPr>
            <w:tcW w:w="1040" w:type="dxa"/>
            <w:vAlign w:val="bottom"/>
            <w:tcBorders>
              <w:bottom w:val="single" w:sz="8" w:color="6F2875"/>
            </w:tcBorders>
          </w:tcPr>
          <w:p>
            <w:pPr>
              <w:jc w:val="right"/>
              <w:ind w:right="99"/>
              <w:spacing w:after="0" w:line="183" w:lineRule="exact"/>
              <w:rPr>
                <w:sz w:val="20"/>
                <w:szCs w:val="20"/>
                <w:color w:val="auto"/>
              </w:rPr>
            </w:pPr>
            <w:r>
              <w:rPr>
                <w:rFonts w:ascii="Arial" w:cs="Arial" w:eastAsia="Arial" w:hAnsi="Arial"/>
                <w:sz w:val="16"/>
                <w:szCs w:val="16"/>
                <w:b w:val="1"/>
                <w:bCs w:val="1"/>
                <w:color w:val="6F2875"/>
              </w:rPr>
              <w:t>$</w:t>
            </w:r>
          </w:p>
        </w:tc>
        <w:tc>
          <w:tcPr>
            <w:tcW w:w="540" w:type="dxa"/>
            <w:vAlign w:val="bottom"/>
            <w:tcBorders>
              <w:bottom w:val="single" w:sz="8" w:color="6F2875"/>
            </w:tcBorders>
          </w:tcPr>
          <w:p>
            <w:pPr>
              <w:jc w:val="right"/>
              <w:ind w:right="79"/>
              <w:spacing w:after="0" w:line="183" w:lineRule="exact"/>
              <w:rPr>
                <w:sz w:val="20"/>
                <w:szCs w:val="20"/>
                <w:color w:val="auto"/>
              </w:rPr>
            </w:pPr>
            <w:r>
              <w:rPr>
                <w:rFonts w:ascii="Arial" w:cs="Arial" w:eastAsia="Arial" w:hAnsi="Arial"/>
                <w:sz w:val="16"/>
                <w:szCs w:val="16"/>
                <w:b w:val="1"/>
                <w:bCs w:val="1"/>
                <w:color w:val="6F2875"/>
              </w:rPr>
              <w:t>0</w:t>
            </w:r>
          </w:p>
        </w:tc>
        <w:tc>
          <w:tcPr>
            <w:tcW w:w="1300" w:type="dxa"/>
            <w:vAlign w:val="bottom"/>
            <w:tcBorders>
              <w:bottom w:val="single" w:sz="8" w:color="6F2875"/>
            </w:tcBorders>
          </w:tcPr>
          <w:p>
            <w:pPr>
              <w:jc w:val="right"/>
              <w:ind w:right="259"/>
              <w:spacing w:after="0" w:line="183" w:lineRule="exact"/>
              <w:rPr>
                <w:sz w:val="20"/>
                <w:szCs w:val="20"/>
                <w:color w:val="auto"/>
              </w:rPr>
            </w:pPr>
            <w:r>
              <w:rPr>
                <w:rFonts w:ascii="Arial" w:cs="Arial" w:eastAsia="Arial" w:hAnsi="Arial"/>
                <w:sz w:val="16"/>
                <w:szCs w:val="16"/>
                <w:b w:val="1"/>
                <w:bCs w:val="1"/>
                <w:color w:val="6F2875"/>
              </w:rPr>
              <w:t>$</w:t>
            </w:r>
          </w:p>
        </w:tc>
        <w:tc>
          <w:tcPr>
            <w:tcW w:w="340" w:type="dxa"/>
            <w:vAlign w:val="bottom"/>
            <w:tcBorders>
              <w:bottom w:val="single" w:sz="8" w:color="6F2875"/>
            </w:tcBorders>
          </w:tcPr>
          <w:p>
            <w:pPr>
              <w:jc w:val="right"/>
              <w:ind w:right="19"/>
              <w:spacing w:after="0" w:line="183" w:lineRule="exact"/>
              <w:rPr>
                <w:sz w:val="20"/>
                <w:szCs w:val="20"/>
                <w:color w:val="auto"/>
              </w:rPr>
            </w:pPr>
            <w:r>
              <w:rPr>
                <w:rFonts w:ascii="Arial" w:cs="Arial" w:eastAsia="Arial" w:hAnsi="Arial"/>
                <w:sz w:val="16"/>
                <w:szCs w:val="16"/>
                <w:b w:val="1"/>
                <w:bCs w:val="1"/>
                <w:color w:val="6F2875"/>
              </w:rPr>
              <w:t>0</w:t>
            </w:r>
          </w:p>
        </w:tc>
        <w:tc>
          <w:tcPr>
            <w:tcW w:w="0" w:type="dxa"/>
            <w:vAlign w:val="bottom"/>
          </w:tcPr>
          <w:p>
            <w:pPr>
              <w:spacing w:after="0"/>
              <w:rPr>
                <w:sz w:val="1"/>
                <w:szCs w:val="1"/>
                <w:color w:val="auto"/>
              </w:rPr>
            </w:pPr>
          </w:p>
        </w:tc>
      </w:tr>
      <w:tr>
        <w:trPr>
          <w:trHeight w:val="304"/>
        </w:trPr>
        <w:tc>
          <w:tcPr>
            <w:tcW w:w="26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4"/>
            <w:vMerge w:val="restart"/>
          </w:tcPr>
          <w:p>
            <w:pPr>
              <w:ind w:left="8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1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r>
        <w:trPr>
          <w:trHeight w:val="69"/>
        </w:trPr>
        <w:tc>
          <w:tcPr>
            <w:tcW w:w="26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940" w:type="dxa"/>
            <w:vAlign w:val="bottom"/>
            <w:gridSpan w:val="4"/>
            <w:vMerge w:val="continue"/>
          </w:tcPr>
          <w:p>
            <w:pPr>
              <w:spacing w:after="0"/>
              <w:rPr>
                <w:sz w:val="5"/>
                <w:szCs w:val="5"/>
                <w:color w:val="auto"/>
              </w:rPr>
            </w:pPr>
          </w:p>
        </w:tc>
        <w:tc>
          <w:tcPr>
            <w:tcW w:w="1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680" w:type="dxa"/>
            <w:vAlign w:val="bottom"/>
            <w:tcBorders>
              <w:bottom w:val="single" w:sz="8" w:color="C0C0C0"/>
            </w:tcBorders>
          </w:tcPr>
          <w:p>
            <w:pPr>
              <w:spacing w:after="0"/>
              <w:rPr>
                <w:sz w:val="24"/>
                <w:szCs w:val="24"/>
                <w:color w:val="auto"/>
              </w:rPr>
            </w:pPr>
          </w:p>
        </w:tc>
        <w:tc>
          <w:tcPr>
            <w:tcW w:w="1320" w:type="dxa"/>
            <w:vAlign w:val="bottom"/>
            <w:tcBorders>
              <w:bottom w:val="single" w:sz="8" w:color="C0C0C0"/>
            </w:tcBorders>
          </w:tcPr>
          <w:p>
            <w:pPr>
              <w:spacing w:after="0"/>
              <w:rPr>
                <w:sz w:val="24"/>
                <w:szCs w:val="24"/>
                <w:color w:val="auto"/>
              </w:rPr>
            </w:pPr>
          </w:p>
        </w:tc>
        <w:tc>
          <w:tcPr>
            <w:tcW w:w="160" w:type="dxa"/>
            <w:vAlign w:val="bottom"/>
            <w:tcBorders>
              <w:bottom w:val="single" w:sz="8" w:color="C0C0C0"/>
            </w:tcBorders>
          </w:tcPr>
          <w:p>
            <w:pPr>
              <w:spacing w:after="0"/>
              <w:rPr>
                <w:sz w:val="24"/>
                <w:szCs w:val="24"/>
                <w:color w:val="auto"/>
              </w:rPr>
            </w:pPr>
          </w:p>
        </w:tc>
        <w:tc>
          <w:tcPr>
            <w:tcW w:w="920" w:type="dxa"/>
            <w:vAlign w:val="bottom"/>
            <w:tcBorders>
              <w:bottom w:val="single" w:sz="8" w:color="C0C0C0"/>
            </w:tcBorders>
          </w:tcPr>
          <w:p>
            <w:pPr>
              <w:spacing w:after="0"/>
              <w:rPr>
                <w:sz w:val="24"/>
                <w:szCs w:val="24"/>
                <w:color w:val="auto"/>
              </w:rPr>
            </w:pPr>
          </w:p>
        </w:tc>
        <w:tc>
          <w:tcPr>
            <w:tcW w:w="720" w:type="dxa"/>
            <w:vAlign w:val="bottom"/>
            <w:tcBorders>
              <w:bottom w:val="single" w:sz="8" w:color="C0C0C0"/>
            </w:tcBorders>
          </w:tcPr>
          <w:p>
            <w:pPr>
              <w:spacing w:after="0"/>
              <w:rPr>
                <w:sz w:val="24"/>
                <w:szCs w:val="24"/>
                <w:color w:val="auto"/>
              </w:rPr>
            </w:pPr>
          </w:p>
        </w:tc>
        <w:tc>
          <w:tcPr>
            <w:tcW w:w="88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1100" w:type="dxa"/>
            <w:vAlign w:val="bottom"/>
            <w:tcBorders>
              <w:bottom w:val="single" w:sz="8" w:color="C0C0C0"/>
            </w:tcBorders>
          </w:tcPr>
          <w:p>
            <w:pPr>
              <w:spacing w:after="0"/>
              <w:rPr>
                <w:sz w:val="24"/>
                <w:szCs w:val="24"/>
                <w:color w:val="auto"/>
              </w:rPr>
            </w:pPr>
          </w:p>
        </w:tc>
        <w:tc>
          <w:tcPr>
            <w:tcW w:w="1040" w:type="dxa"/>
            <w:vAlign w:val="bottom"/>
            <w:tcBorders>
              <w:bottom w:val="single" w:sz="8" w:color="C0C0C0"/>
            </w:tcBorders>
          </w:tcPr>
          <w:p>
            <w:pPr>
              <w:spacing w:after="0"/>
              <w:rPr>
                <w:sz w:val="24"/>
                <w:szCs w:val="24"/>
                <w:color w:val="auto"/>
              </w:rPr>
            </w:pPr>
          </w:p>
        </w:tc>
        <w:tc>
          <w:tcPr>
            <w:tcW w:w="540" w:type="dxa"/>
            <w:vAlign w:val="bottom"/>
            <w:tcBorders>
              <w:bottom w:val="single" w:sz="8" w:color="C0C0C0"/>
            </w:tcBorders>
          </w:tcPr>
          <w:p>
            <w:pPr>
              <w:spacing w:after="0"/>
              <w:rPr>
                <w:sz w:val="24"/>
                <w:szCs w:val="24"/>
                <w:color w:val="auto"/>
              </w:rPr>
            </w:pPr>
          </w:p>
        </w:tc>
        <w:tc>
          <w:tcPr>
            <w:tcW w:w="130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Equity Compensation Plan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231F20"/>
        </w:rPr>
        <w:t>The following table presents information as of December 31, 2017 regarding equity compensation plans applicable to our employees.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20" w:type="dxa"/>
            <w:vAlign w:val="bottom"/>
          </w:tcPr>
          <w:p>
            <w:pPr>
              <w:spacing w:after="0"/>
              <w:rPr>
                <w:sz w:val="16"/>
                <w:szCs w:val="16"/>
                <w:color w:val="auto"/>
              </w:rPr>
            </w:pPr>
          </w:p>
        </w:tc>
        <w:tc>
          <w:tcPr>
            <w:tcW w:w="2260" w:type="dxa"/>
            <w:vAlign w:val="bottom"/>
          </w:tcPr>
          <w:p>
            <w:pPr>
              <w:jc w:val="right"/>
              <w:ind w:right="199"/>
              <w:spacing w:after="0"/>
              <w:rPr>
                <w:sz w:val="20"/>
                <w:szCs w:val="20"/>
                <w:color w:val="auto"/>
              </w:rPr>
            </w:pPr>
            <w:r>
              <w:rPr>
                <w:rFonts w:ascii="Arial" w:cs="Arial" w:eastAsia="Arial" w:hAnsi="Arial"/>
                <w:sz w:val="16"/>
                <w:szCs w:val="16"/>
                <w:b w:val="1"/>
                <w:bCs w:val="1"/>
                <w:color w:val="6F2875"/>
              </w:rPr>
              <w:t>Number of securities</w:t>
            </w:r>
          </w:p>
        </w:tc>
        <w:tc>
          <w:tcPr>
            <w:tcW w:w="212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6F2875"/>
              </w:rPr>
              <w:t>Number of securities</w:t>
            </w:r>
          </w:p>
        </w:tc>
      </w:tr>
      <w:tr>
        <w:trPr>
          <w:trHeight w:val="189"/>
        </w:trPr>
        <w:tc>
          <w:tcPr>
            <w:tcW w:w="5120" w:type="dxa"/>
            <w:vAlign w:val="bottom"/>
          </w:tcPr>
          <w:p>
            <w:pPr>
              <w:spacing w:after="0"/>
              <w:rPr>
                <w:sz w:val="16"/>
                <w:szCs w:val="16"/>
                <w:color w:val="auto"/>
              </w:rPr>
            </w:pPr>
          </w:p>
        </w:tc>
        <w:tc>
          <w:tcPr>
            <w:tcW w:w="2260" w:type="dxa"/>
            <w:vAlign w:val="bottom"/>
          </w:tcPr>
          <w:p>
            <w:pPr>
              <w:jc w:val="right"/>
              <w:ind w:right="199"/>
              <w:spacing w:after="0"/>
              <w:rPr>
                <w:sz w:val="20"/>
                <w:szCs w:val="20"/>
                <w:color w:val="auto"/>
              </w:rPr>
            </w:pPr>
            <w:r>
              <w:rPr>
                <w:rFonts w:ascii="Arial" w:cs="Arial" w:eastAsia="Arial" w:hAnsi="Arial"/>
                <w:sz w:val="16"/>
                <w:szCs w:val="16"/>
                <w:b w:val="1"/>
                <w:bCs w:val="1"/>
                <w:color w:val="6F2875"/>
              </w:rPr>
              <w:t>to be issued</w:t>
            </w:r>
          </w:p>
        </w:tc>
        <w:tc>
          <w:tcPr>
            <w:tcW w:w="2120" w:type="dxa"/>
            <w:vAlign w:val="bottom"/>
          </w:tcPr>
          <w:p>
            <w:pPr>
              <w:jc w:val="right"/>
              <w:ind w:right="159"/>
              <w:spacing w:after="0"/>
              <w:rPr>
                <w:sz w:val="20"/>
                <w:szCs w:val="20"/>
                <w:color w:val="auto"/>
              </w:rPr>
            </w:pPr>
            <w:r>
              <w:rPr>
                <w:rFonts w:ascii="Arial" w:cs="Arial" w:eastAsia="Arial" w:hAnsi="Arial"/>
                <w:sz w:val="16"/>
                <w:szCs w:val="16"/>
                <w:b w:val="1"/>
                <w:bCs w:val="1"/>
                <w:color w:val="6F2875"/>
              </w:rPr>
              <w:t>Weighted-average</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6F2875"/>
              </w:rPr>
              <w:t>remaining available</w:t>
            </w:r>
          </w:p>
        </w:tc>
      </w:tr>
      <w:tr>
        <w:trPr>
          <w:trHeight w:val="189"/>
        </w:trPr>
        <w:tc>
          <w:tcPr>
            <w:tcW w:w="5120" w:type="dxa"/>
            <w:vAlign w:val="bottom"/>
          </w:tcPr>
          <w:p>
            <w:pPr>
              <w:spacing w:after="0"/>
              <w:rPr>
                <w:sz w:val="16"/>
                <w:szCs w:val="16"/>
                <w:color w:val="auto"/>
              </w:rPr>
            </w:pPr>
          </w:p>
        </w:tc>
        <w:tc>
          <w:tcPr>
            <w:tcW w:w="2260" w:type="dxa"/>
            <w:vAlign w:val="bottom"/>
          </w:tcPr>
          <w:p>
            <w:pPr>
              <w:jc w:val="right"/>
              <w:ind w:right="199"/>
              <w:spacing w:after="0"/>
              <w:rPr>
                <w:sz w:val="20"/>
                <w:szCs w:val="20"/>
                <w:color w:val="auto"/>
              </w:rPr>
            </w:pPr>
            <w:r>
              <w:rPr>
                <w:rFonts w:ascii="Arial" w:cs="Arial" w:eastAsia="Arial" w:hAnsi="Arial"/>
                <w:sz w:val="16"/>
                <w:szCs w:val="16"/>
                <w:b w:val="1"/>
                <w:bCs w:val="1"/>
                <w:color w:val="6F2875"/>
              </w:rPr>
              <w:t>upon exercise of</w:t>
            </w:r>
          </w:p>
        </w:tc>
        <w:tc>
          <w:tcPr>
            <w:tcW w:w="2120" w:type="dxa"/>
            <w:vAlign w:val="bottom"/>
          </w:tcPr>
          <w:p>
            <w:pPr>
              <w:jc w:val="right"/>
              <w:ind w:right="159"/>
              <w:spacing w:after="0"/>
              <w:rPr>
                <w:sz w:val="20"/>
                <w:szCs w:val="20"/>
                <w:color w:val="auto"/>
              </w:rPr>
            </w:pPr>
            <w:r>
              <w:rPr>
                <w:rFonts w:ascii="Arial" w:cs="Arial" w:eastAsia="Arial" w:hAnsi="Arial"/>
                <w:sz w:val="16"/>
                <w:szCs w:val="16"/>
                <w:b w:val="1"/>
                <w:bCs w:val="1"/>
                <w:color w:val="6F2875"/>
              </w:rPr>
              <w:t>exercise price of</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6F2875"/>
              </w:rPr>
              <w:t>for future issuance</w:t>
            </w:r>
          </w:p>
        </w:tc>
      </w:tr>
      <w:tr>
        <w:trPr>
          <w:trHeight w:val="189"/>
        </w:trPr>
        <w:tc>
          <w:tcPr>
            <w:tcW w:w="5120" w:type="dxa"/>
            <w:vAlign w:val="bottom"/>
          </w:tcPr>
          <w:p>
            <w:pPr>
              <w:spacing w:after="0"/>
              <w:rPr>
                <w:sz w:val="16"/>
                <w:szCs w:val="16"/>
                <w:color w:val="auto"/>
              </w:rPr>
            </w:pPr>
          </w:p>
        </w:tc>
        <w:tc>
          <w:tcPr>
            <w:tcW w:w="2260" w:type="dxa"/>
            <w:vAlign w:val="bottom"/>
          </w:tcPr>
          <w:p>
            <w:pPr>
              <w:jc w:val="right"/>
              <w:ind w:right="199"/>
              <w:spacing w:after="0"/>
              <w:rPr>
                <w:sz w:val="20"/>
                <w:szCs w:val="20"/>
                <w:color w:val="auto"/>
              </w:rPr>
            </w:pPr>
            <w:r>
              <w:rPr>
                <w:rFonts w:ascii="Arial" w:cs="Arial" w:eastAsia="Arial" w:hAnsi="Arial"/>
                <w:sz w:val="16"/>
                <w:szCs w:val="16"/>
                <w:b w:val="1"/>
                <w:bCs w:val="1"/>
                <w:color w:val="6F2875"/>
              </w:rPr>
              <w:t>outstanding options,</w:t>
            </w:r>
          </w:p>
        </w:tc>
        <w:tc>
          <w:tcPr>
            <w:tcW w:w="2120" w:type="dxa"/>
            <w:vAlign w:val="bottom"/>
          </w:tcPr>
          <w:p>
            <w:pPr>
              <w:jc w:val="right"/>
              <w:ind w:right="159"/>
              <w:spacing w:after="0"/>
              <w:rPr>
                <w:sz w:val="20"/>
                <w:szCs w:val="20"/>
                <w:color w:val="auto"/>
              </w:rPr>
            </w:pPr>
            <w:r>
              <w:rPr>
                <w:rFonts w:ascii="Arial" w:cs="Arial" w:eastAsia="Arial" w:hAnsi="Arial"/>
                <w:sz w:val="16"/>
                <w:szCs w:val="16"/>
                <w:b w:val="1"/>
                <w:bCs w:val="1"/>
                <w:color w:val="6F2875"/>
              </w:rPr>
              <w:t>outstanding options,</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6F2875"/>
              </w:rPr>
              <w:t>under equity</w:t>
            </w:r>
          </w:p>
        </w:tc>
      </w:tr>
      <w:tr>
        <w:trPr>
          <w:trHeight w:val="189"/>
        </w:trPr>
        <w:tc>
          <w:tcPr>
            <w:tcW w:w="5120" w:type="dxa"/>
            <w:vAlign w:val="bottom"/>
          </w:tcPr>
          <w:p>
            <w:pPr>
              <w:spacing w:after="0"/>
              <w:rPr>
                <w:sz w:val="16"/>
                <w:szCs w:val="16"/>
                <w:color w:val="auto"/>
              </w:rPr>
            </w:pPr>
          </w:p>
        </w:tc>
        <w:tc>
          <w:tcPr>
            <w:tcW w:w="2260" w:type="dxa"/>
            <w:vAlign w:val="bottom"/>
          </w:tcPr>
          <w:p>
            <w:pPr>
              <w:jc w:val="right"/>
              <w:ind w:right="199"/>
              <w:spacing w:after="0"/>
              <w:rPr>
                <w:sz w:val="20"/>
                <w:szCs w:val="20"/>
                <w:color w:val="auto"/>
              </w:rPr>
            </w:pPr>
            <w:r>
              <w:rPr>
                <w:rFonts w:ascii="Arial" w:cs="Arial" w:eastAsia="Arial" w:hAnsi="Arial"/>
                <w:sz w:val="16"/>
                <w:szCs w:val="16"/>
                <w:b w:val="1"/>
                <w:bCs w:val="1"/>
                <w:color w:val="6F2875"/>
              </w:rPr>
              <w:t>warrants and rights</w:t>
            </w:r>
          </w:p>
        </w:tc>
        <w:tc>
          <w:tcPr>
            <w:tcW w:w="2120" w:type="dxa"/>
            <w:vAlign w:val="bottom"/>
          </w:tcPr>
          <w:p>
            <w:pPr>
              <w:jc w:val="right"/>
              <w:ind w:right="159"/>
              <w:spacing w:after="0"/>
              <w:rPr>
                <w:sz w:val="20"/>
                <w:szCs w:val="20"/>
                <w:color w:val="auto"/>
              </w:rPr>
            </w:pPr>
            <w:r>
              <w:rPr>
                <w:rFonts w:ascii="Arial" w:cs="Arial" w:eastAsia="Arial" w:hAnsi="Arial"/>
                <w:sz w:val="16"/>
                <w:szCs w:val="16"/>
                <w:b w:val="1"/>
                <w:bCs w:val="1"/>
                <w:color w:val="6F2875"/>
              </w:rPr>
              <w:t>warrants and rights</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6F2875"/>
              </w:rPr>
              <w:t>compensation plans</w:t>
            </w:r>
          </w:p>
        </w:tc>
      </w:tr>
      <w:tr>
        <w:trPr>
          <w:trHeight w:val="207"/>
        </w:trPr>
        <w:tc>
          <w:tcPr>
            <w:tcW w:w="5120" w:type="dxa"/>
            <w:vAlign w:val="bottom"/>
            <w:tcBorders>
              <w:bottom w:val="single" w:sz="8" w:color="6F2875"/>
            </w:tcBorders>
          </w:tcPr>
          <w:p>
            <w:pPr>
              <w:ind w:left="60"/>
              <w:spacing w:after="0"/>
              <w:rPr>
                <w:sz w:val="20"/>
                <w:szCs w:val="20"/>
                <w:color w:val="auto"/>
              </w:rPr>
            </w:pPr>
            <w:r>
              <w:rPr>
                <w:rFonts w:ascii="Arial" w:cs="Arial" w:eastAsia="Arial" w:hAnsi="Arial"/>
                <w:sz w:val="16"/>
                <w:szCs w:val="16"/>
                <w:b w:val="1"/>
                <w:bCs w:val="1"/>
                <w:color w:val="6F2875"/>
              </w:rPr>
              <w:t>Plan category</w:t>
            </w:r>
          </w:p>
        </w:tc>
        <w:tc>
          <w:tcPr>
            <w:tcW w:w="2260" w:type="dxa"/>
            <w:vAlign w:val="bottom"/>
            <w:tcBorders>
              <w:bottom w:val="single" w:sz="8" w:color="6F2875"/>
            </w:tcBorders>
          </w:tcPr>
          <w:p>
            <w:pPr>
              <w:jc w:val="right"/>
              <w:ind w:right="199"/>
              <w:spacing w:after="0"/>
              <w:rPr>
                <w:sz w:val="20"/>
                <w:szCs w:val="20"/>
                <w:color w:val="auto"/>
              </w:rPr>
            </w:pPr>
            <w:r>
              <w:rPr>
                <w:rFonts w:ascii="Arial" w:cs="Arial" w:eastAsia="Arial" w:hAnsi="Arial"/>
                <w:sz w:val="16"/>
                <w:szCs w:val="16"/>
                <w:b w:val="1"/>
                <w:bCs w:val="1"/>
                <w:color w:val="6F2875"/>
              </w:rPr>
              <w:t>(#)</w:t>
            </w:r>
          </w:p>
        </w:tc>
        <w:tc>
          <w:tcPr>
            <w:tcW w:w="2120" w:type="dxa"/>
            <w:vAlign w:val="bottom"/>
            <w:tcBorders>
              <w:bottom w:val="single" w:sz="8" w:color="6F2875"/>
            </w:tcBorders>
          </w:tcPr>
          <w:p>
            <w:pPr>
              <w:jc w:val="right"/>
              <w:ind w:right="159"/>
              <w:spacing w:after="0"/>
              <w:rPr>
                <w:sz w:val="20"/>
                <w:szCs w:val="20"/>
                <w:color w:val="auto"/>
              </w:rPr>
            </w:pPr>
            <w:r>
              <w:rPr>
                <w:rFonts w:ascii="Arial" w:cs="Arial" w:eastAsia="Arial" w:hAnsi="Arial"/>
                <w:sz w:val="16"/>
                <w:szCs w:val="16"/>
                <w:b w:val="1"/>
                <w:bCs w:val="1"/>
                <w:color w:val="6F2875"/>
              </w:rPr>
              <w:t>($)</w:t>
            </w:r>
          </w:p>
        </w:tc>
        <w:tc>
          <w:tcPr>
            <w:tcW w:w="1920" w:type="dxa"/>
            <w:vAlign w:val="bottom"/>
            <w:tcBorders>
              <w:bottom w:val="single" w:sz="8" w:color="6F2875"/>
            </w:tcBorders>
          </w:tcPr>
          <w:p>
            <w:pPr>
              <w:jc w:val="right"/>
              <w:spacing w:after="0"/>
              <w:rPr>
                <w:sz w:val="20"/>
                <w:szCs w:val="20"/>
                <w:color w:val="auto"/>
              </w:rPr>
            </w:pPr>
            <w:r>
              <w:rPr>
                <w:rFonts w:ascii="Arial" w:cs="Arial" w:eastAsia="Arial" w:hAnsi="Arial"/>
                <w:sz w:val="16"/>
                <w:szCs w:val="16"/>
                <w:b w:val="1"/>
                <w:bCs w:val="1"/>
                <w:color w:val="6F2875"/>
              </w:rPr>
              <w:t>(#)</w:t>
            </w:r>
          </w:p>
        </w:tc>
      </w:tr>
      <w:tr>
        <w:trPr>
          <w:trHeight w:val="196"/>
        </w:trPr>
        <w:tc>
          <w:tcPr>
            <w:tcW w:w="5120" w:type="dxa"/>
            <w:vAlign w:val="bottom"/>
          </w:tcPr>
          <w:p>
            <w:pPr>
              <w:ind w:left="60"/>
              <w:spacing w:after="0"/>
              <w:rPr>
                <w:sz w:val="20"/>
                <w:szCs w:val="20"/>
                <w:color w:val="auto"/>
              </w:rPr>
            </w:pPr>
            <w:r>
              <w:rPr>
                <w:rFonts w:ascii="Arial" w:cs="Arial" w:eastAsia="Arial" w:hAnsi="Arial"/>
                <w:sz w:val="16"/>
                <w:szCs w:val="16"/>
                <w:b w:val="1"/>
                <w:bCs w:val="1"/>
                <w:color w:val="231F20"/>
              </w:rPr>
              <w:t>Equity compensation plans approved by security holders</w:t>
            </w:r>
          </w:p>
        </w:tc>
        <w:tc>
          <w:tcPr>
            <w:tcW w:w="22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0"/>
        </w:trPr>
        <w:tc>
          <w:tcPr>
            <w:tcW w:w="5120" w:type="dxa"/>
            <w:vAlign w:val="bottom"/>
            <w:shd w:val="clear" w:color="auto" w:fill="F3EDF3"/>
          </w:tcPr>
          <w:p>
            <w:pPr>
              <w:ind w:left="60"/>
              <w:spacing w:after="0" w:line="230" w:lineRule="exact"/>
              <w:rPr>
                <w:sz w:val="20"/>
                <w:szCs w:val="20"/>
                <w:color w:val="auto"/>
              </w:rPr>
            </w:pPr>
            <w:r>
              <w:rPr>
                <w:rFonts w:ascii="Arial" w:cs="Arial" w:eastAsia="Arial" w:hAnsi="Arial"/>
                <w:sz w:val="16"/>
                <w:szCs w:val="16"/>
                <w:color w:val="231F20"/>
              </w:rPr>
              <w:t>LivaNova Plc 2015 Incentive Award Plan and Sub-Plan</w:t>
            </w:r>
            <w:r>
              <w:rPr>
                <w:rFonts w:ascii="Arial" w:cs="Arial" w:eastAsia="Arial" w:hAnsi="Arial"/>
                <w:sz w:val="26"/>
                <w:szCs w:val="26"/>
                <w:color w:val="231F20"/>
                <w:vertAlign w:val="superscript"/>
              </w:rPr>
              <w:t>(1,3)</w:t>
            </w:r>
          </w:p>
        </w:tc>
        <w:tc>
          <w:tcPr>
            <w:tcW w:w="2260" w:type="dxa"/>
            <w:vAlign w:val="bottom"/>
            <w:shd w:val="clear" w:color="auto" w:fill="F3EDF3"/>
          </w:tcPr>
          <w:p>
            <w:pPr>
              <w:jc w:val="right"/>
              <w:ind w:right="199"/>
              <w:spacing w:after="0"/>
              <w:rPr>
                <w:sz w:val="20"/>
                <w:szCs w:val="20"/>
                <w:color w:val="auto"/>
              </w:rPr>
            </w:pPr>
            <w:r>
              <w:rPr>
                <w:rFonts w:ascii="Arial" w:cs="Arial" w:eastAsia="Arial" w:hAnsi="Arial"/>
                <w:sz w:val="16"/>
                <w:szCs w:val="16"/>
                <w:color w:val="231F20"/>
              </w:rPr>
              <w:t>2,385,386</w:t>
            </w:r>
          </w:p>
        </w:tc>
        <w:tc>
          <w:tcPr>
            <w:tcW w:w="2120" w:type="dxa"/>
            <w:vAlign w:val="bottom"/>
            <w:shd w:val="clear" w:color="auto" w:fill="F3EDF3"/>
          </w:tcPr>
          <w:p>
            <w:pPr>
              <w:jc w:val="right"/>
              <w:ind w:right="159"/>
              <w:spacing w:after="0"/>
              <w:rPr>
                <w:sz w:val="20"/>
                <w:szCs w:val="20"/>
                <w:color w:val="auto"/>
              </w:rPr>
            </w:pPr>
            <w:r>
              <w:rPr>
                <w:rFonts w:ascii="Arial" w:cs="Arial" w:eastAsia="Arial" w:hAnsi="Arial"/>
                <w:sz w:val="16"/>
                <w:szCs w:val="16"/>
                <w:color w:val="231F20"/>
              </w:rPr>
              <w:t>58.45</w:t>
            </w:r>
          </w:p>
        </w:tc>
        <w:tc>
          <w:tcPr>
            <w:tcW w:w="1920" w:type="dxa"/>
            <w:vAlign w:val="bottom"/>
            <w:shd w:val="clear" w:color="auto" w:fill="F3EDF3"/>
          </w:tcPr>
          <w:p>
            <w:pPr>
              <w:jc w:val="right"/>
              <w:spacing w:after="0"/>
              <w:rPr>
                <w:sz w:val="20"/>
                <w:szCs w:val="20"/>
                <w:color w:val="auto"/>
              </w:rPr>
            </w:pPr>
            <w:r>
              <w:rPr>
                <w:rFonts w:ascii="Arial" w:cs="Arial" w:eastAsia="Arial" w:hAnsi="Arial"/>
                <w:sz w:val="16"/>
                <w:szCs w:val="16"/>
                <w:color w:val="231F20"/>
              </w:rPr>
              <w:t>6,115,421</w:t>
            </w:r>
          </w:p>
        </w:tc>
      </w:tr>
      <w:tr>
        <w:trPr>
          <w:trHeight w:val="230"/>
        </w:trPr>
        <w:tc>
          <w:tcPr>
            <w:tcW w:w="5120" w:type="dxa"/>
            <w:vAlign w:val="bottom"/>
          </w:tcPr>
          <w:p>
            <w:pPr>
              <w:ind w:left="60"/>
              <w:spacing w:after="0" w:line="230" w:lineRule="exact"/>
              <w:rPr>
                <w:sz w:val="20"/>
                <w:szCs w:val="20"/>
                <w:color w:val="auto"/>
              </w:rPr>
            </w:pPr>
            <w:r>
              <w:rPr>
                <w:rFonts w:ascii="Arial" w:cs="Arial" w:eastAsia="Arial" w:hAnsi="Arial"/>
                <w:sz w:val="16"/>
                <w:szCs w:val="16"/>
                <w:color w:val="231F20"/>
              </w:rPr>
              <w:t>Cyberonics Legacy Plans</w:t>
            </w:r>
            <w:r>
              <w:rPr>
                <w:rFonts w:ascii="Arial" w:cs="Arial" w:eastAsia="Arial" w:hAnsi="Arial"/>
                <w:sz w:val="26"/>
                <w:szCs w:val="26"/>
                <w:color w:val="231F20"/>
                <w:vertAlign w:val="superscript"/>
              </w:rPr>
              <w:t>(2)</w:t>
            </w:r>
          </w:p>
        </w:tc>
        <w:tc>
          <w:tcPr>
            <w:tcW w:w="2260" w:type="dxa"/>
            <w:vAlign w:val="bottom"/>
          </w:tcPr>
          <w:p>
            <w:pPr>
              <w:jc w:val="right"/>
              <w:ind w:right="199"/>
              <w:spacing w:after="0"/>
              <w:rPr>
                <w:sz w:val="20"/>
                <w:szCs w:val="20"/>
                <w:color w:val="auto"/>
              </w:rPr>
            </w:pPr>
            <w:r>
              <w:rPr>
                <w:rFonts w:ascii="Arial" w:cs="Arial" w:eastAsia="Arial" w:hAnsi="Arial"/>
                <w:sz w:val="16"/>
                <w:szCs w:val="16"/>
                <w:color w:val="231F20"/>
              </w:rPr>
              <w:t>348,724</w:t>
            </w:r>
          </w:p>
        </w:tc>
        <w:tc>
          <w:tcPr>
            <w:tcW w:w="2120" w:type="dxa"/>
            <w:vAlign w:val="bottom"/>
          </w:tcPr>
          <w:p>
            <w:pPr>
              <w:jc w:val="right"/>
              <w:ind w:right="159"/>
              <w:spacing w:after="0"/>
              <w:rPr>
                <w:sz w:val="20"/>
                <w:szCs w:val="20"/>
                <w:color w:val="auto"/>
              </w:rPr>
            </w:pPr>
            <w:r>
              <w:rPr>
                <w:rFonts w:ascii="Arial" w:cs="Arial" w:eastAsia="Arial" w:hAnsi="Arial"/>
                <w:sz w:val="16"/>
                <w:szCs w:val="16"/>
                <w:color w:val="231F20"/>
              </w:rPr>
              <w:t>49.33</w:t>
            </w:r>
          </w:p>
        </w:tc>
        <w:tc>
          <w:tcPr>
            <w:tcW w:w="1920" w:type="dxa"/>
            <w:vAlign w:val="bottom"/>
          </w:tcPr>
          <w:p>
            <w:pPr>
              <w:jc w:val="right"/>
              <w:spacing w:after="0"/>
              <w:rPr>
                <w:sz w:val="20"/>
                <w:szCs w:val="20"/>
                <w:color w:val="auto"/>
              </w:rPr>
            </w:pPr>
            <w:r>
              <w:rPr>
                <w:rFonts w:ascii="Arial" w:cs="Arial" w:eastAsia="Arial" w:hAnsi="Arial"/>
                <w:sz w:val="16"/>
                <w:szCs w:val="16"/>
                <w:color w:val="231F20"/>
              </w:rPr>
              <w:t>1,851,561</w:t>
            </w:r>
          </w:p>
        </w:tc>
      </w:tr>
      <w:tr>
        <w:trPr>
          <w:trHeight w:val="203"/>
        </w:trPr>
        <w:tc>
          <w:tcPr>
            <w:tcW w:w="5120" w:type="dxa"/>
            <w:vAlign w:val="bottom"/>
            <w:shd w:val="clear" w:color="auto" w:fill="F3EDF3"/>
          </w:tcPr>
          <w:p>
            <w:pPr>
              <w:ind w:left="60"/>
              <w:spacing w:after="0"/>
              <w:rPr>
                <w:sz w:val="20"/>
                <w:szCs w:val="20"/>
                <w:color w:val="auto"/>
              </w:rPr>
            </w:pPr>
            <w:r>
              <w:rPr>
                <w:rFonts w:ascii="Arial" w:cs="Arial" w:eastAsia="Arial" w:hAnsi="Arial"/>
                <w:sz w:val="16"/>
                <w:szCs w:val="16"/>
                <w:b w:val="1"/>
                <w:bCs w:val="1"/>
                <w:color w:val="231F20"/>
              </w:rPr>
              <w:t>Equity compensation plans not approved by security holders</w:t>
            </w:r>
          </w:p>
        </w:tc>
        <w:tc>
          <w:tcPr>
            <w:tcW w:w="2260" w:type="dxa"/>
            <w:vAlign w:val="bottom"/>
            <w:shd w:val="clear" w:color="auto" w:fill="F3EDF3"/>
          </w:tcPr>
          <w:p>
            <w:pPr>
              <w:spacing w:after="0"/>
              <w:rPr>
                <w:sz w:val="17"/>
                <w:szCs w:val="17"/>
                <w:color w:val="auto"/>
              </w:rPr>
            </w:pPr>
          </w:p>
        </w:tc>
        <w:tc>
          <w:tcPr>
            <w:tcW w:w="2120" w:type="dxa"/>
            <w:vAlign w:val="bottom"/>
            <w:shd w:val="clear" w:color="auto" w:fill="F3EDF3"/>
          </w:tcPr>
          <w:p>
            <w:pPr>
              <w:spacing w:after="0"/>
              <w:rPr>
                <w:sz w:val="17"/>
                <w:szCs w:val="17"/>
                <w:color w:val="auto"/>
              </w:rPr>
            </w:pPr>
          </w:p>
        </w:tc>
        <w:tc>
          <w:tcPr>
            <w:tcW w:w="1920" w:type="dxa"/>
            <w:vAlign w:val="bottom"/>
            <w:shd w:val="clear" w:color="auto" w:fill="F3EDF3"/>
          </w:tcPr>
          <w:p>
            <w:pPr>
              <w:spacing w:after="0"/>
              <w:rPr>
                <w:sz w:val="17"/>
                <w:szCs w:val="17"/>
                <w:color w:val="auto"/>
              </w:rPr>
            </w:pPr>
          </w:p>
        </w:tc>
      </w:tr>
      <w:tr>
        <w:trPr>
          <w:trHeight w:val="230"/>
        </w:trPr>
        <w:tc>
          <w:tcPr>
            <w:tcW w:w="5120" w:type="dxa"/>
            <w:vAlign w:val="bottom"/>
            <w:tcBorders>
              <w:bottom w:val="single" w:sz="8" w:color="6F2875"/>
            </w:tcBorders>
          </w:tcPr>
          <w:p>
            <w:pPr>
              <w:ind w:left="60"/>
              <w:spacing w:after="0" w:line="230" w:lineRule="exact"/>
              <w:rPr>
                <w:sz w:val="20"/>
                <w:szCs w:val="20"/>
                <w:color w:val="auto"/>
              </w:rPr>
            </w:pPr>
            <w:r>
              <w:rPr>
                <w:rFonts w:ascii="Arial" w:cs="Arial" w:eastAsia="Arial" w:hAnsi="Arial"/>
                <w:sz w:val="16"/>
                <w:szCs w:val="16"/>
                <w:color w:val="231F20"/>
              </w:rPr>
              <w:t>Cyberonics, Inc. New Employee Equity Inducement Plan</w:t>
            </w:r>
            <w:r>
              <w:rPr>
                <w:rFonts w:ascii="Arial" w:cs="Arial" w:eastAsia="Arial" w:hAnsi="Arial"/>
                <w:sz w:val="26"/>
                <w:szCs w:val="26"/>
                <w:color w:val="231F20"/>
                <w:vertAlign w:val="superscript"/>
              </w:rPr>
              <w:t>(4)</w:t>
            </w:r>
          </w:p>
        </w:tc>
        <w:tc>
          <w:tcPr>
            <w:tcW w:w="2260" w:type="dxa"/>
            <w:vAlign w:val="bottom"/>
            <w:tcBorders>
              <w:bottom w:val="single" w:sz="8" w:color="6F2875"/>
            </w:tcBorders>
          </w:tcPr>
          <w:p>
            <w:pPr>
              <w:jc w:val="right"/>
              <w:ind w:right="199"/>
              <w:spacing w:after="0"/>
              <w:rPr>
                <w:sz w:val="20"/>
                <w:szCs w:val="20"/>
                <w:color w:val="auto"/>
              </w:rPr>
            </w:pPr>
            <w:r>
              <w:rPr>
                <w:rFonts w:ascii="Arial" w:cs="Arial" w:eastAsia="Arial" w:hAnsi="Arial"/>
                <w:sz w:val="16"/>
                <w:szCs w:val="16"/>
                <w:color w:val="231F20"/>
              </w:rPr>
              <w:t>2,000</w:t>
            </w:r>
          </w:p>
        </w:tc>
        <w:tc>
          <w:tcPr>
            <w:tcW w:w="2120" w:type="dxa"/>
            <w:vAlign w:val="bottom"/>
            <w:tcBorders>
              <w:bottom w:val="single" w:sz="8" w:color="6F2875"/>
            </w:tcBorders>
          </w:tcPr>
          <w:p>
            <w:pPr>
              <w:jc w:val="right"/>
              <w:ind w:right="159"/>
              <w:spacing w:after="0"/>
              <w:rPr>
                <w:sz w:val="20"/>
                <w:szCs w:val="20"/>
                <w:color w:val="auto"/>
              </w:rPr>
            </w:pPr>
            <w:r>
              <w:rPr>
                <w:rFonts w:ascii="Arial" w:cs="Arial" w:eastAsia="Arial" w:hAnsi="Arial"/>
                <w:sz w:val="16"/>
                <w:szCs w:val="16"/>
                <w:color w:val="231F20"/>
              </w:rPr>
              <w:t>24.55</w:t>
            </w:r>
          </w:p>
        </w:tc>
        <w:tc>
          <w:tcPr>
            <w:tcW w:w="1920" w:type="dxa"/>
            <w:vAlign w:val="bottom"/>
            <w:tcBorders>
              <w:bottom w:val="single" w:sz="8" w:color="6F2875"/>
            </w:tcBorders>
          </w:tcPr>
          <w:p>
            <w:pPr>
              <w:jc w:val="right"/>
              <w:spacing w:after="0"/>
              <w:rPr>
                <w:sz w:val="20"/>
                <w:szCs w:val="20"/>
                <w:color w:val="auto"/>
              </w:rPr>
            </w:pPr>
            <w:r>
              <w:rPr>
                <w:rFonts w:ascii="Arial" w:cs="Arial" w:eastAsia="Arial" w:hAnsi="Arial"/>
                <w:sz w:val="16"/>
                <w:szCs w:val="16"/>
                <w:color w:val="231F20"/>
              </w:rPr>
              <w:t>290,185</w:t>
            </w:r>
          </w:p>
        </w:tc>
      </w:tr>
      <w:tr>
        <w:trPr>
          <w:trHeight w:val="196"/>
        </w:trPr>
        <w:tc>
          <w:tcPr>
            <w:tcW w:w="5120" w:type="dxa"/>
            <w:vAlign w:val="bottom"/>
            <w:tcBorders>
              <w:bottom w:val="single" w:sz="8" w:color="6F2875"/>
            </w:tcBorders>
            <w:shd w:val="clear" w:color="auto" w:fill="F3EDF3"/>
          </w:tcPr>
          <w:p>
            <w:pPr>
              <w:ind w:left="60"/>
              <w:spacing w:after="0"/>
              <w:rPr>
                <w:sz w:val="20"/>
                <w:szCs w:val="20"/>
                <w:color w:val="auto"/>
              </w:rPr>
            </w:pPr>
            <w:r>
              <w:rPr>
                <w:rFonts w:ascii="Arial" w:cs="Arial" w:eastAsia="Arial" w:hAnsi="Arial"/>
                <w:sz w:val="16"/>
                <w:szCs w:val="16"/>
                <w:b w:val="1"/>
                <w:bCs w:val="1"/>
                <w:color w:val="6F2875"/>
              </w:rPr>
              <w:t>TOTAL</w:t>
            </w:r>
          </w:p>
        </w:tc>
        <w:tc>
          <w:tcPr>
            <w:tcW w:w="2260" w:type="dxa"/>
            <w:vAlign w:val="bottom"/>
            <w:tcBorders>
              <w:bottom w:val="single" w:sz="8" w:color="6F2875"/>
            </w:tcBorders>
            <w:shd w:val="clear" w:color="auto" w:fill="F3EDF3"/>
          </w:tcPr>
          <w:p>
            <w:pPr>
              <w:jc w:val="right"/>
              <w:ind w:right="199"/>
              <w:spacing w:after="0"/>
              <w:rPr>
                <w:sz w:val="20"/>
                <w:szCs w:val="20"/>
                <w:color w:val="auto"/>
              </w:rPr>
            </w:pPr>
            <w:r>
              <w:rPr>
                <w:rFonts w:ascii="Arial" w:cs="Arial" w:eastAsia="Arial" w:hAnsi="Arial"/>
                <w:sz w:val="16"/>
                <w:szCs w:val="16"/>
                <w:b w:val="1"/>
                <w:bCs w:val="1"/>
                <w:color w:val="6F2875"/>
              </w:rPr>
              <w:t>2,736,110</w:t>
            </w:r>
          </w:p>
        </w:tc>
        <w:tc>
          <w:tcPr>
            <w:tcW w:w="2120" w:type="dxa"/>
            <w:vAlign w:val="bottom"/>
            <w:tcBorders>
              <w:bottom w:val="single" w:sz="8" w:color="6F2875"/>
            </w:tcBorders>
            <w:shd w:val="clear" w:color="auto" w:fill="F3EDF3"/>
          </w:tcPr>
          <w:p>
            <w:pPr>
              <w:jc w:val="right"/>
              <w:ind w:right="159"/>
              <w:spacing w:after="0"/>
              <w:rPr>
                <w:sz w:val="20"/>
                <w:szCs w:val="20"/>
                <w:color w:val="auto"/>
              </w:rPr>
            </w:pPr>
            <w:r>
              <w:rPr>
                <w:rFonts w:ascii="Arial" w:cs="Arial" w:eastAsia="Arial" w:hAnsi="Arial"/>
                <w:sz w:val="16"/>
                <w:szCs w:val="16"/>
                <w:b w:val="1"/>
                <w:bCs w:val="1"/>
                <w:color w:val="6F2875"/>
              </w:rPr>
              <w:t>56.84</w:t>
            </w:r>
          </w:p>
        </w:tc>
        <w:tc>
          <w:tcPr>
            <w:tcW w:w="1920" w:type="dxa"/>
            <w:vAlign w:val="bottom"/>
            <w:tcBorders>
              <w:bottom w:val="single" w:sz="8" w:color="6F2875"/>
            </w:tcBorders>
            <w:shd w:val="clear" w:color="auto" w:fill="F3EDF3"/>
          </w:tcPr>
          <w:p>
            <w:pPr>
              <w:jc w:val="right"/>
              <w:spacing w:after="0"/>
              <w:rPr>
                <w:sz w:val="20"/>
                <w:szCs w:val="20"/>
                <w:color w:val="auto"/>
              </w:rPr>
            </w:pPr>
            <w:r>
              <w:rPr>
                <w:rFonts w:ascii="Arial" w:cs="Arial" w:eastAsia="Arial" w:hAnsi="Arial"/>
                <w:sz w:val="16"/>
                <w:szCs w:val="16"/>
                <w:b w:val="1"/>
                <w:bCs w:val="1"/>
                <w:color w:val="6F2875"/>
              </w:rPr>
              <w:t>8,257,167</w:t>
            </w:r>
          </w:p>
        </w:tc>
      </w:tr>
    </w:tbl>
    <w:p>
      <w:pPr>
        <w:spacing w:after="0" w:line="45" w:lineRule="exact"/>
        <w:rPr>
          <w:sz w:val="20"/>
          <w:szCs w:val="20"/>
          <w:color w:val="auto"/>
        </w:rPr>
      </w:pPr>
    </w:p>
    <w:p>
      <w:pPr>
        <w:jc w:val="both"/>
        <w:ind w:left="340" w:hanging="292"/>
        <w:spacing w:after="0" w:line="249" w:lineRule="auto"/>
        <w:tabs>
          <w:tab w:leader="none" w:pos="340" w:val="left"/>
        </w:tabs>
        <w:numPr>
          <w:ilvl w:val="1"/>
          <w:numId w:val="44"/>
        </w:numPr>
        <w:rPr>
          <w:rFonts w:ascii="Arial" w:cs="Arial" w:eastAsia="Arial" w:hAnsi="Arial"/>
          <w:sz w:val="14"/>
          <w:szCs w:val="14"/>
          <w:i w:val="1"/>
          <w:iCs w:val="1"/>
          <w:color w:val="231F20"/>
        </w:rPr>
      </w:pPr>
      <w:r>
        <w:rPr>
          <w:rFonts w:ascii="Arial" w:cs="Arial" w:eastAsia="Arial" w:hAnsi="Arial"/>
          <w:sz w:val="14"/>
          <w:szCs w:val="14"/>
          <w:i w:val="1"/>
          <w:iCs w:val="1"/>
          <w:color w:val="231F20"/>
        </w:rPr>
        <w:t>The LivaNova 2015 Incentive Award Plan and the Sub-Plan were approved by our Board and our sole shareholder, effective on October 16, 2015. Amounts represent the number of LivaNova Shares issuable upon the exercise or settlement of (a) outstanding SARs 1,611,033 and RSUs 725,407 as granted under the LivaNova 2015 Incentive Award Plan as of December 31, 2017 and (b) the number of LivaNova Shares issuable upon the exercise or settlement of outstanding SARs 48,946 issued under Sorin legacy plans, as assumed and converted in connection with the merger Transaction. The weighted-average exercise price does not take into account the LivaNova RSUs. The 6,115,421 ordinary shares available for future issuance under equity compensation plans takes into account all shares granted after the merger under the LivaNova Plc 2015 Incentive Award Plan.</w:t>
      </w:r>
    </w:p>
    <w:p>
      <w:pPr>
        <w:spacing w:after="0" w:line="191" w:lineRule="exact"/>
        <w:rPr>
          <w:rFonts w:ascii="Arial" w:cs="Arial" w:eastAsia="Arial" w:hAnsi="Arial"/>
          <w:sz w:val="14"/>
          <w:szCs w:val="14"/>
          <w:i w:val="1"/>
          <w:iCs w:val="1"/>
          <w:color w:val="231F20"/>
        </w:rPr>
      </w:pPr>
    </w:p>
    <w:p>
      <w:pPr>
        <w:jc w:val="both"/>
        <w:ind w:left="340" w:hanging="332"/>
        <w:spacing w:after="0" w:line="247" w:lineRule="auto"/>
        <w:tabs>
          <w:tab w:leader="none" w:pos="340" w:val="left"/>
        </w:tabs>
        <w:numPr>
          <w:ilvl w:val="0"/>
          <w:numId w:val="45"/>
        </w:numPr>
        <w:rPr>
          <w:rFonts w:ascii="Arial" w:cs="Arial" w:eastAsia="Arial" w:hAnsi="Arial"/>
          <w:sz w:val="14"/>
          <w:szCs w:val="14"/>
          <w:i w:val="1"/>
          <w:iCs w:val="1"/>
          <w:color w:val="231F20"/>
        </w:rPr>
      </w:pPr>
      <w:r>
        <w:rPr>
          <w:rFonts w:ascii="Arial" w:cs="Arial" w:eastAsia="Arial" w:hAnsi="Arial"/>
          <w:sz w:val="14"/>
          <w:szCs w:val="14"/>
          <w:i w:val="1"/>
          <w:iCs w:val="1"/>
          <w:color w:val="231F20"/>
        </w:rPr>
        <w:t>The Cyberonics, Inc. Amended and Restated 1996 Stock Option Plan (“1996 Stock Plan”), the Cyberonics, Inc. Amended and Restated 1997 Stock Plan (“1997 Stock Plan”), the Cyberonics, Inc. 2005 Stock Plan (“2005 Stock Plan”) and the Cyberonics, Inc. 2009 Stock Plan (“2009 Stock Plan”) were approved by Cyberonics board and became effective in November 1996, November 2000, March 2005 and August 2009, respectively. Options granted under the 1996 Stock Plan (now expired), the 1997 Stock Plan (no longer available), and the 2005 Stock Plan (no longer available) generally vest ratably over four or five years following their date of grant. Option awards have a maximum term of 10 years from grant date. In connection with the Transaction, on October 19, 2015, we assumed the 1996 Stock Plan, 1997 Stock Plan, 2005 Stock Plan and the 2009 Stock Plan and all outstanding Cyberonics stock options granted thereunder (9,375, 102,121, 500 and 689,526, respectively), were fully vested, canceled and converted into an option to purchase one LivaNova Share. The amount represents the number of LivaNova Shares that may be issuable upon exercise of the converted option awards as of December 31, 2017.</w:t>
      </w:r>
    </w:p>
    <w:p>
      <w:pPr>
        <w:spacing w:after="0" w:line="190" w:lineRule="exact"/>
        <w:rPr>
          <w:rFonts w:ascii="Arial" w:cs="Arial" w:eastAsia="Arial" w:hAnsi="Arial"/>
          <w:sz w:val="14"/>
          <w:szCs w:val="14"/>
          <w:i w:val="1"/>
          <w:iCs w:val="1"/>
          <w:color w:val="231F20"/>
        </w:rPr>
      </w:pPr>
    </w:p>
    <w:p>
      <w:pPr>
        <w:ind w:left="340" w:hanging="332"/>
        <w:spacing w:after="0" w:line="279" w:lineRule="auto"/>
        <w:tabs>
          <w:tab w:leader="none" w:pos="340" w:val="left"/>
        </w:tabs>
        <w:numPr>
          <w:ilvl w:val="0"/>
          <w:numId w:val="45"/>
        </w:numPr>
        <w:rPr>
          <w:rFonts w:ascii="Arial" w:cs="Arial" w:eastAsia="Arial" w:hAnsi="Arial"/>
          <w:sz w:val="14"/>
          <w:szCs w:val="14"/>
          <w:i w:val="1"/>
          <w:iCs w:val="1"/>
          <w:color w:val="231F20"/>
        </w:rPr>
      </w:pPr>
      <w:r>
        <w:rPr>
          <w:rFonts w:ascii="Arial" w:cs="Arial" w:eastAsia="Arial" w:hAnsi="Arial"/>
          <w:sz w:val="14"/>
          <w:szCs w:val="14"/>
          <w:i w:val="1"/>
          <w:iCs w:val="1"/>
          <w:color w:val="231F20"/>
        </w:rPr>
        <w:t>Based on the unused share reserve of the assumed Cyberonics, Inc. 2009 Stock Plan, there remain 1,851,561 LivaNova Shares available for issuance thereunder, as converted in connection with the merger Transaction.</w:t>
      </w:r>
    </w:p>
    <w:p>
      <w:pPr>
        <w:spacing w:after="0" w:line="3" w:lineRule="exact"/>
        <w:rPr>
          <w:rFonts w:ascii="Arial" w:cs="Arial" w:eastAsia="Arial" w:hAnsi="Arial"/>
          <w:sz w:val="14"/>
          <w:szCs w:val="14"/>
          <w:i w:val="1"/>
          <w:iCs w:val="1"/>
          <w:color w:val="231F20"/>
        </w:rPr>
      </w:pPr>
    </w:p>
    <w:p>
      <w:pPr>
        <w:jc w:val="both"/>
        <w:ind w:left="340" w:hanging="332"/>
        <w:spacing w:after="0" w:line="251" w:lineRule="auto"/>
        <w:tabs>
          <w:tab w:leader="none" w:pos="340" w:val="left"/>
        </w:tabs>
        <w:numPr>
          <w:ilvl w:val="0"/>
          <w:numId w:val="45"/>
        </w:numPr>
        <w:rPr>
          <w:rFonts w:ascii="Arial" w:cs="Arial" w:eastAsia="Arial" w:hAnsi="Arial"/>
          <w:sz w:val="14"/>
          <w:szCs w:val="14"/>
          <w:i w:val="1"/>
          <w:iCs w:val="1"/>
          <w:color w:val="231F20"/>
        </w:rPr>
      </w:pPr>
      <w:r>
        <w:rPr>
          <w:rFonts w:ascii="Arial" w:cs="Arial" w:eastAsia="Arial" w:hAnsi="Arial"/>
          <w:sz w:val="14"/>
          <w:szCs w:val="14"/>
          <w:i w:val="1"/>
          <w:iCs w:val="1"/>
          <w:color w:val="231F20"/>
        </w:rPr>
        <w:t>The Cyberonics, Inc. New Employee Equity Inducement Plan (“New Employee Plan”) was not approved by the shareholders of Cyberonics. The New Employee Plan provides for the award of unrestricted shares, restricted stock, and stock options to newly-hired Cyberonics employees. On October 19, 2015, we assumed the New Employee Plan and each outstanding Cyberonics stock option granted thereunder was fully vested, canceled and converted into an option to purchase one LivaNova Share. The amounts represent the number of LivaNova Shares that may be issuable upon exercise of the converted options and the total number of shares that remain available for issuance under the New Employee Plan as of December 31, 2017.</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Shareholder Value Delivered</w:t>
      </w:r>
    </w:p>
    <w:p>
      <w:pPr>
        <w:spacing w:after="0" w:line="231"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The following graph illustrates our 27-month cumulative total return compared with the S&amp;P 500 Index and the S&amp;P Health Care Equipment Index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106045</wp:posOffset>
            </wp:positionV>
            <wp:extent cx="3353435" cy="29756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53435" cy="297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4220" w:val="left"/>
          <w:tab w:leader="none" w:pos="9960" w:val="left"/>
        </w:tabs>
        <w:rPr>
          <w:sz w:val="20"/>
          <w:szCs w:val="20"/>
          <w:color w:val="auto"/>
        </w:rPr>
      </w:pPr>
      <w:r>
        <w:rPr>
          <w:rFonts w:ascii="Arial" w:cs="Arial" w:eastAsia="Arial" w:hAnsi="Arial"/>
          <w:sz w:val="16"/>
          <w:szCs w:val="16"/>
          <w:b w:val="1"/>
          <w:bCs w:val="1"/>
          <w:color w:val="auto"/>
        </w:rPr>
        <w:t>44</w:t>
      </w:r>
      <w:r>
        <w:rPr>
          <w:sz w:val="20"/>
          <w:szCs w:val="20"/>
          <w:color w:val="auto"/>
        </w:rPr>
        <w:tab/>
      </w: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r>
        <w:rPr>
          <w:sz w:val="20"/>
          <w:szCs w:val="20"/>
          <w:color w:val="auto"/>
        </w:rPr>
        <w:tab/>
      </w:r>
      <w:r>
        <w:rPr>
          <w:rFonts w:ascii="Arial" w:cs="Arial" w:eastAsia="Arial" w:hAnsi="Arial"/>
          <w:sz w:val="16"/>
          <w:szCs w:val="16"/>
          <w:b w:val="1"/>
          <w:bCs w:val="1"/>
          <w:color w:val="6F2875"/>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-36195</wp:posOffset>
            </wp:positionV>
            <wp:extent cx="1663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-36195</wp:posOffset>
            </wp:positionV>
            <wp:extent cx="23241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CEO Pay Ratio</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231F20"/>
        </w:rPr>
        <w:t>As required by Item 402(u) of Regulation S-K, we are providing the following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231F20"/>
        </w:rPr>
        <w:t>For the year ended December 31, 2017:</w:t>
      </w:r>
    </w:p>
    <w:p>
      <w:pPr>
        <w:spacing w:after="0" w:line="167"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6"/>
          <w:szCs w:val="16"/>
          <w:color w:val="6F2875"/>
        </w:rPr>
      </w:pPr>
      <w:r>
        <w:rPr>
          <w:rFonts w:ascii="Arial" w:cs="Arial" w:eastAsia="Arial" w:hAnsi="Arial"/>
          <w:sz w:val="16"/>
          <w:szCs w:val="16"/>
          <w:color w:val="231F20"/>
        </w:rPr>
        <w:t>the median of the annual total compensation of all employees of our company (other than the CEO), was $48,985; and</w:t>
      </w:r>
    </w:p>
    <w:p>
      <w:pPr>
        <w:spacing w:after="0" w:line="59" w:lineRule="exact"/>
        <w:rPr>
          <w:rFonts w:ascii="Arial" w:cs="Arial" w:eastAsia="Arial" w:hAnsi="Arial"/>
          <w:sz w:val="16"/>
          <w:szCs w:val="16"/>
          <w:color w:val="6F2875"/>
        </w:rPr>
      </w:pPr>
    </w:p>
    <w:p>
      <w:pPr>
        <w:ind w:left="180" w:hanging="172"/>
        <w:spacing w:after="0"/>
        <w:tabs>
          <w:tab w:leader="none" w:pos="180" w:val="left"/>
        </w:tabs>
        <w:numPr>
          <w:ilvl w:val="0"/>
          <w:numId w:val="46"/>
        </w:numPr>
        <w:rPr>
          <w:rFonts w:ascii="Arial" w:cs="Arial" w:eastAsia="Arial" w:hAnsi="Arial"/>
          <w:sz w:val="16"/>
          <w:szCs w:val="16"/>
          <w:color w:val="6F2875"/>
        </w:rPr>
      </w:pPr>
      <w:r>
        <w:rPr>
          <w:rFonts w:ascii="Arial" w:cs="Arial" w:eastAsia="Arial" w:hAnsi="Arial"/>
          <w:sz w:val="16"/>
          <w:szCs w:val="16"/>
          <w:color w:val="231F20"/>
        </w:rPr>
        <w:t>the annual total compensation of Mr. McDonald, our CEO, was $5,415,761.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231F20"/>
        </w:rPr>
        <w:t>Based on this information, the ratio of our annual total compensation of our CEO to the median of the annual total compensation of all employees is 111 to 1.</w:t>
      </w:r>
    </w:p>
    <w:p>
      <w:pPr>
        <w:spacing w:after="0" w:line="19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231F20"/>
        </w:rPr>
        <w:t>The methodology and material assumptions, adjustments, and estimates that we used to identify our median employee, as well as to determine the annual total compensation of our median employee were as follows:</w:t>
      </w:r>
    </w:p>
    <w:p>
      <w:pPr>
        <w:spacing w:after="0" w:line="169" w:lineRule="exact"/>
        <w:rPr>
          <w:sz w:val="20"/>
          <w:szCs w:val="20"/>
          <w:color w:val="auto"/>
        </w:rPr>
      </w:pPr>
    </w:p>
    <w:p>
      <w:pPr>
        <w:ind w:left="340" w:hanging="332"/>
        <w:spacing w:after="0" w:line="260" w:lineRule="auto"/>
        <w:tabs>
          <w:tab w:leader="none" w:pos="340" w:val="left"/>
        </w:tabs>
        <w:numPr>
          <w:ilvl w:val="0"/>
          <w:numId w:val="47"/>
        </w:numPr>
        <w:rPr>
          <w:rFonts w:ascii="Arial" w:cs="Arial" w:eastAsia="Arial" w:hAnsi="Arial"/>
          <w:sz w:val="16"/>
          <w:szCs w:val="16"/>
          <w:b w:val="1"/>
          <w:bCs w:val="1"/>
          <w:color w:val="6F2875"/>
        </w:rPr>
      </w:pPr>
      <w:r>
        <w:rPr>
          <w:rFonts w:ascii="Arial" w:cs="Arial" w:eastAsia="Arial" w:hAnsi="Arial"/>
          <w:sz w:val="16"/>
          <w:szCs w:val="16"/>
          <w:color w:val="231F20"/>
        </w:rPr>
        <w:t>On October 1, 2017, we employed 4,561 employees with approximately 24% of these employees residing in the United States, 68% residing in Europe, and 8% residing in various countries in Southeast Asia and South America.</w:t>
      </w:r>
    </w:p>
    <w:p>
      <w:pPr>
        <w:spacing w:after="0" w:line="33" w:lineRule="exact"/>
        <w:rPr>
          <w:rFonts w:ascii="Arial" w:cs="Arial" w:eastAsia="Arial" w:hAnsi="Arial"/>
          <w:sz w:val="16"/>
          <w:szCs w:val="16"/>
          <w:b w:val="1"/>
          <w:bCs w:val="1"/>
          <w:color w:val="6F2875"/>
        </w:rPr>
      </w:pPr>
    </w:p>
    <w:p>
      <w:pPr>
        <w:ind w:left="340" w:hanging="332"/>
        <w:spacing w:after="0"/>
        <w:tabs>
          <w:tab w:leader="none" w:pos="340" w:val="left"/>
        </w:tabs>
        <w:numPr>
          <w:ilvl w:val="0"/>
          <w:numId w:val="47"/>
        </w:numPr>
        <w:rPr>
          <w:rFonts w:ascii="Arial" w:cs="Arial" w:eastAsia="Arial" w:hAnsi="Arial"/>
          <w:sz w:val="16"/>
          <w:szCs w:val="16"/>
          <w:b w:val="1"/>
          <w:bCs w:val="1"/>
          <w:color w:val="6F2875"/>
        </w:rPr>
      </w:pPr>
      <w:r>
        <w:rPr>
          <w:rFonts w:ascii="Arial" w:cs="Arial" w:eastAsia="Arial" w:hAnsi="Arial"/>
          <w:sz w:val="16"/>
          <w:szCs w:val="16"/>
          <w:color w:val="231F20"/>
        </w:rPr>
        <w:t>Our employee population, after taking into consideration the permitted adjustments, as described below, consisted of 4,369 employees.</w:t>
      </w:r>
    </w:p>
    <w:p>
      <w:pPr>
        <w:spacing w:after="0" w:line="56" w:lineRule="exact"/>
        <w:rPr>
          <w:rFonts w:ascii="Arial" w:cs="Arial" w:eastAsia="Arial" w:hAnsi="Arial"/>
          <w:sz w:val="16"/>
          <w:szCs w:val="16"/>
          <w:b w:val="1"/>
          <w:bCs w:val="1"/>
          <w:color w:val="6F2875"/>
        </w:rPr>
      </w:pPr>
    </w:p>
    <w:p>
      <w:pPr>
        <w:ind w:left="660" w:hanging="328"/>
        <w:spacing w:after="0"/>
        <w:tabs>
          <w:tab w:leader="none" w:pos="660" w:val="left"/>
        </w:tabs>
        <w:numPr>
          <w:ilvl w:val="1"/>
          <w:numId w:val="47"/>
        </w:numPr>
        <w:rPr>
          <w:rFonts w:ascii="Arial" w:cs="Arial" w:eastAsia="Arial" w:hAnsi="Arial"/>
          <w:sz w:val="16"/>
          <w:szCs w:val="16"/>
          <w:color w:val="6F2875"/>
        </w:rPr>
      </w:pPr>
      <w:r>
        <w:rPr>
          <w:rFonts w:ascii="Arial" w:cs="Arial" w:eastAsia="Arial" w:hAnsi="Arial"/>
          <w:sz w:val="16"/>
          <w:szCs w:val="16"/>
          <w:color w:val="231F20"/>
        </w:rPr>
        <w:t xml:space="preserve">Applying the </w:t>
      </w:r>
      <w:r>
        <w:rPr>
          <w:rFonts w:ascii="Arial" w:cs="Arial" w:eastAsia="Arial" w:hAnsi="Arial"/>
          <w:sz w:val="16"/>
          <w:szCs w:val="16"/>
          <w:i w:val="1"/>
          <w:iCs w:val="1"/>
          <w:color w:val="231F20"/>
        </w:rPr>
        <w:t>de minimis</w:t>
      </w:r>
      <w:r>
        <w:rPr>
          <w:rFonts w:ascii="Arial" w:cs="Arial" w:eastAsia="Arial" w:hAnsi="Arial"/>
          <w:sz w:val="16"/>
          <w:szCs w:val="16"/>
          <w:color w:val="231F20"/>
        </w:rPr>
        <w:t xml:space="preserve"> exception, we limited our employee population to individuals residing in Europe, North America, Japan and Australia.</w:t>
      </w:r>
    </w:p>
    <w:p>
      <w:pPr>
        <w:spacing w:after="0" w:line="88" w:lineRule="exact"/>
        <w:rPr>
          <w:rFonts w:ascii="Arial" w:cs="Arial" w:eastAsia="Arial" w:hAnsi="Arial"/>
          <w:sz w:val="16"/>
          <w:szCs w:val="16"/>
          <w:color w:val="6F2875"/>
        </w:rPr>
      </w:pPr>
    </w:p>
    <w:p>
      <w:pPr>
        <w:ind w:left="660" w:hanging="328"/>
        <w:spacing w:after="0" w:line="260" w:lineRule="auto"/>
        <w:tabs>
          <w:tab w:leader="none" w:pos="660" w:val="left"/>
        </w:tabs>
        <w:numPr>
          <w:ilvl w:val="1"/>
          <w:numId w:val="47"/>
        </w:numPr>
        <w:rPr>
          <w:rFonts w:ascii="Arial" w:cs="Arial" w:eastAsia="Arial" w:hAnsi="Arial"/>
          <w:sz w:val="16"/>
          <w:szCs w:val="16"/>
          <w:color w:val="6F2875"/>
        </w:rPr>
      </w:pPr>
      <w:r>
        <w:rPr>
          <w:rFonts w:ascii="Arial" w:cs="Arial" w:eastAsia="Arial" w:hAnsi="Arial"/>
          <w:sz w:val="16"/>
          <w:szCs w:val="16"/>
          <w:color w:val="231F20"/>
        </w:rPr>
        <w:t>Given the variation in pay elements for our globally-distributed employee population, we selected base salary or wages at standard working hours pay as the most appropriate consistently applied compensation measure.</w:t>
      </w:r>
    </w:p>
    <w:p>
      <w:pPr>
        <w:spacing w:after="0" w:line="33" w:lineRule="exact"/>
        <w:rPr>
          <w:rFonts w:ascii="Arial" w:cs="Arial" w:eastAsia="Arial" w:hAnsi="Arial"/>
          <w:sz w:val="16"/>
          <w:szCs w:val="16"/>
          <w:color w:val="6F2875"/>
        </w:rPr>
      </w:pPr>
    </w:p>
    <w:p>
      <w:pPr>
        <w:ind w:left="660" w:hanging="328"/>
        <w:spacing w:after="0"/>
        <w:tabs>
          <w:tab w:leader="none" w:pos="660" w:val="left"/>
        </w:tabs>
        <w:numPr>
          <w:ilvl w:val="1"/>
          <w:numId w:val="47"/>
        </w:numPr>
        <w:rPr>
          <w:rFonts w:ascii="Arial" w:cs="Arial" w:eastAsia="Arial" w:hAnsi="Arial"/>
          <w:sz w:val="16"/>
          <w:szCs w:val="16"/>
          <w:color w:val="6F2875"/>
        </w:rPr>
      </w:pPr>
      <w:r>
        <w:rPr>
          <w:rFonts w:ascii="Arial" w:cs="Arial" w:eastAsia="Arial" w:hAnsi="Arial"/>
          <w:sz w:val="16"/>
          <w:szCs w:val="16"/>
          <w:color w:val="231F20"/>
        </w:rPr>
        <w:t>We annualized the compensation of all permanent employees who were hired during fiscal 2017, but who were not employed for the entire fiscal year.</w:t>
      </w:r>
    </w:p>
    <w:p>
      <w:pPr>
        <w:spacing w:after="0" w:line="72" w:lineRule="exact"/>
        <w:rPr>
          <w:rFonts w:ascii="Arial" w:cs="Arial" w:eastAsia="Arial" w:hAnsi="Arial"/>
          <w:sz w:val="16"/>
          <w:szCs w:val="16"/>
          <w:color w:val="6F2875"/>
        </w:rPr>
      </w:pPr>
    </w:p>
    <w:p>
      <w:pPr>
        <w:ind w:left="660" w:hanging="328"/>
        <w:spacing w:after="0"/>
        <w:tabs>
          <w:tab w:leader="none" w:pos="660" w:val="left"/>
        </w:tabs>
        <w:numPr>
          <w:ilvl w:val="1"/>
          <w:numId w:val="47"/>
        </w:numPr>
        <w:rPr>
          <w:rFonts w:ascii="Arial" w:cs="Arial" w:eastAsia="Arial" w:hAnsi="Arial"/>
          <w:sz w:val="16"/>
          <w:szCs w:val="16"/>
          <w:color w:val="6F2875"/>
        </w:rPr>
      </w:pPr>
      <w:r>
        <w:rPr>
          <w:rFonts w:ascii="Arial" w:cs="Arial" w:eastAsia="Arial" w:hAnsi="Arial"/>
          <w:sz w:val="16"/>
          <w:szCs w:val="16"/>
          <w:color w:val="231F20"/>
        </w:rPr>
        <w:t>We did not make any cost-of-living adjustments in identifying the median employee.</w:t>
      </w:r>
    </w:p>
    <w:p>
      <w:pPr>
        <w:spacing w:after="0" w:line="86" w:lineRule="exact"/>
        <w:rPr>
          <w:rFonts w:ascii="Arial" w:cs="Arial" w:eastAsia="Arial" w:hAnsi="Arial"/>
          <w:sz w:val="16"/>
          <w:szCs w:val="16"/>
          <w:color w:val="6F2875"/>
        </w:rPr>
      </w:pPr>
    </w:p>
    <w:p>
      <w:pPr>
        <w:jc w:val="both"/>
        <w:ind w:left="340" w:hanging="332"/>
        <w:spacing w:after="0" w:line="253" w:lineRule="auto"/>
        <w:tabs>
          <w:tab w:leader="none" w:pos="340" w:val="left"/>
        </w:tabs>
        <w:numPr>
          <w:ilvl w:val="0"/>
          <w:numId w:val="47"/>
        </w:numPr>
        <w:rPr>
          <w:rFonts w:ascii="Arial" w:cs="Arial" w:eastAsia="Arial" w:hAnsi="Arial"/>
          <w:sz w:val="16"/>
          <w:szCs w:val="16"/>
          <w:b w:val="1"/>
          <w:bCs w:val="1"/>
          <w:color w:val="6F2875"/>
        </w:rPr>
      </w:pPr>
      <w:r>
        <w:rPr>
          <w:rFonts w:ascii="Arial" w:cs="Arial" w:eastAsia="Arial" w:hAnsi="Arial"/>
          <w:sz w:val="16"/>
          <w:szCs w:val="16"/>
          <w:color w:val="231F20"/>
        </w:rPr>
        <w:t>With respect to the annual total compensation of our CEO, we used the amount reported in the “Total” column (column J) of our 2017 Summary Compensation Table included in this proxy statement and incorporated by reference under Item 11 our Annual Report. We applied the same approach to determine the annual total compensation of our median employee.</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2017 Director Compensation Table</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The Compensation Committee reviews the total compensation paid to our non-employee directors and non-executive chairman of our Board. The purpose of the review is to ensure that the level of compensation is appropriate to attract and retain a diverse group of directors with the breadth of experience necessary to perform our Board’s duties and to compensate our directors fairly for their services. The review includes the consideration of qualitative and comparative factors. To ensure directors are compensated relative to the scope of their responsibilities, the Compensation Committee considers: (1) the time and effort involved in preparing for Board and committee meetings and the additional duties assumed by committee chairs and the chairman of our Board; (2) the level of continuing education required to remain informed of broad corporate governance trends and material developments relevant to strategic initiatives within our company; (3) the risks associated with fulfilling fiduciary duties; and (4) the compensation paid to directors at a peer group of companies as determined by the Compensation Committee’s compensation consultant.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Borders>
              <w:bottom w:val="single" w:sz="8" w:color="auto"/>
            </w:tcBorders>
          </w:tcPr>
          <w:p>
            <w:pPr>
              <w:spacing w:after="0"/>
              <w:rPr>
                <w:sz w:val="10"/>
                <w:szCs w:val="10"/>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45</w:t>
            </w:r>
          </w:p>
        </w:tc>
        <w:tc>
          <w:tcPr>
            <w:tcW w:w="0" w:type="dxa"/>
            <w:vAlign w:val="bottom"/>
          </w:tcPr>
          <w:p>
            <w:pPr>
              <w:spacing w:after="0"/>
              <w:rPr>
                <w:sz w:val="1"/>
                <w:szCs w:val="1"/>
                <w:color w:val="auto"/>
              </w:rPr>
            </w:pPr>
          </w:p>
        </w:tc>
      </w:tr>
      <w:tr>
        <w:trPr>
          <w:trHeight w:val="69"/>
        </w:trPr>
        <w:tc>
          <w:tcPr>
            <w:tcW w:w="40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231F20"/>
        </w:rPr>
        <w:t>The following table sets forth a summary of the compensation we paid to our non-employee directors in the year ended December 31, 2017.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tcPr>
          <w:p>
            <w:pPr>
              <w:spacing w:after="0"/>
              <w:rPr>
                <w:sz w:val="18"/>
                <w:szCs w:val="18"/>
                <w:color w:val="auto"/>
              </w:rPr>
            </w:pPr>
          </w:p>
        </w:tc>
        <w:tc>
          <w:tcPr>
            <w:tcW w:w="2480" w:type="dxa"/>
            <w:vAlign w:val="bottom"/>
          </w:tcPr>
          <w:p>
            <w:pPr>
              <w:jc w:val="right"/>
              <w:ind w:right="81"/>
              <w:spacing w:after="0"/>
              <w:rPr>
                <w:sz w:val="20"/>
                <w:szCs w:val="20"/>
                <w:color w:val="auto"/>
              </w:rPr>
            </w:pPr>
            <w:r>
              <w:rPr>
                <w:rFonts w:ascii="Arial" w:cs="Arial" w:eastAsia="Arial" w:hAnsi="Arial"/>
                <w:sz w:val="16"/>
                <w:szCs w:val="16"/>
                <w:b w:val="1"/>
                <w:bCs w:val="1"/>
                <w:color w:val="6F2875"/>
              </w:rPr>
              <w:t>Fees Earned or</w:t>
            </w:r>
          </w:p>
        </w:tc>
        <w:tc>
          <w:tcPr>
            <w:tcW w:w="1560" w:type="dxa"/>
            <w:vAlign w:val="bottom"/>
          </w:tcPr>
          <w:p>
            <w:pPr>
              <w:spacing w:after="0"/>
              <w:rPr>
                <w:sz w:val="18"/>
                <w:szCs w:val="18"/>
                <w:color w:val="auto"/>
              </w:rPr>
            </w:pPr>
          </w:p>
        </w:tc>
        <w:tc>
          <w:tcPr>
            <w:tcW w:w="2080" w:type="dxa"/>
            <w:vAlign w:val="bottom"/>
          </w:tcPr>
          <w:p>
            <w:pPr>
              <w:jc w:val="right"/>
              <w:ind w:right="39"/>
              <w:spacing w:after="0"/>
              <w:rPr>
                <w:sz w:val="20"/>
                <w:szCs w:val="20"/>
                <w:color w:val="auto"/>
              </w:rPr>
            </w:pPr>
            <w:r>
              <w:rPr>
                <w:rFonts w:ascii="Arial" w:cs="Arial" w:eastAsia="Arial" w:hAnsi="Arial"/>
                <w:sz w:val="16"/>
                <w:szCs w:val="16"/>
                <w:b w:val="1"/>
                <w:bCs w:val="1"/>
                <w:color w:val="6F2875"/>
              </w:rPr>
              <w:t>Non-Equity Incentive</w:t>
            </w:r>
          </w:p>
        </w:tc>
        <w:tc>
          <w:tcPr>
            <w:tcW w:w="1580" w:type="dxa"/>
            <w:vAlign w:val="bottom"/>
          </w:tcPr>
          <w:p>
            <w:pPr>
              <w:jc w:val="right"/>
              <w:ind w:right="279"/>
              <w:spacing w:after="0"/>
              <w:rPr>
                <w:sz w:val="20"/>
                <w:szCs w:val="20"/>
                <w:color w:val="auto"/>
              </w:rPr>
            </w:pPr>
            <w:r>
              <w:rPr>
                <w:rFonts w:ascii="Arial" w:cs="Arial" w:eastAsia="Arial" w:hAnsi="Arial"/>
                <w:sz w:val="16"/>
                <w:szCs w:val="16"/>
                <w:b w:val="1"/>
                <w:bCs w:val="1"/>
                <w:color w:val="6F2875"/>
              </w:rPr>
              <w:t>All Other</w:t>
            </w:r>
          </w:p>
        </w:tc>
        <w:tc>
          <w:tcPr>
            <w:tcW w:w="1000" w:type="dxa"/>
            <w:vAlign w:val="bottom"/>
          </w:tcPr>
          <w:p>
            <w:pPr>
              <w:spacing w:after="0"/>
              <w:rPr>
                <w:sz w:val="18"/>
                <w:szCs w:val="18"/>
                <w:color w:val="auto"/>
              </w:rPr>
            </w:pPr>
          </w:p>
        </w:tc>
      </w:tr>
      <w:tr>
        <w:trPr>
          <w:trHeight w:val="189"/>
        </w:trPr>
        <w:tc>
          <w:tcPr>
            <w:tcW w:w="2720" w:type="dxa"/>
            <w:vAlign w:val="bottom"/>
          </w:tcPr>
          <w:p>
            <w:pPr>
              <w:spacing w:after="0"/>
              <w:rPr>
                <w:sz w:val="16"/>
                <w:szCs w:val="16"/>
                <w:color w:val="auto"/>
              </w:rPr>
            </w:pPr>
          </w:p>
        </w:tc>
        <w:tc>
          <w:tcPr>
            <w:tcW w:w="2480" w:type="dxa"/>
            <w:vAlign w:val="bottom"/>
          </w:tcPr>
          <w:p>
            <w:pPr>
              <w:jc w:val="right"/>
              <w:ind w:right="81"/>
              <w:spacing w:after="0"/>
              <w:rPr>
                <w:sz w:val="20"/>
                <w:szCs w:val="20"/>
                <w:color w:val="auto"/>
              </w:rPr>
            </w:pPr>
            <w:r>
              <w:rPr>
                <w:rFonts w:ascii="Arial" w:cs="Arial" w:eastAsia="Arial" w:hAnsi="Arial"/>
                <w:sz w:val="16"/>
                <w:szCs w:val="16"/>
                <w:b w:val="1"/>
                <w:bCs w:val="1"/>
                <w:color w:val="6F2875"/>
              </w:rPr>
              <w:t>Paid in Cash</w:t>
            </w:r>
          </w:p>
        </w:tc>
        <w:tc>
          <w:tcPr>
            <w:tcW w:w="1560" w:type="dxa"/>
            <w:vAlign w:val="bottom"/>
          </w:tcPr>
          <w:p>
            <w:pPr>
              <w:jc w:val="right"/>
              <w:ind w:right="261"/>
              <w:spacing w:after="0"/>
              <w:rPr>
                <w:sz w:val="20"/>
                <w:szCs w:val="20"/>
                <w:color w:val="auto"/>
              </w:rPr>
            </w:pPr>
            <w:r>
              <w:rPr>
                <w:rFonts w:ascii="Arial" w:cs="Arial" w:eastAsia="Arial" w:hAnsi="Arial"/>
                <w:sz w:val="16"/>
                <w:szCs w:val="16"/>
                <w:b w:val="1"/>
                <w:bCs w:val="1"/>
                <w:color w:val="6F2875"/>
              </w:rPr>
              <w:t>Stock Awards</w:t>
            </w:r>
          </w:p>
        </w:tc>
        <w:tc>
          <w:tcPr>
            <w:tcW w:w="2080" w:type="dxa"/>
            <w:vAlign w:val="bottom"/>
          </w:tcPr>
          <w:p>
            <w:pPr>
              <w:jc w:val="right"/>
              <w:ind w:right="39"/>
              <w:spacing w:after="0"/>
              <w:rPr>
                <w:sz w:val="20"/>
                <w:szCs w:val="20"/>
                <w:color w:val="auto"/>
              </w:rPr>
            </w:pPr>
            <w:r>
              <w:rPr>
                <w:rFonts w:ascii="Arial" w:cs="Arial" w:eastAsia="Arial" w:hAnsi="Arial"/>
                <w:sz w:val="16"/>
                <w:szCs w:val="16"/>
                <w:b w:val="1"/>
                <w:bCs w:val="1"/>
                <w:color w:val="6F2875"/>
              </w:rPr>
              <w:t>Plan Compensation</w:t>
            </w:r>
          </w:p>
        </w:tc>
        <w:tc>
          <w:tcPr>
            <w:tcW w:w="1580" w:type="dxa"/>
            <w:vAlign w:val="bottom"/>
          </w:tcPr>
          <w:p>
            <w:pPr>
              <w:jc w:val="right"/>
              <w:ind w:right="279"/>
              <w:spacing w:after="0"/>
              <w:rPr>
                <w:sz w:val="20"/>
                <w:szCs w:val="20"/>
                <w:color w:val="auto"/>
              </w:rPr>
            </w:pPr>
            <w:r>
              <w:rPr>
                <w:rFonts w:ascii="Arial" w:cs="Arial" w:eastAsia="Arial" w:hAnsi="Arial"/>
                <w:sz w:val="16"/>
                <w:szCs w:val="16"/>
                <w:b w:val="1"/>
                <w:bCs w:val="1"/>
                <w:color w:val="6F2875"/>
              </w:rPr>
              <w:t>Compensation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6F2875"/>
              </w:rPr>
              <w:t>Total</w:t>
            </w:r>
          </w:p>
        </w:tc>
      </w:tr>
      <w:tr>
        <w:trPr>
          <w:trHeight w:val="230"/>
        </w:trPr>
        <w:tc>
          <w:tcPr>
            <w:tcW w:w="2720" w:type="dxa"/>
            <w:vAlign w:val="bottom"/>
            <w:tcBorders>
              <w:bottom w:val="single" w:sz="8" w:color="6F2875"/>
            </w:tcBorders>
          </w:tcPr>
          <w:p>
            <w:pPr>
              <w:ind w:left="60"/>
              <w:spacing w:after="0"/>
              <w:rPr>
                <w:sz w:val="20"/>
                <w:szCs w:val="20"/>
                <w:color w:val="auto"/>
              </w:rPr>
            </w:pPr>
            <w:r>
              <w:rPr>
                <w:rFonts w:ascii="Arial" w:cs="Arial" w:eastAsia="Arial" w:hAnsi="Arial"/>
                <w:sz w:val="16"/>
                <w:szCs w:val="16"/>
                <w:b w:val="1"/>
                <w:bCs w:val="1"/>
                <w:color w:val="6F2875"/>
              </w:rPr>
              <w:t>Name</w:t>
            </w:r>
          </w:p>
        </w:tc>
        <w:tc>
          <w:tcPr>
            <w:tcW w:w="2480" w:type="dxa"/>
            <w:vAlign w:val="bottom"/>
            <w:tcBorders>
              <w:bottom w:val="single" w:sz="8" w:color="6F2875"/>
            </w:tcBorders>
          </w:tcPr>
          <w:p>
            <w:pPr>
              <w:jc w:val="right"/>
              <w:ind w:right="81"/>
              <w:spacing w:after="0" w:line="230" w:lineRule="exact"/>
              <w:rPr>
                <w:sz w:val="20"/>
                <w:szCs w:val="20"/>
                <w:color w:val="auto"/>
              </w:rPr>
            </w:pPr>
            <w:r>
              <w:rPr>
                <w:rFonts w:ascii="Arial" w:cs="Arial" w:eastAsia="Arial" w:hAnsi="Arial"/>
                <w:sz w:val="26"/>
                <w:szCs w:val="26"/>
                <w:b w:val="1"/>
                <w:bCs w:val="1"/>
                <w:color w:val="6F2875"/>
                <w:vertAlign w:val="subscript"/>
              </w:rPr>
              <w:t>($)</w:t>
            </w:r>
            <w:r>
              <w:rPr>
                <w:rFonts w:ascii="Arial" w:cs="Arial" w:eastAsia="Arial" w:hAnsi="Arial"/>
                <w:sz w:val="12"/>
                <w:szCs w:val="12"/>
                <w:b w:val="1"/>
                <w:bCs w:val="1"/>
                <w:color w:val="6F2875"/>
              </w:rPr>
              <w:t>(1)</w:t>
            </w:r>
          </w:p>
        </w:tc>
        <w:tc>
          <w:tcPr>
            <w:tcW w:w="1560" w:type="dxa"/>
            <w:vAlign w:val="bottom"/>
            <w:tcBorders>
              <w:bottom w:val="single" w:sz="8" w:color="6F2875"/>
            </w:tcBorders>
          </w:tcPr>
          <w:p>
            <w:pPr>
              <w:jc w:val="right"/>
              <w:ind w:right="261"/>
              <w:spacing w:after="0" w:line="230" w:lineRule="exact"/>
              <w:rPr>
                <w:sz w:val="20"/>
                <w:szCs w:val="20"/>
                <w:color w:val="auto"/>
              </w:rPr>
            </w:pPr>
            <w:r>
              <w:rPr>
                <w:rFonts w:ascii="Arial" w:cs="Arial" w:eastAsia="Arial" w:hAnsi="Arial"/>
                <w:sz w:val="26"/>
                <w:szCs w:val="26"/>
                <w:b w:val="1"/>
                <w:bCs w:val="1"/>
                <w:color w:val="6F2875"/>
                <w:vertAlign w:val="subscript"/>
              </w:rPr>
              <w:t>($)</w:t>
            </w:r>
            <w:r>
              <w:rPr>
                <w:rFonts w:ascii="Arial" w:cs="Arial" w:eastAsia="Arial" w:hAnsi="Arial"/>
                <w:sz w:val="12"/>
                <w:szCs w:val="12"/>
                <w:b w:val="1"/>
                <w:bCs w:val="1"/>
                <w:color w:val="6F2875"/>
              </w:rPr>
              <w:t>(1)</w:t>
            </w:r>
          </w:p>
        </w:tc>
        <w:tc>
          <w:tcPr>
            <w:tcW w:w="2080" w:type="dxa"/>
            <w:vAlign w:val="bottom"/>
            <w:tcBorders>
              <w:bottom w:val="single" w:sz="8" w:color="6F2875"/>
            </w:tcBorders>
          </w:tcPr>
          <w:p>
            <w:pPr>
              <w:jc w:val="right"/>
              <w:ind w:right="39"/>
              <w:spacing w:after="0"/>
              <w:rPr>
                <w:sz w:val="20"/>
                <w:szCs w:val="20"/>
                <w:color w:val="auto"/>
              </w:rPr>
            </w:pPr>
            <w:r>
              <w:rPr>
                <w:rFonts w:ascii="Arial" w:cs="Arial" w:eastAsia="Arial" w:hAnsi="Arial"/>
                <w:sz w:val="16"/>
                <w:szCs w:val="16"/>
                <w:b w:val="1"/>
                <w:bCs w:val="1"/>
                <w:color w:val="6F2875"/>
              </w:rPr>
              <w:t>($)</w:t>
            </w:r>
          </w:p>
        </w:tc>
        <w:tc>
          <w:tcPr>
            <w:tcW w:w="1580" w:type="dxa"/>
            <w:vAlign w:val="bottom"/>
            <w:tcBorders>
              <w:bottom w:val="single" w:sz="8" w:color="6F2875"/>
            </w:tcBorders>
          </w:tcPr>
          <w:p>
            <w:pPr>
              <w:jc w:val="right"/>
              <w:ind w:right="279"/>
              <w:spacing w:after="0"/>
              <w:rPr>
                <w:sz w:val="20"/>
                <w:szCs w:val="20"/>
                <w:color w:val="auto"/>
              </w:rPr>
            </w:pPr>
            <w:r>
              <w:rPr>
                <w:rFonts w:ascii="Arial" w:cs="Arial" w:eastAsia="Arial" w:hAnsi="Arial"/>
                <w:sz w:val="16"/>
                <w:szCs w:val="16"/>
                <w:b w:val="1"/>
                <w:bCs w:val="1"/>
                <w:color w:val="6F2875"/>
              </w:rPr>
              <w:t>($)</w:t>
            </w:r>
          </w:p>
        </w:tc>
        <w:tc>
          <w:tcPr>
            <w:tcW w:w="1000" w:type="dxa"/>
            <w:vAlign w:val="bottom"/>
            <w:tcBorders>
              <w:bottom w:val="single" w:sz="8" w:color="6F2875"/>
            </w:tcBorders>
          </w:tcPr>
          <w:p>
            <w:pPr>
              <w:jc w:val="right"/>
              <w:spacing w:after="0"/>
              <w:rPr>
                <w:sz w:val="20"/>
                <w:szCs w:val="20"/>
                <w:color w:val="auto"/>
              </w:rPr>
            </w:pPr>
            <w:r>
              <w:rPr>
                <w:rFonts w:ascii="Arial" w:cs="Arial" w:eastAsia="Arial" w:hAnsi="Arial"/>
                <w:sz w:val="16"/>
                <w:szCs w:val="16"/>
                <w:b w:val="1"/>
                <w:bCs w:val="1"/>
                <w:color w:val="6F2875"/>
              </w:rPr>
              <w:t>($)</w:t>
            </w:r>
          </w:p>
        </w:tc>
      </w:tr>
      <w:tr>
        <w:trPr>
          <w:trHeight w:val="183"/>
        </w:trPr>
        <w:tc>
          <w:tcPr>
            <w:tcW w:w="272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Francesco Bianchi</w:t>
            </w:r>
          </w:p>
        </w:tc>
        <w:tc>
          <w:tcPr>
            <w:tcW w:w="2480" w:type="dxa"/>
            <w:vAlign w:val="bottom"/>
          </w:tcPr>
          <w:p>
            <w:pPr>
              <w:jc w:val="right"/>
              <w:ind w:right="81"/>
              <w:spacing w:after="0" w:line="183" w:lineRule="exact"/>
              <w:rPr>
                <w:sz w:val="20"/>
                <w:szCs w:val="20"/>
                <w:color w:val="auto"/>
              </w:rPr>
            </w:pPr>
            <w:r>
              <w:rPr>
                <w:rFonts w:ascii="Arial" w:cs="Arial" w:eastAsia="Arial" w:hAnsi="Arial"/>
                <w:sz w:val="16"/>
                <w:szCs w:val="16"/>
                <w:color w:val="auto"/>
              </w:rPr>
              <w:t>108,000</w:t>
            </w:r>
          </w:p>
        </w:tc>
        <w:tc>
          <w:tcPr>
            <w:tcW w:w="1560" w:type="dxa"/>
            <w:vAlign w:val="bottom"/>
          </w:tcPr>
          <w:p>
            <w:pPr>
              <w:jc w:val="right"/>
              <w:ind w:right="261"/>
              <w:spacing w:after="0" w:line="183" w:lineRule="exact"/>
              <w:rPr>
                <w:sz w:val="20"/>
                <w:szCs w:val="20"/>
                <w:color w:val="auto"/>
              </w:rPr>
            </w:pPr>
            <w:r>
              <w:rPr>
                <w:rFonts w:ascii="Arial" w:cs="Arial" w:eastAsia="Arial" w:hAnsi="Arial"/>
                <w:sz w:val="16"/>
                <w:szCs w:val="16"/>
                <w:color w:val="auto"/>
              </w:rPr>
              <w:t>137,646</w:t>
            </w:r>
          </w:p>
        </w:tc>
        <w:tc>
          <w:tcPr>
            <w:tcW w:w="20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580" w:type="dxa"/>
            <w:vAlign w:val="bottom"/>
          </w:tcPr>
          <w:p>
            <w:pPr>
              <w:jc w:val="right"/>
              <w:ind w:right="279"/>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245,646</w:t>
            </w:r>
          </w:p>
        </w:tc>
      </w:tr>
      <w:tr>
        <w:trPr>
          <w:trHeight w:val="189"/>
        </w:trPr>
        <w:tc>
          <w:tcPr>
            <w:tcW w:w="2720" w:type="dxa"/>
            <w:vAlign w:val="bottom"/>
            <w:shd w:val="clear" w:color="auto" w:fill="F3EDF3"/>
          </w:tcPr>
          <w:p>
            <w:pPr>
              <w:ind w:left="60"/>
              <w:spacing w:after="0"/>
              <w:rPr>
                <w:sz w:val="20"/>
                <w:szCs w:val="20"/>
                <w:color w:val="auto"/>
              </w:rPr>
            </w:pPr>
            <w:r>
              <w:rPr>
                <w:rFonts w:ascii="Arial" w:cs="Arial" w:eastAsia="Arial" w:hAnsi="Arial"/>
                <w:sz w:val="16"/>
                <w:szCs w:val="16"/>
                <w:b w:val="1"/>
                <w:bCs w:val="1"/>
                <w:color w:val="auto"/>
              </w:rPr>
              <w:t>Stefano Gianotti</w:t>
            </w:r>
          </w:p>
        </w:tc>
        <w:tc>
          <w:tcPr>
            <w:tcW w:w="2480" w:type="dxa"/>
            <w:vAlign w:val="bottom"/>
            <w:shd w:val="clear" w:color="auto" w:fill="F3EDF3"/>
          </w:tcPr>
          <w:p>
            <w:pPr>
              <w:jc w:val="right"/>
              <w:ind w:right="81"/>
              <w:spacing w:after="0"/>
              <w:rPr>
                <w:sz w:val="20"/>
                <w:szCs w:val="20"/>
                <w:color w:val="auto"/>
              </w:rPr>
            </w:pPr>
            <w:r>
              <w:rPr>
                <w:rFonts w:ascii="Arial" w:cs="Arial" w:eastAsia="Arial" w:hAnsi="Arial"/>
                <w:sz w:val="16"/>
                <w:szCs w:val="16"/>
                <w:color w:val="auto"/>
              </w:rPr>
              <w:t>91,000</w:t>
            </w:r>
          </w:p>
        </w:tc>
        <w:tc>
          <w:tcPr>
            <w:tcW w:w="1560" w:type="dxa"/>
            <w:vAlign w:val="bottom"/>
            <w:shd w:val="clear" w:color="auto" w:fill="F3EDF3"/>
          </w:tcPr>
          <w:p>
            <w:pPr>
              <w:jc w:val="right"/>
              <w:ind w:right="261"/>
              <w:spacing w:after="0"/>
              <w:rPr>
                <w:sz w:val="20"/>
                <w:szCs w:val="20"/>
                <w:color w:val="auto"/>
              </w:rPr>
            </w:pPr>
            <w:r>
              <w:rPr>
                <w:rFonts w:ascii="Arial" w:cs="Arial" w:eastAsia="Arial" w:hAnsi="Arial"/>
                <w:sz w:val="16"/>
                <w:szCs w:val="16"/>
                <w:color w:val="auto"/>
              </w:rPr>
              <w:t>137,646</w:t>
            </w:r>
          </w:p>
        </w:tc>
        <w:tc>
          <w:tcPr>
            <w:tcW w:w="2080" w:type="dxa"/>
            <w:vAlign w:val="bottom"/>
            <w:shd w:val="clear" w:color="auto" w:fill="F3EDF3"/>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F3EDF3"/>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F3EDF3"/>
          </w:tcPr>
          <w:p>
            <w:pPr>
              <w:jc w:val="right"/>
              <w:spacing w:after="0"/>
              <w:rPr>
                <w:sz w:val="20"/>
                <w:szCs w:val="20"/>
                <w:color w:val="auto"/>
              </w:rPr>
            </w:pPr>
            <w:r>
              <w:rPr>
                <w:rFonts w:ascii="Arial" w:cs="Arial" w:eastAsia="Arial" w:hAnsi="Arial"/>
                <w:sz w:val="16"/>
                <w:szCs w:val="16"/>
                <w:color w:val="auto"/>
              </w:rPr>
              <w:t>228,646</w:t>
            </w:r>
          </w:p>
        </w:tc>
      </w:tr>
      <w:tr>
        <w:trPr>
          <w:trHeight w:val="189"/>
        </w:trPr>
        <w:tc>
          <w:tcPr>
            <w:tcW w:w="2720" w:type="dxa"/>
            <w:vAlign w:val="bottom"/>
          </w:tcPr>
          <w:p>
            <w:pPr>
              <w:ind w:left="60"/>
              <w:spacing w:after="0"/>
              <w:rPr>
                <w:sz w:val="20"/>
                <w:szCs w:val="20"/>
                <w:color w:val="auto"/>
              </w:rPr>
            </w:pPr>
            <w:r>
              <w:rPr>
                <w:rFonts w:ascii="Arial" w:cs="Arial" w:eastAsia="Arial" w:hAnsi="Arial"/>
                <w:sz w:val="16"/>
                <w:szCs w:val="16"/>
                <w:b w:val="1"/>
                <w:bCs w:val="1"/>
                <w:color w:val="auto"/>
              </w:rPr>
              <w:t>Daniel J. Moore</w:t>
            </w:r>
          </w:p>
        </w:tc>
        <w:tc>
          <w:tcPr>
            <w:tcW w:w="2480" w:type="dxa"/>
            <w:vAlign w:val="bottom"/>
          </w:tcPr>
          <w:p>
            <w:pPr>
              <w:jc w:val="right"/>
              <w:ind w:right="81"/>
              <w:spacing w:after="0"/>
              <w:rPr>
                <w:sz w:val="20"/>
                <w:szCs w:val="20"/>
                <w:color w:val="auto"/>
              </w:rPr>
            </w:pPr>
            <w:r>
              <w:rPr>
                <w:rFonts w:ascii="Arial" w:cs="Arial" w:eastAsia="Arial" w:hAnsi="Arial"/>
                <w:sz w:val="16"/>
                <w:szCs w:val="16"/>
                <w:color w:val="auto"/>
              </w:rPr>
              <w:t>152,500</w:t>
            </w:r>
          </w:p>
        </w:tc>
        <w:tc>
          <w:tcPr>
            <w:tcW w:w="1560" w:type="dxa"/>
            <w:vAlign w:val="bottom"/>
          </w:tcPr>
          <w:p>
            <w:pPr>
              <w:jc w:val="right"/>
              <w:ind w:right="261"/>
              <w:spacing w:after="0"/>
              <w:rPr>
                <w:sz w:val="20"/>
                <w:szCs w:val="20"/>
                <w:color w:val="auto"/>
              </w:rPr>
            </w:pPr>
            <w:r>
              <w:rPr>
                <w:rFonts w:ascii="Arial" w:cs="Arial" w:eastAsia="Arial" w:hAnsi="Arial"/>
                <w:sz w:val="16"/>
                <w:szCs w:val="16"/>
                <w:color w:val="auto"/>
              </w:rPr>
              <w:t>231,550</w:t>
            </w:r>
          </w:p>
        </w:tc>
        <w:tc>
          <w:tcPr>
            <w:tcW w:w="2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384,050</w:t>
            </w:r>
          </w:p>
        </w:tc>
      </w:tr>
      <w:tr>
        <w:trPr>
          <w:trHeight w:val="189"/>
        </w:trPr>
        <w:tc>
          <w:tcPr>
            <w:tcW w:w="2720" w:type="dxa"/>
            <w:vAlign w:val="bottom"/>
            <w:shd w:val="clear" w:color="auto" w:fill="F3EDF3"/>
          </w:tcPr>
          <w:p>
            <w:pPr>
              <w:ind w:left="60"/>
              <w:spacing w:after="0"/>
              <w:rPr>
                <w:sz w:val="20"/>
                <w:szCs w:val="20"/>
                <w:color w:val="auto"/>
              </w:rPr>
            </w:pPr>
            <w:r>
              <w:rPr>
                <w:rFonts w:ascii="Arial" w:cs="Arial" w:eastAsia="Arial" w:hAnsi="Arial"/>
                <w:sz w:val="16"/>
                <w:szCs w:val="16"/>
                <w:b w:val="1"/>
                <w:bCs w:val="1"/>
                <w:color w:val="auto"/>
              </w:rPr>
              <w:t>Hugh Morrison</w:t>
            </w:r>
          </w:p>
        </w:tc>
        <w:tc>
          <w:tcPr>
            <w:tcW w:w="2480" w:type="dxa"/>
            <w:vAlign w:val="bottom"/>
            <w:shd w:val="clear" w:color="auto" w:fill="F3EDF3"/>
          </w:tcPr>
          <w:p>
            <w:pPr>
              <w:jc w:val="right"/>
              <w:ind w:right="81"/>
              <w:spacing w:after="0"/>
              <w:rPr>
                <w:sz w:val="20"/>
                <w:szCs w:val="20"/>
                <w:color w:val="auto"/>
              </w:rPr>
            </w:pPr>
            <w:r>
              <w:rPr>
                <w:rFonts w:ascii="Arial" w:cs="Arial" w:eastAsia="Arial" w:hAnsi="Arial"/>
                <w:sz w:val="16"/>
                <w:szCs w:val="16"/>
                <w:color w:val="auto"/>
              </w:rPr>
              <w:t>121,000</w:t>
            </w:r>
          </w:p>
        </w:tc>
        <w:tc>
          <w:tcPr>
            <w:tcW w:w="1560" w:type="dxa"/>
            <w:vAlign w:val="bottom"/>
            <w:shd w:val="clear" w:color="auto" w:fill="F3EDF3"/>
          </w:tcPr>
          <w:p>
            <w:pPr>
              <w:jc w:val="right"/>
              <w:ind w:right="261"/>
              <w:spacing w:after="0"/>
              <w:rPr>
                <w:sz w:val="20"/>
                <w:szCs w:val="20"/>
                <w:color w:val="auto"/>
              </w:rPr>
            </w:pPr>
            <w:r>
              <w:rPr>
                <w:rFonts w:ascii="Arial" w:cs="Arial" w:eastAsia="Arial" w:hAnsi="Arial"/>
                <w:sz w:val="16"/>
                <w:szCs w:val="16"/>
                <w:color w:val="auto"/>
              </w:rPr>
              <w:t>137,646</w:t>
            </w:r>
          </w:p>
        </w:tc>
        <w:tc>
          <w:tcPr>
            <w:tcW w:w="2080" w:type="dxa"/>
            <w:vAlign w:val="bottom"/>
            <w:shd w:val="clear" w:color="auto" w:fill="F3EDF3"/>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F3EDF3"/>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F3EDF3"/>
          </w:tcPr>
          <w:p>
            <w:pPr>
              <w:jc w:val="right"/>
              <w:spacing w:after="0"/>
              <w:rPr>
                <w:sz w:val="20"/>
                <w:szCs w:val="20"/>
                <w:color w:val="auto"/>
              </w:rPr>
            </w:pPr>
            <w:r>
              <w:rPr>
                <w:rFonts w:ascii="Arial" w:cs="Arial" w:eastAsia="Arial" w:hAnsi="Arial"/>
                <w:sz w:val="16"/>
                <w:szCs w:val="16"/>
                <w:color w:val="auto"/>
              </w:rPr>
              <w:t>258,646</w:t>
            </w:r>
          </w:p>
        </w:tc>
      </w:tr>
      <w:tr>
        <w:trPr>
          <w:trHeight w:val="189"/>
        </w:trPr>
        <w:tc>
          <w:tcPr>
            <w:tcW w:w="2720" w:type="dxa"/>
            <w:vAlign w:val="bottom"/>
          </w:tcPr>
          <w:p>
            <w:pPr>
              <w:ind w:left="60"/>
              <w:spacing w:after="0"/>
              <w:rPr>
                <w:sz w:val="20"/>
                <w:szCs w:val="20"/>
                <w:color w:val="auto"/>
              </w:rPr>
            </w:pPr>
            <w:r>
              <w:rPr>
                <w:rFonts w:ascii="Arial" w:cs="Arial" w:eastAsia="Arial" w:hAnsi="Arial"/>
                <w:sz w:val="16"/>
                <w:szCs w:val="16"/>
                <w:b w:val="1"/>
                <w:bCs w:val="1"/>
                <w:color w:val="auto"/>
              </w:rPr>
              <w:t>Alfred J. Novak</w:t>
            </w:r>
          </w:p>
        </w:tc>
        <w:tc>
          <w:tcPr>
            <w:tcW w:w="2480" w:type="dxa"/>
            <w:vAlign w:val="bottom"/>
          </w:tcPr>
          <w:p>
            <w:pPr>
              <w:jc w:val="right"/>
              <w:ind w:right="81"/>
              <w:spacing w:after="0"/>
              <w:rPr>
                <w:sz w:val="20"/>
                <w:szCs w:val="20"/>
                <w:color w:val="auto"/>
              </w:rPr>
            </w:pPr>
            <w:r>
              <w:rPr>
                <w:rFonts w:ascii="Arial" w:cs="Arial" w:eastAsia="Arial" w:hAnsi="Arial"/>
                <w:sz w:val="16"/>
                <w:szCs w:val="16"/>
                <w:color w:val="auto"/>
              </w:rPr>
              <w:t>108,000</w:t>
            </w:r>
          </w:p>
        </w:tc>
        <w:tc>
          <w:tcPr>
            <w:tcW w:w="1560" w:type="dxa"/>
            <w:vAlign w:val="bottom"/>
          </w:tcPr>
          <w:p>
            <w:pPr>
              <w:jc w:val="right"/>
              <w:ind w:right="261"/>
              <w:spacing w:after="0"/>
              <w:rPr>
                <w:sz w:val="20"/>
                <w:szCs w:val="20"/>
                <w:color w:val="auto"/>
              </w:rPr>
            </w:pPr>
            <w:r>
              <w:rPr>
                <w:rFonts w:ascii="Arial" w:cs="Arial" w:eastAsia="Arial" w:hAnsi="Arial"/>
                <w:sz w:val="16"/>
                <w:szCs w:val="16"/>
                <w:color w:val="auto"/>
              </w:rPr>
              <w:t>137,646</w:t>
            </w:r>
          </w:p>
        </w:tc>
        <w:tc>
          <w:tcPr>
            <w:tcW w:w="2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245,646</w:t>
            </w:r>
          </w:p>
        </w:tc>
      </w:tr>
      <w:tr>
        <w:trPr>
          <w:trHeight w:val="189"/>
        </w:trPr>
        <w:tc>
          <w:tcPr>
            <w:tcW w:w="2720" w:type="dxa"/>
            <w:vAlign w:val="bottom"/>
            <w:shd w:val="clear" w:color="auto" w:fill="F3EDF3"/>
          </w:tcPr>
          <w:p>
            <w:pPr>
              <w:ind w:left="60"/>
              <w:spacing w:after="0"/>
              <w:rPr>
                <w:sz w:val="20"/>
                <w:szCs w:val="20"/>
                <w:color w:val="auto"/>
              </w:rPr>
            </w:pPr>
            <w:r>
              <w:rPr>
                <w:rFonts w:ascii="Arial" w:cs="Arial" w:eastAsia="Arial" w:hAnsi="Arial"/>
                <w:sz w:val="16"/>
                <w:szCs w:val="16"/>
                <w:b w:val="1"/>
                <w:bCs w:val="1"/>
                <w:color w:val="auto"/>
              </w:rPr>
              <w:t>Sharon O’Kane</w:t>
            </w:r>
          </w:p>
        </w:tc>
        <w:tc>
          <w:tcPr>
            <w:tcW w:w="2480" w:type="dxa"/>
            <w:vAlign w:val="bottom"/>
            <w:shd w:val="clear" w:color="auto" w:fill="F3EDF3"/>
          </w:tcPr>
          <w:p>
            <w:pPr>
              <w:jc w:val="right"/>
              <w:ind w:right="81"/>
              <w:spacing w:after="0"/>
              <w:rPr>
                <w:sz w:val="20"/>
                <w:szCs w:val="20"/>
                <w:color w:val="auto"/>
              </w:rPr>
            </w:pPr>
            <w:r>
              <w:rPr>
                <w:rFonts w:ascii="Arial" w:cs="Arial" w:eastAsia="Arial" w:hAnsi="Arial"/>
                <w:sz w:val="16"/>
                <w:szCs w:val="16"/>
                <w:color w:val="auto"/>
              </w:rPr>
              <w:t>100,000</w:t>
            </w:r>
          </w:p>
        </w:tc>
        <w:tc>
          <w:tcPr>
            <w:tcW w:w="1560" w:type="dxa"/>
            <w:vAlign w:val="bottom"/>
            <w:shd w:val="clear" w:color="auto" w:fill="F3EDF3"/>
          </w:tcPr>
          <w:p>
            <w:pPr>
              <w:jc w:val="right"/>
              <w:ind w:right="261"/>
              <w:spacing w:after="0"/>
              <w:rPr>
                <w:sz w:val="20"/>
                <w:szCs w:val="20"/>
                <w:color w:val="auto"/>
              </w:rPr>
            </w:pPr>
            <w:r>
              <w:rPr>
                <w:rFonts w:ascii="Arial" w:cs="Arial" w:eastAsia="Arial" w:hAnsi="Arial"/>
                <w:sz w:val="16"/>
                <w:szCs w:val="16"/>
                <w:color w:val="auto"/>
              </w:rPr>
              <w:t>137,646</w:t>
            </w:r>
          </w:p>
        </w:tc>
        <w:tc>
          <w:tcPr>
            <w:tcW w:w="2080" w:type="dxa"/>
            <w:vAlign w:val="bottom"/>
            <w:shd w:val="clear" w:color="auto" w:fill="F3EDF3"/>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F3EDF3"/>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F3EDF3"/>
          </w:tcPr>
          <w:p>
            <w:pPr>
              <w:jc w:val="right"/>
              <w:spacing w:after="0"/>
              <w:rPr>
                <w:sz w:val="20"/>
                <w:szCs w:val="20"/>
                <w:color w:val="auto"/>
              </w:rPr>
            </w:pPr>
            <w:r>
              <w:rPr>
                <w:rFonts w:ascii="Arial" w:cs="Arial" w:eastAsia="Arial" w:hAnsi="Arial"/>
                <w:sz w:val="16"/>
                <w:szCs w:val="16"/>
                <w:color w:val="auto"/>
              </w:rPr>
              <w:t>237,646</w:t>
            </w:r>
          </w:p>
        </w:tc>
      </w:tr>
      <w:tr>
        <w:trPr>
          <w:trHeight w:val="189"/>
        </w:trPr>
        <w:tc>
          <w:tcPr>
            <w:tcW w:w="2720" w:type="dxa"/>
            <w:vAlign w:val="bottom"/>
          </w:tcPr>
          <w:p>
            <w:pPr>
              <w:ind w:left="60"/>
              <w:spacing w:after="0"/>
              <w:rPr>
                <w:sz w:val="20"/>
                <w:szCs w:val="20"/>
                <w:color w:val="auto"/>
              </w:rPr>
            </w:pPr>
            <w:r>
              <w:rPr>
                <w:rFonts w:ascii="Arial" w:cs="Arial" w:eastAsia="Arial" w:hAnsi="Arial"/>
                <w:sz w:val="16"/>
                <w:szCs w:val="16"/>
                <w:b w:val="1"/>
                <w:bCs w:val="1"/>
                <w:color w:val="auto"/>
              </w:rPr>
              <w:t>Arthur L. Rosenthal</w:t>
            </w:r>
          </w:p>
        </w:tc>
        <w:tc>
          <w:tcPr>
            <w:tcW w:w="2480" w:type="dxa"/>
            <w:vAlign w:val="bottom"/>
          </w:tcPr>
          <w:p>
            <w:pPr>
              <w:jc w:val="right"/>
              <w:ind w:right="81"/>
              <w:spacing w:after="0"/>
              <w:rPr>
                <w:sz w:val="20"/>
                <w:szCs w:val="20"/>
                <w:color w:val="auto"/>
              </w:rPr>
            </w:pPr>
            <w:r>
              <w:rPr>
                <w:rFonts w:ascii="Arial" w:cs="Arial" w:eastAsia="Arial" w:hAnsi="Arial"/>
                <w:sz w:val="16"/>
                <w:szCs w:val="16"/>
                <w:color w:val="auto"/>
              </w:rPr>
              <w:t>105,000</w:t>
            </w:r>
          </w:p>
        </w:tc>
        <w:tc>
          <w:tcPr>
            <w:tcW w:w="1560" w:type="dxa"/>
            <w:vAlign w:val="bottom"/>
          </w:tcPr>
          <w:p>
            <w:pPr>
              <w:jc w:val="right"/>
              <w:ind w:right="261"/>
              <w:spacing w:after="0"/>
              <w:rPr>
                <w:sz w:val="20"/>
                <w:szCs w:val="20"/>
                <w:color w:val="auto"/>
              </w:rPr>
            </w:pPr>
            <w:r>
              <w:rPr>
                <w:rFonts w:ascii="Arial" w:cs="Arial" w:eastAsia="Arial" w:hAnsi="Arial"/>
                <w:sz w:val="16"/>
                <w:szCs w:val="16"/>
                <w:color w:val="auto"/>
              </w:rPr>
              <w:t>137,646</w:t>
            </w:r>
          </w:p>
        </w:tc>
        <w:tc>
          <w:tcPr>
            <w:tcW w:w="2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242,646</w:t>
            </w:r>
          </w:p>
        </w:tc>
      </w:tr>
      <w:tr>
        <w:trPr>
          <w:trHeight w:val="189"/>
        </w:trPr>
        <w:tc>
          <w:tcPr>
            <w:tcW w:w="2720" w:type="dxa"/>
            <w:vAlign w:val="bottom"/>
            <w:tcBorders>
              <w:bottom w:val="single" w:sz="8" w:color="6F2875"/>
            </w:tcBorders>
            <w:shd w:val="clear" w:color="auto" w:fill="F3EDF3"/>
          </w:tcPr>
          <w:p>
            <w:pPr>
              <w:ind w:left="60"/>
              <w:spacing w:after="0"/>
              <w:rPr>
                <w:sz w:val="20"/>
                <w:szCs w:val="20"/>
                <w:color w:val="auto"/>
              </w:rPr>
            </w:pPr>
            <w:r>
              <w:rPr>
                <w:rFonts w:ascii="Arial" w:cs="Arial" w:eastAsia="Arial" w:hAnsi="Arial"/>
                <w:sz w:val="16"/>
                <w:szCs w:val="16"/>
                <w:b w:val="1"/>
                <w:bCs w:val="1"/>
                <w:color w:val="auto"/>
              </w:rPr>
              <w:t>Andrea L. Saia</w:t>
            </w:r>
          </w:p>
        </w:tc>
        <w:tc>
          <w:tcPr>
            <w:tcW w:w="2480" w:type="dxa"/>
            <w:vAlign w:val="bottom"/>
            <w:tcBorders>
              <w:bottom w:val="single" w:sz="8" w:color="6F2875"/>
            </w:tcBorders>
            <w:shd w:val="clear" w:color="auto" w:fill="F3EDF3"/>
          </w:tcPr>
          <w:p>
            <w:pPr>
              <w:jc w:val="right"/>
              <w:ind w:right="81"/>
              <w:spacing w:after="0"/>
              <w:rPr>
                <w:sz w:val="20"/>
                <w:szCs w:val="20"/>
                <w:color w:val="auto"/>
              </w:rPr>
            </w:pPr>
            <w:r>
              <w:rPr>
                <w:rFonts w:ascii="Arial" w:cs="Arial" w:eastAsia="Arial" w:hAnsi="Arial"/>
                <w:sz w:val="16"/>
                <w:szCs w:val="16"/>
                <w:color w:val="auto"/>
              </w:rPr>
              <w:t>100,000</w:t>
            </w:r>
          </w:p>
        </w:tc>
        <w:tc>
          <w:tcPr>
            <w:tcW w:w="1560" w:type="dxa"/>
            <w:vAlign w:val="bottom"/>
            <w:tcBorders>
              <w:bottom w:val="single" w:sz="8" w:color="6F2875"/>
            </w:tcBorders>
            <w:shd w:val="clear" w:color="auto" w:fill="F3EDF3"/>
          </w:tcPr>
          <w:p>
            <w:pPr>
              <w:jc w:val="right"/>
              <w:ind w:right="261"/>
              <w:spacing w:after="0"/>
              <w:rPr>
                <w:sz w:val="20"/>
                <w:szCs w:val="20"/>
                <w:color w:val="auto"/>
              </w:rPr>
            </w:pPr>
            <w:r>
              <w:rPr>
                <w:rFonts w:ascii="Arial" w:cs="Arial" w:eastAsia="Arial" w:hAnsi="Arial"/>
                <w:sz w:val="16"/>
                <w:szCs w:val="16"/>
                <w:color w:val="auto"/>
              </w:rPr>
              <w:t>137,646</w:t>
            </w:r>
          </w:p>
        </w:tc>
        <w:tc>
          <w:tcPr>
            <w:tcW w:w="2080" w:type="dxa"/>
            <w:vAlign w:val="bottom"/>
            <w:tcBorders>
              <w:bottom w:val="single" w:sz="8" w:color="6F2875"/>
            </w:tcBorders>
            <w:shd w:val="clear" w:color="auto" w:fill="F3EDF3"/>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6F2875"/>
            </w:tcBorders>
            <w:shd w:val="clear" w:color="auto" w:fill="F3EDF3"/>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6F2875"/>
            </w:tcBorders>
            <w:shd w:val="clear" w:color="auto" w:fill="F3EDF3"/>
          </w:tcPr>
          <w:p>
            <w:pPr>
              <w:jc w:val="right"/>
              <w:spacing w:after="0"/>
              <w:rPr>
                <w:sz w:val="20"/>
                <w:szCs w:val="20"/>
                <w:color w:val="auto"/>
              </w:rPr>
            </w:pPr>
            <w:r>
              <w:rPr>
                <w:rFonts w:ascii="Arial" w:cs="Arial" w:eastAsia="Arial" w:hAnsi="Arial"/>
                <w:sz w:val="16"/>
                <w:szCs w:val="16"/>
                <w:color w:val="auto"/>
              </w:rPr>
              <w:t>237,646</w:t>
            </w:r>
          </w:p>
        </w:tc>
      </w:tr>
    </w:tbl>
    <w:p>
      <w:pPr>
        <w:spacing w:after="0" w:line="58" w:lineRule="exact"/>
        <w:rPr>
          <w:sz w:val="20"/>
          <w:szCs w:val="20"/>
          <w:color w:val="auto"/>
        </w:rPr>
      </w:pPr>
    </w:p>
    <w:p>
      <w:pPr>
        <w:jc w:val="both"/>
        <w:ind w:left="340" w:hanging="332"/>
        <w:spacing w:after="0" w:line="260" w:lineRule="auto"/>
        <w:tabs>
          <w:tab w:leader="none" w:pos="340" w:val="left"/>
        </w:tabs>
        <w:numPr>
          <w:ilvl w:val="0"/>
          <w:numId w:val="48"/>
        </w:numPr>
        <w:rPr>
          <w:rFonts w:ascii="Arial" w:cs="Arial" w:eastAsia="Arial" w:hAnsi="Arial"/>
          <w:sz w:val="14"/>
          <w:szCs w:val="14"/>
          <w:i w:val="1"/>
          <w:iCs w:val="1"/>
          <w:color w:val="231F20"/>
        </w:rPr>
      </w:pPr>
      <w:r>
        <w:rPr>
          <w:rFonts w:ascii="Arial" w:cs="Arial" w:eastAsia="Arial" w:hAnsi="Arial"/>
          <w:sz w:val="14"/>
          <w:szCs w:val="14"/>
          <w:i w:val="1"/>
          <w:iCs w:val="1"/>
          <w:color w:val="231F20"/>
        </w:rPr>
        <w:t>Amounts reflect the full grant-date fair value of restricted stock units granted in 2017 computed in accordance with FASB ASC Topic 718, rather than the amounts paid to or realized by the named individual. We provide information regarding the assumptions used to calculate the value of all stock awards and option awards made to our directors in “Note 2. Basis of Presentation, Use of Accounting Estimates and Significant Accounting Policies in the 2017 Form 10-K”.</w:t>
      </w:r>
    </w:p>
    <w:p>
      <w:pPr>
        <w:spacing w:after="0" w:line="163"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The table below shows the aggregate numbers of unvested restricted stock units held as of December 31, 2017 by each non-employee director who was serving as of December 31,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5560" w:type="dxa"/>
            <w:vAlign w:val="bottom"/>
          </w:tcPr>
          <w:p>
            <w:pPr>
              <w:jc w:val="right"/>
              <w:spacing w:after="0"/>
              <w:rPr>
                <w:sz w:val="20"/>
                <w:szCs w:val="20"/>
                <w:color w:val="auto"/>
              </w:rPr>
            </w:pPr>
            <w:r>
              <w:rPr>
                <w:rFonts w:ascii="Arial" w:cs="Arial" w:eastAsia="Arial" w:hAnsi="Arial"/>
                <w:sz w:val="16"/>
                <w:szCs w:val="16"/>
                <w:b w:val="1"/>
                <w:bCs w:val="1"/>
                <w:color w:val="6F2875"/>
              </w:rPr>
              <w:t>Unvested RSUs</w:t>
            </w:r>
          </w:p>
        </w:tc>
      </w:tr>
      <w:tr>
        <w:trPr>
          <w:trHeight w:val="189"/>
        </w:trPr>
        <w:tc>
          <w:tcPr>
            <w:tcW w:w="5860" w:type="dxa"/>
            <w:vAlign w:val="bottom"/>
          </w:tcPr>
          <w:p>
            <w:pPr>
              <w:spacing w:after="0"/>
              <w:rPr>
                <w:sz w:val="16"/>
                <w:szCs w:val="16"/>
                <w:color w:val="auto"/>
              </w:rPr>
            </w:pPr>
          </w:p>
        </w:tc>
        <w:tc>
          <w:tcPr>
            <w:tcW w:w="5560" w:type="dxa"/>
            <w:vAlign w:val="bottom"/>
          </w:tcPr>
          <w:p>
            <w:pPr>
              <w:jc w:val="right"/>
              <w:spacing w:after="0"/>
              <w:rPr>
                <w:sz w:val="20"/>
                <w:szCs w:val="20"/>
                <w:color w:val="auto"/>
              </w:rPr>
            </w:pPr>
            <w:r>
              <w:rPr>
                <w:rFonts w:ascii="Arial" w:cs="Arial" w:eastAsia="Arial" w:hAnsi="Arial"/>
                <w:sz w:val="16"/>
                <w:szCs w:val="16"/>
                <w:b w:val="1"/>
                <w:bCs w:val="1"/>
                <w:color w:val="6F2875"/>
              </w:rPr>
              <w:t>Outstanding</w:t>
            </w:r>
          </w:p>
        </w:tc>
      </w:tr>
      <w:tr>
        <w:trPr>
          <w:trHeight w:val="189"/>
        </w:trPr>
        <w:tc>
          <w:tcPr>
            <w:tcW w:w="5860" w:type="dxa"/>
            <w:vAlign w:val="bottom"/>
          </w:tcPr>
          <w:p>
            <w:pPr>
              <w:spacing w:after="0"/>
              <w:rPr>
                <w:sz w:val="16"/>
                <w:szCs w:val="16"/>
                <w:color w:val="auto"/>
              </w:rPr>
            </w:pPr>
          </w:p>
        </w:tc>
        <w:tc>
          <w:tcPr>
            <w:tcW w:w="5560" w:type="dxa"/>
            <w:vAlign w:val="bottom"/>
          </w:tcPr>
          <w:p>
            <w:pPr>
              <w:jc w:val="right"/>
              <w:spacing w:after="0"/>
              <w:rPr>
                <w:sz w:val="20"/>
                <w:szCs w:val="20"/>
                <w:color w:val="auto"/>
              </w:rPr>
            </w:pPr>
            <w:r>
              <w:rPr>
                <w:rFonts w:ascii="Arial" w:cs="Arial" w:eastAsia="Arial" w:hAnsi="Arial"/>
                <w:sz w:val="16"/>
                <w:szCs w:val="16"/>
                <w:b w:val="1"/>
                <w:bCs w:val="1"/>
                <w:color w:val="6F2875"/>
              </w:rPr>
              <w:t>at Year End</w:t>
            </w:r>
          </w:p>
        </w:tc>
      </w:tr>
      <w:tr>
        <w:trPr>
          <w:trHeight w:val="207"/>
        </w:trPr>
        <w:tc>
          <w:tcPr>
            <w:tcW w:w="5860" w:type="dxa"/>
            <w:vAlign w:val="bottom"/>
            <w:tcBorders>
              <w:bottom w:val="single" w:sz="8" w:color="6F2875"/>
            </w:tcBorders>
          </w:tcPr>
          <w:p>
            <w:pPr>
              <w:ind w:left="60"/>
              <w:spacing w:after="0"/>
              <w:rPr>
                <w:sz w:val="20"/>
                <w:szCs w:val="20"/>
                <w:color w:val="auto"/>
              </w:rPr>
            </w:pPr>
            <w:r>
              <w:rPr>
                <w:rFonts w:ascii="Arial" w:cs="Arial" w:eastAsia="Arial" w:hAnsi="Arial"/>
                <w:sz w:val="16"/>
                <w:szCs w:val="16"/>
                <w:b w:val="1"/>
                <w:bCs w:val="1"/>
                <w:color w:val="6F2875"/>
              </w:rPr>
              <w:t>Name</w:t>
            </w:r>
          </w:p>
        </w:tc>
        <w:tc>
          <w:tcPr>
            <w:tcW w:w="5560" w:type="dxa"/>
            <w:vAlign w:val="bottom"/>
            <w:tcBorders>
              <w:bottom w:val="single" w:sz="8" w:color="6F2875"/>
            </w:tcBorders>
          </w:tcPr>
          <w:p>
            <w:pPr>
              <w:jc w:val="right"/>
              <w:spacing w:after="0"/>
              <w:rPr>
                <w:sz w:val="20"/>
                <w:szCs w:val="20"/>
                <w:color w:val="auto"/>
              </w:rPr>
            </w:pPr>
            <w:r>
              <w:rPr>
                <w:rFonts w:ascii="Arial" w:cs="Arial" w:eastAsia="Arial" w:hAnsi="Arial"/>
                <w:sz w:val="16"/>
                <w:szCs w:val="16"/>
                <w:b w:val="1"/>
                <w:bCs w:val="1"/>
                <w:color w:val="6F2875"/>
              </w:rPr>
              <w:t>(#)</w:t>
            </w:r>
          </w:p>
        </w:tc>
      </w:tr>
      <w:tr>
        <w:trPr>
          <w:trHeight w:val="183"/>
        </w:trPr>
        <w:tc>
          <w:tcPr>
            <w:tcW w:w="586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Francesco Bianchi</w:t>
            </w:r>
          </w:p>
        </w:tc>
        <w:tc>
          <w:tcPr>
            <w:tcW w:w="5560" w:type="dxa"/>
            <w:vAlign w:val="bottom"/>
          </w:tcPr>
          <w:p>
            <w:pPr>
              <w:jc w:val="right"/>
              <w:spacing w:after="0" w:line="183" w:lineRule="exact"/>
              <w:rPr>
                <w:sz w:val="20"/>
                <w:szCs w:val="20"/>
                <w:color w:val="auto"/>
              </w:rPr>
            </w:pPr>
            <w:r>
              <w:rPr>
                <w:rFonts w:ascii="Arial" w:cs="Arial" w:eastAsia="Arial" w:hAnsi="Arial"/>
                <w:sz w:val="16"/>
                <w:szCs w:val="16"/>
                <w:color w:val="auto"/>
              </w:rPr>
              <w:t>1,715</w:t>
            </w:r>
          </w:p>
        </w:tc>
      </w:tr>
      <w:tr>
        <w:trPr>
          <w:trHeight w:val="189"/>
        </w:trPr>
        <w:tc>
          <w:tcPr>
            <w:tcW w:w="5860" w:type="dxa"/>
            <w:vAlign w:val="bottom"/>
            <w:shd w:val="clear" w:color="auto" w:fill="F3EDF3"/>
          </w:tcPr>
          <w:p>
            <w:pPr>
              <w:ind w:left="60"/>
              <w:spacing w:after="0"/>
              <w:rPr>
                <w:sz w:val="20"/>
                <w:szCs w:val="20"/>
                <w:color w:val="auto"/>
              </w:rPr>
            </w:pPr>
            <w:r>
              <w:rPr>
                <w:rFonts w:ascii="Arial" w:cs="Arial" w:eastAsia="Arial" w:hAnsi="Arial"/>
                <w:sz w:val="16"/>
                <w:szCs w:val="16"/>
                <w:b w:val="1"/>
                <w:bCs w:val="1"/>
                <w:color w:val="auto"/>
              </w:rPr>
              <w:t>Stefano Gianotti</w:t>
            </w:r>
          </w:p>
        </w:tc>
        <w:tc>
          <w:tcPr>
            <w:tcW w:w="5560" w:type="dxa"/>
            <w:vAlign w:val="bottom"/>
            <w:shd w:val="clear" w:color="auto" w:fill="F3EDF3"/>
          </w:tcPr>
          <w:p>
            <w:pPr>
              <w:jc w:val="right"/>
              <w:spacing w:after="0"/>
              <w:rPr>
                <w:sz w:val="20"/>
                <w:szCs w:val="20"/>
                <w:color w:val="auto"/>
              </w:rPr>
            </w:pPr>
            <w:r>
              <w:rPr>
                <w:rFonts w:ascii="Arial" w:cs="Arial" w:eastAsia="Arial" w:hAnsi="Arial"/>
                <w:sz w:val="16"/>
                <w:szCs w:val="16"/>
                <w:color w:val="auto"/>
              </w:rPr>
              <w:t>1,715</w:t>
            </w:r>
          </w:p>
        </w:tc>
      </w:tr>
      <w:tr>
        <w:trPr>
          <w:trHeight w:val="189"/>
        </w:trPr>
        <w:tc>
          <w:tcPr>
            <w:tcW w:w="5860" w:type="dxa"/>
            <w:vAlign w:val="bottom"/>
          </w:tcPr>
          <w:p>
            <w:pPr>
              <w:ind w:left="60"/>
              <w:spacing w:after="0"/>
              <w:rPr>
                <w:sz w:val="20"/>
                <w:szCs w:val="20"/>
                <w:color w:val="auto"/>
              </w:rPr>
            </w:pPr>
            <w:r>
              <w:rPr>
                <w:rFonts w:ascii="Arial" w:cs="Arial" w:eastAsia="Arial" w:hAnsi="Arial"/>
                <w:sz w:val="16"/>
                <w:szCs w:val="16"/>
                <w:b w:val="1"/>
                <w:bCs w:val="1"/>
                <w:color w:val="auto"/>
              </w:rPr>
              <w:t>Daniel J. Moore</w:t>
            </w:r>
          </w:p>
        </w:tc>
        <w:tc>
          <w:tcPr>
            <w:tcW w:w="5560" w:type="dxa"/>
            <w:vAlign w:val="bottom"/>
          </w:tcPr>
          <w:p>
            <w:pPr>
              <w:jc w:val="right"/>
              <w:spacing w:after="0"/>
              <w:rPr>
                <w:sz w:val="20"/>
                <w:szCs w:val="20"/>
                <w:color w:val="auto"/>
              </w:rPr>
            </w:pPr>
            <w:r>
              <w:rPr>
                <w:rFonts w:ascii="Arial" w:cs="Arial" w:eastAsia="Arial" w:hAnsi="Arial"/>
                <w:sz w:val="16"/>
                <w:szCs w:val="16"/>
                <w:color w:val="auto"/>
              </w:rPr>
              <w:t>2,885</w:t>
            </w:r>
          </w:p>
        </w:tc>
      </w:tr>
      <w:tr>
        <w:trPr>
          <w:trHeight w:val="189"/>
        </w:trPr>
        <w:tc>
          <w:tcPr>
            <w:tcW w:w="5860" w:type="dxa"/>
            <w:vAlign w:val="bottom"/>
            <w:shd w:val="clear" w:color="auto" w:fill="F3EDF3"/>
          </w:tcPr>
          <w:p>
            <w:pPr>
              <w:ind w:left="60"/>
              <w:spacing w:after="0"/>
              <w:rPr>
                <w:sz w:val="20"/>
                <w:szCs w:val="20"/>
                <w:color w:val="auto"/>
              </w:rPr>
            </w:pPr>
            <w:r>
              <w:rPr>
                <w:rFonts w:ascii="Arial" w:cs="Arial" w:eastAsia="Arial" w:hAnsi="Arial"/>
                <w:sz w:val="16"/>
                <w:szCs w:val="16"/>
                <w:b w:val="1"/>
                <w:bCs w:val="1"/>
                <w:color w:val="auto"/>
              </w:rPr>
              <w:t>Hugh Morrison</w:t>
            </w:r>
          </w:p>
        </w:tc>
        <w:tc>
          <w:tcPr>
            <w:tcW w:w="5560" w:type="dxa"/>
            <w:vAlign w:val="bottom"/>
            <w:shd w:val="clear" w:color="auto" w:fill="F3EDF3"/>
          </w:tcPr>
          <w:p>
            <w:pPr>
              <w:jc w:val="right"/>
              <w:spacing w:after="0"/>
              <w:rPr>
                <w:sz w:val="20"/>
                <w:szCs w:val="20"/>
                <w:color w:val="auto"/>
              </w:rPr>
            </w:pPr>
            <w:r>
              <w:rPr>
                <w:rFonts w:ascii="Arial" w:cs="Arial" w:eastAsia="Arial" w:hAnsi="Arial"/>
                <w:sz w:val="16"/>
                <w:szCs w:val="16"/>
                <w:color w:val="auto"/>
              </w:rPr>
              <w:t>1,715</w:t>
            </w:r>
          </w:p>
        </w:tc>
      </w:tr>
      <w:tr>
        <w:trPr>
          <w:trHeight w:val="189"/>
        </w:trPr>
        <w:tc>
          <w:tcPr>
            <w:tcW w:w="5860" w:type="dxa"/>
            <w:vAlign w:val="bottom"/>
          </w:tcPr>
          <w:p>
            <w:pPr>
              <w:ind w:left="60"/>
              <w:spacing w:after="0"/>
              <w:rPr>
                <w:sz w:val="20"/>
                <w:szCs w:val="20"/>
                <w:color w:val="auto"/>
              </w:rPr>
            </w:pPr>
            <w:r>
              <w:rPr>
                <w:rFonts w:ascii="Arial" w:cs="Arial" w:eastAsia="Arial" w:hAnsi="Arial"/>
                <w:sz w:val="16"/>
                <w:szCs w:val="16"/>
                <w:b w:val="1"/>
                <w:bCs w:val="1"/>
                <w:color w:val="auto"/>
              </w:rPr>
              <w:t>Alfred J. Novak</w:t>
            </w:r>
          </w:p>
        </w:tc>
        <w:tc>
          <w:tcPr>
            <w:tcW w:w="5560" w:type="dxa"/>
            <w:vAlign w:val="bottom"/>
          </w:tcPr>
          <w:p>
            <w:pPr>
              <w:jc w:val="right"/>
              <w:spacing w:after="0"/>
              <w:rPr>
                <w:sz w:val="20"/>
                <w:szCs w:val="20"/>
                <w:color w:val="auto"/>
              </w:rPr>
            </w:pPr>
            <w:r>
              <w:rPr>
                <w:rFonts w:ascii="Arial" w:cs="Arial" w:eastAsia="Arial" w:hAnsi="Arial"/>
                <w:sz w:val="16"/>
                <w:szCs w:val="16"/>
                <w:color w:val="auto"/>
              </w:rPr>
              <w:t>1,715</w:t>
            </w:r>
          </w:p>
        </w:tc>
      </w:tr>
      <w:tr>
        <w:trPr>
          <w:trHeight w:val="189"/>
        </w:trPr>
        <w:tc>
          <w:tcPr>
            <w:tcW w:w="5860" w:type="dxa"/>
            <w:vAlign w:val="bottom"/>
            <w:shd w:val="clear" w:color="auto" w:fill="F3EDF3"/>
          </w:tcPr>
          <w:p>
            <w:pPr>
              <w:ind w:left="60"/>
              <w:spacing w:after="0"/>
              <w:rPr>
                <w:sz w:val="20"/>
                <w:szCs w:val="20"/>
                <w:color w:val="auto"/>
              </w:rPr>
            </w:pPr>
            <w:r>
              <w:rPr>
                <w:rFonts w:ascii="Arial" w:cs="Arial" w:eastAsia="Arial" w:hAnsi="Arial"/>
                <w:sz w:val="16"/>
                <w:szCs w:val="16"/>
                <w:b w:val="1"/>
                <w:bCs w:val="1"/>
                <w:color w:val="auto"/>
              </w:rPr>
              <w:t>Sharon O’Kane</w:t>
            </w:r>
          </w:p>
        </w:tc>
        <w:tc>
          <w:tcPr>
            <w:tcW w:w="5560" w:type="dxa"/>
            <w:vAlign w:val="bottom"/>
            <w:shd w:val="clear" w:color="auto" w:fill="F3EDF3"/>
          </w:tcPr>
          <w:p>
            <w:pPr>
              <w:jc w:val="right"/>
              <w:spacing w:after="0"/>
              <w:rPr>
                <w:sz w:val="20"/>
                <w:szCs w:val="20"/>
                <w:color w:val="auto"/>
              </w:rPr>
            </w:pPr>
            <w:r>
              <w:rPr>
                <w:rFonts w:ascii="Arial" w:cs="Arial" w:eastAsia="Arial" w:hAnsi="Arial"/>
                <w:sz w:val="16"/>
                <w:szCs w:val="16"/>
                <w:color w:val="auto"/>
              </w:rPr>
              <w:t>1,715</w:t>
            </w:r>
          </w:p>
        </w:tc>
      </w:tr>
      <w:tr>
        <w:trPr>
          <w:trHeight w:val="189"/>
        </w:trPr>
        <w:tc>
          <w:tcPr>
            <w:tcW w:w="5860" w:type="dxa"/>
            <w:vAlign w:val="bottom"/>
          </w:tcPr>
          <w:p>
            <w:pPr>
              <w:ind w:left="60"/>
              <w:spacing w:after="0"/>
              <w:rPr>
                <w:sz w:val="20"/>
                <w:szCs w:val="20"/>
                <w:color w:val="auto"/>
              </w:rPr>
            </w:pPr>
            <w:r>
              <w:rPr>
                <w:rFonts w:ascii="Arial" w:cs="Arial" w:eastAsia="Arial" w:hAnsi="Arial"/>
                <w:sz w:val="16"/>
                <w:szCs w:val="16"/>
                <w:b w:val="1"/>
                <w:bCs w:val="1"/>
                <w:color w:val="auto"/>
              </w:rPr>
              <w:t>Arthur L. Rosenthal</w:t>
            </w:r>
          </w:p>
        </w:tc>
        <w:tc>
          <w:tcPr>
            <w:tcW w:w="5560" w:type="dxa"/>
            <w:vAlign w:val="bottom"/>
          </w:tcPr>
          <w:p>
            <w:pPr>
              <w:jc w:val="right"/>
              <w:spacing w:after="0"/>
              <w:rPr>
                <w:sz w:val="20"/>
                <w:szCs w:val="20"/>
                <w:color w:val="auto"/>
              </w:rPr>
            </w:pPr>
            <w:r>
              <w:rPr>
                <w:rFonts w:ascii="Arial" w:cs="Arial" w:eastAsia="Arial" w:hAnsi="Arial"/>
                <w:sz w:val="16"/>
                <w:szCs w:val="16"/>
                <w:color w:val="auto"/>
              </w:rPr>
              <w:t>1,715</w:t>
            </w:r>
          </w:p>
        </w:tc>
      </w:tr>
      <w:tr>
        <w:trPr>
          <w:trHeight w:val="189"/>
        </w:trPr>
        <w:tc>
          <w:tcPr>
            <w:tcW w:w="5860" w:type="dxa"/>
            <w:vAlign w:val="bottom"/>
            <w:tcBorders>
              <w:bottom w:val="single" w:sz="8" w:color="6F2875"/>
            </w:tcBorders>
            <w:shd w:val="clear" w:color="auto" w:fill="F3EDF3"/>
          </w:tcPr>
          <w:p>
            <w:pPr>
              <w:ind w:left="60"/>
              <w:spacing w:after="0"/>
              <w:rPr>
                <w:sz w:val="20"/>
                <w:szCs w:val="20"/>
                <w:color w:val="auto"/>
              </w:rPr>
            </w:pPr>
            <w:r>
              <w:rPr>
                <w:rFonts w:ascii="Arial" w:cs="Arial" w:eastAsia="Arial" w:hAnsi="Arial"/>
                <w:sz w:val="16"/>
                <w:szCs w:val="16"/>
                <w:b w:val="1"/>
                <w:bCs w:val="1"/>
                <w:color w:val="auto"/>
              </w:rPr>
              <w:t>Andrea L. Saia</w:t>
            </w:r>
          </w:p>
        </w:tc>
        <w:tc>
          <w:tcPr>
            <w:tcW w:w="5560" w:type="dxa"/>
            <w:vAlign w:val="bottom"/>
            <w:tcBorders>
              <w:bottom w:val="single" w:sz="8" w:color="6F2875"/>
            </w:tcBorders>
            <w:shd w:val="clear" w:color="auto" w:fill="F3EDF3"/>
          </w:tcPr>
          <w:p>
            <w:pPr>
              <w:jc w:val="right"/>
              <w:spacing w:after="0"/>
              <w:rPr>
                <w:sz w:val="20"/>
                <w:szCs w:val="20"/>
                <w:color w:val="auto"/>
              </w:rPr>
            </w:pPr>
            <w:r>
              <w:rPr>
                <w:rFonts w:ascii="Arial" w:cs="Arial" w:eastAsia="Arial" w:hAnsi="Arial"/>
                <w:sz w:val="16"/>
                <w:szCs w:val="16"/>
                <w:color w:val="auto"/>
              </w:rPr>
              <w:t>1,715</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Narrative to the Director Compensation Table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231F20"/>
        </w:rPr>
        <w:t>Each non-employee director received the following cash compensation in the first half of the year ended December 31, 2017, payable quarterly in advance:</w:t>
      </w:r>
    </w:p>
    <w:p>
      <w:pPr>
        <w:spacing w:after="0" w:line="194"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16"/>
          <w:szCs w:val="16"/>
          <w:color w:val="6F2875"/>
        </w:rPr>
      </w:pPr>
      <w:r>
        <w:rPr>
          <w:rFonts w:ascii="Arial" w:cs="Arial" w:eastAsia="Arial" w:hAnsi="Arial"/>
          <w:sz w:val="16"/>
          <w:szCs w:val="16"/>
          <w:color w:val="231F20"/>
        </w:rPr>
        <w:t>a cash retainer of $30,000, plus an additional $30,000 for the chairman of our Board;</w:t>
      </w:r>
    </w:p>
    <w:p>
      <w:pPr>
        <w:spacing w:after="0" w:line="59" w:lineRule="exact"/>
        <w:rPr>
          <w:rFonts w:ascii="Arial" w:cs="Arial" w:eastAsia="Arial" w:hAnsi="Arial"/>
          <w:sz w:val="16"/>
          <w:szCs w:val="16"/>
          <w:color w:val="6F2875"/>
        </w:rPr>
      </w:pPr>
    </w:p>
    <w:p>
      <w:pPr>
        <w:ind w:left="180" w:hanging="172"/>
        <w:spacing w:after="0"/>
        <w:tabs>
          <w:tab w:leader="none" w:pos="180" w:val="left"/>
        </w:tabs>
        <w:numPr>
          <w:ilvl w:val="0"/>
          <w:numId w:val="49"/>
        </w:numPr>
        <w:rPr>
          <w:rFonts w:ascii="Arial" w:cs="Arial" w:eastAsia="Arial" w:hAnsi="Arial"/>
          <w:sz w:val="16"/>
          <w:szCs w:val="16"/>
          <w:color w:val="6F2875"/>
        </w:rPr>
      </w:pPr>
      <w:r>
        <w:rPr>
          <w:rFonts w:ascii="Arial" w:cs="Arial" w:eastAsia="Arial" w:hAnsi="Arial"/>
          <w:sz w:val="16"/>
          <w:szCs w:val="16"/>
          <w:color w:val="231F20"/>
        </w:rPr>
        <w:t>a cash retainer of $7,500 for each member of the Audit Committee, plus an additional $7,500 for the chair of the committee;</w:t>
      </w:r>
    </w:p>
    <w:p>
      <w:pPr>
        <w:spacing w:after="0" w:line="59" w:lineRule="exact"/>
        <w:rPr>
          <w:rFonts w:ascii="Arial" w:cs="Arial" w:eastAsia="Arial" w:hAnsi="Arial"/>
          <w:sz w:val="16"/>
          <w:szCs w:val="16"/>
          <w:color w:val="6F2875"/>
        </w:rPr>
      </w:pPr>
    </w:p>
    <w:p>
      <w:pPr>
        <w:ind w:left="180" w:hanging="172"/>
        <w:spacing w:after="0"/>
        <w:tabs>
          <w:tab w:leader="none" w:pos="180" w:val="left"/>
        </w:tabs>
        <w:numPr>
          <w:ilvl w:val="0"/>
          <w:numId w:val="49"/>
        </w:numPr>
        <w:rPr>
          <w:rFonts w:ascii="Arial" w:cs="Arial" w:eastAsia="Arial" w:hAnsi="Arial"/>
          <w:sz w:val="16"/>
          <w:szCs w:val="16"/>
          <w:color w:val="6F2875"/>
        </w:rPr>
      </w:pPr>
      <w:r>
        <w:rPr>
          <w:rFonts w:ascii="Arial" w:cs="Arial" w:eastAsia="Arial" w:hAnsi="Arial"/>
          <w:sz w:val="16"/>
          <w:szCs w:val="16"/>
          <w:color w:val="231F20"/>
        </w:rPr>
        <w:t>a cash retainer of $4,000 for each member of the Compensation Committee, plus an additional $6,000 for the chair of the committee; and</w:t>
      </w:r>
    </w:p>
    <w:p>
      <w:pPr>
        <w:spacing w:after="0" w:line="59" w:lineRule="exact"/>
        <w:rPr>
          <w:rFonts w:ascii="Arial" w:cs="Arial" w:eastAsia="Arial" w:hAnsi="Arial"/>
          <w:sz w:val="16"/>
          <w:szCs w:val="16"/>
          <w:color w:val="6F2875"/>
        </w:rPr>
      </w:pPr>
    </w:p>
    <w:p>
      <w:pPr>
        <w:ind w:left="180" w:hanging="172"/>
        <w:spacing w:after="0" w:line="250" w:lineRule="auto"/>
        <w:tabs>
          <w:tab w:leader="none" w:pos="180" w:val="left"/>
        </w:tabs>
        <w:numPr>
          <w:ilvl w:val="0"/>
          <w:numId w:val="49"/>
        </w:numPr>
        <w:rPr>
          <w:rFonts w:ascii="Arial" w:cs="Arial" w:eastAsia="Arial" w:hAnsi="Arial"/>
          <w:sz w:val="16"/>
          <w:szCs w:val="16"/>
          <w:color w:val="6F2875"/>
        </w:rPr>
      </w:pPr>
      <w:r>
        <w:rPr>
          <w:rFonts w:ascii="Arial" w:cs="Arial" w:eastAsia="Arial" w:hAnsi="Arial"/>
          <w:sz w:val="16"/>
          <w:szCs w:val="16"/>
          <w:color w:val="231F20"/>
        </w:rPr>
        <w:t>a cash retainer of $3,000 for each member of the Nominating and Corporate Governance Committee, plus an additional $4,500 for the chair of the committee.</w:t>
      </w:r>
    </w:p>
    <w:p>
      <w:pPr>
        <w:spacing w:after="0" w:line="3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In May 2017, the Board amended the Non-Employee Director Compensation Policy (the “Policy”). The amended Policy increased the cash retainer and decreased the annual equity award value payable to each non-employee director, leaving the sum of the cash retainer and annual equity award value unchanged.</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Following the adoption of the amended Policy, during the second half of the year ended December 31, 2017, each non-employee director received the following cash compensation, paid quarterly in advance:</w:t>
      </w:r>
    </w:p>
    <w:p>
      <w:pPr>
        <w:spacing w:after="0" w:line="169"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6"/>
          <w:szCs w:val="16"/>
          <w:color w:val="6F2875"/>
        </w:rPr>
      </w:pPr>
      <w:r>
        <w:rPr>
          <w:rFonts w:ascii="Arial" w:cs="Arial" w:eastAsia="Arial" w:hAnsi="Arial"/>
          <w:sz w:val="16"/>
          <w:szCs w:val="16"/>
          <w:color w:val="231F20"/>
        </w:rPr>
        <w:t>a cash retainer of $55,000, plus an additional $37,500 for the chairman of our Board;</w:t>
      </w:r>
    </w:p>
    <w:p>
      <w:pPr>
        <w:spacing w:after="0" w:line="188" w:lineRule="exact"/>
        <w:rPr>
          <w:sz w:val="20"/>
          <w:szCs w:val="20"/>
          <w:color w:val="auto"/>
        </w:rPr>
      </w:pPr>
    </w:p>
    <w:p>
      <w:pPr>
        <w:spacing w:after="0"/>
        <w:tabs>
          <w:tab w:leader="none" w:pos="4220" w:val="left"/>
          <w:tab w:leader="none" w:pos="9960" w:val="left"/>
        </w:tabs>
        <w:rPr>
          <w:sz w:val="20"/>
          <w:szCs w:val="20"/>
          <w:color w:val="auto"/>
        </w:rPr>
      </w:pPr>
      <w:r>
        <w:rPr>
          <w:rFonts w:ascii="Arial" w:cs="Arial" w:eastAsia="Arial" w:hAnsi="Arial"/>
          <w:sz w:val="16"/>
          <w:szCs w:val="16"/>
          <w:b w:val="1"/>
          <w:bCs w:val="1"/>
          <w:color w:val="auto"/>
        </w:rPr>
        <w:t>46</w:t>
      </w:r>
      <w:r>
        <w:rPr>
          <w:sz w:val="20"/>
          <w:szCs w:val="20"/>
          <w:color w:val="auto"/>
        </w:rPr>
        <w:tab/>
      </w: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r>
        <w:rPr>
          <w:sz w:val="20"/>
          <w:szCs w:val="20"/>
          <w:color w:val="auto"/>
        </w:rPr>
        <w:tab/>
      </w:r>
      <w:r>
        <w:rPr>
          <w:rFonts w:ascii="Arial" w:cs="Arial" w:eastAsia="Arial" w:hAnsi="Arial"/>
          <w:sz w:val="16"/>
          <w:szCs w:val="16"/>
          <w:b w:val="1"/>
          <w:bCs w:val="1"/>
          <w:color w:val="6F2875"/>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-36195</wp:posOffset>
            </wp:positionV>
            <wp:extent cx="1663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-36195</wp:posOffset>
            </wp:positionV>
            <wp:extent cx="23241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180" w:hanging="172"/>
        <w:spacing w:after="0"/>
        <w:tabs>
          <w:tab w:leader="none" w:pos="180" w:val="left"/>
        </w:tabs>
        <w:numPr>
          <w:ilvl w:val="0"/>
          <w:numId w:val="51"/>
        </w:numPr>
        <w:rPr>
          <w:rFonts w:ascii="Arial" w:cs="Arial" w:eastAsia="Arial" w:hAnsi="Arial"/>
          <w:sz w:val="16"/>
          <w:szCs w:val="16"/>
          <w:color w:val="6F2875"/>
        </w:rPr>
      </w:pPr>
      <w:r>
        <w:rPr>
          <w:rFonts w:ascii="Arial" w:cs="Arial" w:eastAsia="Arial" w:hAnsi="Arial"/>
          <w:sz w:val="16"/>
          <w:szCs w:val="16"/>
          <w:color w:val="231F20"/>
        </w:rPr>
        <w:t>a cash retainer of $7,500 for each member of the Audit Committee, plus an additional $7,500 for the chair of the committee;</w:t>
      </w:r>
    </w:p>
    <w:p>
      <w:pPr>
        <w:spacing w:after="0" w:line="59" w:lineRule="exact"/>
        <w:rPr>
          <w:rFonts w:ascii="Arial" w:cs="Arial" w:eastAsia="Arial" w:hAnsi="Arial"/>
          <w:sz w:val="16"/>
          <w:szCs w:val="16"/>
          <w:color w:val="6F2875"/>
        </w:rPr>
      </w:pPr>
    </w:p>
    <w:p>
      <w:pPr>
        <w:ind w:left="180" w:hanging="172"/>
        <w:spacing w:after="0"/>
        <w:tabs>
          <w:tab w:leader="none" w:pos="180" w:val="left"/>
        </w:tabs>
        <w:numPr>
          <w:ilvl w:val="0"/>
          <w:numId w:val="51"/>
        </w:numPr>
        <w:rPr>
          <w:rFonts w:ascii="Arial" w:cs="Arial" w:eastAsia="Arial" w:hAnsi="Arial"/>
          <w:sz w:val="16"/>
          <w:szCs w:val="16"/>
          <w:color w:val="6F2875"/>
        </w:rPr>
      </w:pPr>
      <w:r>
        <w:rPr>
          <w:rFonts w:ascii="Arial" w:cs="Arial" w:eastAsia="Arial" w:hAnsi="Arial"/>
          <w:sz w:val="16"/>
          <w:szCs w:val="16"/>
          <w:color w:val="231F20"/>
        </w:rPr>
        <w:t>a cash retainer of $4,000 for each member of the Compensation Committee, plus an additional $6,000 for the chair of the committee; and</w:t>
      </w:r>
    </w:p>
    <w:p>
      <w:pPr>
        <w:spacing w:after="0" w:line="59" w:lineRule="exact"/>
        <w:rPr>
          <w:rFonts w:ascii="Arial" w:cs="Arial" w:eastAsia="Arial" w:hAnsi="Arial"/>
          <w:sz w:val="16"/>
          <w:szCs w:val="16"/>
          <w:color w:val="6F2875"/>
        </w:rPr>
      </w:pPr>
    </w:p>
    <w:p>
      <w:pPr>
        <w:ind w:left="180" w:hanging="172"/>
        <w:spacing w:after="0" w:line="250" w:lineRule="auto"/>
        <w:tabs>
          <w:tab w:leader="none" w:pos="180" w:val="left"/>
        </w:tabs>
        <w:numPr>
          <w:ilvl w:val="0"/>
          <w:numId w:val="51"/>
        </w:numPr>
        <w:rPr>
          <w:rFonts w:ascii="Arial" w:cs="Arial" w:eastAsia="Arial" w:hAnsi="Arial"/>
          <w:sz w:val="16"/>
          <w:szCs w:val="16"/>
          <w:color w:val="6F2875"/>
        </w:rPr>
      </w:pPr>
      <w:r>
        <w:rPr>
          <w:rFonts w:ascii="Arial" w:cs="Arial" w:eastAsia="Arial" w:hAnsi="Arial"/>
          <w:sz w:val="16"/>
          <w:szCs w:val="16"/>
          <w:color w:val="231F20"/>
        </w:rPr>
        <w:t>a cash retainer of $3,000 for each member of the Nominating and Corporate Governance Committee, plus an additional $4,500 for the chair of the committee.</w:t>
      </w:r>
    </w:p>
    <w:p>
      <w:pPr>
        <w:spacing w:after="0" w:line="3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Pursuant to the amended Policy, each non-employee director is entitled to receive an annual equity award of RSUs, vesting one year from the grant date, having a grant-date value of $110,000 ($160,000 prior to the Policy amendment), plus an additional $75,000 ($130,000 prior to the Policy amendment) for the chairman of the Board. The Board was unable to approve its annual equity awards following the AGM of shareholders during June 2017 due to our decision to close the trading window to certain insiders and our policy not to grant equity awards during a closed trading window. The trading window was re-opened in December 2017, and the Board approved the awards shown in the table. The value of the awards was increased in a one-time adjustment commensurate with the value lost due to the increase in our stock price during the period between August and December 2017.</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231F20"/>
        </w:rPr>
        <w:t>The RSUs shown in the table will vest on the earlier of (i) December 15, 2018 and (ii) the date of a Change in Control.</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Borders>
              <w:bottom w:val="single" w:sz="8" w:color="auto"/>
            </w:tcBorders>
          </w:tcPr>
          <w:p>
            <w:pPr>
              <w:spacing w:after="0"/>
              <w:rPr>
                <w:sz w:val="10"/>
                <w:szCs w:val="10"/>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47</w:t>
            </w:r>
          </w:p>
        </w:tc>
        <w:tc>
          <w:tcPr>
            <w:tcW w:w="0" w:type="dxa"/>
            <w:vAlign w:val="bottom"/>
          </w:tcPr>
          <w:p>
            <w:pPr>
              <w:spacing w:after="0"/>
              <w:rPr>
                <w:sz w:val="1"/>
                <w:szCs w:val="1"/>
                <w:color w:val="auto"/>
              </w:rPr>
            </w:pPr>
          </w:p>
        </w:tc>
      </w:tr>
      <w:tr>
        <w:trPr>
          <w:trHeight w:val="69"/>
        </w:trPr>
        <w:tc>
          <w:tcPr>
            <w:tcW w:w="40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47"/>
          <w:szCs w:val="47"/>
          <w:b w:val="1"/>
          <w:bCs w:val="1"/>
          <w:color w:val="6F2875"/>
        </w:rPr>
        <w:t xml:space="preserve">Audit </w:t>
      </w:r>
      <w:r>
        <w:rPr>
          <w:rFonts w:ascii="Arial" w:cs="Arial" w:eastAsia="Arial" w:hAnsi="Arial"/>
          <w:sz w:val="47"/>
          <w:szCs w:val="47"/>
          <w:b w:val="1"/>
          <w:bCs w:val="1"/>
          <w:color w:val="818285"/>
        </w:rPr>
        <w:t>Matters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Changes in Independent Auditor</w:t>
      </w:r>
    </w:p>
    <w:p>
      <w:pPr>
        <w:spacing w:after="0" w:line="327"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PricewaterhouseCoopers S.p.A.</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231F20"/>
        </w:rPr>
        <w:t>On March 23, 2018, the Audit and Compliance Committee formally dismissed PricewaterhouseCoopers S.p.A., an Italian entity (“PwC Italy”) as our independent registered public accounting firm, and it separately approved the engagement with PricewaterhouseCoopers LLP, a Delaware limited liability partnership (“PwC USA”). This decision was made by the committee to better align with our restructuring and centralization of our accounting function in our Houston office.</w:t>
      </w:r>
    </w:p>
    <w:p>
      <w:pPr>
        <w:spacing w:after="0" w:line="3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reports of PwC Italy on our financial statements for each of the years ended December 31, 2016 and December 31, 2017 did not contain an adverse opinion or a disclaimer of opinion, nor were they qualified or modified as to uncertainty, audit scope or accounting principles. During each of the years ended December 31, 2016 and 2017 and during the subsequent interim periods through the appointment date:</w:t>
      </w:r>
    </w:p>
    <w:p>
      <w:pPr>
        <w:spacing w:after="0" w:line="174" w:lineRule="exact"/>
        <w:rPr>
          <w:sz w:val="20"/>
          <w:szCs w:val="20"/>
          <w:color w:val="auto"/>
        </w:rPr>
      </w:pPr>
    </w:p>
    <w:p>
      <w:pPr>
        <w:jc w:val="both"/>
        <w:ind w:left="180" w:hanging="172"/>
        <w:spacing w:after="0" w:line="252" w:lineRule="auto"/>
        <w:tabs>
          <w:tab w:leader="none" w:pos="180" w:val="left"/>
        </w:tabs>
        <w:numPr>
          <w:ilvl w:val="0"/>
          <w:numId w:val="52"/>
        </w:numPr>
        <w:rPr>
          <w:rFonts w:ascii="Arial" w:cs="Arial" w:eastAsia="Arial" w:hAnsi="Arial"/>
          <w:sz w:val="16"/>
          <w:szCs w:val="16"/>
          <w:color w:val="6F2875"/>
        </w:rPr>
      </w:pPr>
      <w:r>
        <w:rPr>
          <w:rFonts w:ascii="Arial" w:cs="Arial" w:eastAsia="Arial" w:hAnsi="Arial"/>
          <w:sz w:val="16"/>
          <w:szCs w:val="16"/>
          <w:color w:val="231F20"/>
        </w:rPr>
        <w:t>there were no “disagreements” (as that term is defined in Item 304(a)(1)(iv) of SEC Regulation S-K and the instructions to Item 304) between us and PwC Italy on any matters of accounting principles or practices, financial statement disclosure, or auditing scope or procedures, which disagreements, if not resolved to PwC Italy’s satisfaction would have caused PwC Italy to make reference to the subject matter of the disagreement(s) in connection with its report.</w:t>
      </w:r>
    </w:p>
    <w:p>
      <w:pPr>
        <w:spacing w:after="0" w:line="230" w:lineRule="exact"/>
        <w:rPr>
          <w:rFonts w:ascii="Arial" w:cs="Arial" w:eastAsia="Arial" w:hAnsi="Arial"/>
          <w:sz w:val="16"/>
          <w:szCs w:val="16"/>
          <w:color w:val="6F2875"/>
        </w:rPr>
      </w:pPr>
    </w:p>
    <w:p>
      <w:pPr>
        <w:ind w:left="180" w:hanging="172"/>
        <w:spacing w:after="0"/>
        <w:tabs>
          <w:tab w:leader="none" w:pos="180" w:val="left"/>
        </w:tabs>
        <w:numPr>
          <w:ilvl w:val="0"/>
          <w:numId w:val="52"/>
        </w:numPr>
        <w:rPr>
          <w:rFonts w:ascii="Arial" w:cs="Arial" w:eastAsia="Arial" w:hAnsi="Arial"/>
          <w:sz w:val="16"/>
          <w:szCs w:val="16"/>
          <w:color w:val="6F2875"/>
        </w:rPr>
      </w:pPr>
      <w:r>
        <w:rPr>
          <w:rFonts w:ascii="Arial" w:cs="Arial" w:eastAsia="Arial" w:hAnsi="Arial"/>
          <w:sz w:val="16"/>
          <w:szCs w:val="16"/>
          <w:color w:val="231F20"/>
        </w:rPr>
        <w:t>there were no “reportable events” (as that term is defined in Item 304(a)(1)(v) of Regulation S-K).</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Company requested that PwC Italy furnish a letter addressed to the SEC stating whether or not it agrees with the above statements and, if not, stating the respects in which it does not agree. The letter received from PwC Italy in response was filed as Exhibit 16.1 to the Current Report on Form 8-K that we filed with the SEC on March 26, 2018.</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PricewaterhouseCoopers LLP</w:t>
      </w:r>
    </w:p>
    <w:p>
      <w:pPr>
        <w:spacing w:after="0" w:line="23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231F20"/>
        </w:rPr>
        <w:t>PwC USA participated in a portion of the audit of the Company’s consolidated financial statements for the years ended December 31, 2017 and December 31, 2016. During the Company’s two most recent years ended December 31, 2017 and December 31, 2016 and in the subsequent interim period through March 23, 2018, other than in the normal course of the audit, neither we nor anyone on our behalf consulted with PwC USA regarding (i) the application of accounting principles to a specified transaction, either completed or proposed, or the type of audit opinion that might be rendered on our consolidated financial statements, and neither a written report was provided to us nor oral advice was provided that PwC USA concluded was an important factor considered by us in reaching a decision as to the accounting, auditing or financial reporting issue, or (ii) any matter that was either the subject of a disagreement (as defined in Item 304(a)(1)</w:t>
      </w:r>
    </w:p>
    <w:p>
      <w:pPr>
        <w:spacing w:after="0" w:line="3" w:lineRule="exact"/>
        <w:rPr>
          <w:sz w:val="20"/>
          <w:szCs w:val="20"/>
          <w:color w:val="auto"/>
        </w:rPr>
      </w:pPr>
    </w:p>
    <w:p>
      <w:pPr>
        <w:ind w:firstLine="8"/>
        <w:spacing w:after="0" w:line="260" w:lineRule="auto"/>
        <w:tabs>
          <w:tab w:leader="none" w:pos="281" w:val="left"/>
        </w:tabs>
        <w:numPr>
          <w:ilvl w:val="0"/>
          <w:numId w:val="53"/>
        </w:numPr>
        <w:rPr>
          <w:rFonts w:ascii="Arial" w:cs="Arial" w:eastAsia="Arial" w:hAnsi="Arial"/>
          <w:sz w:val="16"/>
          <w:szCs w:val="16"/>
          <w:color w:val="231F20"/>
        </w:rPr>
      </w:pPr>
      <w:r>
        <w:rPr>
          <w:rFonts w:ascii="Arial" w:cs="Arial" w:eastAsia="Arial" w:hAnsi="Arial"/>
          <w:sz w:val="16"/>
          <w:szCs w:val="16"/>
          <w:color w:val="231F20"/>
        </w:rPr>
        <w:t>of SEC Regulation S-K and the instructions to Item 304) or a reportable event (as defined in Item 304(a)(1)(v) of SEC Regulation S-K). We provided the disclosure required by Item 304 to PwC Italy.</w:t>
      </w:r>
    </w:p>
    <w:p>
      <w:pPr>
        <w:spacing w:after="0" w:line="360"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Fees Paid to PricewaterhouseCoopers</w:t>
      </w:r>
    </w:p>
    <w:p>
      <w:pPr>
        <w:spacing w:after="0" w:line="359"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The following table summarizes the aggregate fees billed to us by PwC Italy and PwC UK and their respective network member firms for services performed in connection with the financial year ended December 31, 2017 and the financial year ended December 31, 2016:</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0" w:type="dxa"/>
            <w:vAlign w:val="bottom"/>
          </w:tcPr>
          <w:p>
            <w:pPr>
              <w:spacing w:after="0"/>
              <w:rPr>
                <w:sz w:val="16"/>
                <w:szCs w:val="16"/>
                <w:color w:val="auto"/>
              </w:rPr>
            </w:pPr>
          </w:p>
        </w:tc>
        <w:tc>
          <w:tcPr>
            <w:tcW w:w="484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6F2875"/>
              </w:rPr>
              <w:t>Year Ended</w:t>
            </w:r>
          </w:p>
        </w:tc>
        <w:tc>
          <w:tcPr>
            <w:tcW w:w="19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6F2875"/>
              </w:rPr>
              <w:t>Year Ended</w:t>
            </w:r>
          </w:p>
        </w:tc>
      </w:tr>
      <w:tr>
        <w:trPr>
          <w:trHeight w:val="207"/>
        </w:trPr>
        <w:tc>
          <w:tcPr>
            <w:tcW w:w="4600" w:type="dxa"/>
            <w:vAlign w:val="bottom"/>
            <w:tcBorders>
              <w:bottom w:val="single" w:sz="8" w:color="6F2875"/>
            </w:tcBorders>
          </w:tcPr>
          <w:p>
            <w:pPr>
              <w:ind w:left="60"/>
              <w:spacing w:after="0"/>
              <w:rPr>
                <w:sz w:val="20"/>
                <w:szCs w:val="20"/>
                <w:color w:val="auto"/>
              </w:rPr>
            </w:pPr>
            <w:r>
              <w:rPr>
                <w:rFonts w:ascii="Arial" w:cs="Arial" w:eastAsia="Arial" w:hAnsi="Arial"/>
                <w:sz w:val="16"/>
                <w:szCs w:val="16"/>
                <w:b w:val="1"/>
                <w:bCs w:val="1"/>
                <w:i w:val="1"/>
                <w:iCs w:val="1"/>
                <w:color w:val="auto"/>
              </w:rPr>
              <w:t>(in thousands)</w:t>
            </w:r>
          </w:p>
        </w:tc>
        <w:tc>
          <w:tcPr>
            <w:tcW w:w="4840" w:type="dxa"/>
            <w:vAlign w:val="bottom"/>
            <w:tcBorders>
              <w:bottom w:val="single" w:sz="8" w:color="6F2875"/>
            </w:tcBorders>
            <w:gridSpan w:val="2"/>
          </w:tcPr>
          <w:p>
            <w:pPr>
              <w:jc w:val="right"/>
              <w:ind w:right="319"/>
              <w:spacing w:after="0"/>
              <w:rPr>
                <w:sz w:val="20"/>
                <w:szCs w:val="20"/>
                <w:color w:val="auto"/>
              </w:rPr>
            </w:pPr>
            <w:r>
              <w:rPr>
                <w:rFonts w:ascii="Arial" w:cs="Arial" w:eastAsia="Arial" w:hAnsi="Arial"/>
                <w:sz w:val="16"/>
                <w:szCs w:val="16"/>
                <w:b w:val="1"/>
                <w:bCs w:val="1"/>
                <w:color w:val="6F2875"/>
              </w:rPr>
              <w:t>December 31, 2017</w:t>
            </w:r>
          </w:p>
        </w:tc>
        <w:tc>
          <w:tcPr>
            <w:tcW w:w="1980" w:type="dxa"/>
            <w:vAlign w:val="bottom"/>
            <w:tcBorders>
              <w:bottom w:val="single" w:sz="8" w:color="6F2875"/>
            </w:tcBorders>
            <w:gridSpan w:val="2"/>
          </w:tcPr>
          <w:p>
            <w:pPr>
              <w:jc w:val="right"/>
              <w:ind w:right="19"/>
              <w:spacing w:after="0"/>
              <w:rPr>
                <w:sz w:val="20"/>
                <w:szCs w:val="20"/>
                <w:color w:val="auto"/>
              </w:rPr>
            </w:pPr>
            <w:r>
              <w:rPr>
                <w:rFonts w:ascii="Arial" w:cs="Arial" w:eastAsia="Arial" w:hAnsi="Arial"/>
                <w:sz w:val="16"/>
                <w:szCs w:val="16"/>
                <w:b w:val="1"/>
                <w:bCs w:val="1"/>
                <w:color w:val="6F2875"/>
              </w:rPr>
              <w:t>December 31, 2016</w:t>
            </w:r>
          </w:p>
        </w:tc>
      </w:tr>
      <w:tr>
        <w:trPr>
          <w:trHeight w:val="223"/>
        </w:trPr>
        <w:tc>
          <w:tcPr>
            <w:tcW w:w="4600" w:type="dxa"/>
            <w:vAlign w:val="bottom"/>
          </w:tcPr>
          <w:p>
            <w:pPr>
              <w:ind w:left="60"/>
              <w:spacing w:after="0" w:line="223" w:lineRule="exact"/>
              <w:rPr>
                <w:sz w:val="20"/>
                <w:szCs w:val="20"/>
                <w:color w:val="auto"/>
              </w:rPr>
            </w:pPr>
            <w:r>
              <w:rPr>
                <w:rFonts w:ascii="Arial" w:cs="Arial" w:eastAsia="Arial" w:hAnsi="Arial"/>
                <w:sz w:val="15"/>
                <w:szCs w:val="15"/>
                <w:color w:val="auto"/>
              </w:rPr>
              <w:t>Audit Fees</w:t>
            </w:r>
            <w:r>
              <w:rPr>
                <w:rFonts w:ascii="Arial" w:cs="Arial" w:eastAsia="Arial" w:hAnsi="Arial"/>
                <w:sz w:val="25"/>
                <w:szCs w:val="25"/>
                <w:color w:val="auto"/>
                <w:vertAlign w:val="superscript"/>
              </w:rPr>
              <w:t>(1)</w:t>
            </w:r>
          </w:p>
        </w:tc>
        <w:tc>
          <w:tcPr>
            <w:tcW w:w="39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19"/>
              <w:spacing w:after="0"/>
              <w:rPr>
                <w:sz w:val="20"/>
                <w:szCs w:val="20"/>
                <w:color w:val="auto"/>
              </w:rPr>
            </w:pPr>
            <w:r>
              <w:rPr>
                <w:rFonts w:ascii="Arial" w:cs="Arial" w:eastAsia="Arial" w:hAnsi="Arial"/>
                <w:sz w:val="16"/>
                <w:szCs w:val="16"/>
                <w:color w:val="auto"/>
              </w:rPr>
              <w:t>4,111</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4,342</w:t>
            </w:r>
          </w:p>
        </w:tc>
      </w:tr>
      <w:tr>
        <w:trPr>
          <w:trHeight w:val="230"/>
        </w:trPr>
        <w:tc>
          <w:tcPr>
            <w:tcW w:w="4600" w:type="dxa"/>
            <w:vAlign w:val="bottom"/>
            <w:shd w:val="clear" w:color="auto" w:fill="F3EDF3"/>
          </w:tcPr>
          <w:p>
            <w:pPr>
              <w:ind w:left="60"/>
              <w:spacing w:after="0" w:line="230" w:lineRule="exact"/>
              <w:rPr>
                <w:sz w:val="20"/>
                <w:szCs w:val="20"/>
                <w:color w:val="auto"/>
              </w:rPr>
            </w:pPr>
            <w:r>
              <w:rPr>
                <w:rFonts w:ascii="Arial" w:cs="Arial" w:eastAsia="Arial" w:hAnsi="Arial"/>
                <w:sz w:val="16"/>
                <w:szCs w:val="16"/>
                <w:color w:val="auto"/>
              </w:rPr>
              <w:t>Audit-Related Fees</w:t>
            </w:r>
            <w:r>
              <w:rPr>
                <w:rFonts w:ascii="Arial" w:cs="Arial" w:eastAsia="Arial" w:hAnsi="Arial"/>
                <w:sz w:val="26"/>
                <w:szCs w:val="26"/>
                <w:color w:val="auto"/>
                <w:vertAlign w:val="superscript"/>
              </w:rPr>
              <w:t>(2)</w:t>
            </w:r>
          </w:p>
        </w:tc>
        <w:tc>
          <w:tcPr>
            <w:tcW w:w="3960" w:type="dxa"/>
            <w:vAlign w:val="bottom"/>
            <w:shd w:val="clear" w:color="auto" w:fill="F3EDF3"/>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F3EDF3"/>
          </w:tcPr>
          <w:p>
            <w:pPr>
              <w:jc w:val="right"/>
              <w:ind w:right="319"/>
              <w:spacing w:after="0"/>
              <w:rPr>
                <w:sz w:val="20"/>
                <w:szCs w:val="20"/>
                <w:color w:val="auto"/>
              </w:rPr>
            </w:pPr>
            <w:r>
              <w:rPr>
                <w:rFonts w:ascii="Arial" w:cs="Arial" w:eastAsia="Arial" w:hAnsi="Arial"/>
                <w:sz w:val="16"/>
                <w:szCs w:val="16"/>
                <w:color w:val="auto"/>
              </w:rPr>
              <w:t>765</w:t>
            </w:r>
          </w:p>
        </w:tc>
        <w:tc>
          <w:tcPr>
            <w:tcW w:w="1380" w:type="dxa"/>
            <w:vAlign w:val="bottom"/>
            <w:shd w:val="clear" w:color="auto" w:fill="F3EDF3"/>
          </w:tcPr>
          <w:p>
            <w:pPr>
              <w:spacing w:after="0"/>
              <w:rPr>
                <w:sz w:val="19"/>
                <w:szCs w:val="19"/>
                <w:color w:val="auto"/>
              </w:rPr>
            </w:pPr>
          </w:p>
        </w:tc>
        <w:tc>
          <w:tcPr>
            <w:tcW w:w="600" w:type="dxa"/>
            <w:vAlign w:val="bottom"/>
            <w:shd w:val="clear" w:color="auto" w:fill="F3EDF3"/>
          </w:tcPr>
          <w:p>
            <w:pPr>
              <w:jc w:val="right"/>
              <w:ind w:right="19"/>
              <w:spacing w:after="0"/>
              <w:rPr>
                <w:sz w:val="20"/>
                <w:szCs w:val="20"/>
                <w:color w:val="auto"/>
              </w:rPr>
            </w:pPr>
            <w:r>
              <w:rPr>
                <w:rFonts w:ascii="Arial" w:cs="Arial" w:eastAsia="Arial" w:hAnsi="Arial"/>
                <w:sz w:val="16"/>
                <w:szCs w:val="16"/>
                <w:color w:val="auto"/>
              </w:rPr>
              <w:t>0</w:t>
            </w:r>
          </w:p>
        </w:tc>
      </w:tr>
      <w:tr>
        <w:trPr>
          <w:trHeight w:val="230"/>
        </w:trPr>
        <w:tc>
          <w:tcPr>
            <w:tcW w:w="4600" w:type="dxa"/>
            <w:vAlign w:val="bottom"/>
          </w:tcPr>
          <w:p>
            <w:pPr>
              <w:ind w:left="60"/>
              <w:spacing w:after="0" w:line="230" w:lineRule="exact"/>
              <w:rPr>
                <w:sz w:val="20"/>
                <w:szCs w:val="20"/>
                <w:color w:val="auto"/>
              </w:rPr>
            </w:pPr>
            <w:r>
              <w:rPr>
                <w:rFonts w:ascii="Arial" w:cs="Arial" w:eastAsia="Arial" w:hAnsi="Arial"/>
                <w:sz w:val="16"/>
                <w:szCs w:val="16"/>
                <w:color w:val="auto"/>
              </w:rPr>
              <w:t>Tax Fees</w:t>
            </w:r>
            <w:r>
              <w:rPr>
                <w:rFonts w:ascii="Arial" w:cs="Arial" w:eastAsia="Arial" w:hAnsi="Arial"/>
                <w:sz w:val="26"/>
                <w:szCs w:val="26"/>
                <w:color w:val="auto"/>
                <w:vertAlign w:val="superscript"/>
              </w:rPr>
              <w:t>(3)</w:t>
            </w:r>
          </w:p>
        </w:tc>
        <w:tc>
          <w:tcPr>
            <w:tcW w:w="39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19"/>
              <w:spacing w:after="0"/>
              <w:rPr>
                <w:sz w:val="20"/>
                <w:szCs w:val="20"/>
                <w:color w:val="auto"/>
              </w:rPr>
            </w:pPr>
            <w:r>
              <w:rPr>
                <w:rFonts w:ascii="Arial" w:cs="Arial" w:eastAsia="Arial" w:hAnsi="Arial"/>
                <w:sz w:val="16"/>
                <w:szCs w:val="16"/>
                <w:color w:val="auto"/>
              </w:rPr>
              <w:t>50</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230"/>
        </w:trPr>
        <w:tc>
          <w:tcPr>
            <w:tcW w:w="4600" w:type="dxa"/>
            <w:vAlign w:val="bottom"/>
            <w:tcBorders>
              <w:bottom w:val="single" w:sz="8" w:color="6F2875"/>
            </w:tcBorders>
            <w:shd w:val="clear" w:color="auto" w:fill="F3EDF3"/>
          </w:tcPr>
          <w:p>
            <w:pPr>
              <w:ind w:left="60"/>
              <w:spacing w:after="0" w:line="230" w:lineRule="exact"/>
              <w:rPr>
                <w:sz w:val="20"/>
                <w:szCs w:val="20"/>
                <w:color w:val="auto"/>
              </w:rPr>
            </w:pPr>
            <w:r>
              <w:rPr>
                <w:rFonts w:ascii="Arial" w:cs="Arial" w:eastAsia="Arial" w:hAnsi="Arial"/>
                <w:sz w:val="16"/>
                <w:szCs w:val="16"/>
                <w:color w:val="auto"/>
              </w:rPr>
              <w:t>All Other Fees</w:t>
            </w:r>
            <w:r>
              <w:rPr>
                <w:rFonts w:ascii="Arial" w:cs="Arial" w:eastAsia="Arial" w:hAnsi="Arial"/>
                <w:sz w:val="26"/>
                <w:szCs w:val="26"/>
                <w:color w:val="auto"/>
                <w:vertAlign w:val="superscript"/>
              </w:rPr>
              <w:t>(4)</w:t>
            </w:r>
          </w:p>
        </w:tc>
        <w:tc>
          <w:tcPr>
            <w:tcW w:w="3960" w:type="dxa"/>
            <w:vAlign w:val="bottom"/>
            <w:tcBorders>
              <w:bottom w:val="single" w:sz="8" w:color="6F2875"/>
            </w:tcBorders>
            <w:shd w:val="clear" w:color="auto" w:fill="F3EDF3"/>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6F2875"/>
            </w:tcBorders>
            <w:shd w:val="clear" w:color="auto" w:fill="F3EDF3"/>
          </w:tcPr>
          <w:p>
            <w:pPr>
              <w:jc w:val="right"/>
              <w:ind w:right="319"/>
              <w:spacing w:after="0"/>
              <w:rPr>
                <w:sz w:val="20"/>
                <w:szCs w:val="20"/>
                <w:color w:val="auto"/>
              </w:rPr>
            </w:pPr>
            <w:r>
              <w:rPr>
                <w:rFonts w:ascii="Arial" w:cs="Arial" w:eastAsia="Arial" w:hAnsi="Arial"/>
                <w:sz w:val="16"/>
                <w:szCs w:val="16"/>
                <w:color w:val="auto"/>
              </w:rPr>
              <w:t>633</w:t>
            </w:r>
          </w:p>
        </w:tc>
        <w:tc>
          <w:tcPr>
            <w:tcW w:w="1380" w:type="dxa"/>
            <w:vAlign w:val="bottom"/>
            <w:tcBorders>
              <w:bottom w:val="single" w:sz="8" w:color="6F2875"/>
            </w:tcBorders>
            <w:shd w:val="clear" w:color="auto" w:fill="F3EDF3"/>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6F2875"/>
            </w:tcBorders>
            <w:shd w:val="clear" w:color="auto" w:fill="F3EDF3"/>
          </w:tcPr>
          <w:p>
            <w:pPr>
              <w:jc w:val="right"/>
              <w:ind w:right="19"/>
              <w:spacing w:after="0"/>
              <w:rPr>
                <w:sz w:val="20"/>
                <w:szCs w:val="20"/>
                <w:color w:val="auto"/>
              </w:rPr>
            </w:pPr>
            <w:r>
              <w:rPr>
                <w:rFonts w:ascii="Arial" w:cs="Arial" w:eastAsia="Arial" w:hAnsi="Arial"/>
                <w:sz w:val="16"/>
                <w:szCs w:val="16"/>
                <w:color w:val="auto"/>
              </w:rPr>
              <w:t>543</w:t>
            </w:r>
          </w:p>
        </w:tc>
      </w:tr>
      <w:tr>
        <w:trPr>
          <w:trHeight w:val="183"/>
        </w:trPr>
        <w:tc>
          <w:tcPr>
            <w:tcW w:w="4600" w:type="dxa"/>
            <w:vAlign w:val="bottom"/>
            <w:tcBorders>
              <w:bottom w:val="single" w:sz="8" w:color="6F2875"/>
            </w:tcBorders>
          </w:tcPr>
          <w:p>
            <w:pPr>
              <w:ind w:left="60"/>
              <w:spacing w:after="0" w:line="183" w:lineRule="exact"/>
              <w:rPr>
                <w:sz w:val="20"/>
                <w:szCs w:val="20"/>
                <w:color w:val="auto"/>
              </w:rPr>
            </w:pPr>
            <w:r>
              <w:rPr>
                <w:rFonts w:ascii="Arial" w:cs="Arial" w:eastAsia="Arial" w:hAnsi="Arial"/>
                <w:sz w:val="16"/>
                <w:szCs w:val="16"/>
                <w:b w:val="1"/>
                <w:bCs w:val="1"/>
                <w:color w:val="6F2875"/>
              </w:rPr>
              <w:t>TOTAL</w:t>
            </w:r>
          </w:p>
        </w:tc>
        <w:tc>
          <w:tcPr>
            <w:tcW w:w="3960" w:type="dxa"/>
            <w:vAlign w:val="bottom"/>
            <w:tcBorders>
              <w:bottom w:val="single" w:sz="8" w:color="6F2875"/>
            </w:tcBorders>
          </w:tcPr>
          <w:p>
            <w:pPr>
              <w:jc w:val="right"/>
              <w:spacing w:after="0" w:line="183" w:lineRule="exact"/>
              <w:rPr>
                <w:sz w:val="20"/>
                <w:szCs w:val="20"/>
                <w:color w:val="auto"/>
              </w:rPr>
            </w:pPr>
            <w:r>
              <w:rPr>
                <w:rFonts w:ascii="Arial" w:cs="Arial" w:eastAsia="Arial" w:hAnsi="Arial"/>
                <w:sz w:val="16"/>
                <w:szCs w:val="16"/>
                <w:b w:val="1"/>
                <w:bCs w:val="1"/>
                <w:color w:val="6F2875"/>
              </w:rPr>
              <w:t>$</w:t>
            </w:r>
          </w:p>
        </w:tc>
        <w:tc>
          <w:tcPr>
            <w:tcW w:w="880" w:type="dxa"/>
            <w:vAlign w:val="bottom"/>
            <w:tcBorders>
              <w:bottom w:val="single" w:sz="8" w:color="6F2875"/>
            </w:tcBorders>
          </w:tcPr>
          <w:p>
            <w:pPr>
              <w:jc w:val="right"/>
              <w:ind w:right="319"/>
              <w:spacing w:after="0" w:line="183" w:lineRule="exact"/>
              <w:rPr>
                <w:sz w:val="20"/>
                <w:szCs w:val="20"/>
                <w:color w:val="auto"/>
              </w:rPr>
            </w:pPr>
            <w:r>
              <w:rPr>
                <w:rFonts w:ascii="Arial" w:cs="Arial" w:eastAsia="Arial" w:hAnsi="Arial"/>
                <w:sz w:val="16"/>
                <w:szCs w:val="16"/>
                <w:b w:val="1"/>
                <w:bCs w:val="1"/>
                <w:color w:val="6F2875"/>
              </w:rPr>
              <w:t>5,559</w:t>
            </w:r>
          </w:p>
        </w:tc>
        <w:tc>
          <w:tcPr>
            <w:tcW w:w="1380" w:type="dxa"/>
            <w:vAlign w:val="bottom"/>
            <w:tcBorders>
              <w:bottom w:val="single" w:sz="8" w:color="6F2875"/>
            </w:tcBorders>
          </w:tcPr>
          <w:p>
            <w:pPr>
              <w:jc w:val="right"/>
              <w:spacing w:after="0" w:line="183" w:lineRule="exact"/>
              <w:rPr>
                <w:sz w:val="20"/>
                <w:szCs w:val="20"/>
                <w:color w:val="auto"/>
              </w:rPr>
            </w:pPr>
            <w:r>
              <w:rPr>
                <w:rFonts w:ascii="Arial" w:cs="Arial" w:eastAsia="Arial" w:hAnsi="Arial"/>
                <w:sz w:val="16"/>
                <w:szCs w:val="16"/>
                <w:b w:val="1"/>
                <w:bCs w:val="1"/>
                <w:color w:val="6F2875"/>
              </w:rPr>
              <w:t>$</w:t>
            </w:r>
          </w:p>
        </w:tc>
        <w:tc>
          <w:tcPr>
            <w:tcW w:w="600" w:type="dxa"/>
            <w:vAlign w:val="bottom"/>
            <w:tcBorders>
              <w:bottom w:val="single" w:sz="8" w:color="6F2875"/>
            </w:tcBorders>
          </w:tcPr>
          <w:p>
            <w:pPr>
              <w:jc w:val="right"/>
              <w:ind w:right="19"/>
              <w:spacing w:after="0" w:line="183" w:lineRule="exact"/>
              <w:rPr>
                <w:sz w:val="20"/>
                <w:szCs w:val="20"/>
                <w:color w:val="auto"/>
              </w:rPr>
            </w:pPr>
            <w:r>
              <w:rPr>
                <w:rFonts w:ascii="Arial" w:cs="Arial" w:eastAsia="Arial" w:hAnsi="Arial"/>
                <w:sz w:val="16"/>
                <w:szCs w:val="16"/>
                <w:b w:val="1"/>
                <w:bCs w:val="1"/>
                <w:color w:val="6F2875"/>
              </w:rPr>
              <w:t>4,913</w:t>
            </w:r>
          </w:p>
        </w:tc>
      </w:tr>
    </w:tbl>
    <w:p>
      <w:pPr>
        <w:spacing w:after="0" w:line="45" w:lineRule="exact"/>
        <w:rPr>
          <w:sz w:val="20"/>
          <w:szCs w:val="20"/>
          <w:color w:val="auto"/>
        </w:rPr>
      </w:pPr>
    </w:p>
    <w:p>
      <w:pPr>
        <w:ind w:left="340" w:hanging="332"/>
        <w:spacing w:after="0" w:line="279" w:lineRule="auto"/>
        <w:tabs>
          <w:tab w:leader="none" w:pos="340" w:val="left"/>
        </w:tabs>
        <w:numPr>
          <w:ilvl w:val="0"/>
          <w:numId w:val="54"/>
        </w:numPr>
        <w:rPr>
          <w:rFonts w:ascii="Arial" w:cs="Arial" w:eastAsia="Arial" w:hAnsi="Arial"/>
          <w:sz w:val="14"/>
          <w:szCs w:val="14"/>
          <w:i w:val="1"/>
          <w:iCs w:val="1"/>
          <w:color w:val="231F20"/>
        </w:rPr>
      </w:pPr>
      <w:r>
        <w:rPr>
          <w:rFonts w:ascii="Arial" w:cs="Arial" w:eastAsia="Arial" w:hAnsi="Arial"/>
          <w:sz w:val="14"/>
          <w:szCs w:val="14"/>
          <w:i w:val="1"/>
          <w:iCs w:val="1"/>
          <w:color w:val="231F20"/>
        </w:rPr>
        <w:t>Audit Fees are fees we paid to PwC for professional services related to the audit of our annual financial statements and the review of our quarterly financial statements, and for services that are normally provided by the firm in connection with US or international statutory and regulatory filings or engagements.</w:t>
      </w:r>
    </w:p>
    <w:p>
      <w:pPr>
        <w:spacing w:after="0" w:line="3" w:lineRule="exact"/>
        <w:rPr>
          <w:rFonts w:ascii="Arial" w:cs="Arial" w:eastAsia="Arial" w:hAnsi="Arial"/>
          <w:sz w:val="14"/>
          <w:szCs w:val="14"/>
          <w:i w:val="1"/>
          <w:iCs w:val="1"/>
          <w:color w:val="231F20"/>
        </w:rPr>
      </w:pPr>
    </w:p>
    <w:p>
      <w:pPr>
        <w:ind w:left="340" w:right="20" w:hanging="332"/>
        <w:spacing w:after="0" w:line="279" w:lineRule="auto"/>
        <w:tabs>
          <w:tab w:leader="none" w:pos="340" w:val="left"/>
        </w:tabs>
        <w:numPr>
          <w:ilvl w:val="0"/>
          <w:numId w:val="54"/>
        </w:numPr>
        <w:rPr>
          <w:rFonts w:ascii="Arial" w:cs="Arial" w:eastAsia="Arial" w:hAnsi="Arial"/>
          <w:sz w:val="14"/>
          <w:szCs w:val="14"/>
          <w:i w:val="1"/>
          <w:iCs w:val="1"/>
          <w:color w:val="231F20"/>
        </w:rPr>
      </w:pPr>
      <w:r>
        <w:rPr>
          <w:rFonts w:ascii="Arial" w:cs="Arial" w:eastAsia="Arial" w:hAnsi="Arial"/>
          <w:sz w:val="14"/>
          <w:szCs w:val="14"/>
          <w:i w:val="1"/>
          <w:iCs w:val="1"/>
          <w:color w:val="231F20"/>
        </w:rPr>
        <w:t>Audit-Related Fees consist of aggregate fees to PwC for assurance services, other than those included in Audit Fees, related to the sale of our Cardiac Rhythm Management Business Franchise.</w:t>
      </w:r>
    </w:p>
    <w:p>
      <w:pPr>
        <w:spacing w:after="0" w:line="3" w:lineRule="exact"/>
        <w:rPr>
          <w:rFonts w:ascii="Arial" w:cs="Arial" w:eastAsia="Arial" w:hAnsi="Arial"/>
          <w:sz w:val="14"/>
          <w:szCs w:val="14"/>
          <w:i w:val="1"/>
          <w:iCs w:val="1"/>
          <w:color w:val="231F20"/>
        </w:rPr>
      </w:pPr>
    </w:p>
    <w:p>
      <w:pPr>
        <w:ind w:left="340" w:hanging="332"/>
        <w:spacing w:after="0"/>
        <w:tabs>
          <w:tab w:leader="none" w:pos="340" w:val="left"/>
        </w:tabs>
        <w:numPr>
          <w:ilvl w:val="0"/>
          <w:numId w:val="54"/>
        </w:numPr>
        <w:rPr>
          <w:rFonts w:ascii="Arial" w:cs="Arial" w:eastAsia="Arial" w:hAnsi="Arial"/>
          <w:sz w:val="14"/>
          <w:szCs w:val="14"/>
          <w:i w:val="1"/>
          <w:iCs w:val="1"/>
          <w:color w:val="231F20"/>
        </w:rPr>
      </w:pPr>
      <w:r>
        <w:rPr>
          <w:rFonts w:ascii="Arial" w:cs="Arial" w:eastAsia="Arial" w:hAnsi="Arial"/>
          <w:sz w:val="14"/>
          <w:szCs w:val="14"/>
          <w:i w:val="1"/>
          <w:iCs w:val="1"/>
          <w:color w:val="231F20"/>
        </w:rPr>
        <w:t>Tax Fees include applicable fees paid to PwC for tax services, including tax compliance and tax advice.</w:t>
      </w:r>
    </w:p>
    <w:p>
      <w:pPr>
        <w:spacing w:after="0" w:line="55" w:lineRule="exact"/>
        <w:rPr>
          <w:rFonts w:ascii="Arial" w:cs="Arial" w:eastAsia="Arial" w:hAnsi="Arial"/>
          <w:sz w:val="14"/>
          <w:szCs w:val="14"/>
          <w:i w:val="1"/>
          <w:iCs w:val="1"/>
          <w:color w:val="231F20"/>
        </w:rPr>
      </w:pPr>
    </w:p>
    <w:p>
      <w:pPr>
        <w:ind w:left="340" w:hanging="332"/>
        <w:spacing w:after="0" w:line="279" w:lineRule="auto"/>
        <w:tabs>
          <w:tab w:leader="none" w:pos="340" w:val="left"/>
        </w:tabs>
        <w:numPr>
          <w:ilvl w:val="0"/>
          <w:numId w:val="54"/>
        </w:numPr>
        <w:rPr>
          <w:rFonts w:ascii="Arial" w:cs="Arial" w:eastAsia="Arial" w:hAnsi="Arial"/>
          <w:sz w:val="14"/>
          <w:szCs w:val="14"/>
          <w:i w:val="1"/>
          <w:iCs w:val="1"/>
          <w:color w:val="231F20"/>
        </w:rPr>
      </w:pPr>
      <w:r>
        <w:rPr>
          <w:rFonts w:ascii="Arial" w:cs="Arial" w:eastAsia="Arial" w:hAnsi="Arial"/>
          <w:sz w:val="14"/>
          <w:szCs w:val="14"/>
          <w:i w:val="1"/>
          <w:iCs w:val="1"/>
          <w:color w:val="231F20"/>
        </w:rPr>
        <w:t>Other Fees include fees due to PwC for carve-out advisory services related to the sale of our Cardiac Rhythm Management Business Franchise for the year ended December 31, 2017, and for certain cybersecurity and equity restructuring work in prior years.</w:t>
      </w:r>
    </w:p>
    <w:p>
      <w:pPr>
        <w:spacing w:after="0" w:line="144" w:lineRule="exact"/>
        <w:rPr>
          <w:sz w:val="20"/>
          <w:szCs w:val="20"/>
          <w:color w:val="auto"/>
        </w:rPr>
      </w:pPr>
    </w:p>
    <w:p>
      <w:pPr>
        <w:spacing w:after="0"/>
        <w:tabs>
          <w:tab w:leader="none" w:pos="4220" w:val="left"/>
          <w:tab w:leader="none" w:pos="9960" w:val="left"/>
        </w:tabs>
        <w:rPr>
          <w:sz w:val="20"/>
          <w:szCs w:val="20"/>
          <w:color w:val="auto"/>
        </w:rPr>
      </w:pPr>
      <w:r>
        <w:rPr>
          <w:rFonts w:ascii="Arial" w:cs="Arial" w:eastAsia="Arial" w:hAnsi="Arial"/>
          <w:sz w:val="16"/>
          <w:szCs w:val="16"/>
          <w:b w:val="1"/>
          <w:bCs w:val="1"/>
          <w:color w:val="auto"/>
        </w:rPr>
        <w:t>48</w:t>
      </w:r>
      <w:r>
        <w:rPr>
          <w:sz w:val="20"/>
          <w:szCs w:val="20"/>
          <w:color w:val="auto"/>
        </w:rPr>
        <w:tab/>
      </w: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r>
        <w:rPr>
          <w:sz w:val="20"/>
          <w:szCs w:val="20"/>
          <w:color w:val="auto"/>
        </w:rPr>
        <w:tab/>
      </w:r>
      <w:r>
        <w:rPr>
          <w:rFonts w:ascii="Arial" w:cs="Arial" w:eastAsia="Arial" w:hAnsi="Arial"/>
          <w:sz w:val="16"/>
          <w:szCs w:val="16"/>
          <w:b w:val="1"/>
          <w:bCs w:val="1"/>
          <w:color w:val="6F2875"/>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-36195</wp:posOffset>
            </wp:positionV>
            <wp:extent cx="1663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-36195</wp:posOffset>
            </wp:positionV>
            <wp:extent cx="23241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Pre-Approval Policies and Procedures</w:t>
      </w:r>
    </w:p>
    <w:p>
      <w:pPr>
        <w:spacing w:after="0" w:line="35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The Audit and Compliance Committee’s policy is to review and approve the plan and scope of the audit and non-audit services to be provided by the auditors and the fees to be paid for such services. Consistent with the Audit and Compliance Committee Charter, all audit and non-audit services provided by the auditors for the relevant financial years, and the estimated cost of those services, are approved by the Audit and Compliance Committee, which determines whether the services provided by the auditors are compatible with maintaining the auditor independence.</w:t>
      </w:r>
    </w:p>
    <w:p>
      <w:pPr>
        <w:spacing w:after="0" w:line="367"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Audit and Compliance Committee Report</w:t>
      </w:r>
    </w:p>
    <w:p>
      <w:pPr>
        <w:spacing w:after="0" w:line="35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 xml:space="preserve">The Audit and Compliance Committee is comprised of four non-employee directors, all of whom are “independent” under the applicable Nasdaq rules and the applicable rules of the SEC. The Audit and Compliance Committee is governed by a written charter which has been adopted by the Board. A copy of the current Audit and Compliance Committee Charter is available from our website: </w:t>
      </w:r>
      <w:r>
        <w:rPr>
          <w:rFonts w:ascii="Arial" w:cs="Arial" w:eastAsia="Arial" w:hAnsi="Arial"/>
          <w:sz w:val="16"/>
          <w:szCs w:val="16"/>
          <w:i w:val="1"/>
          <w:iCs w:val="1"/>
          <w:color w:val="231F20"/>
        </w:rPr>
        <w:t>www.livanova.com</w:t>
      </w:r>
      <w:r>
        <w:rPr>
          <w:rFonts w:ascii="Arial" w:cs="Arial" w:eastAsia="Arial" w:hAnsi="Arial"/>
          <w:sz w:val="16"/>
          <w:szCs w:val="16"/>
          <w:color w:val="231F20"/>
        </w:rPr>
        <w:t>, select “Investor Relations” from the drop-down menu, then click on the “Corporate Governance” link located in the horizontal list in the middle of the page.</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Our management team is responsible for the preparation, presentation, and integrity of the consolidated financial statements, maintaining a system of internal controls and having appropriate accounting and financial reporting principles and policies. The independent registered public accounting firm is responsible for planning and carrying out an audit of the consolidated financial statements and an audit of internal control over financial reporting in accordance with the rules of the Public Company Accounting Oversight Board (United States) and expressing an opinion as to the consolidated financial statements’ conformity with US generally accepted accounting principles (“GAAP”) and as to internal control over financial reporting. The Audit and Compliance Committee monitors and oversees these processes and is responsible for selecting and overseeing our independent registered public accounting firm. As part of the oversight process, the Audit and Compliance Committee met nine times in 2017. Throughout the year, the Audit and Compliance Committee met with our independent registered public accounting firm, management and head of internal audit, both together and separately in closed sessions. In the course of fulfilling its responsibilities, the Audit and Compliance Committee did, among other things, the following:</w:t>
      </w:r>
    </w:p>
    <w:p>
      <w:pPr>
        <w:spacing w:after="0" w:line="180" w:lineRule="exact"/>
        <w:rPr>
          <w:sz w:val="20"/>
          <w:szCs w:val="20"/>
          <w:color w:val="auto"/>
        </w:rPr>
      </w:pPr>
    </w:p>
    <w:p>
      <w:pPr>
        <w:ind w:left="180" w:hanging="172"/>
        <w:spacing w:after="0" w:line="260" w:lineRule="auto"/>
        <w:tabs>
          <w:tab w:leader="none" w:pos="180" w:val="left"/>
        </w:tabs>
        <w:numPr>
          <w:ilvl w:val="0"/>
          <w:numId w:val="55"/>
        </w:numPr>
        <w:rPr>
          <w:rFonts w:ascii="Arial" w:cs="Arial" w:eastAsia="Arial" w:hAnsi="Arial"/>
          <w:sz w:val="16"/>
          <w:szCs w:val="16"/>
          <w:color w:val="6F2875"/>
        </w:rPr>
      </w:pPr>
      <w:r>
        <w:rPr>
          <w:rFonts w:ascii="Arial" w:cs="Arial" w:eastAsia="Arial" w:hAnsi="Arial"/>
          <w:sz w:val="16"/>
          <w:szCs w:val="16"/>
          <w:color w:val="231F20"/>
        </w:rPr>
        <w:t>reviewed and discussed with management and the independent registered public accounting firm our consolidated financial statements for the year ended December 31, 2017 and the quarters ended March 31, 2017, June 30, 2017 and September 30, 2017;</w:t>
      </w:r>
    </w:p>
    <w:p>
      <w:pPr>
        <w:spacing w:after="0" w:line="33" w:lineRule="exact"/>
        <w:rPr>
          <w:rFonts w:ascii="Arial" w:cs="Arial" w:eastAsia="Arial" w:hAnsi="Arial"/>
          <w:sz w:val="16"/>
          <w:szCs w:val="16"/>
          <w:color w:val="6F2875"/>
        </w:rPr>
      </w:pPr>
    </w:p>
    <w:p>
      <w:pPr>
        <w:ind w:left="180" w:hanging="172"/>
        <w:spacing w:after="0"/>
        <w:tabs>
          <w:tab w:leader="none" w:pos="180" w:val="left"/>
        </w:tabs>
        <w:numPr>
          <w:ilvl w:val="0"/>
          <w:numId w:val="55"/>
        </w:numPr>
        <w:rPr>
          <w:rFonts w:ascii="Arial" w:cs="Arial" w:eastAsia="Arial" w:hAnsi="Arial"/>
          <w:sz w:val="16"/>
          <w:szCs w:val="16"/>
          <w:color w:val="6F2875"/>
        </w:rPr>
      </w:pPr>
      <w:r>
        <w:rPr>
          <w:rFonts w:ascii="Arial" w:cs="Arial" w:eastAsia="Arial" w:hAnsi="Arial"/>
          <w:sz w:val="16"/>
          <w:szCs w:val="16"/>
          <w:color w:val="231F20"/>
        </w:rPr>
        <w:t>oversaw and discussed with management and the head of internal audit the review of internal control over our financial reporting;</w:t>
      </w:r>
    </w:p>
    <w:p>
      <w:pPr>
        <w:spacing w:after="0" w:line="59" w:lineRule="exact"/>
        <w:rPr>
          <w:rFonts w:ascii="Arial" w:cs="Arial" w:eastAsia="Arial" w:hAnsi="Arial"/>
          <w:sz w:val="16"/>
          <w:szCs w:val="16"/>
          <w:color w:val="6F2875"/>
        </w:rPr>
      </w:pPr>
    </w:p>
    <w:p>
      <w:pPr>
        <w:ind w:left="180" w:right="20" w:hanging="172"/>
        <w:spacing w:after="0" w:line="260" w:lineRule="auto"/>
        <w:tabs>
          <w:tab w:leader="none" w:pos="180" w:val="left"/>
        </w:tabs>
        <w:numPr>
          <w:ilvl w:val="0"/>
          <w:numId w:val="55"/>
        </w:numPr>
        <w:rPr>
          <w:rFonts w:ascii="Arial" w:cs="Arial" w:eastAsia="Arial" w:hAnsi="Arial"/>
          <w:sz w:val="16"/>
          <w:szCs w:val="16"/>
          <w:color w:val="6F2875"/>
        </w:rPr>
      </w:pPr>
      <w:r>
        <w:rPr>
          <w:rFonts w:ascii="Arial" w:cs="Arial" w:eastAsia="Arial" w:hAnsi="Arial"/>
          <w:sz w:val="16"/>
          <w:szCs w:val="16"/>
          <w:color w:val="231F20"/>
        </w:rPr>
        <w:t>reviewed management’s representations that our consolidated financial statements were prepared in accordance with GAAP and present fairly our results of operations, financial position, and cash flows;</w:t>
      </w:r>
    </w:p>
    <w:p>
      <w:pPr>
        <w:spacing w:after="0" w:line="33" w:lineRule="exact"/>
        <w:rPr>
          <w:rFonts w:ascii="Arial" w:cs="Arial" w:eastAsia="Arial" w:hAnsi="Arial"/>
          <w:sz w:val="16"/>
          <w:szCs w:val="16"/>
          <w:color w:val="6F2875"/>
        </w:rPr>
      </w:pPr>
    </w:p>
    <w:p>
      <w:pPr>
        <w:ind w:left="180" w:hanging="172"/>
        <w:spacing w:after="0" w:line="260" w:lineRule="auto"/>
        <w:tabs>
          <w:tab w:leader="none" w:pos="180" w:val="left"/>
        </w:tabs>
        <w:numPr>
          <w:ilvl w:val="0"/>
          <w:numId w:val="55"/>
        </w:numPr>
        <w:rPr>
          <w:rFonts w:ascii="Arial" w:cs="Arial" w:eastAsia="Arial" w:hAnsi="Arial"/>
          <w:sz w:val="16"/>
          <w:szCs w:val="16"/>
          <w:color w:val="6F2875"/>
        </w:rPr>
      </w:pPr>
      <w:r>
        <w:rPr>
          <w:rFonts w:ascii="Arial" w:cs="Arial" w:eastAsia="Arial" w:hAnsi="Arial"/>
          <w:sz w:val="16"/>
          <w:szCs w:val="16"/>
          <w:color w:val="231F20"/>
        </w:rPr>
        <w:t>discussed with the independent registered public accounting firm the matters required to be discussed by Auditing Standard No. 1301, Communications with Audit Committee;</w:t>
      </w:r>
    </w:p>
    <w:p>
      <w:pPr>
        <w:spacing w:after="0" w:line="33" w:lineRule="exact"/>
        <w:rPr>
          <w:rFonts w:ascii="Arial" w:cs="Arial" w:eastAsia="Arial" w:hAnsi="Arial"/>
          <w:sz w:val="16"/>
          <w:szCs w:val="16"/>
          <w:color w:val="6F2875"/>
        </w:rPr>
      </w:pPr>
    </w:p>
    <w:p>
      <w:pPr>
        <w:jc w:val="both"/>
        <w:ind w:left="180" w:hanging="172"/>
        <w:spacing w:after="0" w:line="253" w:lineRule="auto"/>
        <w:tabs>
          <w:tab w:leader="none" w:pos="180" w:val="left"/>
        </w:tabs>
        <w:numPr>
          <w:ilvl w:val="0"/>
          <w:numId w:val="55"/>
        </w:numPr>
        <w:rPr>
          <w:rFonts w:ascii="Arial" w:cs="Arial" w:eastAsia="Arial" w:hAnsi="Arial"/>
          <w:sz w:val="16"/>
          <w:szCs w:val="16"/>
          <w:color w:val="6F2875"/>
        </w:rPr>
      </w:pPr>
      <w:r>
        <w:rPr>
          <w:rFonts w:ascii="Arial" w:cs="Arial" w:eastAsia="Arial" w:hAnsi="Arial"/>
          <w:sz w:val="16"/>
          <w:szCs w:val="16"/>
          <w:color w:val="231F20"/>
        </w:rPr>
        <w:t>received the written disclosures and letter from the independent registered public accounting firm required by the applicable requirements of the Public Company Accounting Oversight Board regarding the independent registered public accounting firm’s communication with the Audit and Compliance Committee concerning independence, and discussed with the independent registered public accounting firm its independence;</w:t>
      </w:r>
    </w:p>
    <w:p>
      <w:pPr>
        <w:spacing w:after="0" w:line="39" w:lineRule="exact"/>
        <w:rPr>
          <w:rFonts w:ascii="Arial" w:cs="Arial" w:eastAsia="Arial" w:hAnsi="Arial"/>
          <w:sz w:val="16"/>
          <w:szCs w:val="16"/>
          <w:color w:val="6F2875"/>
        </w:rPr>
      </w:pPr>
    </w:p>
    <w:p>
      <w:pPr>
        <w:jc w:val="both"/>
        <w:ind w:left="180" w:hanging="172"/>
        <w:spacing w:after="0" w:line="253" w:lineRule="auto"/>
        <w:tabs>
          <w:tab w:leader="none" w:pos="180" w:val="left"/>
        </w:tabs>
        <w:numPr>
          <w:ilvl w:val="0"/>
          <w:numId w:val="55"/>
        </w:numPr>
        <w:rPr>
          <w:rFonts w:ascii="Arial" w:cs="Arial" w:eastAsia="Arial" w:hAnsi="Arial"/>
          <w:sz w:val="16"/>
          <w:szCs w:val="16"/>
          <w:color w:val="6F2875"/>
        </w:rPr>
      </w:pPr>
      <w:r>
        <w:rPr>
          <w:rFonts w:ascii="Arial" w:cs="Arial" w:eastAsia="Arial" w:hAnsi="Arial"/>
          <w:sz w:val="16"/>
          <w:szCs w:val="16"/>
          <w:color w:val="231F20"/>
        </w:rPr>
        <w:t>reviewed and evaluated the performance and quality of the independent registered public accounting firm and its lead audit partner in its determination to recommend the retention of the independent registered public accounting firm, including by assessing the performance of the independent registered public accounting firm from within the Audit and Compliance Committee and from the perspective of senior management and the head of internal audit;</w:t>
      </w:r>
    </w:p>
    <w:p>
      <w:pPr>
        <w:spacing w:after="0" w:line="39" w:lineRule="exact"/>
        <w:rPr>
          <w:rFonts w:ascii="Arial" w:cs="Arial" w:eastAsia="Arial" w:hAnsi="Arial"/>
          <w:sz w:val="16"/>
          <w:szCs w:val="16"/>
          <w:color w:val="6F2875"/>
        </w:rPr>
      </w:pPr>
    </w:p>
    <w:p>
      <w:pPr>
        <w:ind w:left="180" w:right="20" w:hanging="172"/>
        <w:spacing w:after="0" w:line="260" w:lineRule="auto"/>
        <w:tabs>
          <w:tab w:leader="none" w:pos="180" w:val="left"/>
        </w:tabs>
        <w:numPr>
          <w:ilvl w:val="0"/>
          <w:numId w:val="55"/>
        </w:numPr>
        <w:rPr>
          <w:rFonts w:ascii="Arial" w:cs="Arial" w:eastAsia="Arial" w:hAnsi="Arial"/>
          <w:sz w:val="16"/>
          <w:szCs w:val="16"/>
          <w:color w:val="6F2875"/>
        </w:rPr>
      </w:pPr>
      <w:r>
        <w:rPr>
          <w:rFonts w:ascii="Arial" w:cs="Arial" w:eastAsia="Arial" w:hAnsi="Arial"/>
          <w:sz w:val="16"/>
          <w:szCs w:val="16"/>
          <w:color w:val="231F20"/>
        </w:rPr>
        <w:t>considered whether the provision of non-audit services by our registered public accounting firm is compatible with maintaining the registered public accounting firm’s independence;</w:t>
      </w:r>
    </w:p>
    <w:p>
      <w:pPr>
        <w:spacing w:after="0" w:line="33" w:lineRule="exact"/>
        <w:rPr>
          <w:rFonts w:ascii="Arial" w:cs="Arial" w:eastAsia="Arial" w:hAnsi="Arial"/>
          <w:sz w:val="16"/>
          <w:szCs w:val="16"/>
          <w:color w:val="6F2875"/>
        </w:rPr>
      </w:pPr>
    </w:p>
    <w:p>
      <w:pPr>
        <w:ind w:left="180" w:hanging="172"/>
        <w:spacing w:after="0"/>
        <w:tabs>
          <w:tab w:leader="none" w:pos="180" w:val="left"/>
        </w:tabs>
        <w:numPr>
          <w:ilvl w:val="0"/>
          <w:numId w:val="55"/>
        </w:numPr>
        <w:rPr>
          <w:rFonts w:ascii="Arial" w:cs="Arial" w:eastAsia="Arial" w:hAnsi="Arial"/>
          <w:sz w:val="16"/>
          <w:szCs w:val="16"/>
          <w:color w:val="6F2875"/>
        </w:rPr>
      </w:pPr>
      <w:r>
        <w:rPr>
          <w:rFonts w:ascii="Arial" w:cs="Arial" w:eastAsia="Arial" w:hAnsi="Arial"/>
          <w:sz w:val="16"/>
          <w:szCs w:val="16"/>
          <w:color w:val="231F20"/>
        </w:rPr>
        <w:t>reviewed the scope of and overall plans for the annual external audit and the internal audit program;</w:t>
      </w:r>
    </w:p>
    <w:p>
      <w:pPr>
        <w:spacing w:after="0" w:line="59" w:lineRule="exact"/>
        <w:rPr>
          <w:rFonts w:ascii="Arial" w:cs="Arial" w:eastAsia="Arial" w:hAnsi="Arial"/>
          <w:sz w:val="16"/>
          <w:szCs w:val="16"/>
          <w:color w:val="6F2875"/>
        </w:rPr>
      </w:pPr>
    </w:p>
    <w:p>
      <w:pPr>
        <w:ind w:left="180" w:hanging="172"/>
        <w:spacing w:after="0"/>
        <w:tabs>
          <w:tab w:leader="none" w:pos="180" w:val="left"/>
        </w:tabs>
        <w:numPr>
          <w:ilvl w:val="0"/>
          <w:numId w:val="55"/>
        </w:numPr>
        <w:rPr>
          <w:rFonts w:ascii="Arial" w:cs="Arial" w:eastAsia="Arial" w:hAnsi="Arial"/>
          <w:sz w:val="16"/>
          <w:szCs w:val="16"/>
          <w:color w:val="6F2875"/>
        </w:rPr>
      </w:pPr>
      <w:r>
        <w:rPr>
          <w:rFonts w:ascii="Arial" w:cs="Arial" w:eastAsia="Arial" w:hAnsi="Arial"/>
          <w:sz w:val="16"/>
          <w:szCs w:val="16"/>
          <w:color w:val="231F20"/>
        </w:rPr>
        <w:t>reviewed new accounting standards applicable with our CFO, internal audit department and our external auditors;</w:t>
      </w:r>
    </w:p>
    <w:p>
      <w:pPr>
        <w:spacing w:after="0" w:line="59" w:lineRule="exact"/>
        <w:rPr>
          <w:rFonts w:ascii="Arial" w:cs="Arial" w:eastAsia="Arial" w:hAnsi="Arial"/>
          <w:sz w:val="16"/>
          <w:szCs w:val="16"/>
          <w:color w:val="6F2875"/>
        </w:rPr>
      </w:pPr>
    </w:p>
    <w:p>
      <w:pPr>
        <w:ind w:left="180" w:hanging="172"/>
        <w:spacing w:after="0"/>
        <w:tabs>
          <w:tab w:leader="none" w:pos="180" w:val="left"/>
        </w:tabs>
        <w:numPr>
          <w:ilvl w:val="0"/>
          <w:numId w:val="55"/>
        </w:numPr>
        <w:rPr>
          <w:rFonts w:ascii="Arial" w:cs="Arial" w:eastAsia="Arial" w:hAnsi="Arial"/>
          <w:sz w:val="16"/>
          <w:szCs w:val="16"/>
          <w:color w:val="6F2875"/>
        </w:rPr>
      </w:pPr>
      <w:r>
        <w:rPr>
          <w:rFonts w:ascii="Arial" w:cs="Arial" w:eastAsia="Arial" w:hAnsi="Arial"/>
          <w:sz w:val="16"/>
          <w:szCs w:val="16"/>
          <w:color w:val="231F20"/>
        </w:rPr>
        <w:t>consulted with management with respect to our processes for risk assessment and risk mitigation;</w:t>
      </w:r>
    </w:p>
    <w:p>
      <w:pPr>
        <w:spacing w:after="0" w:line="59" w:lineRule="exact"/>
        <w:rPr>
          <w:rFonts w:ascii="Arial" w:cs="Arial" w:eastAsia="Arial" w:hAnsi="Arial"/>
          <w:sz w:val="16"/>
          <w:szCs w:val="16"/>
          <w:color w:val="6F2875"/>
        </w:rPr>
      </w:pPr>
    </w:p>
    <w:p>
      <w:pPr>
        <w:ind w:left="180" w:hanging="172"/>
        <w:spacing w:after="0"/>
        <w:tabs>
          <w:tab w:leader="none" w:pos="180" w:val="left"/>
        </w:tabs>
        <w:numPr>
          <w:ilvl w:val="0"/>
          <w:numId w:val="55"/>
        </w:numPr>
        <w:rPr>
          <w:rFonts w:ascii="Arial" w:cs="Arial" w:eastAsia="Arial" w:hAnsi="Arial"/>
          <w:sz w:val="16"/>
          <w:szCs w:val="16"/>
          <w:color w:val="6F2875"/>
        </w:rPr>
      </w:pPr>
      <w:r>
        <w:rPr>
          <w:rFonts w:ascii="Arial" w:cs="Arial" w:eastAsia="Arial" w:hAnsi="Arial"/>
          <w:sz w:val="16"/>
          <w:szCs w:val="16"/>
          <w:color w:val="231F20"/>
        </w:rPr>
        <w:t>reviewed our processes for monitoring compliance with the law and Company policies and Code of Business Conduct and Ethics;</w:t>
      </w:r>
    </w:p>
    <w:p>
      <w:pPr>
        <w:spacing w:after="0" w:line="59" w:lineRule="exact"/>
        <w:rPr>
          <w:rFonts w:ascii="Arial" w:cs="Arial" w:eastAsia="Arial" w:hAnsi="Arial"/>
          <w:sz w:val="16"/>
          <w:szCs w:val="16"/>
          <w:color w:val="6F2875"/>
        </w:rPr>
      </w:pPr>
    </w:p>
    <w:p>
      <w:pPr>
        <w:ind w:left="180" w:hanging="172"/>
        <w:spacing w:after="0" w:line="260" w:lineRule="auto"/>
        <w:tabs>
          <w:tab w:leader="none" w:pos="180" w:val="left"/>
        </w:tabs>
        <w:numPr>
          <w:ilvl w:val="0"/>
          <w:numId w:val="55"/>
        </w:numPr>
        <w:rPr>
          <w:rFonts w:ascii="Arial" w:cs="Arial" w:eastAsia="Arial" w:hAnsi="Arial"/>
          <w:sz w:val="16"/>
          <w:szCs w:val="16"/>
          <w:color w:val="6F2875"/>
        </w:rPr>
      </w:pPr>
      <w:r>
        <w:rPr>
          <w:rFonts w:ascii="Arial" w:cs="Arial" w:eastAsia="Arial" w:hAnsi="Arial"/>
          <w:sz w:val="16"/>
          <w:szCs w:val="16"/>
          <w:color w:val="231F20"/>
        </w:rPr>
        <w:t>reviewed and discussed with management its assessment and report on the effectiveness of our internal control over financial reporting as of December 31, 2017.</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Based on its review and report on the Company’s internal control over financial reporting as of December 31, 2017, the Audit and Compliance and Committee recommended to the Board that the audited consolidated financial statements be included in the Company’s Annual Report on Form 10-K for the year ended December 31, 2017 for filing with the SEC.</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Francesco Bianchi</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Hugh Morrison (Chairman)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Alfred Novak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Andrea Saia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Borders>
              <w:bottom w:val="single" w:sz="8" w:color="auto"/>
            </w:tcBorders>
          </w:tcPr>
          <w:p>
            <w:pPr>
              <w:spacing w:after="0"/>
              <w:rPr>
                <w:sz w:val="10"/>
                <w:szCs w:val="10"/>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49</w:t>
            </w:r>
          </w:p>
        </w:tc>
        <w:tc>
          <w:tcPr>
            <w:tcW w:w="0" w:type="dxa"/>
            <w:vAlign w:val="bottom"/>
          </w:tcPr>
          <w:p>
            <w:pPr>
              <w:spacing w:after="0"/>
              <w:rPr>
                <w:sz w:val="1"/>
                <w:szCs w:val="1"/>
                <w:color w:val="auto"/>
              </w:rPr>
            </w:pPr>
          </w:p>
        </w:tc>
      </w:tr>
      <w:tr>
        <w:trPr>
          <w:trHeight w:val="69"/>
        </w:trPr>
        <w:tc>
          <w:tcPr>
            <w:tcW w:w="40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ind w:right="820"/>
        <w:spacing w:after="0" w:line="251" w:lineRule="auto"/>
        <w:rPr>
          <w:sz w:val="20"/>
          <w:szCs w:val="20"/>
          <w:color w:val="auto"/>
        </w:rPr>
      </w:pPr>
      <w:r>
        <w:rPr>
          <w:rFonts w:ascii="Arial" w:cs="Arial" w:eastAsia="Arial" w:hAnsi="Arial"/>
          <w:sz w:val="47"/>
          <w:szCs w:val="47"/>
          <w:b w:val="1"/>
          <w:bCs w:val="1"/>
          <w:color w:val="6F2875"/>
        </w:rPr>
        <w:t xml:space="preserve">Proposal 4 </w:t>
      </w:r>
      <w:r>
        <w:rPr>
          <w:rFonts w:ascii="Arial" w:cs="Arial" w:eastAsia="Arial" w:hAnsi="Arial"/>
          <w:sz w:val="47"/>
          <w:szCs w:val="47"/>
          <w:b w:val="1"/>
          <w:bCs w:val="1"/>
          <w:color w:val="818285"/>
        </w:rPr>
        <w:t>Ratification of the Appointment of</w:t>
      </w:r>
      <w:r>
        <w:rPr>
          <w:rFonts w:ascii="Arial" w:cs="Arial" w:eastAsia="Arial" w:hAnsi="Arial"/>
          <w:sz w:val="47"/>
          <w:szCs w:val="47"/>
          <w:b w:val="1"/>
          <w:bCs w:val="1"/>
          <w:color w:val="6F2875"/>
        </w:rPr>
        <w:t xml:space="preserve"> </w:t>
      </w:r>
      <w:r>
        <w:rPr>
          <w:rFonts w:ascii="Arial" w:cs="Arial" w:eastAsia="Arial" w:hAnsi="Arial"/>
          <w:sz w:val="47"/>
          <w:szCs w:val="47"/>
          <w:b w:val="1"/>
          <w:bCs w:val="1"/>
          <w:color w:val="818285"/>
        </w:rPr>
        <w:t>PwC USA as the Company’s independent registered public accounting firm</w:t>
      </w:r>
    </w:p>
    <w:p>
      <w:pPr>
        <w:spacing w:after="0" w:line="3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The Audit and Compliance Committee has appointed PwC USA as our independent registered public accounting firm for the year ending December 31, 2018, subject to ratification by our shareholders. Although the ratification of this appointment is not required to be submitted to a vote of the shareholders, the Board believes it appropriate as a matter of policy to request that the shareholders ratify the appointment of the registered public accounting firm for the year ending December 31, 2018.</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We anticipate that a representative of PwC USA will be present at the AGM. The representative will be given the opportunity to make a statement if he or she desires to do so, and is expected to be available to respond to any appropriate questions that may be submitted by shareholders at the AGM.</w:t>
      </w:r>
    </w:p>
    <w:p>
      <w:pPr>
        <w:spacing w:after="0" w:line="360"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Vote Required</w:t>
      </w:r>
    </w:p>
    <w:p>
      <w:pPr>
        <w:spacing w:after="0" w:line="35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This ordinary resolution will be approved if there is an affirmative vote of a majority of shares present at the annual meeting, in person or by proxy, and entitled to vote on the proposal. Abstentions will have the same effect as votes against this proposal. This proposal is considered a routine matter and thus brokers are entitled to vote on such proposals in the absence of voting instructions from the beneficial owner. If this proposal does not receive the affirmative vote of the holders of a majority of the shares entitled to vote and present in person or represented by proxy at the AGM, the Audit and Compliance Committee will reconsider the appointment, but may decide to maintain its appointment of PwC USA.</w:t>
      </w:r>
    </w:p>
    <w:p>
      <w:pPr>
        <w:spacing w:after="0" w:line="368"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Board recommendation</w:t>
      </w:r>
    </w:p>
    <w:p>
      <w:pPr>
        <w:spacing w:after="0" w:line="334" w:lineRule="exact"/>
        <w:rPr>
          <w:sz w:val="20"/>
          <w:szCs w:val="20"/>
          <w:color w:val="auto"/>
        </w:rPr>
      </w:pPr>
    </w:p>
    <w:p>
      <w:pPr>
        <w:ind w:left="340" w:right="360"/>
        <w:spacing w:after="0" w:line="253" w:lineRule="auto"/>
        <w:rPr>
          <w:sz w:val="20"/>
          <w:szCs w:val="20"/>
          <w:color w:val="auto"/>
        </w:rPr>
      </w:pPr>
      <w:r>
        <w:rPr>
          <w:rFonts w:ascii="Arial" w:cs="Arial" w:eastAsia="Arial" w:hAnsi="Arial"/>
          <w:sz w:val="18"/>
          <w:szCs w:val="18"/>
          <w:color w:val="auto"/>
        </w:rPr>
        <w:t xml:space="preserve">THE BOARD AND THE AUDIT AND COMPLIANCE COMMITTEE RECOMMEND A </w:t>
      </w:r>
      <w:r>
        <w:rPr>
          <w:rFonts w:ascii="Arial" w:cs="Arial" w:eastAsia="Arial" w:hAnsi="Arial"/>
          <w:sz w:val="18"/>
          <w:szCs w:val="18"/>
          <w:b w:val="1"/>
          <w:bCs w:val="1"/>
          <w:color w:val="FC5D45"/>
        </w:rPr>
        <w:t>VOTE “FOR”</w:t>
      </w:r>
      <w:r>
        <w:rPr>
          <w:rFonts w:ascii="Arial" w:cs="Arial" w:eastAsia="Arial" w:hAnsi="Arial"/>
          <w:sz w:val="18"/>
          <w:szCs w:val="18"/>
          <w:color w:val="auto"/>
        </w:rPr>
        <w:t xml:space="preserve"> THE RATIFICATION OF THE APPOINTMENT OF PWC USA. AS THE COMPANY’S INDEPENDENT REGISTERED PUBLIC ACCOUNTING FIRM FOR THE YEAR ENDING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171450"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0" cy="163195"/>
                    </a:xfrm>
                    <a:prstGeom prst="rect">
                      <a:avLst/>
                    </a:prstGeom>
                    <a:noFill/>
                  </pic:spPr>
                </pic:pic>
              </a:graphicData>
            </a:graphic>
          </wp:anchor>
        </w:drawing>
      </w:r>
    </w:p>
    <w:p>
      <w:pPr>
        <w:spacing w:after="0" w:line="140" w:lineRule="exact"/>
        <w:rPr>
          <w:sz w:val="20"/>
          <w:szCs w:val="20"/>
          <w:color w:val="auto"/>
        </w:rPr>
      </w:pPr>
    </w:p>
    <w:p>
      <w:pPr>
        <w:spacing w:after="0"/>
        <w:tabs>
          <w:tab w:leader="none" w:pos="4220" w:val="left"/>
          <w:tab w:leader="none" w:pos="9960" w:val="left"/>
        </w:tabs>
        <w:rPr>
          <w:sz w:val="20"/>
          <w:szCs w:val="20"/>
          <w:color w:val="auto"/>
        </w:rPr>
      </w:pPr>
      <w:r>
        <w:rPr>
          <w:rFonts w:ascii="Arial" w:cs="Arial" w:eastAsia="Arial" w:hAnsi="Arial"/>
          <w:sz w:val="16"/>
          <w:szCs w:val="16"/>
          <w:b w:val="1"/>
          <w:bCs w:val="1"/>
          <w:color w:val="auto"/>
        </w:rPr>
        <w:t>50</w:t>
      </w:r>
      <w:r>
        <w:rPr>
          <w:sz w:val="20"/>
          <w:szCs w:val="20"/>
          <w:color w:val="auto"/>
        </w:rPr>
        <w:tab/>
      </w: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r>
        <w:rPr>
          <w:sz w:val="20"/>
          <w:szCs w:val="20"/>
          <w:color w:val="auto"/>
        </w:rPr>
        <w:tab/>
      </w:r>
      <w:r>
        <w:rPr>
          <w:rFonts w:ascii="Arial" w:cs="Arial" w:eastAsia="Arial" w:hAnsi="Arial"/>
          <w:sz w:val="16"/>
          <w:szCs w:val="16"/>
          <w:b w:val="1"/>
          <w:bCs w:val="1"/>
          <w:color w:val="6F2875"/>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-36195</wp:posOffset>
            </wp:positionV>
            <wp:extent cx="1663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-36195</wp:posOffset>
            </wp:positionV>
            <wp:extent cx="23241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47"/>
          <w:szCs w:val="47"/>
          <w:b w:val="1"/>
          <w:bCs w:val="1"/>
          <w:color w:val="6F2875"/>
        </w:rPr>
        <w:t xml:space="preserve">Share </w:t>
      </w:r>
      <w:r>
        <w:rPr>
          <w:rFonts w:ascii="Arial" w:cs="Arial" w:eastAsia="Arial" w:hAnsi="Arial"/>
          <w:sz w:val="47"/>
          <w:szCs w:val="47"/>
          <w:b w:val="1"/>
          <w:bCs w:val="1"/>
          <w:color w:val="818285"/>
        </w:rPr>
        <w:t>Ownership Information</w:t>
      </w:r>
    </w:p>
    <w:p>
      <w:pPr>
        <w:spacing w:after="0" w:line="200" w:lineRule="exact"/>
        <w:rPr>
          <w:sz w:val="20"/>
          <w:szCs w:val="20"/>
          <w:color w:val="auto"/>
        </w:rPr>
      </w:pP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The following table sets forth, as of April 19, 2018, except where otherwise noted, certain information with respect to the amount of our Ordinary Shares beneficially owned (as defined by the SEC’s rules and regulations) by (1) each of our NEOs, (2) each director, (3) all current executive officers and directors as a group and (4) each person known by us to own beneficially more than 5% of the outstanding Ordinary Shares of LivaNova. We are not aware of any agreements among our shareholders that relate to voting or investment of our Ordinary Shares.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231F20"/>
        </w:rPr>
        <w:t>Applicable percentage ownership and voting power is based on 48,627,730 Ordinary Shares outstanding as of April 19, 2018.</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5540" w:type="dxa"/>
            <w:vAlign w:val="bottom"/>
          </w:tcPr>
          <w:p>
            <w:pPr>
              <w:spacing w:after="0"/>
              <w:rPr>
                <w:sz w:val="24"/>
                <w:szCs w:val="24"/>
                <w:color w:val="auto"/>
              </w:rPr>
            </w:pPr>
          </w:p>
        </w:tc>
        <w:tc>
          <w:tcPr>
            <w:tcW w:w="1160" w:type="dxa"/>
            <w:vAlign w:val="bottom"/>
            <w:tcBorders>
              <w:bottom w:val="single" w:sz="8" w:color="6F2875"/>
            </w:tcBorders>
          </w:tcPr>
          <w:p>
            <w:pPr>
              <w:spacing w:after="0"/>
              <w:rPr>
                <w:sz w:val="24"/>
                <w:szCs w:val="24"/>
                <w:color w:val="auto"/>
              </w:rPr>
            </w:pPr>
          </w:p>
        </w:tc>
        <w:tc>
          <w:tcPr>
            <w:tcW w:w="3720" w:type="dxa"/>
            <w:vAlign w:val="bottom"/>
            <w:tcBorders>
              <w:bottom w:val="single" w:sz="8" w:color="6F2875"/>
            </w:tcBorders>
            <w:gridSpan w:val="2"/>
          </w:tcPr>
          <w:p>
            <w:pPr>
              <w:jc w:val="right"/>
              <w:ind w:right="79"/>
              <w:spacing w:after="0"/>
              <w:rPr>
                <w:sz w:val="20"/>
                <w:szCs w:val="20"/>
                <w:color w:val="auto"/>
              </w:rPr>
            </w:pPr>
            <w:r>
              <w:rPr>
                <w:rFonts w:ascii="Arial" w:cs="Arial" w:eastAsia="Arial" w:hAnsi="Arial"/>
                <w:sz w:val="16"/>
                <w:szCs w:val="16"/>
                <w:b w:val="1"/>
                <w:bCs w:val="1"/>
                <w:color w:val="6F2875"/>
                <w:w w:val="99"/>
              </w:rPr>
              <w:t>Amount and Nature of Beneficial Ownership</w:t>
            </w:r>
            <w:r>
              <w:rPr>
                <w:rFonts w:ascii="Arial" w:cs="Arial" w:eastAsia="Arial" w:hAnsi="Arial"/>
                <w:sz w:val="27"/>
                <w:szCs w:val="27"/>
                <w:b w:val="1"/>
                <w:bCs w:val="1"/>
                <w:color w:val="6F2875"/>
                <w:w w:val="99"/>
                <w:vertAlign w:val="superscript"/>
              </w:rPr>
              <w:t>(1)</w:t>
            </w:r>
          </w:p>
        </w:tc>
        <w:tc>
          <w:tcPr>
            <w:tcW w:w="1000" w:type="dxa"/>
            <w:vAlign w:val="bottom"/>
            <w:tcBorders>
              <w:bottom w:val="single" w:sz="8" w:color="6F2875"/>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40" w:type="dxa"/>
            <w:vAlign w:val="bottom"/>
          </w:tcPr>
          <w:p>
            <w:pPr>
              <w:jc w:val="right"/>
              <w:ind w:right="259"/>
              <w:spacing w:after="0"/>
              <w:rPr>
                <w:sz w:val="20"/>
                <w:szCs w:val="20"/>
                <w:color w:val="auto"/>
              </w:rPr>
            </w:pPr>
            <w:r>
              <w:rPr>
                <w:rFonts w:ascii="Arial" w:cs="Arial" w:eastAsia="Arial" w:hAnsi="Arial"/>
                <w:sz w:val="16"/>
                <w:szCs w:val="16"/>
                <w:b w:val="1"/>
                <w:bCs w:val="1"/>
                <w:color w:val="6F2875"/>
              </w:rPr>
              <w:t>Shares</w:t>
            </w:r>
          </w:p>
        </w:tc>
        <w:tc>
          <w:tcPr>
            <w:tcW w:w="1680" w:type="dxa"/>
            <w:vAlign w:val="bottom"/>
          </w:tcPr>
          <w:p>
            <w:pPr>
              <w:jc w:val="right"/>
              <w:ind w:right="439"/>
              <w:spacing w:after="0"/>
              <w:rPr>
                <w:sz w:val="20"/>
                <w:szCs w:val="20"/>
                <w:color w:val="auto"/>
              </w:rPr>
            </w:pPr>
            <w:r>
              <w:rPr>
                <w:rFonts w:ascii="Arial" w:cs="Arial" w:eastAsia="Arial" w:hAnsi="Arial"/>
                <w:sz w:val="16"/>
                <w:szCs w:val="16"/>
                <w:b w:val="1"/>
                <w:bCs w:val="1"/>
                <w:color w:val="6F2875"/>
              </w:rPr>
              <w:t>Total</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6F2875"/>
              </w:rPr>
              <w:t>Percent of</w:t>
            </w:r>
          </w:p>
        </w:tc>
        <w:tc>
          <w:tcPr>
            <w:tcW w:w="0" w:type="dxa"/>
            <w:vAlign w:val="bottom"/>
          </w:tcPr>
          <w:p>
            <w:pPr>
              <w:spacing w:after="0"/>
              <w:rPr>
                <w:sz w:val="1"/>
                <w:szCs w:val="1"/>
                <w:color w:val="auto"/>
              </w:rPr>
            </w:pPr>
          </w:p>
        </w:tc>
      </w:tr>
      <w:tr>
        <w:trPr>
          <w:trHeight w:val="167"/>
        </w:trPr>
        <w:tc>
          <w:tcPr>
            <w:tcW w:w="5540" w:type="dxa"/>
            <w:vAlign w:val="bottom"/>
          </w:tcPr>
          <w:p>
            <w:pPr>
              <w:spacing w:after="0"/>
              <w:rPr>
                <w:sz w:val="14"/>
                <w:szCs w:val="14"/>
                <w:color w:val="auto"/>
              </w:rPr>
            </w:pPr>
          </w:p>
        </w:tc>
        <w:tc>
          <w:tcPr>
            <w:tcW w:w="1160" w:type="dxa"/>
            <w:vAlign w:val="bottom"/>
          </w:tcPr>
          <w:p>
            <w:pPr>
              <w:jc w:val="right"/>
              <w:spacing w:after="0" w:line="167" w:lineRule="exact"/>
              <w:rPr>
                <w:sz w:val="20"/>
                <w:szCs w:val="20"/>
                <w:color w:val="auto"/>
              </w:rPr>
            </w:pPr>
            <w:r>
              <w:rPr>
                <w:rFonts w:ascii="Arial" w:cs="Arial" w:eastAsia="Arial" w:hAnsi="Arial"/>
                <w:sz w:val="16"/>
                <w:szCs w:val="16"/>
                <w:b w:val="1"/>
                <w:bCs w:val="1"/>
                <w:color w:val="6F2875"/>
              </w:rPr>
              <w:t>Shares</w:t>
            </w:r>
          </w:p>
        </w:tc>
        <w:tc>
          <w:tcPr>
            <w:tcW w:w="2040" w:type="dxa"/>
            <w:vAlign w:val="bottom"/>
          </w:tcPr>
          <w:p>
            <w:pPr>
              <w:jc w:val="right"/>
              <w:ind w:right="259"/>
              <w:spacing w:after="0" w:line="167" w:lineRule="exact"/>
              <w:rPr>
                <w:sz w:val="20"/>
                <w:szCs w:val="20"/>
                <w:color w:val="auto"/>
              </w:rPr>
            </w:pPr>
            <w:r>
              <w:rPr>
                <w:rFonts w:ascii="Arial" w:cs="Arial" w:eastAsia="Arial" w:hAnsi="Arial"/>
                <w:sz w:val="16"/>
                <w:szCs w:val="16"/>
                <w:b w:val="1"/>
                <w:bCs w:val="1"/>
                <w:color w:val="6F2875"/>
              </w:rPr>
              <w:t>Acquirable</w:t>
            </w:r>
          </w:p>
        </w:tc>
        <w:tc>
          <w:tcPr>
            <w:tcW w:w="1680" w:type="dxa"/>
            <w:vAlign w:val="bottom"/>
          </w:tcPr>
          <w:p>
            <w:pPr>
              <w:jc w:val="right"/>
              <w:ind w:right="439"/>
              <w:spacing w:after="0" w:line="167" w:lineRule="exact"/>
              <w:rPr>
                <w:sz w:val="20"/>
                <w:szCs w:val="20"/>
                <w:color w:val="auto"/>
              </w:rPr>
            </w:pPr>
            <w:r>
              <w:rPr>
                <w:rFonts w:ascii="Arial" w:cs="Arial" w:eastAsia="Arial" w:hAnsi="Arial"/>
                <w:sz w:val="16"/>
                <w:szCs w:val="16"/>
                <w:b w:val="1"/>
                <w:bCs w:val="1"/>
                <w:color w:val="6F2875"/>
              </w:rPr>
              <w:t>Beneficial</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6F2875"/>
            </w:tcBorders>
          </w:tcPr>
          <w:p>
            <w:pPr>
              <w:ind w:left="60"/>
              <w:spacing w:after="0"/>
              <w:rPr>
                <w:sz w:val="20"/>
                <w:szCs w:val="20"/>
                <w:color w:val="auto"/>
              </w:rPr>
            </w:pPr>
            <w:r>
              <w:rPr>
                <w:rFonts w:ascii="Arial" w:cs="Arial" w:eastAsia="Arial" w:hAnsi="Arial"/>
                <w:sz w:val="16"/>
                <w:szCs w:val="16"/>
                <w:b w:val="1"/>
                <w:bCs w:val="1"/>
                <w:color w:val="6F2875"/>
              </w:rPr>
              <w:t>Name of Beneficial Owner</w:t>
            </w:r>
          </w:p>
        </w:tc>
        <w:tc>
          <w:tcPr>
            <w:tcW w:w="1160" w:type="dxa"/>
            <w:vAlign w:val="bottom"/>
            <w:tcBorders>
              <w:bottom w:val="single" w:sz="8" w:color="6F2875"/>
            </w:tcBorders>
          </w:tcPr>
          <w:p>
            <w:pPr>
              <w:jc w:val="right"/>
              <w:spacing w:after="0"/>
              <w:rPr>
                <w:sz w:val="20"/>
                <w:szCs w:val="20"/>
                <w:color w:val="auto"/>
              </w:rPr>
            </w:pPr>
            <w:r>
              <w:rPr>
                <w:rFonts w:ascii="Arial" w:cs="Arial" w:eastAsia="Arial" w:hAnsi="Arial"/>
                <w:sz w:val="16"/>
                <w:szCs w:val="16"/>
                <w:b w:val="1"/>
                <w:bCs w:val="1"/>
                <w:color w:val="6F2875"/>
              </w:rPr>
              <w:t>Owned</w:t>
            </w:r>
          </w:p>
        </w:tc>
        <w:tc>
          <w:tcPr>
            <w:tcW w:w="2040" w:type="dxa"/>
            <w:vAlign w:val="bottom"/>
            <w:tcBorders>
              <w:bottom w:val="single" w:sz="8" w:color="6F2875"/>
            </w:tcBorders>
          </w:tcPr>
          <w:p>
            <w:pPr>
              <w:jc w:val="right"/>
              <w:ind w:right="259"/>
              <w:spacing w:after="0"/>
              <w:rPr>
                <w:sz w:val="20"/>
                <w:szCs w:val="20"/>
                <w:color w:val="auto"/>
              </w:rPr>
            </w:pPr>
            <w:r>
              <w:rPr>
                <w:rFonts w:ascii="Arial" w:cs="Arial" w:eastAsia="Arial" w:hAnsi="Arial"/>
                <w:sz w:val="16"/>
                <w:szCs w:val="16"/>
                <w:b w:val="1"/>
                <w:bCs w:val="1"/>
                <w:color w:val="6F2875"/>
              </w:rPr>
              <w:t>Within 60 Days</w:t>
            </w:r>
          </w:p>
        </w:tc>
        <w:tc>
          <w:tcPr>
            <w:tcW w:w="1680" w:type="dxa"/>
            <w:vAlign w:val="bottom"/>
            <w:tcBorders>
              <w:bottom w:val="single" w:sz="8" w:color="6F2875"/>
            </w:tcBorders>
          </w:tcPr>
          <w:p>
            <w:pPr>
              <w:jc w:val="right"/>
              <w:ind w:right="439"/>
              <w:spacing w:after="0"/>
              <w:rPr>
                <w:sz w:val="20"/>
                <w:szCs w:val="20"/>
                <w:color w:val="auto"/>
              </w:rPr>
            </w:pPr>
            <w:r>
              <w:rPr>
                <w:rFonts w:ascii="Arial" w:cs="Arial" w:eastAsia="Arial" w:hAnsi="Arial"/>
                <w:sz w:val="16"/>
                <w:szCs w:val="16"/>
                <w:b w:val="1"/>
                <w:bCs w:val="1"/>
                <w:color w:val="6F2875"/>
              </w:rPr>
              <w:t>Ownership</w:t>
            </w:r>
          </w:p>
        </w:tc>
        <w:tc>
          <w:tcPr>
            <w:tcW w:w="1000" w:type="dxa"/>
            <w:vAlign w:val="bottom"/>
            <w:tcBorders>
              <w:bottom w:val="single" w:sz="8" w:color="6F2875"/>
            </w:tcBorders>
          </w:tcPr>
          <w:p>
            <w:pPr>
              <w:jc w:val="right"/>
              <w:spacing w:after="0" w:line="230" w:lineRule="exact"/>
              <w:rPr>
                <w:sz w:val="20"/>
                <w:szCs w:val="20"/>
                <w:color w:val="auto"/>
              </w:rPr>
            </w:pPr>
            <w:r>
              <w:rPr>
                <w:rFonts w:ascii="Arial" w:cs="Arial" w:eastAsia="Arial" w:hAnsi="Arial"/>
                <w:sz w:val="16"/>
                <w:szCs w:val="16"/>
                <w:b w:val="1"/>
                <w:bCs w:val="1"/>
                <w:color w:val="6F2875"/>
              </w:rPr>
              <w:t>Class</w:t>
            </w:r>
            <w:r>
              <w:rPr>
                <w:rFonts w:ascii="Arial" w:cs="Arial" w:eastAsia="Arial" w:hAnsi="Arial"/>
                <w:sz w:val="26"/>
                <w:szCs w:val="26"/>
                <w:b w:val="1"/>
                <w:bCs w:val="1"/>
                <w:color w:val="6F2875"/>
                <w:vertAlign w:val="superscript"/>
              </w:rPr>
              <w:t>(2)</w:t>
            </w:r>
          </w:p>
        </w:tc>
        <w:tc>
          <w:tcPr>
            <w:tcW w:w="0" w:type="dxa"/>
            <w:vAlign w:val="bottom"/>
          </w:tcPr>
          <w:p>
            <w:pPr>
              <w:spacing w:after="0"/>
              <w:rPr>
                <w:sz w:val="1"/>
                <w:szCs w:val="1"/>
                <w:color w:val="auto"/>
              </w:rPr>
            </w:pPr>
          </w:p>
        </w:tc>
      </w:tr>
      <w:tr>
        <w:trPr>
          <w:trHeight w:val="183"/>
        </w:trPr>
        <w:tc>
          <w:tcPr>
            <w:tcW w:w="5540" w:type="dxa"/>
            <w:vAlign w:val="bottom"/>
          </w:tcPr>
          <w:p>
            <w:pPr>
              <w:ind w:left="60"/>
              <w:spacing w:after="0" w:line="183" w:lineRule="exact"/>
              <w:rPr>
                <w:sz w:val="20"/>
                <w:szCs w:val="20"/>
                <w:color w:val="auto"/>
              </w:rPr>
            </w:pPr>
            <w:r>
              <w:rPr>
                <w:rFonts w:ascii="Arial" w:cs="Arial" w:eastAsia="Arial" w:hAnsi="Arial"/>
                <w:sz w:val="16"/>
                <w:szCs w:val="16"/>
                <w:b w:val="1"/>
                <w:bCs w:val="1"/>
                <w:i w:val="1"/>
                <w:iCs w:val="1"/>
                <w:color w:val="6F2875"/>
              </w:rPr>
              <w:t>Named Executive Officers:</w:t>
            </w:r>
          </w:p>
        </w:tc>
        <w:tc>
          <w:tcPr>
            <w:tcW w:w="1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F3EDF3"/>
          </w:tcPr>
          <w:p>
            <w:pPr>
              <w:ind w:left="60"/>
              <w:spacing w:after="0"/>
              <w:rPr>
                <w:sz w:val="20"/>
                <w:szCs w:val="20"/>
                <w:color w:val="auto"/>
              </w:rPr>
            </w:pPr>
            <w:r>
              <w:rPr>
                <w:rFonts w:ascii="Arial" w:cs="Arial" w:eastAsia="Arial" w:hAnsi="Arial"/>
                <w:sz w:val="16"/>
                <w:szCs w:val="16"/>
                <w:color w:val="auto"/>
              </w:rPr>
              <w:t>Damien McDonald</w:t>
            </w:r>
          </w:p>
        </w:tc>
        <w:tc>
          <w:tcPr>
            <w:tcW w:w="1160" w:type="dxa"/>
            <w:vAlign w:val="bottom"/>
            <w:shd w:val="clear" w:color="auto" w:fill="F3EDF3"/>
          </w:tcPr>
          <w:p>
            <w:pPr>
              <w:jc w:val="right"/>
              <w:spacing w:after="0"/>
              <w:rPr>
                <w:sz w:val="20"/>
                <w:szCs w:val="20"/>
                <w:color w:val="auto"/>
              </w:rPr>
            </w:pPr>
            <w:r>
              <w:rPr>
                <w:rFonts w:ascii="Arial" w:cs="Arial" w:eastAsia="Arial" w:hAnsi="Arial"/>
                <w:sz w:val="16"/>
                <w:szCs w:val="16"/>
                <w:color w:val="auto"/>
              </w:rPr>
              <w:t>20,016</w:t>
            </w:r>
          </w:p>
        </w:tc>
        <w:tc>
          <w:tcPr>
            <w:tcW w:w="2040" w:type="dxa"/>
            <w:vAlign w:val="bottom"/>
            <w:shd w:val="clear" w:color="auto" w:fill="F3EDF3"/>
          </w:tcPr>
          <w:p>
            <w:pPr>
              <w:jc w:val="right"/>
              <w:ind w:right="259"/>
              <w:spacing w:after="0"/>
              <w:rPr>
                <w:sz w:val="20"/>
                <w:szCs w:val="20"/>
                <w:color w:val="auto"/>
              </w:rPr>
            </w:pPr>
            <w:r>
              <w:rPr>
                <w:rFonts w:ascii="Arial" w:cs="Arial" w:eastAsia="Arial" w:hAnsi="Arial"/>
                <w:sz w:val="16"/>
                <w:szCs w:val="16"/>
                <w:color w:val="auto"/>
              </w:rPr>
              <w:t>4,451</w:t>
            </w:r>
          </w:p>
        </w:tc>
        <w:tc>
          <w:tcPr>
            <w:tcW w:w="1680" w:type="dxa"/>
            <w:vAlign w:val="bottom"/>
            <w:shd w:val="clear" w:color="auto" w:fill="F3EDF3"/>
          </w:tcPr>
          <w:p>
            <w:pPr>
              <w:jc w:val="right"/>
              <w:ind w:right="439"/>
              <w:spacing w:after="0"/>
              <w:rPr>
                <w:sz w:val="20"/>
                <w:szCs w:val="20"/>
                <w:color w:val="auto"/>
              </w:rPr>
            </w:pPr>
            <w:r>
              <w:rPr>
                <w:rFonts w:ascii="Arial" w:cs="Arial" w:eastAsia="Arial" w:hAnsi="Arial"/>
                <w:sz w:val="16"/>
                <w:szCs w:val="16"/>
                <w:color w:val="auto"/>
              </w:rPr>
              <w:t>24,467</w:t>
            </w:r>
          </w:p>
        </w:tc>
        <w:tc>
          <w:tcPr>
            <w:tcW w:w="1000" w:type="dxa"/>
            <w:vAlign w:val="bottom"/>
            <w:shd w:val="clear" w:color="auto" w:fill="F3EDF3"/>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540" w:type="dxa"/>
            <w:vAlign w:val="bottom"/>
          </w:tcPr>
          <w:p>
            <w:pPr>
              <w:ind w:left="60"/>
              <w:spacing w:after="0"/>
              <w:rPr>
                <w:sz w:val="20"/>
                <w:szCs w:val="20"/>
                <w:color w:val="auto"/>
              </w:rPr>
            </w:pPr>
            <w:r>
              <w:rPr>
                <w:rFonts w:ascii="Arial" w:cs="Arial" w:eastAsia="Arial" w:hAnsi="Arial"/>
                <w:sz w:val="16"/>
                <w:szCs w:val="16"/>
                <w:color w:val="auto"/>
              </w:rPr>
              <w:t>Thad Huston</w:t>
            </w:r>
          </w:p>
        </w:tc>
        <w:tc>
          <w:tcPr>
            <w:tcW w:w="1160" w:type="dxa"/>
            <w:vAlign w:val="bottom"/>
          </w:tcPr>
          <w:p>
            <w:pPr>
              <w:jc w:val="right"/>
              <w:spacing w:after="0"/>
              <w:rPr>
                <w:sz w:val="20"/>
                <w:szCs w:val="20"/>
                <w:color w:val="auto"/>
              </w:rPr>
            </w:pPr>
            <w:r>
              <w:rPr>
                <w:rFonts w:ascii="Arial" w:cs="Arial" w:eastAsia="Arial" w:hAnsi="Arial"/>
                <w:sz w:val="16"/>
                <w:szCs w:val="16"/>
                <w:color w:val="auto"/>
              </w:rPr>
              <w:t>2,536</w:t>
            </w:r>
          </w:p>
        </w:tc>
        <w:tc>
          <w:tcPr>
            <w:tcW w:w="2040" w:type="dxa"/>
            <w:vAlign w:val="bottom"/>
          </w:tcPr>
          <w:p>
            <w:pPr>
              <w:jc w:val="right"/>
              <w:ind w:right="259"/>
              <w:spacing w:after="0"/>
              <w:rPr>
                <w:sz w:val="20"/>
                <w:szCs w:val="20"/>
                <w:color w:val="auto"/>
              </w:rPr>
            </w:pPr>
            <w:r>
              <w:rPr>
                <w:rFonts w:ascii="Arial" w:cs="Arial" w:eastAsia="Arial" w:hAnsi="Arial"/>
                <w:sz w:val="16"/>
                <w:szCs w:val="16"/>
                <w:color w:val="auto"/>
              </w:rPr>
              <w:t>11,502</w:t>
            </w:r>
          </w:p>
        </w:tc>
        <w:tc>
          <w:tcPr>
            <w:tcW w:w="1680" w:type="dxa"/>
            <w:vAlign w:val="bottom"/>
          </w:tcPr>
          <w:p>
            <w:pPr>
              <w:jc w:val="right"/>
              <w:ind w:right="439"/>
              <w:spacing w:after="0"/>
              <w:rPr>
                <w:sz w:val="20"/>
                <w:szCs w:val="20"/>
                <w:color w:val="auto"/>
              </w:rPr>
            </w:pPr>
            <w:r>
              <w:rPr>
                <w:rFonts w:ascii="Arial" w:cs="Arial" w:eastAsia="Arial" w:hAnsi="Arial"/>
                <w:sz w:val="16"/>
                <w:szCs w:val="16"/>
                <w:color w:val="auto"/>
              </w:rPr>
              <w:t>14,038</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540" w:type="dxa"/>
            <w:vAlign w:val="bottom"/>
            <w:shd w:val="clear" w:color="auto" w:fill="F3EDF3"/>
          </w:tcPr>
          <w:p>
            <w:pPr>
              <w:ind w:left="60"/>
              <w:spacing w:after="0"/>
              <w:rPr>
                <w:sz w:val="20"/>
                <w:szCs w:val="20"/>
                <w:color w:val="auto"/>
              </w:rPr>
            </w:pPr>
            <w:r>
              <w:rPr>
                <w:rFonts w:ascii="Arial" w:cs="Arial" w:eastAsia="Arial" w:hAnsi="Arial"/>
                <w:sz w:val="16"/>
                <w:szCs w:val="16"/>
                <w:color w:val="auto"/>
              </w:rPr>
              <w:t>Douglas Manko</w:t>
            </w:r>
          </w:p>
        </w:tc>
        <w:tc>
          <w:tcPr>
            <w:tcW w:w="1160" w:type="dxa"/>
            <w:vAlign w:val="bottom"/>
            <w:shd w:val="clear" w:color="auto" w:fill="F3EDF3"/>
          </w:tcPr>
          <w:p>
            <w:pPr>
              <w:jc w:val="right"/>
              <w:spacing w:after="0"/>
              <w:rPr>
                <w:sz w:val="20"/>
                <w:szCs w:val="20"/>
                <w:color w:val="auto"/>
              </w:rPr>
            </w:pPr>
            <w:r>
              <w:rPr>
                <w:rFonts w:ascii="Arial" w:cs="Arial" w:eastAsia="Arial" w:hAnsi="Arial"/>
                <w:sz w:val="16"/>
                <w:szCs w:val="16"/>
                <w:color w:val="auto"/>
              </w:rPr>
              <w:t>971</w:t>
            </w:r>
          </w:p>
        </w:tc>
        <w:tc>
          <w:tcPr>
            <w:tcW w:w="2040" w:type="dxa"/>
            <w:vAlign w:val="bottom"/>
            <w:shd w:val="clear" w:color="auto" w:fill="F3EDF3"/>
          </w:tcPr>
          <w:p>
            <w:pPr>
              <w:jc w:val="right"/>
              <w:ind w:right="259"/>
              <w:spacing w:after="0"/>
              <w:rPr>
                <w:sz w:val="20"/>
                <w:szCs w:val="20"/>
                <w:color w:val="auto"/>
              </w:rPr>
            </w:pPr>
            <w:r>
              <w:rPr>
                <w:rFonts w:ascii="Arial" w:cs="Arial" w:eastAsia="Arial" w:hAnsi="Arial"/>
                <w:sz w:val="16"/>
                <w:szCs w:val="16"/>
                <w:color w:val="auto"/>
              </w:rPr>
              <w:t>—</w:t>
            </w:r>
          </w:p>
        </w:tc>
        <w:tc>
          <w:tcPr>
            <w:tcW w:w="1680" w:type="dxa"/>
            <w:vAlign w:val="bottom"/>
            <w:shd w:val="clear" w:color="auto" w:fill="F3EDF3"/>
          </w:tcPr>
          <w:p>
            <w:pPr>
              <w:jc w:val="right"/>
              <w:ind w:right="439"/>
              <w:spacing w:after="0"/>
              <w:rPr>
                <w:sz w:val="20"/>
                <w:szCs w:val="20"/>
                <w:color w:val="auto"/>
              </w:rPr>
            </w:pPr>
            <w:r>
              <w:rPr>
                <w:rFonts w:ascii="Arial" w:cs="Arial" w:eastAsia="Arial" w:hAnsi="Arial"/>
                <w:sz w:val="16"/>
                <w:szCs w:val="16"/>
                <w:color w:val="auto"/>
              </w:rPr>
              <w:t>971</w:t>
            </w:r>
          </w:p>
        </w:tc>
        <w:tc>
          <w:tcPr>
            <w:tcW w:w="1000" w:type="dxa"/>
            <w:vAlign w:val="bottom"/>
            <w:shd w:val="clear" w:color="auto" w:fill="F3EDF3"/>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540" w:type="dxa"/>
            <w:vAlign w:val="bottom"/>
          </w:tcPr>
          <w:p>
            <w:pPr>
              <w:ind w:left="60"/>
              <w:spacing w:after="0"/>
              <w:rPr>
                <w:sz w:val="20"/>
                <w:szCs w:val="20"/>
                <w:color w:val="auto"/>
              </w:rPr>
            </w:pPr>
            <w:r>
              <w:rPr>
                <w:rFonts w:ascii="Arial" w:cs="Arial" w:eastAsia="Arial" w:hAnsi="Arial"/>
                <w:sz w:val="16"/>
                <w:szCs w:val="16"/>
                <w:color w:val="auto"/>
              </w:rPr>
              <w:t>Brian Sheridan</w:t>
            </w:r>
          </w:p>
        </w:tc>
        <w:tc>
          <w:tcPr>
            <w:tcW w:w="1160" w:type="dxa"/>
            <w:vAlign w:val="bottom"/>
          </w:tcPr>
          <w:p>
            <w:pPr>
              <w:jc w:val="right"/>
              <w:spacing w:after="0"/>
              <w:rPr>
                <w:sz w:val="20"/>
                <w:szCs w:val="20"/>
                <w:color w:val="auto"/>
              </w:rPr>
            </w:pPr>
            <w:r>
              <w:rPr>
                <w:rFonts w:ascii="Arial" w:cs="Arial" w:eastAsia="Arial" w:hAnsi="Arial"/>
                <w:sz w:val="16"/>
                <w:szCs w:val="16"/>
                <w:color w:val="auto"/>
              </w:rPr>
              <w:t>20,991</w:t>
            </w:r>
          </w:p>
        </w:tc>
        <w:tc>
          <w:tcPr>
            <w:tcW w:w="20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439"/>
              <w:spacing w:after="0"/>
              <w:rPr>
                <w:sz w:val="20"/>
                <w:szCs w:val="20"/>
                <w:color w:val="auto"/>
              </w:rPr>
            </w:pPr>
            <w:r>
              <w:rPr>
                <w:rFonts w:ascii="Arial" w:cs="Arial" w:eastAsia="Arial" w:hAnsi="Arial"/>
                <w:sz w:val="16"/>
                <w:szCs w:val="16"/>
                <w:color w:val="auto"/>
              </w:rPr>
              <w:t>20,991</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540" w:type="dxa"/>
            <w:vAlign w:val="bottom"/>
            <w:shd w:val="clear" w:color="auto" w:fill="F3EDF3"/>
          </w:tcPr>
          <w:p>
            <w:pPr>
              <w:ind w:left="60"/>
              <w:spacing w:after="0"/>
              <w:rPr>
                <w:sz w:val="20"/>
                <w:szCs w:val="20"/>
                <w:color w:val="auto"/>
              </w:rPr>
            </w:pPr>
            <w:r>
              <w:rPr>
                <w:rFonts w:ascii="Arial" w:cs="Arial" w:eastAsia="Arial" w:hAnsi="Arial"/>
                <w:sz w:val="16"/>
                <w:szCs w:val="16"/>
                <w:color w:val="auto"/>
              </w:rPr>
              <w:t>Keyna Skeffington</w:t>
            </w:r>
          </w:p>
        </w:tc>
        <w:tc>
          <w:tcPr>
            <w:tcW w:w="1160" w:type="dxa"/>
            <w:vAlign w:val="bottom"/>
            <w:shd w:val="clear" w:color="auto" w:fill="F3EDF3"/>
          </w:tcPr>
          <w:p>
            <w:pPr>
              <w:jc w:val="right"/>
              <w:spacing w:after="0"/>
              <w:rPr>
                <w:sz w:val="20"/>
                <w:szCs w:val="20"/>
                <w:color w:val="auto"/>
              </w:rPr>
            </w:pPr>
            <w:r>
              <w:rPr>
                <w:rFonts w:ascii="Arial" w:cs="Arial" w:eastAsia="Arial" w:hAnsi="Arial"/>
                <w:sz w:val="16"/>
                <w:szCs w:val="16"/>
                <w:color w:val="auto"/>
              </w:rPr>
              <w:t>—</w:t>
            </w:r>
          </w:p>
        </w:tc>
        <w:tc>
          <w:tcPr>
            <w:tcW w:w="2040" w:type="dxa"/>
            <w:vAlign w:val="bottom"/>
            <w:shd w:val="clear" w:color="auto" w:fill="F3EDF3"/>
          </w:tcPr>
          <w:p>
            <w:pPr>
              <w:jc w:val="right"/>
              <w:ind w:right="259"/>
              <w:spacing w:after="0"/>
              <w:rPr>
                <w:sz w:val="20"/>
                <w:szCs w:val="20"/>
                <w:color w:val="auto"/>
              </w:rPr>
            </w:pPr>
            <w:r>
              <w:rPr>
                <w:rFonts w:ascii="Arial" w:cs="Arial" w:eastAsia="Arial" w:hAnsi="Arial"/>
                <w:sz w:val="16"/>
                <w:szCs w:val="16"/>
                <w:color w:val="auto"/>
              </w:rPr>
              <w:t>1,147</w:t>
            </w:r>
          </w:p>
        </w:tc>
        <w:tc>
          <w:tcPr>
            <w:tcW w:w="1680" w:type="dxa"/>
            <w:vAlign w:val="bottom"/>
            <w:shd w:val="clear" w:color="auto" w:fill="F3EDF3"/>
          </w:tcPr>
          <w:p>
            <w:pPr>
              <w:jc w:val="right"/>
              <w:ind w:right="439"/>
              <w:spacing w:after="0"/>
              <w:rPr>
                <w:sz w:val="20"/>
                <w:szCs w:val="20"/>
                <w:color w:val="auto"/>
              </w:rPr>
            </w:pPr>
            <w:r>
              <w:rPr>
                <w:rFonts w:ascii="Arial" w:cs="Arial" w:eastAsia="Arial" w:hAnsi="Arial"/>
                <w:sz w:val="16"/>
                <w:szCs w:val="16"/>
                <w:color w:val="auto"/>
              </w:rPr>
              <w:t>1,147</w:t>
            </w:r>
          </w:p>
        </w:tc>
        <w:tc>
          <w:tcPr>
            <w:tcW w:w="1000" w:type="dxa"/>
            <w:vAlign w:val="bottom"/>
            <w:shd w:val="clear" w:color="auto" w:fill="F3EDF3"/>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540" w:type="dxa"/>
            <w:vAlign w:val="bottom"/>
          </w:tcPr>
          <w:p>
            <w:pPr>
              <w:ind w:left="60"/>
              <w:spacing w:after="0"/>
              <w:rPr>
                <w:sz w:val="20"/>
                <w:szCs w:val="20"/>
                <w:color w:val="auto"/>
              </w:rPr>
            </w:pPr>
            <w:r>
              <w:rPr>
                <w:rFonts w:ascii="Arial" w:cs="Arial" w:eastAsia="Arial" w:hAnsi="Arial"/>
                <w:sz w:val="16"/>
                <w:szCs w:val="16"/>
                <w:color w:val="auto"/>
              </w:rPr>
              <w:t>Vivid Sehgal</w:t>
            </w:r>
          </w:p>
        </w:tc>
        <w:tc>
          <w:tcPr>
            <w:tcW w:w="1160" w:type="dxa"/>
            <w:vAlign w:val="bottom"/>
          </w:tcPr>
          <w:p>
            <w:pPr>
              <w:jc w:val="right"/>
              <w:spacing w:after="0"/>
              <w:rPr>
                <w:sz w:val="20"/>
                <w:szCs w:val="20"/>
                <w:color w:val="auto"/>
              </w:rPr>
            </w:pPr>
            <w:r>
              <w:rPr>
                <w:rFonts w:ascii="Arial" w:cs="Arial" w:eastAsia="Arial" w:hAnsi="Arial"/>
                <w:sz w:val="16"/>
                <w:szCs w:val="16"/>
                <w:color w:val="auto"/>
              </w:rPr>
              <w:t>2,761</w:t>
            </w:r>
          </w:p>
        </w:tc>
        <w:tc>
          <w:tcPr>
            <w:tcW w:w="20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439"/>
              <w:spacing w:after="0"/>
              <w:rPr>
                <w:sz w:val="20"/>
                <w:szCs w:val="20"/>
                <w:color w:val="auto"/>
              </w:rPr>
            </w:pPr>
            <w:r>
              <w:rPr>
                <w:rFonts w:ascii="Arial" w:cs="Arial" w:eastAsia="Arial" w:hAnsi="Arial"/>
                <w:sz w:val="16"/>
                <w:szCs w:val="16"/>
                <w:color w:val="auto"/>
              </w:rPr>
              <w:t>2,761</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540" w:type="dxa"/>
            <w:vAlign w:val="bottom"/>
            <w:shd w:val="clear" w:color="auto" w:fill="F3EDF3"/>
          </w:tcPr>
          <w:p>
            <w:pPr>
              <w:ind w:left="60"/>
              <w:spacing w:after="0"/>
              <w:rPr>
                <w:sz w:val="20"/>
                <w:szCs w:val="20"/>
                <w:color w:val="auto"/>
              </w:rPr>
            </w:pPr>
            <w:r>
              <w:rPr>
                <w:rFonts w:ascii="Arial" w:cs="Arial" w:eastAsia="Arial" w:hAnsi="Arial"/>
                <w:sz w:val="16"/>
                <w:szCs w:val="16"/>
                <w:color w:val="auto"/>
              </w:rPr>
              <w:t>David Wise</w:t>
            </w:r>
          </w:p>
        </w:tc>
        <w:tc>
          <w:tcPr>
            <w:tcW w:w="1160" w:type="dxa"/>
            <w:vAlign w:val="bottom"/>
            <w:shd w:val="clear" w:color="auto" w:fill="F3EDF3"/>
          </w:tcPr>
          <w:p>
            <w:pPr>
              <w:jc w:val="right"/>
              <w:spacing w:after="0"/>
              <w:rPr>
                <w:sz w:val="20"/>
                <w:szCs w:val="20"/>
                <w:color w:val="auto"/>
              </w:rPr>
            </w:pPr>
            <w:r>
              <w:rPr>
                <w:rFonts w:ascii="Arial" w:cs="Arial" w:eastAsia="Arial" w:hAnsi="Arial"/>
                <w:sz w:val="16"/>
                <w:szCs w:val="16"/>
                <w:color w:val="auto"/>
              </w:rPr>
              <w:t>40,822</w:t>
            </w:r>
          </w:p>
        </w:tc>
        <w:tc>
          <w:tcPr>
            <w:tcW w:w="2040" w:type="dxa"/>
            <w:vAlign w:val="bottom"/>
            <w:shd w:val="clear" w:color="auto" w:fill="F3EDF3"/>
          </w:tcPr>
          <w:p>
            <w:pPr>
              <w:jc w:val="right"/>
              <w:ind w:right="259"/>
              <w:spacing w:after="0"/>
              <w:rPr>
                <w:sz w:val="20"/>
                <w:szCs w:val="20"/>
                <w:color w:val="auto"/>
              </w:rPr>
            </w:pPr>
            <w:r>
              <w:rPr>
                <w:rFonts w:ascii="Arial" w:cs="Arial" w:eastAsia="Arial" w:hAnsi="Arial"/>
                <w:sz w:val="16"/>
                <w:szCs w:val="16"/>
                <w:color w:val="auto"/>
              </w:rPr>
              <w:t>877</w:t>
            </w:r>
          </w:p>
        </w:tc>
        <w:tc>
          <w:tcPr>
            <w:tcW w:w="1680" w:type="dxa"/>
            <w:vAlign w:val="bottom"/>
            <w:shd w:val="clear" w:color="auto" w:fill="F3EDF3"/>
          </w:tcPr>
          <w:p>
            <w:pPr>
              <w:jc w:val="right"/>
              <w:ind w:right="439"/>
              <w:spacing w:after="0"/>
              <w:rPr>
                <w:sz w:val="20"/>
                <w:szCs w:val="20"/>
                <w:color w:val="auto"/>
              </w:rPr>
            </w:pPr>
            <w:r>
              <w:rPr>
                <w:rFonts w:ascii="Arial" w:cs="Arial" w:eastAsia="Arial" w:hAnsi="Arial"/>
                <w:sz w:val="16"/>
                <w:szCs w:val="16"/>
                <w:color w:val="auto"/>
              </w:rPr>
              <w:t>43,199</w:t>
            </w:r>
          </w:p>
        </w:tc>
        <w:tc>
          <w:tcPr>
            <w:tcW w:w="1000" w:type="dxa"/>
            <w:vAlign w:val="bottom"/>
            <w:shd w:val="clear" w:color="auto" w:fill="F3EDF3"/>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540" w:type="dxa"/>
            <w:vAlign w:val="bottom"/>
          </w:tcPr>
          <w:p>
            <w:pPr>
              <w:ind w:left="60"/>
              <w:spacing w:after="0" w:line="230" w:lineRule="exact"/>
              <w:rPr>
                <w:sz w:val="20"/>
                <w:szCs w:val="20"/>
                <w:color w:val="auto"/>
              </w:rPr>
            </w:pPr>
            <w:r>
              <w:rPr>
                <w:rFonts w:ascii="Arial" w:cs="Arial" w:eastAsia="Arial" w:hAnsi="Arial"/>
                <w:sz w:val="16"/>
                <w:szCs w:val="16"/>
                <w:b w:val="1"/>
                <w:bCs w:val="1"/>
                <w:i w:val="1"/>
                <w:iCs w:val="1"/>
                <w:color w:val="6F2875"/>
              </w:rPr>
              <w:t>Directors:</w:t>
            </w:r>
            <w:r>
              <w:rPr>
                <w:rFonts w:ascii="Arial" w:cs="Arial" w:eastAsia="Arial" w:hAnsi="Arial"/>
                <w:sz w:val="26"/>
                <w:szCs w:val="26"/>
                <w:b w:val="1"/>
                <w:bCs w:val="1"/>
                <w:i w:val="1"/>
                <w:iCs w:val="1"/>
                <w:color w:val="6F2875"/>
                <w:vertAlign w:val="superscript"/>
              </w:rPr>
              <w:t>(3)</w:t>
            </w:r>
          </w:p>
        </w:tc>
        <w:tc>
          <w:tcPr>
            <w:tcW w:w="11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F3EDF3"/>
          </w:tcPr>
          <w:p>
            <w:pPr>
              <w:ind w:left="60"/>
              <w:spacing w:after="0"/>
              <w:rPr>
                <w:sz w:val="20"/>
                <w:szCs w:val="20"/>
                <w:color w:val="auto"/>
              </w:rPr>
            </w:pPr>
            <w:r>
              <w:rPr>
                <w:rFonts w:ascii="Arial" w:cs="Arial" w:eastAsia="Arial" w:hAnsi="Arial"/>
                <w:sz w:val="16"/>
                <w:szCs w:val="16"/>
                <w:color w:val="auto"/>
              </w:rPr>
              <w:t>Francesco Bianchi</w:t>
            </w:r>
          </w:p>
        </w:tc>
        <w:tc>
          <w:tcPr>
            <w:tcW w:w="1160" w:type="dxa"/>
            <w:vAlign w:val="bottom"/>
            <w:shd w:val="clear" w:color="auto" w:fill="F3EDF3"/>
          </w:tcPr>
          <w:p>
            <w:pPr>
              <w:jc w:val="right"/>
              <w:spacing w:after="0"/>
              <w:rPr>
                <w:sz w:val="20"/>
                <w:szCs w:val="20"/>
                <w:color w:val="auto"/>
              </w:rPr>
            </w:pPr>
            <w:r>
              <w:rPr>
                <w:rFonts w:ascii="Arial" w:cs="Arial" w:eastAsia="Arial" w:hAnsi="Arial"/>
                <w:sz w:val="16"/>
                <w:szCs w:val="16"/>
                <w:color w:val="auto"/>
              </w:rPr>
              <w:t>1,830</w:t>
            </w:r>
          </w:p>
        </w:tc>
        <w:tc>
          <w:tcPr>
            <w:tcW w:w="2040" w:type="dxa"/>
            <w:vAlign w:val="bottom"/>
            <w:shd w:val="clear" w:color="auto" w:fill="F3EDF3"/>
          </w:tcPr>
          <w:p>
            <w:pPr>
              <w:jc w:val="right"/>
              <w:ind w:right="259"/>
              <w:spacing w:after="0"/>
              <w:rPr>
                <w:sz w:val="20"/>
                <w:szCs w:val="20"/>
                <w:color w:val="auto"/>
              </w:rPr>
            </w:pPr>
            <w:r>
              <w:rPr>
                <w:rFonts w:ascii="Arial" w:cs="Arial" w:eastAsia="Arial" w:hAnsi="Arial"/>
                <w:sz w:val="16"/>
                <w:szCs w:val="16"/>
                <w:color w:val="auto"/>
              </w:rPr>
              <w:t>—</w:t>
            </w:r>
          </w:p>
        </w:tc>
        <w:tc>
          <w:tcPr>
            <w:tcW w:w="1680" w:type="dxa"/>
            <w:vAlign w:val="bottom"/>
            <w:shd w:val="clear" w:color="auto" w:fill="F3EDF3"/>
          </w:tcPr>
          <w:p>
            <w:pPr>
              <w:jc w:val="right"/>
              <w:ind w:right="439"/>
              <w:spacing w:after="0"/>
              <w:rPr>
                <w:sz w:val="20"/>
                <w:szCs w:val="20"/>
                <w:color w:val="auto"/>
              </w:rPr>
            </w:pPr>
            <w:r>
              <w:rPr>
                <w:rFonts w:ascii="Arial" w:cs="Arial" w:eastAsia="Arial" w:hAnsi="Arial"/>
                <w:sz w:val="16"/>
                <w:szCs w:val="16"/>
                <w:color w:val="auto"/>
              </w:rPr>
              <w:t>1,830</w:t>
            </w:r>
          </w:p>
        </w:tc>
        <w:tc>
          <w:tcPr>
            <w:tcW w:w="1000" w:type="dxa"/>
            <w:vAlign w:val="bottom"/>
            <w:shd w:val="clear" w:color="auto" w:fill="F3EDF3"/>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540" w:type="dxa"/>
            <w:vAlign w:val="bottom"/>
          </w:tcPr>
          <w:p>
            <w:pPr>
              <w:ind w:left="60"/>
              <w:spacing w:after="0" w:line="230" w:lineRule="exact"/>
              <w:rPr>
                <w:sz w:val="20"/>
                <w:szCs w:val="20"/>
                <w:color w:val="auto"/>
              </w:rPr>
            </w:pPr>
            <w:r>
              <w:rPr>
                <w:rFonts w:ascii="Arial" w:cs="Arial" w:eastAsia="Arial" w:hAnsi="Arial"/>
                <w:sz w:val="16"/>
                <w:szCs w:val="16"/>
                <w:color w:val="auto"/>
              </w:rPr>
              <w:t>Stefano Gianotti</w:t>
            </w:r>
            <w:r>
              <w:rPr>
                <w:rFonts w:ascii="Arial" w:cs="Arial" w:eastAsia="Arial" w:hAnsi="Arial"/>
                <w:sz w:val="26"/>
                <w:szCs w:val="26"/>
                <w:color w:val="auto"/>
                <w:vertAlign w:val="superscript"/>
              </w:rPr>
              <w:t>(3)</w:t>
            </w:r>
          </w:p>
        </w:tc>
        <w:tc>
          <w:tcPr>
            <w:tcW w:w="1160" w:type="dxa"/>
            <w:vAlign w:val="bottom"/>
          </w:tcPr>
          <w:p>
            <w:pPr>
              <w:jc w:val="right"/>
              <w:spacing w:after="0"/>
              <w:rPr>
                <w:sz w:val="20"/>
                <w:szCs w:val="20"/>
                <w:color w:val="auto"/>
              </w:rPr>
            </w:pPr>
            <w:r>
              <w:rPr>
                <w:rFonts w:ascii="Arial" w:cs="Arial" w:eastAsia="Arial" w:hAnsi="Arial"/>
                <w:sz w:val="16"/>
                <w:szCs w:val="16"/>
                <w:color w:val="auto"/>
              </w:rPr>
              <w:t>1,830</w:t>
            </w:r>
          </w:p>
        </w:tc>
        <w:tc>
          <w:tcPr>
            <w:tcW w:w="20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439"/>
              <w:spacing w:after="0"/>
              <w:rPr>
                <w:sz w:val="20"/>
                <w:szCs w:val="20"/>
                <w:color w:val="auto"/>
              </w:rPr>
            </w:pPr>
            <w:r>
              <w:rPr>
                <w:rFonts w:ascii="Arial" w:cs="Arial" w:eastAsia="Arial" w:hAnsi="Arial"/>
                <w:sz w:val="16"/>
                <w:szCs w:val="16"/>
                <w:color w:val="auto"/>
              </w:rPr>
              <w:t>1,830</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540" w:type="dxa"/>
            <w:vAlign w:val="bottom"/>
            <w:shd w:val="clear" w:color="auto" w:fill="F3EDF3"/>
          </w:tcPr>
          <w:p>
            <w:pPr>
              <w:ind w:left="60"/>
              <w:spacing w:after="0"/>
              <w:rPr>
                <w:sz w:val="20"/>
                <w:szCs w:val="20"/>
                <w:color w:val="auto"/>
              </w:rPr>
            </w:pPr>
            <w:r>
              <w:rPr>
                <w:rFonts w:ascii="Arial" w:cs="Arial" w:eastAsia="Arial" w:hAnsi="Arial"/>
                <w:sz w:val="16"/>
                <w:szCs w:val="16"/>
                <w:color w:val="auto"/>
              </w:rPr>
              <w:t>William A. Kozy</w:t>
            </w:r>
          </w:p>
        </w:tc>
        <w:tc>
          <w:tcPr>
            <w:tcW w:w="1160" w:type="dxa"/>
            <w:vAlign w:val="bottom"/>
            <w:shd w:val="clear" w:color="auto" w:fill="F3EDF3"/>
          </w:tcPr>
          <w:p>
            <w:pPr>
              <w:jc w:val="right"/>
              <w:spacing w:after="0"/>
              <w:rPr>
                <w:sz w:val="20"/>
                <w:szCs w:val="20"/>
                <w:color w:val="auto"/>
              </w:rPr>
            </w:pPr>
            <w:r>
              <w:rPr>
                <w:rFonts w:ascii="Arial" w:cs="Arial" w:eastAsia="Arial" w:hAnsi="Arial"/>
                <w:sz w:val="16"/>
                <w:szCs w:val="16"/>
                <w:color w:val="auto"/>
              </w:rPr>
              <w:t>—</w:t>
            </w:r>
          </w:p>
        </w:tc>
        <w:tc>
          <w:tcPr>
            <w:tcW w:w="2040" w:type="dxa"/>
            <w:vAlign w:val="bottom"/>
            <w:shd w:val="clear" w:color="auto" w:fill="F3EDF3"/>
          </w:tcPr>
          <w:p>
            <w:pPr>
              <w:jc w:val="right"/>
              <w:ind w:right="259"/>
              <w:spacing w:after="0"/>
              <w:rPr>
                <w:sz w:val="20"/>
                <w:szCs w:val="20"/>
                <w:color w:val="auto"/>
              </w:rPr>
            </w:pPr>
            <w:r>
              <w:rPr>
                <w:rFonts w:ascii="Arial" w:cs="Arial" w:eastAsia="Arial" w:hAnsi="Arial"/>
                <w:sz w:val="16"/>
                <w:szCs w:val="16"/>
                <w:color w:val="auto"/>
              </w:rPr>
              <w:t>—</w:t>
            </w:r>
          </w:p>
        </w:tc>
        <w:tc>
          <w:tcPr>
            <w:tcW w:w="1680" w:type="dxa"/>
            <w:vAlign w:val="bottom"/>
            <w:shd w:val="clear" w:color="auto" w:fill="F3EDF3"/>
          </w:tcPr>
          <w:p>
            <w:pPr>
              <w:jc w:val="right"/>
              <w:ind w:right="4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F3EDF3"/>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540" w:type="dxa"/>
            <w:vAlign w:val="bottom"/>
          </w:tcPr>
          <w:p>
            <w:pPr>
              <w:ind w:left="60"/>
              <w:spacing w:after="0" w:line="230" w:lineRule="exact"/>
              <w:rPr>
                <w:sz w:val="20"/>
                <w:szCs w:val="20"/>
                <w:color w:val="auto"/>
              </w:rPr>
            </w:pPr>
            <w:r>
              <w:rPr>
                <w:rFonts w:ascii="Arial" w:cs="Arial" w:eastAsia="Arial" w:hAnsi="Arial"/>
                <w:sz w:val="16"/>
                <w:szCs w:val="16"/>
                <w:color w:val="auto"/>
              </w:rPr>
              <w:t>Daniel J. Moore</w:t>
            </w:r>
            <w:r>
              <w:rPr>
                <w:rFonts w:ascii="Arial" w:cs="Arial" w:eastAsia="Arial" w:hAnsi="Arial"/>
                <w:sz w:val="26"/>
                <w:szCs w:val="26"/>
                <w:color w:val="auto"/>
                <w:vertAlign w:val="superscript"/>
              </w:rPr>
              <w:t>(4)</w:t>
            </w:r>
          </w:p>
        </w:tc>
        <w:tc>
          <w:tcPr>
            <w:tcW w:w="1160" w:type="dxa"/>
            <w:vAlign w:val="bottom"/>
          </w:tcPr>
          <w:p>
            <w:pPr>
              <w:jc w:val="right"/>
              <w:spacing w:after="0"/>
              <w:rPr>
                <w:sz w:val="20"/>
                <w:szCs w:val="20"/>
                <w:color w:val="auto"/>
              </w:rPr>
            </w:pPr>
            <w:r>
              <w:rPr>
                <w:rFonts w:ascii="Arial" w:cs="Arial" w:eastAsia="Arial" w:hAnsi="Arial"/>
                <w:sz w:val="16"/>
                <w:szCs w:val="16"/>
                <w:color w:val="auto"/>
              </w:rPr>
              <w:t>50,296</w:t>
            </w:r>
          </w:p>
        </w:tc>
        <w:tc>
          <w:tcPr>
            <w:tcW w:w="20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439"/>
              <w:spacing w:after="0"/>
              <w:rPr>
                <w:sz w:val="20"/>
                <w:szCs w:val="20"/>
                <w:color w:val="auto"/>
              </w:rPr>
            </w:pPr>
            <w:r>
              <w:rPr>
                <w:rFonts w:ascii="Arial" w:cs="Arial" w:eastAsia="Arial" w:hAnsi="Arial"/>
                <w:sz w:val="16"/>
                <w:szCs w:val="16"/>
                <w:color w:val="auto"/>
              </w:rPr>
              <w:t>53,882</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540" w:type="dxa"/>
            <w:vAlign w:val="bottom"/>
            <w:shd w:val="clear" w:color="auto" w:fill="F3EDF3"/>
          </w:tcPr>
          <w:p>
            <w:pPr>
              <w:ind w:left="60"/>
              <w:spacing w:after="0"/>
              <w:rPr>
                <w:sz w:val="20"/>
                <w:szCs w:val="20"/>
                <w:color w:val="auto"/>
              </w:rPr>
            </w:pPr>
            <w:r>
              <w:rPr>
                <w:rFonts w:ascii="Arial" w:cs="Arial" w:eastAsia="Arial" w:hAnsi="Arial"/>
                <w:sz w:val="16"/>
                <w:szCs w:val="16"/>
                <w:color w:val="auto"/>
              </w:rPr>
              <w:t>Hugh M. Morrison</w:t>
            </w:r>
          </w:p>
        </w:tc>
        <w:tc>
          <w:tcPr>
            <w:tcW w:w="1160" w:type="dxa"/>
            <w:vAlign w:val="bottom"/>
            <w:shd w:val="clear" w:color="auto" w:fill="F3EDF3"/>
          </w:tcPr>
          <w:p>
            <w:pPr>
              <w:jc w:val="right"/>
              <w:spacing w:after="0"/>
              <w:rPr>
                <w:sz w:val="20"/>
                <w:szCs w:val="20"/>
                <w:color w:val="auto"/>
              </w:rPr>
            </w:pPr>
            <w:r>
              <w:rPr>
                <w:rFonts w:ascii="Arial" w:cs="Arial" w:eastAsia="Arial" w:hAnsi="Arial"/>
                <w:sz w:val="16"/>
                <w:szCs w:val="16"/>
                <w:color w:val="auto"/>
              </w:rPr>
              <w:t>2,000</w:t>
            </w:r>
          </w:p>
        </w:tc>
        <w:tc>
          <w:tcPr>
            <w:tcW w:w="2040" w:type="dxa"/>
            <w:vAlign w:val="bottom"/>
            <w:shd w:val="clear" w:color="auto" w:fill="F3EDF3"/>
          </w:tcPr>
          <w:p>
            <w:pPr>
              <w:jc w:val="right"/>
              <w:ind w:right="259"/>
              <w:spacing w:after="0"/>
              <w:rPr>
                <w:sz w:val="20"/>
                <w:szCs w:val="20"/>
                <w:color w:val="auto"/>
              </w:rPr>
            </w:pPr>
            <w:r>
              <w:rPr>
                <w:rFonts w:ascii="Arial" w:cs="Arial" w:eastAsia="Arial" w:hAnsi="Arial"/>
                <w:sz w:val="16"/>
                <w:szCs w:val="16"/>
                <w:color w:val="auto"/>
              </w:rPr>
              <w:t>—</w:t>
            </w:r>
          </w:p>
        </w:tc>
        <w:tc>
          <w:tcPr>
            <w:tcW w:w="1680" w:type="dxa"/>
            <w:vAlign w:val="bottom"/>
            <w:shd w:val="clear" w:color="auto" w:fill="F3EDF3"/>
          </w:tcPr>
          <w:p>
            <w:pPr>
              <w:jc w:val="right"/>
              <w:ind w:right="439"/>
              <w:spacing w:after="0"/>
              <w:rPr>
                <w:sz w:val="20"/>
                <w:szCs w:val="20"/>
                <w:color w:val="auto"/>
              </w:rPr>
            </w:pPr>
            <w:r>
              <w:rPr>
                <w:rFonts w:ascii="Arial" w:cs="Arial" w:eastAsia="Arial" w:hAnsi="Arial"/>
                <w:sz w:val="16"/>
                <w:szCs w:val="16"/>
                <w:color w:val="auto"/>
              </w:rPr>
              <w:t>2,000</w:t>
            </w:r>
          </w:p>
        </w:tc>
        <w:tc>
          <w:tcPr>
            <w:tcW w:w="1000" w:type="dxa"/>
            <w:vAlign w:val="bottom"/>
            <w:shd w:val="clear" w:color="auto" w:fill="F3EDF3"/>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540" w:type="dxa"/>
            <w:vAlign w:val="bottom"/>
          </w:tcPr>
          <w:p>
            <w:pPr>
              <w:ind w:left="60"/>
              <w:spacing w:after="0"/>
              <w:rPr>
                <w:sz w:val="20"/>
                <w:szCs w:val="20"/>
                <w:color w:val="auto"/>
              </w:rPr>
            </w:pPr>
            <w:r>
              <w:rPr>
                <w:rFonts w:ascii="Arial" w:cs="Arial" w:eastAsia="Arial" w:hAnsi="Arial"/>
                <w:sz w:val="16"/>
                <w:szCs w:val="16"/>
                <w:color w:val="auto"/>
              </w:rPr>
              <w:t>Alfred J. Novak</w:t>
            </w:r>
          </w:p>
        </w:tc>
        <w:tc>
          <w:tcPr>
            <w:tcW w:w="1160" w:type="dxa"/>
            <w:vAlign w:val="bottom"/>
          </w:tcPr>
          <w:p>
            <w:pPr>
              <w:jc w:val="right"/>
              <w:spacing w:after="0"/>
              <w:rPr>
                <w:sz w:val="20"/>
                <w:szCs w:val="20"/>
                <w:color w:val="auto"/>
              </w:rPr>
            </w:pPr>
            <w:r>
              <w:rPr>
                <w:rFonts w:ascii="Arial" w:cs="Arial" w:eastAsia="Arial" w:hAnsi="Arial"/>
                <w:sz w:val="16"/>
                <w:szCs w:val="16"/>
                <w:color w:val="auto"/>
              </w:rPr>
              <w:t>11,850</w:t>
            </w:r>
          </w:p>
        </w:tc>
        <w:tc>
          <w:tcPr>
            <w:tcW w:w="20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439"/>
              <w:spacing w:after="0"/>
              <w:rPr>
                <w:sz w:val="20"/>
                <w:szCs w:val="20"/>
                <w:color w:val="auto"/>
              </w:rPr>
            </w:pPr>
            <w:r>
              <w:rPr>
                <w:rFonts w:ascii="Arial" w:cs="Arial" w:eastAsia="Arial" w:hAnsi="Arial"/>
                <w:sz w:val="16"/>
                <w:szCs w:val="16"/>
                <w:color w:val="auto"/>
              </w:rPr>
              <w:t>11,850</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540" w:type="dxa"/>
            <w:vAlign w:val="bottom"/>
            <w:shd w:val="clear" w:color="auto" w:fill="F3EDF3"/>
          </w:tcPr>
          <w:p>
            <w:pPr>
              <w:ind w:left="60"/>
              <w:spacing w:after="0"/>
              <w:rPr>
                <w:sz w:val="20"/>
                <w:szCs w:val="20"/>
                <w:color w:val="auto"/>
              </w:rPr>
            </w:pPr>
            <w:r>
              <w:rPr>
                <w:rFonts w:ascii="Arial" w:cs="Arial" w:eastAsia="Arial" w:hAnsi="Arial"/>
                <w:sz w:val="16"/>
                <w:szCs w:val="16"/>
                <w:color w:val="auto"/>
              </w:rPr>
              <w:t>Sharon O’Kane, Ph.D.</w:t>
            </w:r>
          </w:p>
        </w:tc>
        <w:tc>
          <w:tcPr>
            <w:tcW w:w="1160" w:type="dxa"/>
            <w:vAlign w:val="bottom"/>
            <w:shd w:val="clear" w:color="auto" w:fill="F3EDF3"/>
          </w:tcPr>
          <w:p>
            <w:pPr>
              <w:jc w:val="right"/>
              <w:spacing w:after="0"/>
              <w:rPr>
                <w:sz w:val="20"/>
                <w:szCs w:val="20"/>
                <w:color w:val="auto"/>
              </w:rPr>
            </w:pPr>
            <w:r>
              <w:rPr>
                <w:rFonts w:ascii="Arial" w:cs="Arial" w:eastAsia="Arial" w:hAnsi="Arial"/>
                <w:sz w:val="16"/>
                <w:szCs w:val="16"/>
                <w:color w:val="auto"/>
              </w:rPr>
              <w:t>2,764</w:t>
            </w:r>
          </w:p>
        </w:tc>
        <w:tc>
          <w:tcPr>
            <w:tcW w:w="2040" w:type="dxa"/>
            <w:vAlign w:val="bottom"/>
            <w:shd w:val="clear" w:color="auto" w:fill="F3EDF3"/>
          </w:tcPr>
          <w:p>
            <w:pPr>
              <w:jc w:val="right"/>
              <w:ind w:right="259"/>
              <w:spacing w:after="0"/>
              <w:rPr>
                <w:sz w:val="20"/>
                <w:szCs w:val="20"/>
                <w:color w:val="auto"/>
              </w:rPr>
            </w:pPr>
            <w:r>
              <w:rPr>
                <w:rFonts w:ascii="Arial" w:cs="Arial" w:eastAsia="Arial" w:hAnsi="Arial"/>
                <w:sz w:val="16"/>
                <w:szCs w:val="16"/>
                <w:color w:val="auto"/>
              </w:rPr>
              <w:t>—</w:t>
            </w:r>
          </w:p>
        </w:tc>
        <w:tc>
          <w:tcPr>
            <w:tcW w:w="1680" w:type="dxa"/>
            <w:vAlign w:val="bottom"/>
            <w:shd w:val="clear" w:color="auto" w:fill="F3EDF3"/>
          </w:tcPr>
          <w:p>
            <w:pPr>
              <w:jc w:val="right"/>
              <w:ind w:right="439"/>
              <w:spacing w:after="0"/>
              <w:rPr>
                <w:sz w:val="20"/>
                <w:szCs w:val="20"/>
                <w:color w:val="auto"/>
              </w:rPr>
            </w:pPr>
            <w:r>
              <w:rPr>
                <w:rFonts w:ascii="Arial" w:cs="Arial" w:eastAsia="Arial" w:hAnsi="Arial"/>
                <w:sz w:val="16"/>
                <w:szCs w:val="16"/>
                <w:color w:val="auto"/>
              </w:rPr>
              <w:t>2,764</w:t>
            </w:r>
          </w:p>
        </w:tc>
        <w:tc>
          <w:tcPr>
            <w:tcW w:w="1000" w:type="dxa"/>
            <w:vAlign w:val="bottom"/>
            <w:shd w:val="clear" w:color="auto" w:fill="F3EDF3"/>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540" w:type="dxa"/>
            <w:vAlign w:val="bottom"/>
          </w:tcPr>
          <w:p>
            <w:pPr>
              <w:ind w:left="60"/>
              <w:spacing w:after="0"/>
              <w:rPr>
                <w:sz w:val="20"/>
                <w:szCs w:val="20"/>
                <w:color w:val="auto"/>
              </w:rPr>
            </w:pPr>
            <w:r>
              <w:rPr>
                <w:rFonts w:ascii="Arial" w:cs="Arial" w:eastAsia="Arial" w:hAnsi="Arial"/>
                <w:sz w:val="16"/>
                <w:szCs w:val="16"/>
                <w:color w:val="auto"/>
              </w:rPr>
              <w:t>Arthur L. Rosenthal, Ph.D.</w:t>
            </w:r>
          </w:p>
        </w:tc>
        <w:tc>
          <w:tcPr>
            <w:tcW w:w="1160" w:type="dxa"/>
            <w:vAlign w:val="bottom"/>
          </w:tcPr>
          <w:p>
            <w:pPr>
              <w:jc w:val="right"/>
              <w:spacing w:after="0"/>
              <w:rPr>
                <w:sz w:val="20"/>
                <w:szCs w:val="20"/>
                <w:color w:val="auto"/>
              </w:rPr>
            </w:pPr>
            <w:r>
              <w:rPr>
                <w:rFonts w:ascii="Arial" w:cs="Arial" w:eastAsia="Arial" w:hAnsi="Arial"/>
                <w:sz w:val="16"/>
                <w:szCs w:val="16"/>
                <w:color w:val="auto"/>
              </w:rPr>
              <w:t>17,095</w:t>
            </w:r>
          </w:p>
        </w:tc>
        <w:tc>
          <w:tcPr>
            <w:tcW w:w="20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439"/>
              <w:spacing w:after="0"/>
              <w:rPr>
                <w:sz w:val="20"/>
                <w:szCs w:val="20"/>
                <w:color w:val="auto"/>
              </w:rPr>
            </w:pPr>
            <w:r>
              <w:rPr>
                <w:rFonts w:ascii="Arial" w:cs="Arial" w:eastAsia="Arial" w:hAnsi="Arial"/>
                <w:sz w:val="16"/>
                <w:szCs w:val="16"/>
                <w:color w:val="auto"/>
              </w:rPr>
              <w:t>17,095</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540" w:type="dxa"/>
            <w:vAlign w:val="bottom"/>
            <w:shd w:val="clear" w:color="auto" w:fill="F3EDF3"/>
          </w:tcPr>
          <w:p>
            <w:pPr>
              <w:ind w:left="60"/>
              <w:spacing w:after="0"/>
              <w:rPr>
                <w:sz w:val="20"/>
                <w:szCs w:val="20"/>
                <w:color w:val="auto"/>
              </w:rPr>
            </w:pPr>
            <w:r>
              <w:rPr>
                <w:rFonts w:ascii="Arial" w:cs="Arial" w:eastAsia="Arial" w:hAnsi="Arial"/>
                <w:sz w:val="16"/>
                <w:szCs w:val="16"/>
                <w:color w:val="auto"/>
              </w:rPr>
              <w:t>Andrea L. Saia</w:t>
            </w:r>
          </w:p>
        </w:tc>
        <w:tc>
          <w:tcPr>
            <w:tcW w:w="1160" w:type="dxa"/>
            <w:vAlign w:val="bottom"/>
            <w:shd w:val="clear" w:color="auto" w:fill="F3EDF3"/>
          </w:tcPr>
          <w:p>
            <w:pPr>
              <w:jc w:val="right"/>
              <w:spacing w:after="0"/>
              <w:rPr>
                <w:sz w:val="20"/>
                <w:szCs w:val="20"/>
                <w:color w:val="auto"/>
              </w:rPr>
            </w:pPr>
            <w:r>
              <w:rPr>
                <w:rFonts w:ascii="Arial" w:cs="Arial" w:eastAsia="Arial" w:hAnsi="Arial"/>
                <w:sz w:val="16"/>
                <w:szCs w:val="16"/>
                <w:color w:val="auto"/>
              </w:rPr>
              <w:t>1,715</w:t>
            </w:r>
          </w:p>
        </w:tc>
        <w:tc>
          <w:tcPr>
            <w:tcW w:w="2040" w:type="dxa"/>
            <w:vAlign w:val="bottom"/>
            <w:shd w:val="clear" w:color="auto" w:fill="F3EDF3"/>
          </w:tcPr>
          <w:p>
            <w:pPr>
              <w:jc w:val="right"/>
              <w:ind w:right="259"/>
              <w:spacing w:after="0"/>
              <w:rPr>
                <w:sz w:val="20"/>
                <w:szCs w:val="20"/>
                <w:color w:val="auto"/>
              </w:rPr>
            </w:pPr>
            <w:r>
              <w:rPr>
                <w:rFonts w:ascii="Arial" w:cs="Arial" w:eastAsia="Arial" w:hAnsi="Arial"/>
                <w:sz w:val="16"/>
                <w:szCs w:val="16"/>
                <w:color w:val="auto"/>
              </w:rPr>
              <w:t>—</w:t>
            </w:r>
          </w:p>
        </w:tc>
        <w:tc>
          <w:tcPr>
            <w:tcW w:w="1680" w:type="dxa"/>
            <w:vAlign w:val="bottom"/>
            <w:shd w:val="clear" w:color="auto" w:fill="F3EDF3"/>
          </w:tcPr>
          <w:p>
            <w:pPr>
              <w:jc w:val="right"/>
              <w:ind w:right="439"/>
              <w:spacing w:after="0"/>
              <w:rPr>
                <w:sz w:val="20"/>
                <w:szCs w:val="20"/>
                <w:color w:val="auto"/>
              </w:rPr>
            </w:pPr>
            <w:r>
              <w:rPr>
                <w:rFonts w:ascii="Arial" w:cs="Arial" w:eastAsia="Arial" w:hAnsi="Arial"/>
                <w:sz w:val="16"/>
                <w:szCs w:val="16"/>
                <w:color w:val="auto"/>
              </w:rPr>
              <w:t>1,715</w:t>
            </w:r>
          </w:p>
        </w:tc>
        <w:tc>
          <w:tcPr>
            <w:tcW w:w="1000" w:type="dxa"/>
            <w:vAlign w:val="bottom"/>
            <w:shd w:val="clear" w:color="auto" w:fill="F3EDF3"/>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1"/>
        </w:trPr>
        <w:tc>
          <w:tcPr>
            <w:tcW w:w="5540" w:type="dxa"/>
            <w:vAlign w:val="bottom"/>
          </w:tcPr>
          <w:p>
            <w:pPr>
              <w:ind w:left="60"/>
              <w:spacing w:after="0" w:line="171" w:lineRule="exact"/>
              <w:rPr>
                <w:sz w:val="20"/>
                <w:szCs w:val="20"/>
                <w:color w:val="auto"/>
              </w:rPr>
            </w:pPr>
            <w:r>
              <w:rPr>
                <w:rFonts w:ascii="Arial" w:cs="Arial" w:eastAsia="Arial" w:hAnsi="Arial"/>
                <w:sz w:val="16"/>
                <w:szCs w:val="16"/>
                <w:b w:val="1"/>
                <w:bCs w:val="1"/>
                <w:i w:val="1"/>
                <w:iCs w:val="1"/>
                <w:color w:val="6F2875"/>
              </w:rPr>
              <w:t>All current executive officers and directors as a group (12</w:t>
            </w:r>
          </w:p>
        </w:tc>
        <w:tc>
          <w:tcPr>
            <w:tcW w:w="1160" w:type="dxa"/>
            <w:vAlign w:val="bottom"/>
          </w:tcPr>
          <w:p>
            <w:pPr>
              <w:jc w:val="right"/>
              <w:spacing w:after="0" w:line="171" w:lineRule="exact"/>
              <w:rPr>
                <w:sz w:val="20"/>
                <w:szCs w:val="20"/>
                <w:color w:val="auto"/>
              </w:rPr>
            </w:pPr>
            <w:r>
              <w:rPr>
                <w:rFonts w:ascii="Arial" w:cs="Arial" w:eastAsia="Arial" w:hAnsi="Arial"/>
                <w:sz w:val="16"/>
                <w:szCs w:val="16"/>
                <w:color w:val="auto"/>
              </w:rPr>
              <w:t>182,563</w:t>
            </w:r>
          </w:p>
        </w:tc>
        <w:tc>
          <w:tcPr>
            <w:tcW w:w="2040" w:type="dxa"/>
            <w:vAlign w:val="bottom"/>
          </w:tcPr>
          <w:p>
            <w:pPr>
              <w:jc w:val="right"/>
              <w:ind w:right="259"/>
              <w:spacing w:after="0" w:line="171" w:lineRule="exact"/>
              <w:rPr>
                <w:sz w:val="20"/>
                <w:szCs w:val="20"/>
                <w:color w:val="auto"/>
              </w:rPr>
            </w:pPr>
            <w:r>
              <w:rPr>
                <w:rFonts w:ascii="Arial" w:cs="Arial" w:eastAsia="Arial" w:hAnsi="Arial"/>
                <w:sz w:val="16"/>
                <w:szCs w:val="16"/>
                <w:color w:val="auto"/>
              </w:rPr>
              <w:t>17,977</w:t>
            </w:r>
          </w:p>
        </w:tc>
        <w:tc>
          <w:tcPr>
            <w:tcW w:w="1680" w:type="dxa"/>
            <w:vAlign w:val="bottom"/>
          </w:tcPr>
          <w:p>
            <w:pPr>
              <w:jc w:val="right"/>
              <w:ind w:right="439"/>
              <w:spacing w:after="0" w:line="171" w:lineRule="exact"/>
              <w:rPr>
                <w:sz w:val="20"/>
                <w:szCs w:val="20"/>
                <w:color w:val="auto"/>
              </w:rPr>
            </w:pPr>
            <w:r>
              <w:rPr>
                <w:rFonts w:ascii="Arial" w:cs="Arial" w:eastAsia="Arial" w:hAnsi="Arial"/>
                <w:sz w:val="16"/>
                <w:szCs w:val="16"/>
                <w:color w:val="auto"/>
              </w:rPr>
              <w:t>200,540</w:t>
            </w:r>
          </w:p>
        </w:tc>
        <w:tc>
          <w:tcPr>
            <w:tcW w:w="1000" w:type="dxa"/>
            <w:vAlign w:val="bottom"/>
          </w:tcPr>
          <w:p>
            <w:pPr>
              <w:jc w:val="right"/>
              <w:spacing w:after="0" w:line="17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540" w:type="dxa"/>
            <w:vAlign w:val="bottom"/>
          </w:tcPr>
          <w:p>
            <w:pPr>
              <w:ind w:left="60"/>
              <w:spacing w:after="0"/>
              <w:rPr>
                <w:sz w:val="20"/>
                <w:szCs w:val="20"/>
                <w:color w:val="auto"/>
              </w:rPr>
            </w:pPr>
            <w:r>
              <w:rPr>
                <w:rFonts w:ascii="Arial" w:cs="Arial" w:eastAsia="Arial" w:hAnsi="Arial"/>
                <w:sz w:val="16"/>
                <w:szCs w:val="16"/>
                <w:b w:val="1"/>
                <w:bCs w:val="1"/>
                <w:i w:val="1"/>
                <w:iCs w:val="1"/>
                <w:color w:val="6F2875"/>
              </w:rPr>
              <w:t>persons)</w:t>
            </w:r>
          </w:p>
        </w:tc>
        <w:tc>
          <w:tcPr>
            <w:tcW w:w="1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F3EDF3"/>
          </w:tcPr>
          <w:p>
            <w:pPr>
              <w:ind w:left="60"/>
              <w:spacing w:after="0" w:line="230" w:lineRule="exact"/>
              <w:rPr>
                <w:sz w:val="20"/>
                <w:szCs w:val="20"/>
                <w:color w:val="auto"/>
              </w:rPr>
            </w:pPr>
            <w:r>
              <w:rPr>
                <w:rFonts w:ascii="Arial" w:cs="Arial" w:eastAsia="Arial" w:hAnsi="Arial"/>
                <w:sz w:val="16"/>
                <w:szCs w:val="16"/>
                <w:b w:val="1"/>
                <w:bCs w:val="1"/>
                <w:i w:val="1"/>
                <w:iCs w:val="1"/>
                <w:color w:val="6F2875"/>
              </w:rPr>
              <w:t>5% Holders Not Listed Above:</w:t>
            </w:r>
            <w:r>
              <w:rPr>
                <w:rFonts w:ascii="Arial" w:cs="Arial" w:eastAsia="Arial" w:hAnsi="Arial"/>
                <w:sz w:val="26"/>
                <w:szCs w:val="26"/>
                <w:b w:val="1"/>
                <w:bCs w:val="1"/>
                <w:i w:val="1"/>
                <w:iCs w:val="1"/>
                <w:color w:val="6F2875"/>
                <w:vertAlign w:val="superscript"/>
              </w:rPr>
              <w:t>(5)</w:t>
            </w:r>
          </w:p>
        </w:tc>
        <w:tc>
          <w:tcPr>
            <w:tcW w:w="1160" w:type="dxa"/>
            <w:vAlign w:val="bottom"/>
            <w:shd w:val="clear" w:color="auto" w:fill="F3EDF3"/>
          </w:tcPr>
          <w:p>
            <w:pPr>
              <w:spacing w:after="0"/>
              <w:rPr>
                <w:sz w:val="19"/>
                <w:szCs w:val="19"/>
                <w:color w:val="auto"/>
              </w:rPr>
            </w:pPr>
          </w:p>
        </w:tc>
        <w:tc>
          <w:tcPr>
            <w:tcW w:w="2040" w:type="dxa"/>
            <w:vAlign w:val="bottom"/>
            <w:shd w:val="clear" w:color="auto" w:fill="F3EDF3"/>
          </w:tcPr>
          <w:p>
            <w:pPr>
              <w:spacing w:after="0"/>
              <w:rPr>
                <w:sz w:val="19"/>
                <w:szCs w:val="19"/>
                <w:color w:val="auto"/>
              </w:rPr>
            </w:pPr>
          </w:p>
        </w:tc>
        <w:tc>
          <w:tcPr>
            <w:tcW w:w="1680" w:type="dxa"/>
            <w:vAlign w:val="bottom"/>
            <w:shd w:val="clear" w:color="auto" w:fill="F3EDF3"/>
          </w:tcPr>
          <w:p>
            <w:pPr>
              <w:spacing w:after="0"/>
              <w:rPr>
                <w:sz w:val="19"/>
                <w:szCs w:val="19"/>
                <w:color w:val="auto"/>
              </w:rPr>
            </w:pPr>
          </w:p>
        </w:tc>
        <w:tc>
          <w:tcPr>
            <w:tcW w:w="1000" w:type="dxa"/>
            <w:vAlign w:val="bottom"/>
            <w:shd w:val="clear" w:color="auto" w:fill="F3EDF3"/>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540" w:type="dxa"/>
            <w:vAlign w:val="bottom"/>
          </w:tcPr>
          <w:p>
            <w:pPr>
              <w:ind w:left="60"/>
              <w:spacing w:after="0" w:line="231" w:lineRule="exact"/>
              <w:rPr>
                <w:sz w:val="20"/>
                <w:szCs w:val="20"/>
                <w:color w:val="auto"/>
              </w:rPr>
            </w:pPr>
            <w:r>
              <w:rPr>
                <w:rFonts w:ascii="Arial" w:cs="Arial" w:eastAsia="Arial" w:hAnsi="Arial"/>
                <w:sz w:val="16"/>
                <w:szCs w:val="16"/>
                <w:color w:val="auto"/>
              </w:rPr>
              <w:t>FMR LLC</w:t>
            </w:r>
            <w:r>
              <w:rPr>
                <w:rFonts w:ascii="Arial" w:cs="Arial" w:eastAsia="Arial" w:hAnsi="Arial"/>
                <w:sz w:val="26"/>
                <w:szCs w:val="26"/>
                <w:color w:val="auto"/>
                <w:vertAlign w:val="superscript"/>
              </w:rPr>
              <w:t>(6)</w:t>
            </w:r>
          </w:p>
        </w:tc>
        <w:tc>
          <w:tcPr>
            <w:tcW w:w="1160" w:type="dxa"/>
            <w:vAlign w:val="bottom"/>
          </w:tcPr>
          <w:p>
            <w:pPr>
              <w:jc w:val="right"/>
              <w:spacing w:after="0"/>
              <w:rPr>
                <w:sz w:val="20"/>
                <w:szCs w:val="20"/>
                <w:color w:val="auto"/>
              </w:rPr>
            </w:pPr>
            <w:r>
              <w:rPr>
                <w:rFonts w:ascii="Arial" w:cs="Arial" w:eastAsia="Arial" w:hAnsi="Arial"/>
                <w:sz w:val="16"/>
                <w:szCs w:val="16"/>
                <w:color w:val="auto"/>
              </w:rPr>
              <w:t>4,819,007</w:t>
            </w:r>
          </w:p>
        </w:tc>
        <w:tc>
          <w:tcPr>
            <w:tcW w:w="20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439"/>
              <w:spacing w:after="0"/>
              <w:rPr>
                <w:sz w:val="20"/>
                <w:szCs w:val="20"/>
                <w:color w:val="auto"/>
              </w:rPr>
            </w:pPr>
            <w:r>
              <w:rPr>
                <w:rFonts w:ascii="Arial" w:cs="Arial" w:eastAsia="Arial" w:hAnsi="Arial"/>
                <w:sz w:val="16"/>
                <w:szCs w:val="16"/>
                <w:color w:val="auto"/>
              </w:rPr>
              <w:t>4,819,007</w:t>
            </w:r>
          </w:p>
        </w:tc>
        <w:tc>
          <w:tcPr>
            <w:tcW w:w="1000" w:type="dxa"/>
            <w:vAlign w:val="bottom"/>
          </w:tcPr>
          <w:p>
            <w:pPr>
              <w:jc w:val="right"/>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189"/>
        </w:trPr>
        <w:tc>
          <w:tcPr>
            <w:tcW w:w="5540" w:type="dxa"/>
            <w:vAlign w:val="bottom"/>
          </w:tcPr>
          <w:p>
            <w:pPr>
              <w:ind w:left="60"/>
              <w:spacing w:after="0"/>
              <w:rPr>
                <w:sz w:val="20"/>
                <w:szCs w:val="20"/>
                <w:color w:val="auto"/>
              </w:rPr>
            </w:pPr>
            <w:r>
              <w:rPr>
                <w:rFonts w:ascii="Arial" w:cs="Arial" w:eastAsia="Arial" w:hAnsi="Arial"/>
                <w:sz w:val="16"/>
                <w:szCs w:val="16"/>
                <w:color w:val="auto"/>
              </w:rPr>
              <w:t>245 Summer Street</w:t>
            </w:r>
          </w:p>
        </w:tc>
        <w:tc>
          <w:tcPr>
            <w:tcW w:w="1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40" w:type="dxa"/>
            <w:vAlign w:val="bottom"/>
          </w:tcPr>
          <w:p>
            <w:pPr>
              <w:ind w:left="60"/>
              <w:spacing w:after="0"/>
              <w:rPr>
                <w:sz w:val="20"/>
                <w:szCs w:val="20"/>
                <w:color w:val="auto"/>
              </w:rPr>
            </w:pPr>
            <w:r>
              <w:rPr>
                <w:rFonts w:ascii="Arial" w:cs="Arial" w:eastAsia="Arial" w:hAnsi="Arial"/>
                <w:sz w:val="16"/>
                <w:szCs w:val="16"/>
                <w:color w:val="auto"/>
              </w:rPr>
              <w:t>Boston, MA 02210</w:t>
            </w:r>
          </w:p>
        </w:tc>
        <w:tc>
          <w:tcPr>
            <w:tcW w:w="1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540" w:type="dxa"/>
            <w:vAlign w:val="bottom"/>
            <w:shd w:val="clear" w:color="auto" w:fill="F3EDF3"/>
          </w:tcPr>
          <w:p>
            <w:pPr>
              <w:ind w:left="60"/>
              <w:spacing w:after="0" w:line="231" w:lineRule="exact"/>
              <w:rPr>
                <w:sz w:val="20"/>
                <w:szCs w:val="20"/>
                <w:color w:val="auto"/>
              </w:rPr>
            </w:pPr>
            <w:r>
              <w:rPr>
                <w:rFonts w:ascii="Arial" w:cs="Arial" w:eastAsia="Arial" w:hAnsi="Arial"/>
                <w:sz w:val="16"/>
                <w:szCs w:val="16"/>
                <w:color w:val="auto"/>
              </w:rPr>
              <w:t>BlackRock, Inc.</w:t>
            </w:r>
            <w:r>
              <w:rPr>
                <w:rFonts w:ascii="Arial" w:cs="Arial" w:eastAsia="Arial" w:hAnsi="Arial"/>
                <w:sz w:val="26"/>
                <w:szCs w:val="26"/>
                <w:color w:val="auto"/>
                <w:vertAlign w:val="superscript"/>
              </w:rPr>
              <w:t>(7)</w:t>
            </w:r>
          </w:p>
        </w:tc>
        <w:tc>
          <w:tcPr>
            <w:tcW w:w="1160" w:type="dxa"/>
            <w:vAlign w:val="bottom"/>
            <w:shd w:val="clear" w:color="auto" w:fill="F3EDF3"/>
          </w:tcPr>
          <w:p>
            <w:pPr>
              <w:jc w:val="right"/>
              <w:spacing w:after="0"/>
              <w:rPr>
                <w:sz w:val="20"/>
                <w:szCs w:val="20"/>
                <w:color w:val="auto"/>
              </w:rPr>
            </w:pPr>
            <w:r>
              <w:rPr>
                <w:rFonts w:ascii="Arial" w:cs="Arial" w:eastAsia="Arial" w:hAnsi="Arial"/>
                <w:sz w:val="16"/>
                <w:szCs w:val="16"/>
                <w:color w:val="auto"/>
              </w:rPr>
              <w:t>4,796,615</w:t>
            </w:r>
          </w:p>
        </w:tc>
        <w:tc>
          <w:tcPr>
            <w:tcW w:w="2040" w:type="dxa"/>
            <w:vAlign w:val="bottom"/>
            <w:shd w:val="clear" w:color="auto" w:fill="F3EDF3"/>
          </w:tcPr>
          <w:p>
            <w:pPr>
              <w:jc w:val="right"/>
              <w:ind w:right="259"/>
              <w:spacing w:after="0"/>
              <w:rPr>
                <w:sz w:val="20"/>
                <w:szCs w:val="20"/>
                <w:color w:val="auto"/>
              </w:rPr>
            </w:pPr>
            <w:r>
              <w:rPr>
                <w:rFonts w:ascii="Arial" w:cs="Arial" w:eastAsia="Arial" w:hAnsi="Arial"/>
                <w:sz w:val="16"/>
                <w:szCs w:val="16"/>
                <w:color w:val="auto"/>
              </w:rPr>
              <w:t>—</w:t>
            </w:r>
          </w:p>
        </w:tc>
        <w:tc>
          <w:tcPr>
            <w:tcW w:w="1680" w:type="dxa"/>
            <w:vAlign w:val="bottom"/>
            <w:shd w:val="clear" w:color="auto" w:fill="F3EDF3"/>
          </w:tcPr>
          <w:p>
            <w:pPr>
              <w:jc w:val="right"/>
              <w:ind w:right="439"/>
              <w:spacing w:after="0"/>
              <w:rPr>
                <w:sz w:val="20"/>
                <w:szCs w:val="20"/>
                <w:color w:val="auto"/>
              </w:rPr>
            </w:pPr>
            <w:r>
              <w:rPr>
                <w:rFonts w:ascii="Arial" w:cs="Arial" w:eastAsia="Arial" w:hAnsi="Arial"/>
                <w:sz w:val="16"/>
                <w:szCs w:val="16"/>
                <w:color w:val="auto"/>
              </w:rPr>
              <w:t>5,083,877</w:t>
            </w:r>
          </w:p>
        </w:tc>
        <w:tc>
          <w:tcPr>
            <w:tcW w:w="1000" w:type="dxa"/>
            <w:vAlign w:val="bottom"/>
            <w:shd w:val="clear" w:color="auto" w:fill="F3EDF3"/>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89"/>
        </w:trPr>
        <w:tc>
          <w:tcPr>
            <w:tcW w:w="5540" w:type="dxa"/>
            <w:vAlign w:val="bottom"/>
            <w:shd w:val="clear" w:color="auto" w:fill="F3EDF3"/>
          </w:tcPr>
          <w:p>
            <w:pPr>
              <w:ind w:left="60"/>
              <w:spacing w:after="0"/>
              <w:rPr>
                <w:sz w:val="20"/>
                <w:szCs w:val="20"/>
                <w:color w:val="auto"/>
              </w:rPr>
            </w:pPr>
            <w:r>
              <w:rPr>
                <w:rFonts w:ascii="Arial" w:cs="Arial" w:eastAsia="Arial" w:hAnsi="Arial"/>
                <w:sz w:val="16"/>
                <w:szCs w:val="16"/>
                <w:color w:val="auto"/>
              </w:rPr>
              <w:t>55 East 52nd Street</w:t>
            </w:r>
          </w:p>
        </w:tc>
        <w:tc>
          <w:tcPr>
            <w:tcW w:w="1160" w:type="dxa"/>
            <w:vAlign w:val="bottom"/>
            <w:shd w:val="clear" w:color="auto" w:fill="F3EDF3"/>
          </w:tcPr>
          <w:p>
            <w:pPr>
              <w:spacing w:after="0"/>
              <w:rPr>
                <w:sz w:val="16"/>
                <w:szCs w:val="16"/>
                <w:color w:val="auto"/>
              </w:rPr>
            </w:pPr>
          </w:p>
        </w:tc>
        <w:tc>
          <w:tcPr>
            <w:tcW w:w="2040" w:type="dxa"/>
            <w:vAlign w:val="bottom"/>
            <w:shd w:val="clear" w:color="auto" w:fill="F3EDF3"/>
          </w:tcPr>
          <w:p>
            <w:pPr>
              <w:spacing w:after="0"/>
              <w:rPr>
                <w:sz w:val="16"/>
                <w:szCs w:val="16"/>
                <w:color w:val="auto"/>
              </w:rPr>
            </w:pPr>
          </w:p>
        </w:tc>
        <w:tc>
          <w:tcPr>
            <w:tcW w:w="1680" w:type="dxa"/>
            <w:vAlign w:val="bottom"/>
            <w:shd w:val="clear" w:color="auto" w:fill="F3EDF3"/>
          </w:tcPr>
          <w:p>
            <w:pPr>
              <w:spacing w:after="0"/>
              <w:rPr>
                <w:sz w:val="16"/>
                <w:szCs w:val="16"/>
                <w:color w:val="auto"/>
              </w:rPr>
            </w:pPr>
          </w:p>
        </w:tc>
        <w:tc>
          <w:tcPr>
            <w:tcW w:w="1000" w:type="dxa"/>
            <w:vAlign w:val="bottom"/>
            <w:shd w:val="clear" w:color="auto" w:fill="F3EDF3"/>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40" w:type="dxa"/>
            <w:vAlign w:val="bottom"/>
            <w:shd w:val="clear" w:color="auto" w:fill="F3EDF3"/>
          </w:tcPr>
          <w:p>
            <w:pPr>
              <w:ind w:left="60"/>
              <w:spacing w:after="0"/>
              <w:rPr>
                <w:sz w:val="20"/>
                <w:szCs w:val="20"/>
                <w:color w:val="auto"/>
              </w:rPr>
            </w:pPr>
            <w:r>
              <w:rPr>
                <w:rFonts w:ascii="Arial" w:cs="Arial" w:eastAsia="Arial" w:hAnsi="Arial"/>
                <w:sz w:val="16"/>
                <w:szCs w:val="16"/>
                <w:color w:val="auto"/>
              </w:rPr>
              <w:t>New York, NY 10055</w:t>
            </w:r>
          </w:p>
        </w:tc>
        <w:tc>
          <w:tcPr>
            <w:tcW w:w="1160" w:type="dxa"/>
            <w:vAlign w:val="bottom"/>
            <w:shd w:val="clear" w:color="auto" w:fill="F3EDF3"/>
          </w:tcPr>
          <w:p>
            <w:pPr>
              <w:spacing w:after="0"/>
              <w:rPr>
                <w:sz w:val="16"/>
                <w:szCs w:val="16"/>
                <w:color w:val="auto"/>
              </w:rPr>
            </w:pPr>
          </w:p>
        </w:tc>
        <w:tc>
          <w:tcPr>
            <w:tcW w:w="2040" w:type="dxa"/>
            <w:vAlign w:val="bottom"/>
            <w:shd w:val="clear" w:color="auto" w:fill="F3EDF3"/>
          </w:tcPr>
          <w:p>
            <w:pPr>
              <w:spacing w:after="0"/>
              <w:rPr>
                <w:sz w:val="16"/>
                <w:szCs w:val="16"/>
                <w:color w:val="auto"/>
              </w:rPr>
            </w:pPr>
          </w:p>
        </w:tc>
        <w:tc>
          <w:tcPr>
            <w:tcW w:w="1680" w:type="dxa"/>
            <w:vAlign w:val="bottom"/>
            <w:shd w:val="clear" w:color="auto" w:fill="F3EDF3"/>
          </w:tcPr>
          <w:p>
            <w:pPr>
              <w:spacing w:after="0"/>
              <w:rPr>
                <w:sz w:val="16"/>
                <w:szCs w:val="16"/>
                <w:color w:val="auto"/>
              </w:rPr>
            </w:pPr>
          </w:p>
        </w:tc>
        <w:tc>
          <w:tcPr>
            <w:tcW w:w="1000" w:type="dxa"/>
            <w:vAlign w:val="bottom"/>
            <w:shd w:val="clear" w:color="auto" w:fill="F3EDF3"/>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540" w:type="dxa"/>
            <w:vAlign w:val="bottom"/>
          </w:tcPr>
          <w:p>
            <w:pPr>
              <w:ind w:left="60"/>
              <w:spacing w:after="0" w:line="231" w:lineRule="exact"/>
              <w:rPr>
                <w:sz w:val="20"/>
                <w:szCs w:val="20"/>
                <w:color w:val="auto"/>
              </w:rPr>
            </w:pPr>
            <w:r>
              <w:rPr>
                <w:rFonts w:ascii="Arial" w:cs="Arial" w:eastAsia="Arial" w:hAnsi="Arial"/>
                <w:sz w:val="16"/>
                <w:szCs w:val="16"/>
                <w:color w:val="auto"/>
              </w:rPr>
              <w:t>Franklin Resources, Inc.</w:t>
            </w:r>
            <w:r>
              <w:rPr>
                <w:rFonts w:ascii="Arial" w:cs="Arial" w:eastAsia="Arial" w:hAnsi="Arial"/>
                <w:sz w:val="26"/>
                <w:szCs w:val="26"/>
                <w:color w:val="auto"/>
                <w:vertAlign w:val="superscript"/>
              </w:rPr>
              <w:t>(8)</w:t>
            </w:r>
          </w:p>
        </w:tc>
        <w:tc>
          <w:tcPr>
            <w:tcW w:w="1160" w:type="dxa"/>
            <w:vAlign w:val="bottom"/>
          </w:tcPr>
          <w:p>
            <w:pPr>
              <w:jc w:val="right"/>
              <w:spacing w:after="0"/>
              <w:rPr>
                <w:sz w:val="20"/>
                <w:szCs w:val="20"/>
                <w:color w:val="auto"/>
              </w:rPr>
            </w:pPr>
            <w:r>
              <w:rPr>
                <w:rFonts w:ascii="Arial" w:cs="Arial" w:eastAsia="Arial" w:hAnsi="Arial"/>
                <w:sz w:val="16"/>
                <w:szCs w:val="16"/>
                <w:color w:val="auto"/>
              </w:rPr>
              <w:t>4,041,910</w:t>
            </w:r>
          </w:p>
        </w:tc>
        <w:tc>
          <w:tcPr>
            <w:tcW w:w="20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439"/>
              <w:spacing w:after="0"/>
              <w:rPr>
                <w:sz w:val="20"/>
                <w:szCs w:val="20"/>
                <w:color w:val="auto"/>
              </w:rPr>
            </w:pPr>
            <w:r>
              <w:rPr>
                <w:rFonts w:ascii="Arial" w:cs="Arial" w:eastAsia="Arial" w:hAnsi="Arial"/>
                <w:sz w:val="16"/>
                <w:szCs w:val="16"/>
                <w:color w:val="auto"/>
              </w:rPr>
              <w:t>4,041,910</w:t>
            </w:r>
          </w:p>
        </w:tc>
        <w:tc>
          <w:tcPr>
            <w:tcW w:w="100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189"/>
        </w:trPr>
        <w:tc>
          <w:tcPr>
            <w:tcW w:w="5540" w:type="dxa"/>
            <w:vAlign w:val="bottom"/>
          </w:tcPr>
          <w:p>
            <w:pPr>
              <w:ind w:left="60"/>
              <w:spacing w:after="0"/>
              <w:rPr>
                <w:sz w:val="20"/>
                <w:szCs w:val="20"/>
                <w:color w:val="auto"/>
              </w:rPr>
            </w:pPr>
            <w:r>
              <w:rPr>
                <w:rFonts w:ascii="Arial" w:cs="Arial" w:eastAsia="Arial" w:hAnsi="Arial"/>
                <w:sz w:val="16"/>
                <w:szCs w:val="16"/>
                <w:color w:val="auto"/>
              </w:rPr>
              <w:t>One Franklin Parkway</w:t>
            </w:r>
          </w:p>
        </w:tc>
        <w:tc>
          <w:tcPr>
            <w:tcW w:w="1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40" w:type="dxa"/>
            <w:vAlign w:val="bottom"/>
            <w:tcBorders>
              <w:bottom w:val="single" w:sz="8" w:color="6F2875"/>
            </w:tcBorders>
          </w:tcPr>
          <w:p>
            <w:pPr>
              <w:ind w:left="60"/>
              <w:spacing w:after="0"/>
              <w:rPr>
                <w:sz w:val="20"/>
                <w:szCs w:val="20"/>
                <w:color w:val="auto"/>
              </w:rPr>
            </w:pPr>
            <w:r>
              <w:rPr>
                <w:rFonts w:ascii="Arial" w:cs="Arial" w:eastAsia="Arial" w:hAnsi="Arial"/>
                <w:sz w:val="16"/>
                <w:szCs w:val="16"/>
                <w:color w:val="auto"/>
              </w:rPr>
              <w:t>San Mateo, CA 94403-1906</w:t>
            </w:r>
          </w:p>
        </w:tc>
        <w:tc>
          <w:tcPr>
            <w:tcW w:w="1160" w:type="dxa"/>
            <w:vAlign w:val="bottom"/>
            <w:tcBorders>
              <w:bottom w:val="single" w:sz="8" w:color="6F2875"/>
            </w:tcBorders>
          </w:tcPr>
          <w:p>
            <w:pPr>
              <w:spacing w:after="0"/>
              <w:rPr>
                <w:sz w:val="16"/>
                <w:szCs w:val="16"/>
                <w:color w:val="auto"/>
              </w:rPr>
            </w:pPr>
          </w:p>
        </w:tc>
        <w:tc>
          <w:tcPr>
            <w:tcW w:w="2040" w:type="dxa"/>
            <w:vAlign w:val="bottom"/>
            <w:tcBorders>
              <w:bottom w:val="single" w:sz="8" w:color="6F2875"/>
            </w:tcBorders>
          </w:tcPr>
          <w:p>
            <w:pPr>
              <w:spacing w:after="0"/>
              <w:rPr>
                <w:sz w:val="16"/>
                <w:szCs w:val="16"/>
                <w:color w:val="auto"/>
              </w:rPr>
            </w:pPr>
          </w:p>
        </w:tc>
        <w:tc>
          <w:tcPr>
            <w:tcW w:w="1680" w:type="dxa"/>
            <w:vAlign w:val="bottom"/>
            <w:tcBorders>
              <w:bottom w:val="single" w:sz="8" w:color="6F2875"/>
            </w:tcBorders>
          </w:tcPr>
          <w:p>
            <w:pPr>
              <w:spacing w:after="0"/>
              <w:rPr>
                <w:sz w:val="16"/>
                <w:szCs w:val="16"/>
                <w:color w:val="auto"/>
              </w:rPr>
            </w:pPr>
          </w:p>
        </w:tc>
        <w:tc>
          <w:tcPr>
            <w:tcW w:w="1000" w:type="dxa"/>
            <w:vAlign w:val="bottom"/>
            <w:tcBorders>
              <w:bottom w:val="single" w:sz="8" w:color="6F2875"/>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4"/>
          <w:szCs w:val="14"/>
          <w:i w:val="1"/>
          <w:iCs w:val="1"/>
          <w:color w:val="231F20"/>
        </w:rPr>
      </w:pPr>
      <w:r>
        <w:rPr>
          <w:rFonts w:ascii="Arial" w:cs="Arial" w:eastAsia="Arial" w:hAnsi="Arial"/>
          <w:sz w:val="14"/>
          <w:szCs w:val="14"/>
          <w:i w:val="1"/>
          <w:iCs w:val="1"/>
          <w:color w:val="231F20"/>
        </w:rPr>
        <w:t>Less than 1%.</w:t>
      </w:r>
    </w:p>
    <w:p>
      <w:pPr>
        <w:spacing w:after="0" w:line="55" w:lineRule="exact"/>
        <w:rPr>
          <w:sz w:val="20"/>
          <w:szCs w:val="20"/>
          <w:color w:val="auto"/>
        </w:rPr>
      </w:pPr>
    </w:p>
    <w:p>
      <w:pPr>
        <w:jc w:val="both"/>
        <w:ind w:left="340" w:hanging="332"/>
        <w:spacing w:after="0" w:line="251" w:lineRule="auto"/>
        <w:tabs>
          <w:tab w:leader="none" w:pos="340" w:val="left"/>
        </w:tabs>
        <w:numPr>
          <w:ilvl w:val="0"/>
          <w:numId w:val="57"/>
        </w:numPr>
        <w:rPr>
          <w:rFonts w:ascii="Arial" w:cs="Arial" w:eastAsia="Arial" w:hAnsi="Arial"/>
          <w:sz w:val="14"/>
          <w:szCs w:val="14"/>
          <w:i w:val="1"/>
          <w:iCs w:val="1"/>
          <w:color w:val="231F20"/>
        </w:rPr>
      </w:pPr>
      <w:r>
        <w:rPr>
          <w:rFonts w:ascii="Arial" w:cs="Arial" w:eastAsia="Arial" w:hAnsi="Arial"/>
          <w:sz w:val="14"/>
          <w:szCs w:val="14"/>
          <w:i w:val="1"/>
          <w:iCs w:val="1"/>
          <w:color w:val="231F20"/>
        </w:rPr>
        <w:t>Beneficial ownership is determined in accordance with the SEC’s rules and regulations and generally includes voting or investment power with respect to securities. LivaNova Ordinary Shares subject to options and warrants currently exercisable, or exercisable within 60 days after April 19, 2018, are deemed outstanding for purposes of computing the percentage of shares beneficially owned by the person holding such rights, but are not deemed outstanding for computing the percentage of any other person. Except as indicated by footnote, and subject to community property laws where applicable, the persons named in the table have sole voting and investment power with respect to all Ordinary Shares shown as beneficially owned by them.</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Borders>
              <w:bottom w:val="single" w:sz="8" w:color="auto"/>
            </w:tcBorders>
          </w:tcPr>
          <w:p>
            <w:pPr>
              <w:spacing w:after="0"/>
              <w:rPr>
                <w:sz w:val="10"/>
                <w:szCs w:val="10"/>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51</w:t>
            </w:r>
          </w:p>
        </w:tc>
        <w:tc>
          <w:tcPr>
            <w:tcW w:w="0" w:type="dxa"/>
            <w:vAlign w:val="bottom"/>
          </w:tcPr>
          <w:p>
            <w:pPr>
              <w:spacing w:after="0"/>
              <w:rPr>
                <w:sz w:val="1"/>
                <w:szCs w:val="1"/>
                <w:color w:val="auto"/>
              </w:rPr>
            </w:pPr>
          </w:p>
        </w:tc>
      </w:tr>
      <w:tr>
        <w:trPr>
          <w:trHeight w:val="69"/>
        </w:trPr>
        <w:tc>
          <w:tcPr>
            <w:tcW w:w="40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81"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4"/>
          <w:szCs w:val="14"/>
          <w:i w:val="1"/>
          <w:iCs w:val="1"/>
          <w:color w:val="231F20"/>
        </w:rPr>
      </w:pPr>
      <w:r>
        <w:rPr>
          <w:rFonts w:ascii="Arial" w:cs="Arial" w:eastAsia="Arial" w:hAnsi="Arial"/>
          <w:sz w:val="14"/>
          <w:szCs w:val="14"/>
          <w:i w:val="1"/>
          <w:iCs w:val="1"/>
          <w:color w:val="231F20"/>
        </w:rPr>
        <w:t>Based on total shares outstanding of 48,627,730 at April 19, 2018.</w:t>
      </w:r>
    </w:p>
    <w:p>
      <w:pPr>
        <w:spacing w:after="0" w:line="55" w:lineRule="exact"/>
        <w:rPr>
          <w:rFonts w:ascii="Arial" w:cs="Arial" w:eastAsia="Arial" w:hAnsi="Arial"/>
          <w:sz w:val="14"/>
          <w:szCs w:val="14"/>
          <w:i w:val="1"/>
          <w:iCs w:val="1"/>
          <w:color w:val="231F20"/>
        </w:rPr>
      </w:pPr>
    </w:p>
    <w:p>
      <w:pPr>
        <w:ind w:left="340" w:right="20" w:hanging="332"/>
        <w:spacing w:after="0" w:line="279" w:lineRule="auto"/>
        <w:tabs>
          <w:tab w:leader="none" w:pos="340" w:val="left"/>
        </w:tabs>
        <w:numPr>
          <w:ilvl w:val="0"/>
          <w:numId w:val="58"/>
        </w:numPr>
        <w:rPr>
          <w:rFonts w:ascii="Arial" w:cs="Arial" w:eastAsia="Arial" w:hAnsi="Arial"/>
          <w:sz w:val="14"/>
          <w:szCs w:val="14"/>
          <w:i w:val="1"/>
          <w:iCs w:val="1"/>
          <w:color w:val="231F20"/>
        </w:rPr>
      </w:pPr>
      <w:r>
        <w:rPr>
          <w:rFonts w:ascii="Arial" w:cs="Arial" w:eastAsia="Arial" w:hAnsi="Arial"/>
          <w:sz w:val="14"/>
          <w:szCs w:val="14"/>
          <w:i w:val="1"/>
          <w:iCs w:val="1"/>
          <w:color w:val="231F20"/>
        </w:rPr>
        <w:t>On March 23, 2018 and as filed on a Form 8-K with the SEC dated March 26, 2018, Mr. Gianotti resigned from the Board with immediate effect in order to pursue his other business interests.</w:t>
      </w:r>
    </w:p>
    <w:p>
      <w:pPr>
        <w:spacing w:after="0" w:line="3" w:lineRule="exact"/>
        <w:rPr>
          <w:rFonts w:ascii="Arial" w:cs="Arial" w:eastAsia="Arial" w:hAnsi="Arial"/>
          <w:sz w:val="14"/>
          <w:szCs w:val="14"/>
          <w:i w:val="1"/>
          <w:iCs w:val="1"/>
          <w:color w:val="231F20"/>
        </w:rPr>
      </w:pPr>
    </w:p>
    <w:p>
      <w:pPr>
        <w:ind w:left="340" w:hanging="332"/>
        <w:spacing w:after="0" w:line="279" w:lineRule="auto"/>
        <w:tabs>
          <w:tab w:leader="none" w:pos="340" w:val="left"/>
        </w:tabs>
        <w:numPr>
          <w:ilvl w:val="0"/>
          <w:numId w:val="58"/>
        </w:numPr>
        <w:rPr>
          <w:rFonts w:ascii="Arial" w:cs="Arial" w:eastAsia="Arial" w:hAnsi="Arial"/>
          <w:sz w:val="14"/>
          <w:szCs w:val="14"/>
          <w:i w:val="1"/>
          <w:iCs w:val="1"/>
          <w:color w:val="231F20"/>
        </w:rPr>
      </w:pPr>
      <w:r>
        <w:rPr>
          <w:rFonts w:ascii="Arial" w:cs="Arial" w:eastAsia="Arial" w:hAnsi="Arial"/>
          <w:sz w:val="14"/>
          <w:szCs w:val="14"/>
          <w:i w:val="1"/>
          <w:iCs w:val="1"/>
          <w:color w:val="231F20"/>
        </w:rPr>
        <w:t>The Total Beneficial Ownership column excludes 2,586 shares owned by the DJM Family Partnership, Ltd., in which Mr. Moore’s spouse, Grace M. Moore, owns a limited partner interest and holds sole investment power. Mr. Moore disclaims beneficial ownership over such shares.</w:t>
      </w:r>
    </w:p>
    <w:p>
      <w:pPr>
        <w:spacing w:after="0" w:line="3" w:lineRule="exact"/>
        <w:rPr>
          <w:rFonts w:ascii="Arial" w:cs="Arial" w:eastAsia="Arial" w:hAnsi="Arial"/>
          <w:sz w:val="14"/>
          <w:szCs w:val="14"/>
          <w:i w:val="1"/>
          <w:iCs w:val="1"/>
          <w:color w:val="231F20"/>
        </w:rPr>
      </w:pPr>
    </w:p>
    <w:p>
      <w:pPr>
        <w:ind w:left="340" w:hanging="332"/>
        <w:spacing w:after="0"/>
        <w:tabs>
          <w:tab w:leader="none" w:pos="340" w:val="left"/>
        </w:tabs>
        <w:numPr>
          <w:ilvl w:val="0"/>
          <w:numId w:val="58"/>
        </w:numPr>
        <w:rPr>
          <w:rFonts w:ascii="Arial" w:cs="Arial" w:eastAsia="Arial" w:hAnsi="Arial"/>
          <w:sz w:val="14"/>
          <w:szCs w:val="14"/>
          <w:i w:val="1"/>
          <w:iCs w:val="1"/>
          <w:color w:val="231F20"/>
        </w:rPr>
      </w:pPr>
      <w:r>
        <w:rPr>
          <w:rFonts w:ascii="Arial" w:cs="Arial" w:eastAsia="Arial" w:hAnsi="Arial"/>
          <w:sz w:val="14"/>
          <w:szCs w:val="14"/>
          <w:i w:val="1"/>
          <w:iCs w:val="1"/>
          <w:color w:val="231F20"/>
        </w:rPr>
        <w:t>5% holders are as at December 31, 2017, as reported on Schedule 13G. There were 48,287,346 total shares outstanding as at December 31, 2017.</w:t>
      </w:r>
    </w:p>
    <w:p>
      <w:pPr>
        <w:spacing w:after="0" w:line="55" w:lineRule="exact"/>
        <w:rPr>
          <w:rFonts w:ascii="Arial" w:cs="Arial" w:eastAsia="Arial" w:hAnsi="Arial"/>
          <w:sz w:val="14"/>
          <w:szCs w:val="14"/>
          <w:i w:val="1"/>
          <w:iCs w:val="1"/>
          <w:color w:val="231F20"/>
        </w:rPr>
      </w:pPr>
    </w:p>
    <w:p>
      <w:pPr>
        <w:ind w:left="340" w:hanging="332"/>
        <w:spacing w:after="0"/>
        <w:tabs>
          <w:tab w:leader="none" w:pos="340" w:val="left"/>
        </w:tabs>
        <w:numPr>
          <w:ilvl w:val="0"/>
          <w:numId w:val="58"/>
        </w:numPr>
        <w:rPr>
          <w:rFonts w:ascii="Arial" w:cs="Arial" w:eastAsia="Arial" w:hAnsi="Arial"/>
          <w:sz w:val="14"/>
          <w:szCs w:val="14"/>
          <w:i w:val="1"/>
          <w:iCs w:val="1"/>
          <w:color w:val="231F20"/>
        </w:rPr>
      </w:pPr>
      <w:r>
        <w:rPr>
          <w:rFonts w:ascii="Arial" w:cs="Arial" w:eastAsia="Arial" w:hAnsi="Arial"/>
          <w:sz w:val="14"/>
          <w:szCs w:val="14"/>
          <w:i w:val="1"/>
          <w:iCs w:val="1"/>
          <w:color w:val="231F20"/>
        </w:rPr>
        <w:t>The shares set forth in the table reflect the number of shares beneficially owned as December 31, 2017, based on a Schedule 13G filed on February 13, 2018.</w:t>
      </w:r>
    </w:p>
    <w:p>
      <w:pPr>
        <w:spacing w:after="0" w:line="55" w:lineRule="exact"/>
        <w:rPr>
          <w:rFonts w:ascii="Arial" w:cs="Arial" w:eastAsia="Arial" w:hAnsi="Arial"/>
          <w:sz w:val="14"/>
          <w:szCs w:val="14"/>
          <w:i w:val="1"/>
          <w:iCs w:val="1"/>
          <w:color w:val="231F20"/>
        </w:rPr>
      </w:pPr>
    </w:p>
    <w:p>
      <w:pPr>
        <w:jc w:val="both"/>
        <w:ind w:left="340" w:hanging="332"/>
        <w:spacing w:after="0" w:line="260" w:lineRule="auto"/>
        <w:tabs>
          <w:tab w:leader="none" w:pos="340" w:val="left"/>
        </w:tabs>
        <w:numPr>
          <w:ilvl w:val="0"/>
          <w:numId w:val="58"/>
        </w:numPr>
        <w:rPr>
          <w:rFonts w:ascii="Arial" w:cs="Arial" w:eastAsia="Arial" w:hAnsi="Arial"/>
          <w:sz w:val="14"/>
          <w:szCs w:val="14"/>
          <w:i w:val="1"/>
          <w:iCs w:val="1"/>
          <w:color w:val="231F20"/>
        </w:rPr>
      </w:pPr>
      <w:r>
        <w:rPr>
          <w:rFonts w:ascii="Arial" w:cs="Arial" w:eastAsia="Arial" w:hAnsi="Arial"/>
          <w:sz w:val="14"/>
          <w:szCs w:val="14"/>
          <w:i w:val="1"/>
          <w:iCs w:val="1"/>
          <w:color w:val="231F20"/>
        </w:rPr>
        <w:t>The shares set forth in the table reflect the number of shares beneficially owned as of December 31, 2017, based on a Schedule 13G dated April 6, 2018, filed by BlackRock, Inc. In such Schedule 13G, BlackRock, Inc. reported having sole voting power over 4,981,646 shares, shared voting power over no shares, sole dispositive power over 5,083,877 shares and shared dispositive power over no shares.</w:t>
      </w:r>
    </w:p>
    <w:p>
      <w:pPr>
        <w:spacing w:after="0" w:line="16" w:lineRule="exact"/>
        <w:rPr>
          <w:rFonts w:ascii="Arial" w:cs="Arial" w:eastAsia="Arial" w:hAnsi="Arial"/>
          <w:sz w:val="14"/>
          <w:szCs w:val="14"/>
          <w:i w:val="1"/>
          <w:iCs w:val="1"/>
          <w:color w:val="231F20"/>
        </w:rPr>
      </w:pPr>
    </w:p>
    <w:p>
      <w:pPr>
        <w:ind w:left="340" w:hanging="332"/>
        <w:spacing w:after="0" w:line="279" w:lineRule="auto"/>
        <w:tabs>
          <w:tab w:leader="none" w:pos="340" w:val="left"/>
        </w:tabs>
        <w:numPr>
          <w:ilvl w:val="0"/>
          <w:numId w:val="58"/>
        </w:numPr>
        <w:rPr>
          <w:rFonts w:ascii="Arial" w:cs="Arial" w:eastAsia="Arial" w:hAnsi="Arial"/>
          <w:sz w:val="14"/>
          <w:szCs w:val="14"/>
          <w:i w:val="1"/>
          <w:iCs w:val="1"/>
          <w:color w:val="231F20"/>
        </w:rPr>
      </w:pPr>
      <w:r>
        <w:rPr>
          <w:rFonts w:ascii="Arial" w:cs="Arial" w:eastAsia="Arial" w:hAnsi="Arial"/>
          <w:sz w:val="14"/>
          <w:szCs w:val="14"/>
          <w:i w:val="1"/>
          <w:iCs w:val="1"/>
          <w:color w:val="231F20"/>
        </w:rPr>
        <w:t>The shares outstanding in the table reflect the number of shares beneficially owned as of December 31, 2017, based on a Schedule 13G dated Feb 7, 2018, jointly filed by Franklin Resources, Inc., Templeton Investment Counsel, LLC, Charles B. Johnson and Rupert H. Johnson in respect of affiliated entities.</w:t>
      </w:r>
    </w:p>
    <w:p>
      <w:pPr>
        <w:spacing w:after="0" w:line="341"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Section 16(a) Beneficial Ownership Reporting</w:t>
      </w:r>
    </w:p>
    <w:p>
      <w:pPr>
        <w:spacing w:after="0" w:line="35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Section 16(a) of the Exchange Act requires our officers and directors, and persons who beneficially own more than 10% of a registered class of our equity securities, to file reports of ownership on Form 3 and changes in ownership on Form 4 or Form 5 with the SEC. Such officers, directors and greater-than-10% shareholders are also required by securities laws to furnish us with copies of all Section 16(a) forms they file.</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Based solely on a review of Forms 3, 4, and 5 (including amendments to such forms) furnished to us during and with respect to the year ended December 31, 2017, no director, officer or beneficial owner of more than 10% of our registered shares failed to file on a timely basis reports required by Section 16(a) of the Exchange Act in the year ended December 31, 2017 with the exception of Form 4 for Damien McDonald filed two (2) days late for vesting of restricted stock units settled in Ordinary Shares on November 4, 2017.</w:t>
      </w:r>
    </w:p>
    <w:p>
      <w:pPr>
        <w:spacing w:after="0" w:line="169" w:lineRule="exact"/>
        <w:rPr>
          <w:sz w:val="20"/>
          <w:szCs w:val="20"/>
          <w:color w:val="auto"/>
        </w:rPr>
      </w:pPr>
    </w:p>
    <w:p>
      <w:pPr>
        <w:spacing w:after="0"/>
        <w:tabs>
          <w:tab w:leader="none" w:pos="4220" w:val="left"/>
          <w:tab w:leader="none" w:pos="9960" w:val="left"/>
        </w:tabs>
        <w:rPr>
          <w:sz w:val="20"/>
          <w:szCs w:val="20"/>
          <w:color w:val="auto"/>
        </w:rPr>
      </w:pPr>
      <w:r>
        <w:rPr>
          <w:rFonts w:ascii="Arial" w:cs="Arial" w:eastAsia="Arial" w:hAnsi="Arial"/>
          <w:sz w:val="16"/>
          <w:szCs w:val="16"/>
          <w:b w:val="1"/>
          <w:bCs w:val="1"/>
          <w:color w:val="auto"/>
        </w:rPr>
        <w:t>52</w:t>
      </w:r>
      <w:r>
        <w:rPr>
          <w:sz w:val="20"/>
          <w:szCs w:val="20"/>
          <w:color w:val="auto"/>
        </w:rPr>
        <w:tab/>
      </w: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r>
        <w:rPr>
          <w:sz w:val="20"/>
          <w:szCs w:val="20"/>
          <w:color w:val="auto"/>
        </w:rPr>
        <w:tab/>
      </w:r>
      <w:r>
        <w:rPr>
          <w:rFonts w:ascii="Arial" w:cs="Arial" w:eastAsia="Arial" w:hAnsi="Arial"/>
          <w:sz w:val="16"/>
          <w:szCs w:val="16"/>
          <w:b w:val="1"/>
          <w:bCs w:val="1"/>
          <w:color w:val="6F2875"/>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-36195</wp:posOffset>
            </wp:positionV>
            <wp:extent cx="1663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-36195</wp:posOffset>
            </wp:positionV>
            <wp:extent cx="23241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47"/>
          <w:szCs w:val="47"/>
          <w:b w:val="1"/>
          <w:bCs w:val="1"/>
          <w:color w:val="6F2875"/>
        </w:rPr>
        <w:t xml:space="preserve">General </w:t>
      </w:r>
      <w:r>
        <w:rPr>
          <w:rFonts w:ascii="Arial" w:cs="Arial" w:eastAsia="Arial" w:hAnsi="Arial"/>
          <w:sz w:val="47"/>
          <w:szCs w:val="47"/>
          <w:b w:val="1"/>
          <w:bCs w:val="1"/>
          <w:color w:val="818285"/>
        </w:rPr>
        <w:t>Matters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Shareholder Proposals for the 2019 AGM</w:t>
      </w:r>
    </w:p>
    <w:p>
      <w:pPr>
        <w:spacing w:after="0" w:line="35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Shareholders who, in accordance with Rule 14a-8 of the Exchange Act, wish to present proposals for inclusion in the proxy materials to be published by us in connection with 2019 AGM must submit their proposals to the Office of the Company Secretary of LivaNova at 20 Eastbourne Terrace, London W2 6LG by December 31, 2018. As the rules of the SEC make clear, simply submitting a proposal does not guarantee its inclusion in our proxy statement.</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In accordance with the Articles, and without prejudice to the rights of a shareholder of record under the Companies Act, in order to nominate a candidate for election as a director or properly bring business before our 2019 AGM, a shareholder’s notice of the matter the shareholder wishes to present must be delivered to the Office of the Company Secretary of LivaNova at 20 Eastbourne Terrace, London W2 6LG, not less than 90 nor more than 120 days prior to the first anniversary of the date of this year’s AGM, subject to certain exceptions. As a result, any notice given by or on behalf of a shareholder pursuant to these provisions of our Articles (and not submitted pursuant to Rule 14a-8) must be received no earlier than February 12, 2019, and no later than March 14, 2019. The requirements for advance notice of shareholder proposals under our Articles do not apply to proposals properly submitted under Rule 14a-8 under the Exchange Act, as those shareholder proposals are governed by Rule 14a-8. Shareholders are advised to review our Articles, for further details on the requirements and procedures to submit shareholder proposals.</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We reserve the right to reject, rule out of order or take other appropriate action with respect to any proposal that does not comply with Rule 14a-8, our Articles or any other requirements, as applicable.</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231F20"/>
        </w:rPr>
        <w:t>Under section 338 of the Companies Act, shareholders meeting the threshold requirements in that section may require that we include a resolution in our Notice of AGM. Provided that the appropriate thresholds are met, notice of the resolution must be received by us at the Office of the Company Secretary of LivaNova at 20 Eastbourne Terrace, London W2 6LG at least six weeks prior to the date of the AGM or, if later, at the time notice of the AGM is delivered to shareholders.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Saving Resources: Householding and Electronic Communications</w:t>
      </w:r>
    </w:p>
    <w:p>
      <w:pPr>
        <w:spacing w:after="0" w:line="35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We are mindful that sending notices, documents, or information to shareholders by non-electronic means is costly to us in terms of administration, printing and postage costs and has a greater environmental impact than electronic communications. In some cases, duplicate materials going to the same address add to these costs. Both US securities laws and English company law provide ways for us to cut costs and benefit the environment, and we are pleased to embrace these opportunities.</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Internet Availability of Proxy Materials</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Pursuant to rules adopted by the SEC, we are making this proxy statement available to our shareholders electronically via the Internet. On or about April 30, 2018, we will mail the Notice of Internet Availability of Proxy Materials (the “Notice”) to shareholders of our Ordinary Shares at the close of business on the Record Date, other than those stockholders who previously requested electronic or paper delivery of communications from us. The Notice contains instructions on how to access an electronic copy of our proxy materials, including this proxy statement and our 2017 Annual Report. The Notice also contains instructions on how to request a paper copy of the proxy statement. We believe that this process will allow us to provide you with the information you need in a timely manner, while conserving natural resources and lowering the costs of the AGM.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Borders>
              <w:bottom w:val="single" w:sz="8" w:color="auto"/>
            </w:tcBorders>
          </w:tcPr>
          <w:p>
            <w:pPr>
              <w:spacing w:after="0"/>
              <w:rPr>
                <w:sz w:val="10"/>
                <w:szCs w:val="10"/>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53</w:t>
            </w:r>
          </w:p>
        </w:tc>
        <w:tc>
          <w:tcPr>
            <w:tcW w:w="0" w:type="dxa"/>
            <w:vAlign w:val="bottom"/>
          </w:tcPr>
          <w:p>
            <w:pPr>
              <w:spacing w:after="0"/>
              <w:rPr>
                <w:sz w:val="1"/>
                <w:szCs w:val="1"/>
                <w:color w:val="auto"/>
              </w:rPr>
            </w:pPr>
          </w:p>
        </w:tc>
      </w:tr>
      <w:tr>
        <w:trPr>
          <w:trHeight w:val="69"/>
        </w:trPr>
        <w:tc>
          <w:tcPr>
            <w:tcW w:w="40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Electronic Communications</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At our AGM held on June 15, 2016, shareholders voted in favor of a resolution to authorize, under English law, the Company to send notices, documents, or information to shareholders of record by electronic means. In conjunction with our registrars, Computershare Inc., LivaNova in early 2018 offered to its shareholders of record the option of receiving an email notification each time it publishes new shareholder documents on our website. Those shareholders who have supplied us with an email address will no longer receive copies of certain paper documents, such as the Annual Report. Instead they will receive an email containing links to the LivaNova website, where electronic copies of the documents can be viewed and downloaded. Others have opted to receive paper notices of documents available on the LivaNova website, and those who did not respond to our letter will by default continue to receive notifications in the same way.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Householding of Proxy Materials</w:t>
      </w:r>
    </w:p>
    <w:p>
      <w:pPr>
        <w:spacing w:after="0" w:line="23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231F20"/>
        </w:rPr>
        <w:t>The SEC has adopted rules regarding delivery of proxy statements and annual reports to shareholders sharing the same address. We may satisfy these delivery rules by delivering a single proxy statement and annual report to an address shared by two or more of our shareholders who are not participating in electronic proxy material delivery. This delivery method, referred to as “householding,” results in significant cost savings for us. In order to take advantage of this opportunity, we have delivered only one proxy statement and annual report to multiple shareholders who share an address unless LivaNova has received contrary instructions from one or more of the shareholders. LivaNova will deliver promptly, upon written or oral request, a separate copy of the proxy statement and annual report to a shareholder at a shared address to which a single copy of the documents was delivered. If shareholders receive one set of materials due to householding, they may revoke their consent for future mailings at any time by contacting Computershare Inc., for registered holders, either by calling toll-free at 1-866-498-2549 or by writing to Computershare Inc. at P.O. Box 505008, Louisville, KY, USA 40233. Shareholders will be removed from the householding program within 30 days of their response, following which they will receive an individual copy of our proxy materials. If you are the beneficial owner, but not the record holder, of LivaNova Ordinary Shares and wish to receive only one copy of the proxy statement and annual report in the future, you will need to contact your broker, bank or other nominee to request that only a single copy of each document be mailed to all shareholders at the shared address in the future.</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Annual Reports and Proxy Materials</w:t>
      </w:r>
    </w:p>
    <w:p>
      <w:pPr>
        <w:spacing w:after="0" w:line="35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On April 30, 2018, we will have begun mailing this proxy statement, the accompanying proxy card (or in respect of CDIs as defined herein, a Form of Proxy), our 2017 UK Annual Report, and our US annual report on Form 10-K (the “US Annual Report”). Copies of these materials filed with the SEC may be accessed free of charge through our website (</w:t>
      </w:r>
      <w:r>
        <w:rPr>
          <w:rFonts w:ascii="Arial" w:cs="Arial" w:eastAsia="Arial" w:hAnsi="Arial"/>
          <w:sz w:val="16"/>
          <w:szCs w:val="16"/>
          <w:i w:val="1"/>
          <w:iCs w:val="1"/>
          <w:color w:val="231F20"/>
        </w:rPr>
        <w:t>www.livanova.com</w:t>
      </w:r>
      <w:r>
        <w:rPr>
          <w:rFonts w:ascii="Arial" w:cs="Arial" w:eastAsia="Arial" w:hAnsi="Arial"/>
          <w:sz w:val="16"/>
          <w:szCs w:val="16"/>
          <w:color w:val="231F20"/>
        </w:rPr>
        <w:t xml:space="preserve">). Requests for mailed copies of the US Annual Report and/or the UK Annual Report may also be submitted to the Office of the Company Secretary of LivaNova at 20 Eastbourne Terrace, London W2 6LG, United Kingdom (exhibits will be furnished upon payment of a nominal fee, which fee will be limited to the expenses we incur in providing you with the requested exhibits). Our Form 10-K, including the exhibits thereto, is also available through the SEC’s web site at </w:t>
      </w:r>
      <w:r>
        <w:rPr>
          <w:rFonts w:ascii="Arial" w:cs="Arial" w:eastAsia="Arial" w:hAnsi="Arial"/>
          <w:sz w:val="16"/>
          <w:szCs w:val="16"/>
          <w:i w:val="1"/>
          <w:iCs w:val="1"/>
          <w:color w:val="231F20"/>
        </w:rPr>
        <w:t>www.sec.gov</w:t>
      </w:r>
      <w:r>
        <w:rPr>
          <w:rFonts w:ascii="Arial" w:cs="Arial" w:eastAsia="Arial" w:hAnsi="Arial"/>
          <w:sz w:val="16"/>
          <w:szCs w:val="16"/>
          <w:color w:val="231F20"/>
        </w:rPr>
        <w:t>, as is this proxy statement, filed on Schedule DEF 14A.</w:t>
      </w:r>
    </w:p>
    <w:p>
      <w:pPr>
        <w:spacing w:after="0" w:line="370"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Expenses of Solicitation</w:t>
      </w:r>
    </w:p>
    <w:p>
      <w:pPr>
        <w:spacing w:after="0" w:line="35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We will bear the costs of soliciting proxies, including the reimbursement to record holders of their expenses in forwarding proxy materials to beneficial holders. Directors, officers and employees of LivaNova and its subsidiaries may solicit proxies personally, telephonically, electronically or by other means of communication but will receive no additional compensation for such solicitation. We have engaged the Proxy Advisory Group, LLC, to assist in the solicitation of proxies and provide related advice and informational support, for a services fee, plus customary disbursements, which are not expected to exceed $15,000 in total.</w:t>
      </w:r>
    </w:p>
    <w:p>
      <w:pPr>
        <w:spacing w:after="0" w:line="170" w:lineRule="exact"/>
        <w:rPr>
          <w:sz w:val="20"/>
          <w:szCs w:val="20"/>
          <w:color w:val="auto"/>
        </w:rPr>
      </w:pPr>
    </w:p>
    <w:p>
      <w:pPr>
        <w:spacing w:after="0"/>
        <w:tabs>
          <w:tab w:leader="none" w:pos="4220" w:val="left"/>
          <w:tab w:leader="none" w:pos="9960" w:val="left"/>
        </w:tabs>
        <w:rPr>
          <w:sz w:val="20"/>
          <w:szCs w:val="20"/>
          <w:color w:val="auto"/>
        </w:rPr>
      </w:pPr>
      <w:r>
        <w:rPr>
          <w:rFonts w:ascii="Arial" w:cs="Arial" w:eastAsia="Arial" w:hAnsi="Arial"/>
          <w:sz w:val="16"/>
          <w:szCs w:val="16"/>
          <w:b w:val="1"/>
          <w:bCs w:val="1"/>
          <w:color w:val="auto"/>
        </w:rPr>
        <w:t>54</w:t>
      </w:r>
      <w:r>
        <w:rPr>
          <w:sz w:val="20"/>
          <w:szCs w:val="20"/>
          <w:color w:val="auto"/>
        </w:rPr>
        <w:tab/>
      </w: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r>
        <w:rPr>
          <w:sz w:val="20"/>
          <w:szCs w:val="20"/>
          <w:color w:val="auto"/>
        </w:rPr>
        <w:tab/>
      </w:r>
      <w:r>
        <w:rPr>
          <w:rFonts w:ascii="Arial" w:cs="Arial" w:eastAsia="Arial" w:hAnsi="Arial"/>
          <w:sz w:val="16"/>
          <w:szCs w:val="16"/>
          <w:b w:val="1"/>
          <w:bCs w:val="1"/>
          <w:color w:val="6F2875"/>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-36195</wp:posOffset>
            </wp:positionV>
            <wp:extent cx="1663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-36195</wp:posOffset>
            </wp:positionV>
            <wp:extent cx="23241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Frequently Asked Questions About the AGM</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What is a proxy statement and what is a proxy?</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A proxy statement is a document that the rules and regulations of the United States including the SEC require us to give to you when it asks you to give a proxy designating individuals to vote on your behalf. A proxy is your legal designation to another person to vote shares that you own. That other person is called a proxy. If you delegate someone as your proxy in a written document, that document is also called a proxy or proxy card.</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Why did I receive these proxy materials?</w:t>
      </w:r>
    </w:p>
    <w:p>
      <w:pPr>
        <w:spacing w:after="0" w:line="28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We have delivered these printed versions of the notice of AGM in this proxy statement, proxy cards, the 2017 UK Annual Report, and the 2017 US Annual Report of LivaNova (the “proxy materials”) to our shareholders of record and beneficial holders of our shares as of the Record Date, in connection with the solicitation of proxies for use at the AGM, or at any adjournment or postponement thereof.</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In addition, we have provided brokers, dealers, bankers, voting trustees and their nominees, at our expense, with additional copies of the proxy materials so that our shareholders of record can, as needed, supply these materials to the beneficial owners of shares as of the Record Date.</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Copies of the proxy materials have also been supplied, at our expense, to Computershare Investor Services Plc (the “Voting Agent”), acting as voting agent on behalf of the custodian, being CREST International Nominees Limited (“CREST Nominees”) as custodian for Euroclear UK &amp; Ireland Ltd (“Euroclear”) as the depositary and issuer of the CREST Depository Interests (“CDIs”) to be supplied to the holders of CDIs.</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Will any other matters be decided at the AGM?</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At the date of this proxy statement, we do not know of any other matters to be raised at the AGM other than those described in this proxy statement. If any other matters are, in accordance with the Companies Act, other applicable law or our Articles, properly presented for consideration at the AGM, such matters will, subject to the Companies Act, the Articles and applicable law, be considered at the AGM and the individuals named in the proxy card will vote on such matters in their discretion.</w:t>
      </w:r>
    </w:p>
    <w:p>
      <w:pPr>
        <w:spacing w:after="0" w:line="265" w:lineRule="exact"/>
        <w:rPr>
          <w:sz w:val="20"/>
          <w:szCs w:val="20"/>
          <w:color w:val="auto"/>
        </w:rPr>
      </w:pPr>
    </w:p>
    <w:p>
      <w:pPr>
        <w:ind w:right="840"/>
        <w:spacing w:after="0" w:line="288" w:lineRule="auto"/>
        <w:rPr>
          <w:sz w:val="20"/>
          <w:szCs w:val="20"/>
          <w:color w:val="auto"/>
        </w:rPr>
      </w:pPr>
      <w:r>
        <w:rPr>
          <w:rFonts w:ascii="Arial" w:cs="Arial" w:eastAsia="Arial" w:hAnsi="Arial"/>
          <w:sz w:val="25"/>
          <w:szCs w:val="25"/>
          <w:b w:val="1"/>
          <w:bCs w:val="1"/>
          <w:color w:val="auto"/>
        </w:rPr>
        <w:t>What is the difference between holding Ordinary Shares as a shareholder of record, as a beneficial owner and holder of CDIs?</w:t>
      </w:r>
    </w:p>
    <w:p>
      <w:pPr>
        <w:spacing w:after="0" w:line="12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If a shareholder is registered on the register of members of the Company in respect of Ordinary Shares, they are considered, with respect to those Ordinary Shares, the shareholder of record. As of April 19, 2018, being the latest practicable date prior to publication of this proxy statement, our shareholders of record were Cede &amp; Co., the nominee for the Depositary Trust Company (“DTC”), and 23 other shareholders of record. In order to become a shareholder of record of Ordinary Shares, a beneficial owner would need to take steps to withdraw the relevant Ordinary Shares from the DTC system. Beneficial owners are reminded that any transfer of the Ordinary Shares out of the DTC system will generally be subject to UK stamp duty or stamp duty reserve tax (“SDRT”) at a rate of 0.5% of any consideration, which is payable by the transferee of the Ordinary Shares (i.e., any third party into whose name the Ordinary Shares are transferred). However, where no consideration is given for the transfer of the Ordinary Shares out of the DTC system (i.e., where beneficial ownership of the Ordinary Shares is not changing and there is no third party paying consideration for the Ordinary Shares), no charge to UK stamp duty or SDRT should arise. In addition, if such Ordinary Shares are subsequently redeposited into the DTC system, the redeposit will attract UK stamp duty or SDRT at a higher 1.5% rate. Beneficial owners are, therefore, strongly discouraged from withdrawing their Ordinary Shares from the DTC system.</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If your Ordinary Shares are held for you in a stock brokerage account or by a broker, bank or other nominee, you are considered the beneficial owner of shares held in street name, and these proxy materials are being made available or forwarded to you by your broker, bank or other nominee through whom you hold the Ordinary Shares. As the beneficial owner, you have the right to direct your broker, bank or other nominee on how to vote your Ordinary Shares by following the instructions for voting on the proxy card.</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In addition, in connection with the admission to trading of the Ordinary Shares on the London Stock Exchange, we entered into depositary arrangements to enable holders to settle interests in Ordinary Shares through the CREST system without the need for the underlying Ordinary Shares to be withdrawn from the DTC system. When LivaNova’s Ordinary Shares were de-listed from the London Stock Exchange, any holders of depositary interests who took no action to withdraw their interests from the depositary facility operated by Computershare Investor Services Plc by the date of termination of that facility had their interests replaced through CREST with CDIs. These CDIs represent underlying Ordinary Shares on a one-for-one basis.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Borders>
              <w:bottom w:val="single" w:sz="8" w:color="auto"/>
            </w:tcBorders>
          </w:tcPr>
          <w:p>
            <w:pPr>
              <w:spacing w:after="0"/>
              <w:rPr>
                <w:sz w:val="10"/>
                <w:szCs w:val="10"/>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55</w:t>
            </w:r>
          </w:p>
        </w:tc>
        <w:tc>
          <w:tcPr>
            <w:tcW w:w="0" w:type="dxa"/>
            <w:vAlign w:val="bottom"/>
          </w:tcPr>
          <w:p>
            <w:pPr>
              <w:spacing w:after="0"/>
              <w:rPr>
                <w:sz w:val="1"/>
                <w:szCs w:val="1"/>
                <w:color w:val="auto"/>
              </w:rPr>
            </w:pPr>
          </w:p>
        </w:tc>
      </w:tr>
      <w:tr>
        <w:trPr>
          <w:trHeight w:val="69"/>
        </w:trPr>
        <w:tc>
          <w:tcPr>
            <w:tcW w:w="40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Who is entitled to vote at the AGM?</w:t>
      </w:r>
    </w:p>
    <w:p>
      <w:pPr>
        <w:spacing w:after="0" w:line="23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231F20"/>
        </w:rPr>
        <w:t>Shareholders of record and beneficial holders as of the Record Date are entitled to attend (virtually or in person) and vote at the AGM. Please note the following special cases:</w:t>
      </w:r>
    </w:p>
    <w:p>
      <w:pPr>
        <w:spacing w:after="0" w:line="169" w:lineRule="exact"/>
        <w:rPr>
          <w:sz w:val="20"/>
          <w:szCs w:val="20"/>
          <w:color w:val="auto"/>
        </w:rPr>
      </w:pPr>
    </w:p>
    <w:p>
      <w:pPr>
        <w:jc w:val="both"/>
        <w:ind w:left="180" w:hanging="172"/>
        <w:spacing w:after="0" w:line="253" w:lineRule="auto"/>
        <w:tabs>
          <w:tab w:leader="none" w:pos="180" w:val="left"/>
        </w:tabs>
        <w:numPr>
          <w:ilvl w:val="0"/>
          <w:numId w:val="59"/>
        </w:numPr>
        <w:rPr>
          <w:rFonts w:ascii="Arial" w:cs="Arial" w:eastAsia="Arial" w:hAnsi="Arial"/>
          <w:sz w:val="16"/>
          <w:szCs w:val="16"/>
          <w:color w:val="6F2875"/>
        </w:rPr>
      </w:pPr>
      <w:r>
        <w:rPr>
          <w:rFonts w:ascii="Arial" w:cs="Arial" w:eastAsia="Arial" w:hAnsi="Arial"/>
          <w:sz w:val="16"/>
          <w:szCs w:val="16"/>
          <w:color w:val="231F20"/>
        </w:rPr>
        <w:t>Any corporation which is a shareholder of record may by resolution of its directors or other governing body authorize such person as it thinks fit to act as its representative at the AGM and the person so authorized shall (on production of a certified copy of such resolution at the AGM) be entitled to exercise the same powers on behalf of the corporation as that corporation could exercise if it were an individual shareholder of the Company.</w:t>
      </w:r>
    </w:p>
    <w:p>
      <w:pPr>
        <w:spacing w:after="0" w:line="39" w:lineRule="exact"/>
        <w:rPr>
          <w:rFonts w:ascii="Arial" w:cs="Arial" w:eastAsia="Arial" w:hAnsi="Arial"/>
          <w:sz w:val="16"/>
          <w:szCs w:val="16"/>
          <w:color w:val="6F2875"/>
        </w:rPr>
      </w:pPr>
    </w:p>
    <w:p>
      <w:pPr>
        <w:jc w:val="both"/>
        <w:ind w:left="180" w:hanging="172"/>
        <w:spacing w:after="0" w:line="253" w:lineRule="auto"/>
        <w:tabs>
          <w:tab w:leader="none" w:pos="180" w:val="left"/>
        </w:tabs>
        <w:numPr>
          <w:ilvl w:val="0"/>
          <w:numId w:val="59"/>
        </w:numPr>
        <w:rPr>
          <w:rFonts w:ascii="Arial" w:cs="Arial" w:eastAsia="Arial" w:hAnsi="Arial"/>
          <w:sz w:val="16"/>
          <w:szCs w:val="16"/>
          <w:color w:val="6F2875"/>
        </w:rPr>
      </w:pPr>
      <w:r>
        <w:rPr>
          <w:rFonts w:ascii="Arial" w:cs="Arial" w:eastAsia="Arial" w:hAnsi="Arial"/>
          <w:sz w:val="16"/>
          <w:szCs w:val="16"/>
          <w:color w:val="231F20"/>
        </w:rPr>
        <w:t>Beneficial owners of Ordinary Shares as of the Record Date have the right to direct their broker or other agent on how to vote the Ordinary Shares in their account. They are also invited to attend the AGM. However, as beneficial owners are not shareholders of record of the relevant Ordinary Shares, they may not vote their Ordinary Shares at the AGM unless they request and obtain a legal proxy from their broker or agent.</w:t>
      </w:r>
    </w:p>
    <w:p>
      <w:pPr>
        <w:spacing w:after="0" w:line="39" w:lineRule="exact"/>
        <w:rPr>
          <w:rFonts w:ascii="Arial" w:cs="Arial" w:eastAsia="Arial" w:hAnsi="Arial"/>
          <w:sz w:val="16"/>
          <w:szCs w:val="16"/>
          <w:color w:val="6F2875"/>
        </w:rPr>
      </w:pPr>
    </w:p>
    <w:p>
      <w:pPr>
        <w:jc w:val="both"/>
        <w:ind w:left="180" w:hanging="172"/>
        <w:spacing w:after="0" w:line="250" w:lineRule="auto"/>
        <w:tabs>
          <w:tab w:leader="none" w:pos="180" w:val="left"/>
        </w:tabs>
        <w:numPr>
          <w:ilvl w:val="0"/>
          <w:numId w:val="59"/>
        </w:numPr>
        <w:rPr>
          <w:rFonts w:ascii="Arial" w:cs="Arial" w:eastAsia="Arial" w:hAnsi="Arial"/>
          <w:sz w:val="16"/>
          <w:szCs w:val="16"/>
          <w:color w:val="6F2875"/>
        </w:rPr>
      </w:pPr>
      <w:r>
        <w:rPr>
          <w:rFonts w:ascii="Arial" w:cs="Arial" w:eastAsia="Arial" w:hAnsi="Arial"/>
          <w:sz w:val="16"/>
          <w:szCs w:val="16"/>
          <w:color w:val="231F20"/>
        </w:rPr>
        <w:t>Holders of CDIs may instruct the Voting Agent on behalf of CREST Nominees, as custodian in the DTC clearance system for Euroclear, as the depository and issuer of the CDIs, as to how to exercise the votes attaching to the Ordinary Shares underlying such CDIs by voting through www.envisionreports.com/livn or returning a completed Form of Proxy (the “CDI Form of Proxy”) to Computershare Investor Services Plc, acting as Voting Agent on behalf of CREST Nominees. Alternatively, holders of CDIs can vote using the CREST system. After the Voting Agent has received instructions on how to vote on the proposals from the holders of CDIs, it will complete an omnibus proxy card reflecting such instructions and send it to the transfer agent.</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What are the total voting rights in the Company?</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As of April 19, 2018, being the last practicable date prior to the publication of this proxy statement, there were [48,627,730] Ordinary Shares in issue and entitled to vote. Each Ordinary Share is entitled to one vote on each matter properly brought before the AGM. Therefore, the total voting rights in the Company as at April 19, 2018, are [48,627,730].</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do I vote if I am a shareholder of record?</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If you are a shareholder of record who is entitled to attend and vote at the AGM, you may vote your Ordinary Shares in person or virtually at the AGM or appoint another person or persons as your proxy to exercise any or all of your rights to attend and to speak and vote at the AGM. If you intend to vote in person, you must present government-issued identification. You may appoint more than one proxy in relation to the AGM (provided that each proxy is appointed to exercise the rights attached to a different Ordinary Share(s)). Such proxy need not be a shareholder of record, but must attend the AGM to represent you and must vote as you instruct for your vote to be counted.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231F20"/>
        </w:rPr>
        <w:t>You may appoint a proxy to vote on your behalf using one of the following methods:</w:t>
      </w:r>
    </w:p>
    <w:p>
      <w:pPr>
        <w:spacing w:after="0" w:line="194" w:lineRule="exact"/>
        <w:rPr>
          <w:sz w:val="20"/>
          <w:szCs w:val="20"/>
          <w:color w:val="auto"/>
        </w:rPr>
      </w:pPr>
    </w:p>
    <w:p>
      <w:pPr>
        <w:ind w:left="180" w:hanging="172"/>
        <w:spacing w:after="0" w:line="260" w:lineRule="auto"/>
        <w:tabs>
          <w:tab w:leader="none" w:pos="180" w:val="left"/>
        </w:tabs>
        <w:numPr>
          <w:ilvl w:val="0"/>
          <w:numId w:val="60"/>
        </w:numPr>
        <w:rPr>
          <w:rFonts w:ascii="Arial" w:cs="Arial" w:eastAsia="Arial" w:hAnsi="Arial"/>
          <w:sz w:val="16"/>
          <w:szCs w:val="16"/>
          <w:color w:val="6F2875"/>
        </w:rPr>
      </w:pPr>
      <w:r>
        <w:rPr>
          <w:rFonts w:ascii="Arial" w:cs="Arial" w:eastAsia="Arial" w:hAnsi="Arial"/>
          <w:sz w:val="16"/>
          <w:szCs w:val="16"/>
          <w:color w:val="auto"/>
        </w:rPr>
        <w:t>by returning the proxy card, or other instrument appointing a proxy, completed in accordance with the instructions therein and signed to Proxy Services, c/o Computershare Investor Services, PO Box 505008, Louisville, KY, USA 40233.</w:t>
      </w:r>
    </w:p>
    <w:p>
      <w:pPr>
        <w:spacing w:after="0" w:line="17" w:lineRule="exact"/>
        <w:rPr>
          <w:rFonts w:ascii="Arial" w:cs="Arial" w:eastAsia="Arial" w:hAnsi="Arial"/>
          <w:sz w:val="16"/>
          <w:szCs w:val="16"/>
          <w:color w:val="6F2875"/>
        </w:rPr>
      </w:pPr>
    </w:p>
    <w:p>
      <w:pPr>
        <w:ind w:left="180" w:hanging="172"/>
        <w:spacing w:after="0"/>
        <w:tabs>
          <w:tab w:leader="none" w:pos="180" w:val="left"/>
        </w:tabs>
        <w:numPr>
          <w:ilvl w:val="0"/>
          <w:numId w:val="60"/>
        </w:numPr>
        <w:rPr>
          <w:rFonts w:ascii="Arial" w:cs="Arial" w:eastAsia="Arial" w:hAnsi="Arial"/>
          <w:sz w:val="16"/>
          <w:szCs w:val="16"/>
          <w:color w:val="6F2875"/>
        </w:rPr>
      </w:pPr>
      <w:r>
        <w:rPr>
          <w:rFonts w:ascii="Arial" w:cs="Arial" w:eastAsia="Arial" w:hAnsi="Arial"/>
          <w:sz w:val="16"/>
          <w:szCs w:val="16"/>
          <w:color w:val="auto"/>
        </w:rPr>
        <w:t xml:space="preserve">by submission via the internet by going to </w:t>
      </w:r>
      <w:r>
        <w:rPr>
          <w:rFonts w:ascii="Arial" w:cs="Arial" w:eastAsia="Arial" w:hAnsi="Arial"/>
          <w:sz w:val="16"/>
          <w:szCs w:val="16"/>
          <w:i w:val="1"/>
          <w:iCs w:val="1"/>
          <w:color w:val="auto"/>
        </w:rPr>
        <w:t>www.envisionreports.com/livn</w:t>
      </w:r>
      <w:r>
        <w:rPr>
          <w:rFonts w:ascii="Arial" w:cs="Arial" w:eastAsia="Arial" w:hAnsi="Arial"/>
          <w:sz w:val="16"/>
          <w:szCs w:val="16"/>
          <w:color w:val="auto"/>
        </w:rPr>
        <w:t xml:space="preserve"> and following the instructions provided; or</w:t>
      </w:r>
    </w:p>
    <w:p>
      <w:pPr>
        <w:spacing w:after="0" w:line="75" w:lineRule="exact"/>
        <w:rPr>
          <w:rFonts w:ascii="Arial" w:cs="Arial" w:eastAsia="Arial" w:hAnsi="Arial"/>
          <w:sz w:val="16"/>
          <w:szCs w:val="16"/>
          <w:color w:val="6F2875"/>
        </w:rPr>
      </w:pPr>
    </w:p>
    <w:p>
      <w:pPr>
        <w:ind w:left="180" w:hanging="172"/>
        <w:spacing w:after="0"/>
        <w:tabs>
          <w:tab w:leader="none" w:pos="180" w:val="left"/>
        </w:tabs>
        <w:numPr>
          <w:ilvl w:val="0"/>
          <w:numId w:val="60"/>
        </w:numPr>
        <w:rPr>
          <w:rFonts w:ascii="Arial" w:cs="Arial" w:eastAsia="Arial" w:hAnsi="Arial"/>
          <w:sz w:val="16"/>
          <w:szCs w:val="16"/>
          <w:color w:val="6F2875"/>
        </w:rPr>
      </w:pPr>
      <w:r>
        <w:rPr>
          <w:rFonts w:ascii="Arial" w:cs="Arial" w:eastAsia="Arial" w:hAnsi="Arial"/>
          <w:sz w:val="16"/>
          <w:szCs w:val="16"/>
          <w:color w:val="auto"/>
        </w:rPr>
        <w:t>by telephone, using the number shown on the notice or proxy card;</w:t>
      </w:r>
    </w:p>
    <w:p>
      <w:pPr>
        <w:spacing w:after="0" w:line="43" w:lineRule="exact"/>
        <w:rPr>
          <w:rFonts w:ascii="Arial" w:cs="Arial" w:eastAsia="Arial" w:hAnsi="Arial"/>
          <w:sz w:val="16"/>
          <w:szCs w:val="16"/>
          <w:color w:val="6F2875"/>
        </w:rPr>
      </w:pPr>
    </w:p>
    <w:p>
      <w:pPr>
        <w:ind w:left="180" w:hanging="172"/>
        <w:spacing w:after="0" w:line="281" w:lineRule="auto"/>
        <w:tabs>
          <w:tab w:leader="none" w:pos="180" w:val="left"/>
        </w:tabs>
        <w:numPr>
          <w:ilvl w:val="0"/>
          <w:numId w:val="60"/>
        </w:numPr>
        <w:rPr>
          <w:rFonts w:ascii="Arial" w:cs="Arial" w:eastAsia="Arial" w:hAnsi="Arial"/>
          <w:sz w:val="16"/>
          <w:szCs w:val="16"/>
          <w:color w:val="6F2875"/>
        </w:rPr>
      </w:pPr>
      <w:r>
        <w:rPr>
          <w:rFonts w:ascii="Arial" w:cs="Arial" w:eastAsia="Arial" w:hAnsi="Arial"/>
          <w:sz w:val="16"/>
          <w:szCs w:val="16"/>
          <w:color w:val="auto"/>
        </w:rPr>
        <w:t xml:space="preserve">during the AGM, you may submit a ballot at </w:t>
      </w:r>
      <w:r>
        <w:rPr>
          <w:rFonts w:ascii="Arial" w:cs="Arial" w:eastAsia="Arial" w:hAnsi="Arial"/>
          <w:sz w:val="16"/>
          <w:szCs w:val="16"/>
          <w:i w:val="1"/>
          <w:iCs w:val="1"/>
          <w:color w:val="auto"/>
        </w:rPr>
        <w:t>www.meetingcenter.io</w:t>
      </w:r>
      <w:r>
        <w:rPr>
          <w:rFonts w:ascii="Arial" w:cs="Arial" w:eastAsia="Arial" w:hAnsi="Arial"/>
          <w:sz w:val="16"/>
          <w:szCs w:val="16"/>
          <w:color w:val="auto"/>
        </w:rPr>
        <w:t>/239829366. You will need to review the information included on your Notice or on your proxy card or in the instructions accompanying your proxy materials. The password for the meeting is LIVN2018.</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231F20"/>
        </w:rPr>
        <w:t>To be effective, the proxy appointment must be received by 9:00 a.m. (Central Standard Time) on June 8, 2018 .</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231F20"/>
        </w:rPr>
        <w:t>Details of how to appoint the chairman of the AGM, or another person, as your proxy are set out in the proxy card.</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Please sign the proxy card exactly as your name appears on the card. If a shareholder of record is a corporation, limited liability company or partnership, the proxy card should be signed in the full corporate, limited liability company or partnership name by a duly authorized person. If the proxy card is signed pursuant to a power of attorney or by an executor, administrator, trustee or guardian, please state the signatory’s full title and provide a certificate or other proof of appointment. In the case of joint holders, the vote of the senior holder who tenders a vote, whether in person or by proxy, shall be accepted to the exclusion of the votes of the other joint holders and seniority shall be determined by the order in which the names of the holders stand in the register of members.</w:t>
      </w:r>
    </w:p>
    <w:p>
      <w:pPr>
        <w:spacing w:after="0" w:line="176"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231F20"/>
        </w:rPr>
        <w:t>The return of a completed proxy card, or the submission of proxy instructions via the internet or by telephone, will not prevent a shareholder of record from attending and voting at the AGM. If you have appointed a proxy and attend the AGM and vote in person, your proxy appointment will automatically be terminated.</w:t>
      </w:r>
    </w:p>
    <w:p>
      <w:pPr>
        <w:spacing w:after="0" w:line="3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If you properly give instructions as to your proxy appointment by executing and returning a paper proxy card or through the internet or by telephone, and your proxy appointment is not subsequently revoked, your Ordinary Shares will be voted in accordance with your instructions.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231F20"/>
        </w:rPr>
        <w:t>If you are a shareholder of record and you execute and return a proxy card, but do not give instructions, your proxy will be voted FOR each of the proposals.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231F20"/>
        </w:rPr>
        <w:t>If you have not received a proxy card and believe that you should have one, please contact your broker, bank or other nominee for more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231F20"/>
        </w:rPr>
        <w:t>We will distribute polling cards to any shareholders of record who want to vote in person at the AGM.</w:t>
      </w:r>
    </w:p>
    <w:p>
      <w:pPr>
        <w:spacing w:after="0" w:line="188" w:lineRule="exact"/>
        <w:rPr>
          <w:sz w:val="20"/>
          <w:szCs w:val="20"/>
          <w:color w:val="auto"/>
        </w:rPr>
      </w:pPr>
    </w:p>
    <w:p>
      <w:pPr>
        <w:spacing w:after="0"/>
        <w:tabs>
          <w:tab w:leader="none" w:pos="4220" w:val="left"/>
          <w:tab w:leader="none" w:pos="9960" w:val="left"/>
        </w:tabs>
        <w:rPr>
          <w:sz w:val="20"/>
          <w:szCs w:val="20"/>
          <w:color w:val="auto"/>
        </w:rPr>
      </w:pPr>
      <w:r>
        <w:rPr>
          <w:rFonts w:ascii="Arial" w:cs="Arial" w:eastAsia="Arial" w:hAnsi="Arial"/>
          <w:sz w:val="16"/>
          <w:szCs w:val="16"/>
          <w:b w:val="1"/>
          <w:bCs w:val="1"/>
          <w:color w:val="auto"/>
        </w:rPr>
        <w:t>56</w:t>
      </w:r>
      <w:r>
        <w:rPr>
          <w:sz w:val="20"/>
          <w:szCs w:val="20"/>
          <w:color w:val="auto"/>
        </w:rPr>
        <w:tab/>
      </w: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r>
        <w:rPr>
          <w:sz w:val="20"/>
          <w:szCs w:val="20"/>
          <w:color w:val="auto"/>
        </w:rPr>
        <w:tab/>
      </w:r>
      <w:r>
        <w:rPr>
          <w:rFonts w:ascii="Arial" w:cs="Arial" w:eastAsia="Arial" w:hAnsi="Arial"/>
          <w:sz w:val="16"/>
          <w:szCs w:val="16"/>
          <w:b w:val="1"/>
          <w:bCs w:val="1"/>
          <w:color w:val="6F2875"/>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-36195</wp:posOffset>
            </wp:positionV>
            <wp:extent cx="1663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-36195</wp:posOffset>
            </wp:positionV>
            <wp:extent cx="23241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do I vote if I am a beneficial owner?</w:t>
      </w:r>
    </w:p>
    <w:p>
      <w:pPr>
        <w:spacing w:after="0" w:line="23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If you are a beneficial owner, you should follow the directions provided by your broker, bank or other nominee. You may submit instructions by telephone or through the internet to your broker, bank or other nominee, or request and return a paper proxy card to your broker, bank or other nominee.</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If you are a beneficial owner and you wish to vote in person at the AGM, you must obtain a legal proxy from your broker, bank or other nominee and present it to the scrutineers together with your polling card at the AGM. To register to attend the AGM virtually, you must submit proof of your proxy power (legal proxy) reflecting your LivaNova holdings along with your name and email address to Computershare Inc. Requests for registration should be directed to:</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231F20"/>
        </w:rPr>
        <w:t>Computershare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LivaNova Plc Legal Proxy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PO Box 43001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Providence, RI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USA 02940-3001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231F20"/>
        </w:rPr>
        <w:t>Requests for registration must be labeled as “Legal Proxy” and be received no later than 4:00 pm (Central Standard Time) on June 5, 2018.</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231F20"/>
        </w:rPr>
        <w:t>You will receive a confirmation of your registration by email after we receive your registration materials.</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do I vote if I am a holder of CDIs?</w:t>
      </w:r>
    </w:p>
    <w:p>
      <w:pPr>
        <w:spacing w:after="0" w:line="215"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231F20"/>
        </w:rPr>
        <w:t xml:space="preserve">If you are a holder of CDIs, you should follow the instructions on the notice of meeting and vote your shares at </w:t>
      </w:r>
      <w:r>
        <w:rPr>
          <w:rFonts w:ascii="Arial" w:cs="Arial" w:eastAsia="Arial" w:hAnsi="Arial"/>
          <w:sz w:val="16"/>
          <w:szCs w:val="16"/>
          <w:i w:val="1"/>
          <w:iCs w:val="1"/>
          <w:color w:val="231F20"/>
        </w:rPr>
        <w:t>www.envisionreports.com/livn</w:t>
      </w:r>
      <w:r>
        <w:rPr>
          <w:rFonts w:ascii="Arial" w:cs="Arial" w:eastAsia="Arial" w:hAnsi="Arial"/>
          <w:sz w:val="16"/>
          <w:szCs w:val="16"/>
          <w:color w:val="231F20"/>
        </w:rPr>
        <w:t>. The password for the meeting is LIVN2018.</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Alternatively, holders of CDIs may transmit voting instructions by utilizing the CREST voting service in accordance with the procedures described in the CREST Manual. CREST personal members or other CREST sponsored members, and those CREST members who have appointed a voting service provider, should refer to their CREST sponsor or voting service provider, who will be able to take appropriate action on their behalf. In order for instructions made using the CREST voting service to be valid, the appropriate CREST message (a “CREST Voting Instruction”) must be properly authenticated in accordance with Euroclear’s specifications and must contain the information required for such instructions, as described in the CREST Manual (available via www.euroclear.com).</w:t>
      </w:r>
    </w:p>
    <w:p>
      <w:pPr>
        <w:spacing w:after="0" w:line="36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To be effective, the CREST Voting Instruction must be transmitted so as to be received by the Voting Agent (ID: 3RA50) no later than 9:00 a.m. (Central Standard Time) on June 7, 2018 (or, in the event of an adjourned meeting, four business days before the adjourned meeting (excluding weekends and public holidays in the UK and the US). For this purpose, the time of receipt will be taken to be the time (as determined by the time stamp applied to the CREST Voting Instruction by the CREST applications host) from which our agent is able to retrieve the CREST Voting Instruction by inquiry to CREST in the manner prescribed by CREST. After this time, any change of voting instructions made through CREST should be communicated to the Voting Agent by other means.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Holders of CDIs and, where applicable, their CREST sponsors or voting service providers should note that Euroclear does not make available special procedures in CREST for any particular messages. Normal system timings and limitations will therefore apply in relation to the transmission of CREST Voting Instructions. It is the responsibility of the CDI holder concerned to take (or, if the CDI holder is a CREST personal member or sponsored member or has appointed a voting service provider, to procure that CREST sponsor or voting service provider takes) such action as shall be necessary to ensure that a CREST Voting Instruction is transmitted by means of the CREST voting service by any particular time. In this connection, CDI holders and, where applicable, their CREST sponsors or voting service providers are referred, in particular, to those sections of the CREST Manual concerning practical limitations of the CREST system and timings.</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231F20"/>
        </w:rPr>
        <w:t>We may treat as invalid a CREST Voting Instruction in the circumstances set out in Regulation 35(5)(a) of the Uncertificated Securities Regulations 2001.</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After the Voting Agent has received instructions as to how to vote on the resolutions from the CDI holders, it will then complete an omnibus proxy card reflecting such instructions.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If you are a holder of CDIs and you wish to vote in person at the AGM, please contact the Voting Agent, Computershare Investor Services Plc (contact details for whom are set in the Form of Direction to be sent by Computershare Investor Services Plc to all holders of CDIs) to obtain a letter of representation to allow you to attend, speak at and vote at the AGM.</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What should I do if I receive more than one proxy card or Form of Proxy?</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If you own some Ordinary Shares directly in your name as a registered holder and other Ordinary Shares as a beneficial owner holding through a broker, bank or other nominee, or if you own Ordinary Shares through more than one broker, bank or other nominee, you may receive multiple proxy cards. It is necessary for you to fill-in, sign and return all of the proxy cards included in the proxy materials you receive (or vote over the internet or by telephone for each card).</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is a quorum determined?</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presence of the holders of record of shares in the Company who together represent at least the majority of the voting rights of all the shareholders of record entitled to vote, present in person or by proxy, at the AGM is necessary to constitute a quorum. Abstentions and broker non-votes will be counted as present and entitled to vote for the purposes of determining a quorum at the AGM.</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Borders>
              <w:bottom w:val="single" w:sz="8" w:color="auto"/>
            </w:tcBorders>
          </w:tcPr>
          <w:p>
            <w:pPr>
              <w:spacing w:after="0"/>
              <w:rPr>
                <w:sz w:val="10"/>
                <w:szCs w:val="10"/>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57</w:t>
            </w:r>
          </w:p>
        </w:tc>
        <w:tc>
          <w:tcPr>
            <w:tcW w:w="0" w:type="dxa"/>
            <w:vAlign w:val="bottom"/>
          </w:tcPr>
          <w:p>
            <w:pPr>
              <w:spacing w:after="0"/>
              <w:rPr>
                <w:sz w:val="1"/>
                <w:szCs w:val="1"/>
                <w:color w:val="auto"/>
              </w:rPr>
            </w:pPr>
          </w:p>
        </w:tc>
      </w:tr>
      <w:tr>
        <w:trPr>
          <w:trHeight w:val="69"/>
        </w:trPr>
        <w:tc>
          <w:tcPr>
            <w:tcW w:w="40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What are “routine” and “non-routine” matters and what are “broker non-votes?</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Under the rules and interpretations of the New York Stock Exchange (which by extension imposed by the SEC apply to all US brokers), “non-routine” matters are matters that may substantially affect the rights or privileges of shareholders, such as mergers, shareholder proposals, elections of directors (even if not contested) and, pursuant to a recent amendment to the rules, executive compensation, including advisory shareholder votes on executive compensation and on the frequency of shareholder votes on executive compensation. The ratification of the selection of the independent registered public accounting firm is generally considered to be “routine”.</w:t>
      </w:r>
    </w:p>
    <w:p>
      <w:pPr>
        <w:spacing w:after="0" w:line="176"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231F20"/>
        </w:rPr>
        <w:t>Brokers, banks or other nominees generally have discretionary voting power with respect to routine matters and can exercise what are called “broker non-votes”.</w:t>
      </w:r>
    </w:p>
    <w:p>
      <w:pPr>
        <w:spacing w:after="0" w:line="3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If you own your Ordinary Shares through a bank, broker or other nominee and you do not provide them with specific voting instructions, the bank, broker or nominee is permitted to cast a broker non-vote, but only on non-routine matters. At our AGM, they may only cast broker non-votes with respect to the ratification of the selection of the independent registered public accounting firm. All other proposals being considered at the AGM are considered to be non-routine matters. Brokers, banks and other nominees may not vote on your behalf on these matters unless you have provided instructions from you on how to vote your shares.</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231F20"/>
        </w:rPr>
        <w:t>Broker non-votes will be counted for the purpose of determining whether a quorum is present at the AGM.</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What are the voting requirements to approve the resolutions?</w:t>
      </w:r>
    </w:p>
    <w:p>
      <w:pPr>
        <w:spacing w:after="0" w:line="28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In accordance with the Articles, all resolutions will be taken on a poll. Voting on a poll will mean that each share represented in person or by proxy will be counted in the vote.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231F20"/>
        </w:rPr>
        <w:t>Please see the discussion under each proposal for a detailed explanation of the voting requirement for each proposal.</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Can I change my vote or revoke my proxy?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If you are a shareholder of record</w:t>
      </w:r>
      <w:r>
        <w:rPr>
          <w:rFonts w:ascii="Arial" w:cs="Arial" w:eastAsia="Arial" w:hAnsi="Arial"/>
          <w:sz w:val="16"/>
          <w:szCs w:val="16"/>
          <w:color w:val="231F20"/>
        </w:rPr>
        <w:t>, you can change how you wish to instruct the proxy to vote or revoke your proxy at any time before the AGM, by:</w:t>
      </w:r>
    </w:p>
    <w:p>
      <w:pPr>
        <w:spacing w:after="0" w:line="214" w:lineRule="exact"/>
        <w:rPr>
          <w:sz w:val="20"/>
          <w:szCs w:val="20"/>
          <w:color w:val="auto"/>
        </w:rPr>
      </w:pPr>
    </w:p>
    <w:p>
      <w:pPr>
        <w:ind w:left="180" w:right="20" w:hanging="172"/>
        <w:spacing w:after="0" w:line="260" w:lineRule="auto"/>
        <w:tabs>
          <w:tab w:leader="none" w:pos="180" w:val="left"/>
        </w:tabs>
        <w:numPr>
          <w:ilvl w:val="0"/>
          <w:numId w:val="61"/>
        </w:numPr>
        <w:rPr>
          <w:rFonts w:ascii="Arial" w:cs="Arial" w:eastAsia="Arial" w:hAnsi="Arial"/>
          <w:sz w:val="16"/>
          <w:szCs w:val="16"/>
          <w:color w:val="6F2875"/>
        </w:rPr>
      </w:pPr>
      <w:r>
        <w:rPr>
          <w:rFonts w:ascii="Arial" w:cs="Arial" w:eastAsia="Arial" w:hAnsi="Arial"/>
          <w:sz w:val="16"/>
          <w:szCs w:val="16"/>
          <w:color w:val="231F20"/>
        </w:rPr>
        <w:t>delivering a valid, later-dated proxy card prior to the cut-off time for receipt of proxies, in which case your later-submitted proxy will be recorded and your earlier proxy revoked. Any later-dated proxy card received after the relevant cut-off time will be disregarded;</w:t>
      </w:r>
    </w:p>
    <w:p>
      <w:pPr>
        <w:spacing w:after="0" w:line="33" w:lineRule="exact"/>
        <w:rPr>
          <w:rFonts w:ascii="Arial" w:cs="Arial" w:eastAsia="Arial" w:hAnsi="Arial"/>
          <w:sz w:val="16"/>
          <w:szCs w:val="16"/>
          <w:color w:val="6F2875"/>
        </w:rPr>
      </w:pPr>
    </w:p>
    <w:p>
      <w:pPr>
        <w:ind w:left="180" w:hanging="172"/>
        <w:spacing w:after="0" w:line="260" w:lineRule="auto"/>
        <w:tabs>
          <w:tab w:leader="none" w:pos="180" w:val="left"/>
        </w:tabs>
        <w:numPr>
          <w:ilvl w:val="0"/>
          <w:numId w:val="61"/>
        </w:numPr>
        <w:rPr>
          <w:rFonts w:ascii="Arial" w:cs="Arial" w:eastAsia="Arial" w:hAnsi="Arial"/>
          <w:sz w:val="16"/>
          <w:szCs w:val="16"/>
          <w:color w:val="6F2875"/>
        </w:rPr>
      </w:pPr>
      <w:r>
        <w:rPr>
          <w:rFonts w:ascii="Arial" w:cs="Arial" w:eastAsia="Arial" w:hAnsi="Arial"/>
          <w:sz w:val="16"/>
          <w:szCs w:val="16"/>
          <w:color w:val="231F20"/>
        </w:rPr>
        <w:t>amending your internet or telephone proxy instruction prior to the cut-off time for receipt of proxies, whereby your original instruction will be superseded. Any amended proxy instruction received after the relevant cut-off time will be disregarded;</w:t>
      </w:r>
    </w:p>
    <w:p>
      <w:pPr>
        <w:spacing w:after="0" w:line="33" w:lineRule="exact"/>
        <w:rPr>
          <w:rFonts w:ascii="Arial" w:cs="Arial" w:eastAsia="Arial" w:hAnsi="Arial"/>
          <w:sz w:val="16"/>
          <w:szCs w:val="16"/>
          <w:color w:val="6F2875"/>
        </w:rPr>
      </w:pPr>
    </w:p>
    <w:p>
      <w:pPr>
        <w:ind w:left="180" w:hanging="172"/>
        <w:spacing w:after="0" w:line="260" w:lineRule="auto"/>
        <w:tabs>
          <w:tab w:leader="none" w:pos="180" w:val="left"/>
        </w:tabs>
        <w:numPr>
          <w:ilvl w:val="0"/>
          <w:numId w:val="61"/>
        </w:numPr>
        <w:rPr>
          <w:rFonts w:ascii="Arial" w:cs="Arial" w:eastAsia="Arial" w:hAnsi="Arial"/>
          <w:sz w:val="16"/>
          <w:szCs w:val="16"/>
          <w:color w:val="6F2875"/>
        </w:rPr>
      </w:pPr>
      <w:r>
        <w:rPr>
          <w:rFonts w:ascii="Arial" w:cs="Arial" w:eastAsia="Arial" w:hAnsi="Arial"/>
          <w:sz w:val="16"/>
          <w:szCs w:val="16"/>
          <w:color w:val="231F20"/>
        </w:rPr>
        <w:t>sending written notice to the office of the Company Secretary at the Company’s registered office, which must be received at least 24 hours prior to the start of the AGM; or</w:t>
      </w:r>
    </w:p>
    <w:p>
      <w:pPr>
        <w:spacing w:after="0" w:line="33" w:lineRule="exact"/>
        <w:rPr>
          <w:rFonts w:ascii="Arial" w:cs="Arial" w:eastAsia="Arial" w:hAnsi="Arial"/>
          <w:sz w:val="16"/>
          <w:szCs w:val="16"/>
          <w:color w:val="6F2875"/>
        </w:rPr>
      </w:pPr>
    </w:p>
    <w:p>
      <w:pPr>
        <w:ind w:left="180" w:hanging="172"/>
        <w:spacing w:after="0"/>
        <w:tabs>
          <w:tab w:leader="none" w:pos="180" w:val="left"/>
        </w:tabs>
        <w:numPr>
          <w:ilvl w:val="0"/>
          <w:numId w:val="61"/>
        </w:numPr>
        <w:rPr>
          <w:rFonts w:ascii="Arial" w:cs="Arial" w:eastAsia="Arial" w:hAnsi="Arial"/>
          <w:sz w:val="16"/>
          <w:szCs w:val="16"/>
          <w:color w:val="6F2875"/>
        </w:rPr>
      </w:pPr>
      <w:r>
        <w:rPr>
          <w:rFonts w:ascii="Arial" w:cs="Arial" w:eastAsia="Arial" w:hAnsi="Arial"/>
          <w:sz w:val="16"/>
          <w:szCs w:val="16"/>
          <w:color w:val="231F20"/>
        </w:rPr>
        <w:t>voting on the poll in person at the AGM.</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231F20"/>
        </w:rPr>
        <w:t xml:space="preserve">If you are a beneficial owner </w:t>
      </w:r>
      <w:r>
        <w:rPr>
          <w:rFonts w:ascii="Arial" w:cs="Arial" w:eastAsia="Arial" w:hAnsi="Arial"/>
          <w:sz w:val="16"/>
          <w:szCs w:val="16"/>
          <w:color w:val="231F20"/>
        </w:rPr>
        <w:t>of Ordinary Shares, you may submit new proxy appointment instructions by contacting your broker, bank or other nominee. You</w:t>
      </w:r>
      <w:r>
        <w:rPr>
          <w:rFonts w:ascii="Arial" w:cs="Arial" w:eastAsia="Arial" w:hAnsi="Arial"/>
          <w:sz w:val="16"/>
          <w:szCs w:val="16"/>
          <w:b w:val="1"/>
          <w:bCs w:val="1"/>
          <w:color w:val="231F20"/>
        </w:rPr>
        <w:t xml:space="preserve"> </w:t>
      </w:r>
      <w:r>
        <w:rPr>
          <w:rFonts w:ascii="Arial" w:cs="Arial" w:eastAsia="Arial" w:hAnsi="Arial"/>
          <w:sz w:val="16"/>
          <w:szCs w:val="16"/>
          <w:color w:val="231F20"/>
        </w:rPr>
        <w:t>may also vote in person at the AGM if you obtain a legal proxy, and you may also change your vote online.</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231F20"/>
        </w:rPr>
        <w:t>If you are a CDI holder</w:t>
      </w:r>
      <w:r>
        <w:rPr>
          <w:rFonts w:ascii="Arial" w:cs="Arial" w:eastAsia="Arial" w:hAnsi="Arial"/>
          <w:sz w:val="16"/>
          <w:szCs w:val="16"/>
          <w:color w:val="231F20"/>
        </w:rPr>
        <w:t>, you may submit a new Form of Proxy following the instructions previously set out, at any time prior to 9:00 a.m. (Central Standard</w:t>
      </w:r>
      <w:r>
        <w:rPr>
          <w:rFonts w:ascii="Arial" w:cs="Arial" w:eastAsia="Arial" w:hAnsi="Arial"/>
          <w:sz w:val="16"/>
          <w:szCs w:val="16"/>
          <w:b w:val="1"/>
          <w:bCs w:val="1"/>
          <w:color w:val="231F20"/>
        </w:rPr>
        <w:t xml:space="preserve"> </w:t>
      </w:r>
      <w:r>
        <w:rPr>
          <w:rFonts w:ascii="Arial" w:cs="Arial" w:eastAsia="Arial" w:hAnsi="Arial"/>
          <w:sz w:val="16"/>
          <w:szCs w:val="16"/>
          <w:color w:val="231F20"/>
        </w:rPr>
        <w:t>Time) on June 7, 2018.</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All Ordinary Shares that have been properly voted and not revoked will be counted in the votes held on the resolution proposed at the AGM.</w:t>
      </w:r>
    </w:p>
    <w:p>
      <w:pPr>
        <w:spacing w:after="0"/>
        <w:rPr>
          <w:sz w:val="20"/>
          <w:szCs w:val="20"/>
          <w:color w:val="auto"/>
        </w:rPr>
      </w:pPr>
      <w:r>
        <w:rPr>
          <w:rFonts w:ascii="Arial" w:cs="Arial" w:eastAsia="Arial" w:hAnsi="Arial"/>
          <w:sz w:val="18"/>
          <w:szCs w:val="18"/>
          <w:color w:val="auto"/>
        </w:rPr>
        <w:t>Attending the AGM without taking further action will not automatically revoke your prior proxy.</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Who can attend the AGM?</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231F20"/>
        </w:rPr>
        <w:t xml:space="preserve">Shareholders of record </w:t>
      </w:r>
      <w:r>
        <w:rPr>
          <w:rFonts w:ascii="Arial" w:cs="Arial" w:eastAsia="Arial" w:hAnsi="Arial"/>
          <w:sz w:val="16"/>
          <w:szCs w:val="16"/>
          <w:color w:val="231F20"/>
        </w:rPr>
        <w:t>as at 6:00 p.m. (Central Standard Time) on the Record Date, may attend the AGM. If you are a shareholder of record, you will need to</w:t>
      </w:r>
      <w:r>
        <w:rPr>
          <w:rFonts w:ascii="Arial" w:cs="Arial" w:eastAsia="Arial" w:hAnsi="Arial"/>
          <w:sz w:val="16"/>
          <w:szCs w:val="16"/>
          <w:b w:val="1"/>
          <w:bCs w:val="1"/>
          <w:color w:val="231F20"/>
        </w:rPr>
        <w:t xml:space="preserve"> </w:t>
      </w:r>
      <w:r>
        <w:rPr>
          <w:rFonts w:ascii="Arial" w:cs="Arial" w:eastAsia="Arial" w:hAnsi="Arial"/>
          <w:sz w:val="16"/>
          <w:szCs w:val="16"/>
          <w:color w:val="231F20"/>
        </w:rPr>
        <w:t>present the proxy card that you received, together with a form of person photo identification, in order to be admitted into the meeting.</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231F20"/>
        </w:rPr>
        <w:t xml:space="preserve">Shareholders of record may also attend the online AGM at </w:t>
      </w:r>
      <w:r>
        <w:rPr>
          <w:rFonts w:ascii="Arial" w:cs="Arial" w:eastAsia="Arial" w:hAnsi="Arial"/>
          <w:sz w:val="16"/>
          <w:szCs w:val="16"/>
          <w:i w:val="1"/>
          <w:iCs w:val="1"/>
          <w:color w:val="231F20"/>
        </w:rPr>
        <w:t>www.meetingcenter.io/239829366</w:t>
      </w:r>
      <w:r>
        <w:rPr>
          <w:rFonts w:ascii="Arial" w:cs="Arial" w:eastAsia="Arial" w:hAnsi="Arial"/>
          <w:sz w:val="16"/>
          <w:szCs w:val="16"/>
          <w:color w:val="231F20"/>
        </w:rPr>
        <w:t>. You will need to review the information included on your Notice of AGM or on your proxy card or in the instructions accompanying your proxy materials. The password for the meeting is LIVN2018.</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231F20"/>
        </w:rPr>
        <w:t xml:space="preserve">If you are the </w:t>
      </w:r>
      <w:r>
        <w:rPr>
          <w:rFonts w:ascii="Arial" w:cs="Arial" w:eastAsia="Arial" w:hAnsi="Arial"/>
          <w:sz w:val="16"/>
          <w:szCs w:val="16"/>
          <w:b w:val="1"/>
          <w:bCs w:val="1"/>
          <w:color w:val="231F20"/>
        </w:rPr>
        <w:t>beneficial owner</w:t>
      </w:r>
      <w:r>
        <w:rPr>
          <w:rFonts w:ascii="Arial" w:cs="Arial" w:eastAsia="Arial" w:hAnsi="Arial"/>
          <w:sz w:val="16"/>
          <w:szCs w:val="16"/>
          <w:color w:val="231F20"/>
        </w:rPr>
        <w:t xml:space="preserve"> of Ordinary Shares held in “street name,” you will need to provide proof of ownership, such as a recent account statement or letter from your bank, broker or other nominee as of the close of business in New York on the Record Date, along with a form of personal photo identification. Alternatively, you may contact the bank, broker or other nominee in whose name your Ordinary Shares are registered and obtain a legal proxy to bring to the AGM.</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To register to attend the AGM virtually, you must submit proof of your proxy power (legal proxy) reflecting your LivaNova holdings along with your name and email address to Computershare Inc.. Requests for registration should be directed to:</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231F20"/>
        </w:rPr>
        <w:t>Computershare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LivaNova Plc Legal Proxy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PO Box 43001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Providence, RI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USA 02940-3001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231F20"/>
        </w:rPr>
        <w: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231F20"/>
        </w:rPr>
        <w:t>Valerie.Gray@computershare.com</w:t>
      </w:r>
    </w:p>
    <w:p>
      <w:pPr>
        <w:spacing w:after="0" w:line="188" w:lineRule="exact"/>
        <w:rPr>
          <w:sz w:val="20"/>
          <w:szCs w:val="20"/>
          <w:color w:val="auto"/>
        </w:rPr>
      </w:pPr>
    </w:p>
    <w:p>
      <w:pPr>
        <w:spacing w:after="0"/>
        <w:tabs>
          <w:tab w:leader="none" w:pos="4220" w:val="left"/>
          <w:tab w:leader="none" w:pos="9960" w:val="left"/>
        </w:tabs>
        <w:rPr>
          <w:sz w:val="20"/>
          <w:szCs w:val="20"/>
          <w:color w:val="auto"/>
        </w:rPr>
      </w:pPr>
      <w:r>
        <w:rPr>
          <w:rFonts w:ascii="Arial" w:cs="Arial" w:eastAsia="Arial" w:hAnsi="Arial"/>
          <w:sz w:val="16"/>
          <w:szCs w:val="16"/>
          <w:b w:val="1"/>
          <w:bCs w:val="1"/>
          <w:color w:val="auto"/>
        </w:rPr>
        <w:t>58</w:t>
      </w:r>
      <w:r>
        <w:rPr>
          <w:sz w:val="20"/>
          <w:szCs w:val="20"/>
          <w:color w:val="auto"/>
        </w:rPr>
        <w:tab/>
      </w: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r>
        <w:rPr>
          <w:sz w:val="20"/>
          <w:szCs w:val="20"/>
          <w:color w:val="auto"/>
        </w:rPr>
        <w:tab/>
      </w:r>
      <w:r>
        <w:rPr>
          <w:rFonts w:ascii="Arial" w:cs="Arial" w:eastAsia="Arial" w:hAnsi="Arial"/>
          <w:sz w:val="16"/>
          <w:szCs w:val="16"/>
          <w:b w:val="1"/>
          <w:bCs w:val="1"/>
          <w:color w:val="6F2875"/>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-36195</wp:posOffset>
            </wp:positionV>
            <wp:extent cx="1663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-36195</wp:posOffset>
            </wp:positionV>
            <wp:extent cx="23241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667"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231F20"/>
        </w:rPr>
        <w:t>Requests for registration must be labelled as “Legal Proxy” and be received no later than 4:00 pm Central Standard Time on June 5, 2018.</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231F20"/>
        </w:rPr>
        <w:t>You will receive a confirmation of your registration by email after we receive your registration materials.</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If you are a holder of CDIs and would like to attend, speak and vote in person at the AGM, please contact the Voting Agent, Computershare Investor Services Plc (contact details for whom are set out in the Form of Direction to be sent by Computershare Investor Services Plc to all holders of CDIs) who will provide you with a letter of representation with respect to your CDI holding as at the Record Date that will enable you to attend, speak at and vote your underlying Ordinary Shares at the AGM on CREST Nominees’ behalf.</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No cameras, recording equipment, electronic devices, large bags, briefcases or packages will be permitted into the meeting or adjacent areas. All other items may be subject to search.</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Where is the AGM being held?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231F20"/>
        </w:rPr>
        <w:t>The AGM is a hybrid meeting. It is being held at:</w:t>
      </w:r>
    </w:p>
    <w:p>
      <w:pPr>
        <w:spacing w:after="0" w:line="174" w:lineRule="exact"/>
        <w:rPr>
          <w:sz w:val="20"/>
          <w:szCs w:val="20"/>
          <w:color w:val="auto"/>
        </w:rPr>
      </w:pPr>
    </w:p>
    <w:p>
      <w:pPr>
        <w:jc w:val="center"/>
        <w:ind w:right="5840"/>
        <w:spacing w:after="0"/>
        <w:tabs>
          <w:tab w:leader="none" w:pos="160" w:val="left"/>
        </w:tabs>
        <w:rPr>
          <w:sz w:val="20"/>
          <w:szCs w:val="20"/>
          <w:color w:val="auto"/>
        </w:rPr>
      </w:pPr>
      <w:r>
        <w:rPr>
          <w:rFonts w:ascii="Arial" w:cs="Arial" w:eastAsia="Arial" w:hAnsi="Arial"/>
          <w:sz w:val="16"/>
          <w:szCs w:val="16"/>
          <w:b w:val="1"/>
          <w:bCs w:val="1"/>
          <w:color w:val="231F20"/>
        </w:rPr>
        <w:t>Virtual Location:</w:t>
      </w:r>
      <w:r>
        <w:rPr>
          <w:sz w:val="20"/>
          <w:szCs w:val="20"/>
          <w:color w:val="auto"/>
        </w:rPr>
        <w:tab/>
      </w:r>
      <w:r>
        <w:rPr>
          <w:rFonts w:ascii="Arial" w:cs="Arial" w:eastAsia="Arial" w:hAnsi="Arial"/>
          <w:sz w:val="16"/>
          <w:szCs w:val="16"/>
          <w:color w:val="231F20"/>
        </w:rPr>
        <w:t>www.meetingcenter.io/239829366 (password: LIVN2018).</w:t>
      </w:r>
    </w:p>
    <w:p>
      <w:pPr>
        <w:spacing w:after="0" w:line="25" w:lineRule="exact"/>
        <w:rPr>
          <w:sz w:val="20"/>
          <w:szCs w:val="20"/>
          <w:color w:val="auto"/>
        </w:rPr>
      </w:pPr>
    </w:p>
    <w:p>
      <w:pPr>
        <w:jc w:val="center"/>
        <w:ind w:right="5760"/>
        <w:spacing w:after="0"/>
        <w:rPr>
          <w:sz w:val="20"/>
          <w:szCs w:val="20"/>
          <w:color w:val="auto"/>
        </w:rPr>
      </w:pPr>
      <w:r>
        <w:rPr>
          <w:rFonts w:ascii="Arial" w:cs="Arial" w:eastAsia="Arial" w:hAnsi="Arial"/>
          <w:sz w:val="16"/>
          <w:szCs w:val="16"/>
          <w:color w:val="231F20"/>
        </w:rPr>
        <w:t>See your proxy card for further details.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Physical Location:</w:t>
      </w:r>
      <w:r>
        <w:rPr>
          <w:rFonts w:ascii="Arial" w:cs="Arial" w:eastAsia="Arial" w:hAnsi="Arial"/>
          <w:sz w:val="16"/>
          <w:szCs w:val="16"/>
          <w:color w:val="231F20"/>
        </w:rPr>
        <w:t>The offices of Locke Lord LLP, 600 Travis St., JP Morgan Chase Tower, Suite 2800, Houston, TX 77002, USA</w:t>
      </w:r>
      <w:r>
        <w:rPr>
          <w:rFonts w:ascii="Arial" w:cs="Arial" w:eastAsia="Arial" w:hAnsi="Arial"/>
          <w:sz w:val="16"/>
          <w:szCs w:val="16"/>
          <w:color w:val="000000"/>
        </w:rPr>
        <w:t>.</w:t>
      </w:r>
    </w:p>
    <w:p>
      <w:pPr>
        <w:spacing w:after="0" w:line="39" w:lineRule="exact"/>
        <w:rPr>
          <w:sz w:val="20"/>
          <w:szCs w:val="20"/>
          <w:color w:val="auto"/>
        </w:rPr>
      </w:pPr>
    </w:p>
    <w:p>
      <w:pPr>
        <w:ind w:left="1460"/>
        <w:spacing w:after="0"/>
        <w:rPr>
          <w:sz w:val="20"/>
          <w:szCs w:val="20"/>
          <w:color w:val="auto"/>
        </w:rPr>
      </w:pPr>
      <w:r>
        <w:rPr>
          <w:rFonts w:ascii="Arial" w:cs="Arial" w:eastAsia="Arial" w:hAnsi="Arial"/>
          <w:sz w:val="16"/>
          <w:szCs w:val="16"/>
          <w:color w:val="231F20"/>
        </w:rPr>
        <w:t>The location is pinpointed here: https://www.lockelord.com/thefirm/offices/houston</w:t>
      </w: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Can I ask questions at the AGM?</w:t>
      </w:r>
    </w:p>
    <w:p>
      <w:pPr>
        <w:spacing w:after="0" w:line="28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If you were a shareholder on the Record Date and have the right to attend the AGM, you can ask questions at the AGM. If you attend in person, you can do so in person. If you will be attending virtually, there will be a facility to enter your questions online to those in attendance at the AGM’s physical location in Houston, and, subject to meeting rules, a response will be provided verbally for all to hear (whether in person or virtually).</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Who will count the votes?</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231F20"/>
        </w:rPr>
        <w:t>Representatives of the Company’s transfer agent, Computershare, will serve as scrutineers of the poll, and will also serve as master tabulator.</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Where can I find the voting results of the AGM?</w:t>
      </w:r>
    </w:p>
    <w:p>
      <w:pPr>
        <w:spacing w:after="0" w:line="28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The preliminary voting results will be announced at the AGM. The final voting results will be checked by the scrutineers and disclosed by way of an announcement via a Current Report on Form 8-K, which LivaNova is required to file with the SEC. The results of the polls taken on the resolutions at the AGM and any other information required by the Companies Act will be made available on our website (</w:t>
      </w:r>
      <w:r>
        <w:rPr>
          <w:rFonts w:ascii="Arial" w:cs="Arial" w:eastAsia="Arial" w:hAnsi="Arial"/>
          <w:sz w:val="16"/>
          <w:szCs w:val="16"/>
          <w:i w:val="1"/>
          <w:iCs w:val="1"/>
          <w:color w:val="231F20"/>
        </w:rPr>
        <w:t>www.livanova.com</w:t>
      </w:r>
      <w:r>
        <w:rPr>
          <w:rFonts w:ascii="Arial" w:cs="Arial" w:eastAsia="Arial" w:hAnsi="Arial"/>
          <w:sz w:val="16"/>
          <w:szCs w:val="16"/>
          <w:color w:val="231F20"/>
        </w:rPr>
        <w:t>) as soon as reasonably practicable after the AGM and for a period of two years thereafter.</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231F20"/>
        </w:rPr>
        <w:t>For additional information, please contact company. secretariat@livanova.com.</w:t>
      </w:r>
    </w:p>
    <w:p>
      <w:pPr>
        <w:spacing w:after="0" w:line="386"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Other Business</w:t>
      </w:r>
    </w:p>
    <w:p>
      <w:pPr>
        <w:spacing w:after="0" w:line="35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Board is not aware of any business to be acted upon at the AGM other than that described in this proxy statement. If any other business comes before the AGM, the proxy holders (as indicated in the accompanying proxy card or cards) will vote their proxies according to their best judgment with respect to such matters.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Borders>
              <w:bottom w:val="single" w:sz="8" w:color="auto"/>
            </w:tcBorders>
          </w:tcPr>
          <w:p>
            <w:pPr>
              <w:spacing w:after="0"/>
              <w:rPr>
                <w:sz w:val="10"/>
                <w:szCs w:val="10"/>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59</w:t>
            </w:r>
          </w:p>
        </w:tc>
        <w:tc>
          <w:tcPr>
            <w:tcW w:w="0" w:type="dxa"/>
            <w:vAlign w:val="bottom"/>
          </w:tcPr>
          <w:p>
            <w:pPr>
              <w:spacing w:after="0"/>
              <w:rPr>
                <w:sz w:val="1"/>
                <w:szCs w:val="1"/>
                <w:color w:val="auto"/>
              </w:rPr>
            </w:pPr>
          </w:p>
        </w:tc>
      </w:tr>
      <w:tr>
        <w:trPr>
          <w:trHeight w:val="69"/>
        </w:trPr>
        <w:tc>
          <w:tcPr>
            <w:tcW w:w="40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47"/>
          <w:szCs w:val="47"/>
          <w:b w:val="1"/>
          <w:bCs w:val="1"/>
          <w:color w:val="6F2875"/>
        </w:rPr>
        <w:t>PROPOSALS</w:t>
      </w:r>
    </w:p>
    <w:p>
      <w:pPr>
        <w:spacing w:after="0" w:line="200" w:lineRule="exact"/>
        <w:rPr>
          <w:sz w:val="20"/>
          <w:szCs w:val="20"/>
          <w:color w:val="auto"/>
        </w:rPr>
      </w:pPr>
    </w:p>
    <w:p>
      <w:pPr>
        <w:spacing w:after="0" w:line="299" w:lineRule="exact"/>
        <w:rPr>
          <w:sz w:val="20"/>
          <w:szCs w:val="20"/>
          <w:color w:val="auto"/>
        </w:rPr>
      </w:pPr>
    </w:p>
    <w:p>
      <w:pPr>
        <w:ind w:right="1020"/>
        <w:spacing w:after="0" w:line="269" w:lineRule="auto"/>
        <w:rPr>
          <w:sz w:val="20"/>
          <w:szCs w:val="20"/>
          <w:color w:val="auto"/>
        </w:rPr>
      </w:pPr>
      <w:r>
        <w:rPr>
          <w:rFonts w:ascii="Arial" w:cs="Arial" w:eastAsia="Arial" w:hAnsi="Arial"/>
          <w:sz w:val="47"/>
          <w:szCs w:val="47"/>
          <w:b w:val="1"/>
          <w:bCs w:val="1"/>
          <w:color w:val="6F2875"/>
        </w:rPr>
        <w:t xml:space="preserve">Proposal 5 </w:t>
      </w:r>
      <w:r>
        <w:rPr>
          <w:rFonts w:ascii="Arial" w:cs="Arial" w:eastAsia="Arial" w:hAnsi="Arial"/>
          <w:sz w:val="47"/>
          <w:szCs w:val="47"/>
          <w:b w:val="1"/>
          <w:bCs w:val="1"/>
          <w:color w:val="818285"/>
        </w:rPr>
        <w:t>Advisory Vote to Approve the UK</w:t>
      </w:r>
      <w:r>
        <w:rPr>
          <w:rFonts w:ascii="Arial" w:cs="Arial" w:eastAsia="Arial" w:hAnsi="Arial"/>
          <w:sz w:val="47"/>
          <w:szCs w:val="47"/>
          <w:b w:val="1"/>
          <w:bCs w:val="1"/>
          <w:color w:val="6F2875"/>
        </w:rPr>
        <w:t xml:space="preserve"> </w:t>
      </w:r>
      <w:r>
        <w:rPr>
          <w:rFonts w:ascii="Arial" w:cs="Arial" w:eastAsia="Arial" w:hAnsi="Arial"/>
          <w:sz w:val="47"/>
          <w:szCs w:val="47"/>
          <w:b w:val="1"/>
          <w:bCs w:val="1"/>
          <w:color w:val="818285"/>
        </w:rPr>
        <w:t>Directors’ Remuneration Report</w:t>
      </w:r>
    </w:p>
    <w:p>
      <w:pPr>
        <w:spacing w:after="0" w:line="3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The Board considers that appropriate remuneration of directors plays a vital part in helping to achieve our overall objectives, and accordingly, and in compliance with the Companies Act, we are providing shareholders with the opportunity to vote on an advisory resolution approving the directors’ remuneration report included in our UK Annual Report. This proposal is similar to Proposal 3 regarding the compensation of our NEOs. However, the directors’ remuneration report is concerned solely with the remuneration of our management and non-management directors and is required under the Companies Act. We encourage shareholders to read the directors’ remuneration report as set forth included in the UK Annual Report and the directors’ Remuneration Policy approved by shareholders in 2016. The Board and the Compensation Committee believe that the policies and procedures articulated in the directors’ remuneration report are effective in achieving our compensation objectives, and serves to attract and retain high-quality non-management directors.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Directors’ Remuneration Report for 2017 is set out on pages 53 to 66 of the UK Annual Report. The names of directors whose remuneration is the object of this proposal are set out on page 59 of the UK Annual Report. All UK incorporated companies that are “quoted companies” under the Companies Act are required to put their directors’ remuneration report to shareholders.</w:t>
      </w:r>
    </w:p>
    <w:p>
      <w:pPr>
        <w:spacing w:after="0" w:line="174"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231F20"/>
        </w:rPr>
        <w:t>This vote is advisory only, pursuant to the Companies Act, and the directors’ entitlement to receive remuneration is not conditional on it. Payments made or promised to directors will not have to be repaid, reduced or withheld in the event that the resolution is not passed. The resolution and vote are a means of providing shareholder feedback to the Board. The Compensation Committee will review and consider the outcome of the vote in connection with the ongoing review of our executive director and non-executive director compensation programs.</w:t>
      </w:r>
    </w:p>
    <w:p>
      <w:pPr>
        <w:spacing w:after="0" w:line="367"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Vote Required</w:t>
      </w:r>
    </w:p>
    <w:p>
      <w:pPr>
        <w:spacing w:after="0" w:line="35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The advisory vote regarding approval of the UK Directors’ Remuneration Report requires the affirmative vote of a majority of shares present at the AGM, in person or by proxy, and entitled to vote on the proposal. Abstentions will have the same effect as votes against this proposal. If you own shares through a bank, broker or other holder of record, you must instruct your bank, broker or other holder of record how to vote in order for them to vote your shares so that your vote can be counted on this proposal. Broker non-votes will have no effect on this proposal as brokers are not entitled to vote on non-routine matters (such as this proposal) in the absence of voting instructions from the beneficial owner.</w:t>
      </w:r>
    </w:p>
    <w:p>
      <w:pPr>
        <w:spacing w:after="0" w:line="368"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Board recommendation</w:t>
      </w:r>
    </w:p>
    <w:p>
      <w:pPr>
        <w:spacing w:after="0" w:line="323" w:lineRule="exact"/>
        <w:rPr>
          <w:sz w:val="20"/>
          <w:szCs w:val="20"/>
          <w:color w:val="auto"/>
        </w:rPr>
      </w:pPr>
    </w:p>
    <w:p>
      <w:pPr>
        <w:spacing w:after="0"/>
        <w:rPr>
          <w:sz w:val="20"/>
          <w:szCs w:val="20"/>
          <w:color w:val="auto"/>
        </w:rPr>
      </w:pPr>
      <w:r>
        <w:rPr>
          <w:sz w:val="1"/>
          <w:szCs w:val="1"/>
          <w:color w:val="auto"/>
        </w:rPr>
        <w:drawing>
          <wp:inline distT="0" distB="0" distL="0" distR="0">
            <wp:extent cx="197485" cy="18034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97485" cy="180340"/>
                    </a:xfrm>
                    <a:prstGeom prst="rect">
                      <a:avLst/>
                    </a:prstGeom>
                    <a:noFill/>
                    <a:ln>
                      <a:noFill/>
                    </a:ln>
                  </pic:spPr>
                </pic:pic>
              </a:graphicData>
            </a:graphic>
          </wp:inline>
        </w:drawing>
      </w:r>
      <w:r>
        <w:rPr>
          <w:rFonts w:ascii="Arial" w:cs="Arial" w:eastAsia="Arial" w:hAnsi="Arial"/>
          <w:sz w:val="16"/>
          <w:szCs w:val="16"/>
          <w:color w:val="231F20"/>
        </w:rPr>
        <w:t xml:space="preserve">THE BOARD RECOMMENDS A </w:t>
      </w:r>
      <w:r>
        <w:rPr>
          <w:rFonts w:ascii="Arial" w:cs="Arial" w:eastAsia="Arial" w:hAnsi="Arial"/>
          <w:sz w:val="16"/>
          <w:szCs w:val="16"/>
          <w:b w:val="1"/>
          <w:bCs w:val="1"/>
          <w:color w:val="FC5D45"/>
        </w:rPr>
        <w:t>VOTE “FOR”</w:t>
      </w:r>
      <w:r>
        <w:rPr>
          <w:rFonts w:ascii="Arial" w:cs="Arial" w:eastAsia="Arial" w:hAnsi="Arial"/>
          <w:sz w:val="16"/>
          <w:szCs w:val="16"/>
          <w:color w:val="231F20"/>
        </w:rPr>
        <w:t xml:space="preserve"> THE APPROVAL OF THE 2017 UK REMUNERATION REPORT.</w:t>
      </w:r>
    </w:p>
    <w:p>
      <w:pPr>
        <w:spacing w:after="0" w:line="198" w:lineRule="exact"/>
        <w:rPr>
          <w:sz w:val="20"/>
          <w:szCs w:val="20"/>
          <w:color w:val="auto"/>
        </w:rPr>
      </w:pPr>
    </w:p>
    <w:p>
      <w:pPr>
        <w:spacing w:after="0"/>
        <w:tabs>
          <w:tab w:leader="none" w:pos="4220" w:val="left"/>
          <w:tab w:leader="none" w:pos="9960" w:val="left"/>
        </w:tabs>
        <w:rPr>
          <w:sz w:val="20"/>
          <w:szCs w:val="20"/>
          <w:color w:val="auto"/>
        </w:rPr>
      </w:pPr>
      <w:r>
        <w:rPr>
          <w:rFonts w:ascii="Arial" w:cs="Arial" w:eastAsia="Arial" w:hAnsi="Arial"/>
          <w:sz w:val="16"/>
          <w:szCs w:val="16"/>
          <w:b w:val="1"/>
          <w:bCs w:val="1"/>
          <w:color w:val="auto"/>
        </w:rPr>
        <w:t>60</w:t>
      </w:r>
      <w:r>
        <w:rPr>
          <w:sz w:val="20"/>
          <w:szCs w:val="20"/>
          <w:color w:val="auto"/>
        </w:rPr>
        <w:tab/>
      </w: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r>
        <w:rPr>
          <w:sz w:val="20"/>
          <w:szCs w:val="20"/>
          <w:color w:val="auto"/>
        </w:rPr>
        <w:tab/>
      </w:r>
      <w:r>
        <w:rPr>
          <w:rFonts w:ascii="Arial" w:cs="Arial" w:eastAsia="Arial" w:hAnsi="Arial"/>
          <w:sz w:val="16"/>
          <w:szCs w:val="16"/>
          <w:b w:val="1"/>
          <w:bCs w:val="1"/>
          <w:color w:val="6F2875"/>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-36195</wp:posOffset>
            </wp:positionV>
            <wp:extent cx="1663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-36195</wp:posOffset>
            </wp:positionV>
            <wp:extent cx="23241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tabs>
          <w:tab w:leader="none" w:pos="3040" w:val="left"/>
        </w:tabs>
        <w:rPr>
          <w:sz w:val="20"/>
          <w:szCs w:val="20"/>
          <w:color w:val="auto"/>
        </w:rPr>
      </w:pPr>
      <w:r>
        <w:rPr>
          <w:rFonts w:ascii="Arial" w:cs="Arial" w:eastAsia="Arial" w:hAnsi="Arial"/>
          <w:sz w:val="47"/>
          <w:szCs w:val="47"/>
          <w:b w:val="1"/>
          <w:bCs w:val="1"/>
          <w:color w:val="6F2875"/>
        </w:rPr>
        <w:t>Proposal 6</w:t>
      </w:r>
      <w:r>
        <w:rPr>
          <w:sz w:val="20"/>
          <w:szCs w:val="20"/>
          <w:color w:val="auto"/>
        </w:rPr>
        <w:tab/>
      </w:r>
      <w:r>
        <w:rPr>
          <w:rFonts w:ascii="Arial" w:cs="Arial" w:eastAsia="Arial" w:hAnsi="Arial"/>
          <w:sz w:val="46"/>
          <w:szCs w:val="46"/>
          <w:b w:val="1"/>
          <w:bCs w:val="1"/>
          <w:color w:val="818285"/>
        </w:rPr>
        <w:t>Global Employee Share Purchase</w:t>
      </w:r>
    </w:p>
    <w:p>
      <w:pPr>
        <w:spacing w:after="0" w:line="44" w:lineRule="exact"/>
        <w:rPr>
          <w:sz w:val="20"/>
          <w:szCs w:val="20"/>
          <w:color w:val="auto"/>
        </w:rPr>
      </w:pPr>
    </w:p>
    <w:p>
      <w:pPr>
        <w:spacing w:after="0"/>
        <w:rPr>
          <w:sz w:val="20"/>
          <w:szCs w:val="20"/>
          <w:color w:val="auto"/>
        </w:rPr>
      </w:pPr>
      <w:r>
        <w:rPr>
          <w:rFonts w:ascii="Arial" w:cs="Arial" w:eastAsia="Arial" w:hAnsi="Arial"/>
          <w:sz w:val="47"/>
          <w:szCs w:val="47"/>
          <w:b w:val="1"/>
          <w:bCs w:val="1"/>
          <w:color w:val="818285"/>
        </w:rPr>
        <w:t>Plan (“ESPP”)</w:t>
      </w:r>
    </w:p>
    <w:p>
      <w:pPr>
        <w:spacing w:after="0" w:line="200" w:lineRule="exact"/>
        <w:rPr>
          <w:sz w:val="20"/>
          <w:szCs w:val="20"/>
          <w:color w:val="auto"/>
        </w:rPr>
      </w:pP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The Company wishes to put in place an all-employee share plan for its employees (including executive directors) worldwide. Where possible, the plan will provide tax benefits for employees. Accordingly, the Board and its Compensation Committee have adopted the LivaNova Global ESPP, the main features of which are summarized in Annex A to this proxy statement and a copy of the provisions of which is produced to the AGM and initialed by the chairman for the purposes of identification. This Proposal is in respect of the approval of the ESPP as set out in the immediately preceding sentence as well as of the authorization of the Compensation Committee of the Board (the “Administrator”) to do all acts and things it is required or permitted to do pursuant to the ESPP to carry the same into effect.</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Shareholder approval of the ESPP and its terms is a requirement of the relevant US and French legislation if the applicable US and French tax benefits are to be obtained. This proposal is an ordinary resolution. A summary of the ESPP is set out in Annex A to this proxy statement.</w:t>
      </w:r>
    </w:p>
    <w:p>
      <w:pPr>
        <w:spacing w:after="0" w:line="360"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Vote Required</w:t>
      </w:r>
    </w:p>
    <w:p>
      <w:pPr>
        <w:spacing w:after="0" w:line="35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The vote regarding approval of the ESPP requires the affirmative vote of a majority of shares present at the AGM, in person or by proxy, and entitled to vote on the proposal. Abstentions will have the same effect as votes against this proposal. If you own shares through a bank, broker or other holder of record, you must instruct your bank, broker or other holder of record how to vote in order for them to vote your shares so that your vote can be counted on this proposal. Broker non-votes will have no effect on this proposal as brokers are not entitled to vote on non-routine matters (such as this proposal) in the absence of voting instructions from the beneficial owner.</w:t>
      </w:r>
    </w:p>
    <w:p>
      <w:pPr>
        <w:spacing w:after="0" w:line="368"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Board recommendation</w:t>
      </w:r>
    </w:p>
    <w:p>
      <w:pPr>
        <w:spacing w:after="0" w:line="339" w:lineRule="exact"/>
        <w:rPr>
          <w:sz w:val="20"/>
          <w:szCs w:val="20"/>
          <w:color w:val="auto"/>
        </w:rPr>
      </w:pPr>
    </w:p>
    <w:p>
      <w:pPr>
        <w:ind w:left="340" w:right="460"/>
        <w:spacing w:after="0" w:line="286" w:lineRule="auto"/>
        <w:rPr>
          <w:sz w:val="20"/>
          <w:szCs w:val="20"/>
          <w:color w:val="auto"/>
        </w:rPr>
      </w:pPr>
      <w:r>
        <w:rPr>
          <w:rFonts w:ascii="Arial" w:cs="Arial" w:eastAsia="Arial" w:hAnsi="Arial"/>
          <w:sz w:val="16"/>
          <w:szCs w:val="16"/>
          <w:color w:val="231F20"/>
        </w:rPr>
        <w:t xml:space="preserve">THE BOARD UNANIMOUSLY RECOMMENDS A </w:t>
      </w:r>
      <w:r>
        <w:rPr>
          <w:rFonts w:ascii="Arial" w:cs="Arial" w:eastAsia="Arial" w:hAnsi="Arial"/>
          <w:sz w:val="16"/>
          <w:szCs w:val="16"/>
          <w:b w:val="1"/>
          <w:bCs w:val="1"/>
          <w:color w:val="FC5D45"/>
        </w:rPr>
        <w:t>VOTE “FOR”</w:t>
      </w:r>
      <w:r>
        <w:rPr>
          <w:rFonts w:ascii="Arial" w:cs="Arial" w:eastAsia="Arial" w:hAnsi="Arial"/>
          <w:sz w:val="16"/>
          <w:szCs w:val="16"/>
          <w:color w:val="231F20"/>
        </w:rPr>
        <w:t xml:space="preserve"> THE APPROVAL OF THE LIVANOVA GLOBAL ESPP AND FOR THE AUTHORITY GRANTED TO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97485" cy="1803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97485" cy="18034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Borders>
              <w:bottom w:val="single" w:sz="8" w:color="auto"/>
            </w:tcBorders>
          </w:tcPr>
          <w:p>
            <w:pPr>
              <w:spacing w:after="0"/>
              <w:rPr>
                <w:sz w:val="10"/>
                <w:szCs w:val="10"/>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61</w:t>
            </w:r>
          </w:p>
        </w:tc>
        <w:tc>
          <w:tcPr>
            <w:tcW w:w="0" w:type="dxa"/>
            <w:vAlign w:val="bottom"/>
          </w:tcPr>
          <w:p>
            <w:pPr>
              <w:spacing w:after="0"/>
              <w:rPr>
                <w:sz w:val="1"/>
                <w:szCs w:val="1"/>
                <w:color w:val="auto"/>
              </w:rPr>
            </w:pPr>
          </w:p>
        </w:tc>
      </w:tr>
      <w:tr>
        <w:trPr>
          <w:trHeight w:val="69"/>
        </w:trPr>
        <w:tc>
          <w:tcPr>
            <w:tcW w:w="40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ind w:right="140"/>
        <w:spacing w:after="0" w:line="269" w:lineRule="auto"/>
        <w:rPr>
          <w:sz w:val="20"/>
          <w:szCs w:val="20"/>
          <w:color w:val="auto"/>
        </w:rPr>
      </w:pPr>
      <w:r>
        <w:rPr>
          <w:rFonts w:ascii="Arial" w:cs="Arial" w:eastAsia="Arial" w:hAnsi="Arial"/>
          <w:sz w:val="47"/>
          <w:szCs w:val="47"/>
          <w:b w:val="1"/>
          <w:bCs w:val="1"/>
          <w:color w:val="6F2875"/>
        </w:rPr>
        <w:t xml:space="preserve">Proposal 7 </w:t>
      </w:r>
      <w:r>
        <w:rPr>
          <w:rFonts w:ascii="Arial" w:cs="Arial" w:eastAsia="Arial" w:hAnsi="Arial"/>
          <w:sz w:val="47"/>
          <w:szCs w:val="47"/>
          <w:b w:val="1"/>
          <w:bCs w:val="1"/>
          <w:color w:val="818285"/>
        </w:rPr>
        <w:t>To Receive and Adopt the UK Annual</w:t>
      </w:r>
      <w:r>
        <w:rPr>
          <w:rFonts w:ascii="Arial" w:cs="Arial" w:eastAsia="Arial" w:hAnsi="Arial"/>
          <w:sz w:val="47"/>
          <w:szCs w:val="47"/>
          <w:b w:val="1"/>
          <w:bCs w:val="1"/>
          <w:color w:val="6F2875"/>
        </w:rPr>
        <w:t xml:space="preserve"> </w:t>
      </w:r>
      <w:r>
        <w:rPr>
          <w:rFonts w:ascii="Arial" w:cs="Arial" w:eastAsia="Arial" w:hAnsi="Arial"/>
          <w:sz w:val="47"/>
          <w:szCs w:val="47"/>
          <w:b w:val="1"/>
          <w:bCs w:val="1"/>
          <w:color w:val="818285"/>
        </w:rPr>
        <w:t>Report and Accounts</w:t>
      </w:r>
    </w:p>
    <w:p>
      <w:pPr>
        <w:spacing w:after="0" w:line="3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Board is required to present at the AGM of Shareholders the Company’s audited UK Annual Report for the year ended December 31, 2017. In accordance with its obligations under English law, the Company will provide shareholders at the AGM the opportunity to receive and adopt the UK Annual Report and ask any relevant and appropriate questions of the representative of PricewaterhouseCoopers LLP in attendance at the AGM.</w:t>
      </w:r>
    </w:p>
    <w:p>
      <w:pPr>
        <w:spacing w:after="0" w:line="366"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Vote Required</w:t>
      </w:r>
    </w:p>
    <w:p>
      <w:pPr>
        <w:spacing w:after="0" w:line="35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The vote regarding approval of the UK Annual Report requires the affirmative vote of a majority of shares present at the AGM, in person or by proxy, and entitled to vote on the proposal. Abstentions will have the same effect as votes against this proposal. If you own shares through a bank, broker or other holder of record, you must instruct your bank, broker or other holder of record how to vote in order for them to vote your shares so that your vote can be counted on this proposal. Broker non-votes will have no effect on this proposal as brokers are not entitled to vote on non-routine matters (such as this proposal) in the absence of voting instructions from the beneficial owner.</w:t>
      </w:r>
    </w:p>
    <w:p>
      <w:pPr>
        <w:spacing w:after="0" w:line="368"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Board recommendation</w:t>
      </w:r>
    </w:p>
    <w:p>
      <w:pPr>
        <w:spacing w:after="0" w:line="323" w:lineRule="exact"/>
        <w:rPr>
          <w:sz w:val="20"/>
          <w:szCs w:val="20"/>
          <w:color w:val="auto"/>
        </w:rPr>
      </w:pPr>
    </w:p>
    <w:p>
      <w:pPr>
        <w:spacing w:after="0"/>
        <w:rPr>
          <w:sz w:val="20"/>
          <w:szCs w:val="20"/>
          <w:color w:val="auto"/>
        </w:rPr>
      </w:pPr>
      <w:r>
        <w:rPr>
          <w:sz w:val="1"/>
          <w:szCs w:val="1"/>
          <w:color w:val="auto"/>
        </w:rPr>
        <w:drawing>
          <wp:inline distT="0" distB="0" distL="0" distR="0">
            <wp:extent cx="197485" cy="18034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97485" cy="180340"/>
                    </a:xfrm>
                    <a:prstGeom prst="rect">
                      <a:avLst/>
                    </a:prstGeom>
                    <a:noFill/>
                    <a:ln>
                      <a:noFill/>
                    </a:ln>
                  </pic:spPr>
                </pic:pic>
              </a:graphicData>
            </a:graphic>
          </wp:inline>
        </w:drawing>
      </w:r>
      <w:r>
        <w:rPr>
          <w:rFonts w:ascii="Arial" w:cs="Arial" w:eastAsia="Arial" w:hAnsi="Arial"/>
          <w:sz w:val="16"/>
          <w:szCs w:val="16"/>
          <w:color w:val="231F20"/>
        </w:rPr>
        <w:t xml:space="preserve">THE BOARD RECOMMENDS A </w:t>
      </w:r>
      <w:r>
        <w:rPr>
          <w:rFonts w:ascii="Arial" w:cs="Arial" w:eastAsia="Arial" w:hAnsi="Arial"/>
          <w:sz w:val="16"/>
          <w:szCs w:val="16"/>
          <w:b w:val="1"/>
          <w:bCs w:val="1"/>
          <w:color w:val="FC5D45"/>
        </w:rPr>
        <w:t>VOTE “FOR”</w:t>
      </w:r>
      <w:r>
        <w:rPr>
          <w:rFonts w:ascii="Arial" w:cs="Arial" w:eastAsia="Arial" w:hAnsi="Arial"/>
          <w:sz w:val="16"/>
          <w:szCs w:val="16"/>
          <w:color w:val="231F20"/>
        </w:rPr>
        <w:t xml:space="preserve"> THE RECEIPT AND ADOPTION OF THE UK ANNUAL REPORT.</w:t>
      </w:r>
    </w:p>
    <w:p>
      <w:pPr>
        <w:spacing w:after="0" w:line="198" w:lineRule="exact"/>
        <w:rPr>
          <w:sz w:val="20"/>
          <w:szCs w:val="20"/>
          <w:color w:val="auto"/>
        </w:rPr>
      </w:pPr>
    </w:p>
    <w:p>
      <w:pPr>
        <w:spacing w:after="0"/>
        <w:tabs>
          <w:tab w:leader="none" w:pos="4220" w:val="left"/>
          <w:tab w:leader="none" w:pos="9960" w:val="left"/>
        </w:tabs>
        <w:rPr>
          <w:sz w:val="20"/>
          <w:szCs w:val="20"/>
          <w:color w:val="auto"/>
        </w:rPr>
      </w:pPr>
      <w:r>
        <w:rPr>
          <w:rFonts w:ascii="Arial" w:cs="Arial" w:eastAsia="Arial" w:hAnsi="Arial"/>
          <w:sz w:val="16"/>
          <w:szCs w:val="16"/>
          <w:b w:val="1"/>
          <w:bCs w:val="1"/>
          <w:color w:val="auto"/>
        </w:rPr>
        <w:t>62</w:t>
      </w:r>
      <w:r>
        <w:rPr>
          <w:sz w:val="20"/>
          <w:szCs w:val="20"/>
          <w:color w:val="auto"/>
        </w:rPr>
        <w:tab/>
      </w: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r>
        <w:rPr>
          <w:sz w:val="20"/>
          <w:szCs w:val="20"/>
          <w:color w:val="auto"/>
        </w:rPr>
        <w:tab/>
      </w:r>
      <w:r>
        <w:rPr>
          <w:rFonts w:ascii="Arial" w:cs="Arial" w:eastAsia="Arial" w:hAnsi="Arial"/>
          <w:sz w:val="16"/>
          <w:szCs w:val="16"/>
          <w:b w:val="1"/>
          <w:bCs w:val="1"/>
          <w:color w:val="6F2875"/>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-36195</wp:posOffset>
            </wp:positionV>
            <wp:extent cx="1663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-36195</wp:posOffset>
            </wp:positionV>
            <wp:extent cx="23241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ind w:right="640"/>
        <w:spacing w:after="0" w:line="251" w:lineRule="auto"/>
        <w:rPr>
          <w:sz w:val="20"/>
          <w:szCs w:val="20"/>
          <w:color w:val="auto"/>
        </w:rPr>
      </w:pPr>
      <w:r>
        <w:rPr>
          <w:rFonts w:ascii="Arial" w:cs="Arial" w:eastAsia="Arial" w:hAnsi="Arial"/>
          <w:sz w:val="47"/>
          <w:szCs w:val="47"/>
          <w:b w:val="1"/>
          <w:bCs w:val="1"/>
          <w:color w:val="6F2875"/>
        </w:rPr>
        <w:t xml:space="preserve">Proposal 8 </w:t>
      </w:r>
      <w:r>
        <w:rPr>
          <w:rFonts w:ascii="Arial" w:cs="Arial" w:eastAsia="Arial" w:hAnsi="Arial"/>
          <w:sz w:val="47"/>
          <w:szCs w:val="47"/>
          <w:b w:val="1"/>
          <w:bCs w:val="1"/>
          <w:color w:val="818285"/>
        </w:rPr>
        <w:t>Re-appointment of</w:t>
      </w:r>
      <w:r>
        <w:rPr>
          <w:rFonts w:ascii="Arial" w:cs="Arial" w:eastAsia="Arial" w:hAnsi="Arial"/>
          <w:sz w:val="47"/>
          <w:szCs w:val="47"/>
          <w:b w:val="1"/>
          <w:bCs w:val="1"/>
          <w:color w:val="6F2875"/>
        </w:rPr>
        <w:t xml:space="preserve"> </w:t>
      </w:r>
      <w:r>
        <w:rPr>
          <w:rFonts w:ascii="Arial" w:cs="Arial" w:eastAsia="Arial" w:hAnsi="Arial"/>
          <w:sz w:val="47"/>
          <w:szCs w:val="47"/>
          <w:b w:val="1"/>
          <w:bCs w:val="1"/>
          <w:color w:val="818285"/>
        </w:rPr>
        <w:t>PricewaterhouseCoopers LLP as the Company’s UK Statutory Auditor</w:t>
      </w:r>
    </w:p>
    <w:p>
      <w:pPr>
        <w:spacing w:after="0" w:line="3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Under the Companies Act, the Company is required to appoint the UK statutory auditor at each meeting at which the annual report and accounts are presented to shareholders, to hold office until the conclusion of the next such meeting. PwC UK has served as the Company’s UK statutory auditor since completion of the merger of Sorin and Cyberonics on October 19, 2015. The Audit and Compliance Committee has recommended to the Board the re-appointement of PwC UK as the Company’s UK statutory auditor and has confirmed to the Board that its recommendation is free from third party influence and that no restrictive contractual provisions have been imposed on the Company limiting the choice of auditor.</w:t>
      </w:r>
    </w:p>
    <w:p>
      <w:pPr>
        <w:spacing w:after="0" w:line="368"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Vote Required</w:t>
      </w:r>
    </w:p>
    <w:p>
      <w:pPr>
        <w:spacing w:after="0" w:line="35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The re-appointment of PwC UK as our UK statutory auditor requires an affirmative vote of a majority of shares present at the AGM, in person or by proxy, and entitled to vote on the proposal. If this ordinary resolution is not approved, the Board may appoint an auditor to fill the vacancy. Abstentions will have the same effect as votes against this proposal. If you own shares through a bank, broker or other holder of record, you must instruct your bank, broker or other holder of record how to vote in order for them to vote your shares so that your vote can be counted on this proposal. Broker non-votes will have no effect on this proposal as brokers are not entitled to vote on non-routine matters (such as this proposal) in the absence of voting instructions from the beneficial owner.</w:t>
      </w:r>
    </w:p>
    <w:p>
      <w:pPr>
        <w:spacing w:after="0" w:line="368"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Board recommendation</w:t>
      </w:r>
    </w:p>
    <w:p>
      <w:pPr>
        <w:spacing w:after="0" w:line="339" w:lineRule="exact"/>
        <w:rPr>
          <w:sz w:val="20"/>
          <w:szCs w:val="20"/>
          <w:color w:val="auto"/>
        </w:rPr>
      </w:pPr>
    </w:p>
    <w:p>
      <w:pPr>
        <w:ind w:left="340"/>
        <w:spacing w:after="0" w:line="266" w:lineRule="auto"/>
        <w:rPr>
          <w:sz w:val="20"/>
          <w:szCs w:val="20"/>
          <w:color w:val="auto"/>
        </w:rPr>
      </w:pPr>
      <w:r>
        <w:rPr>
          <w:rFonts w:ascii="Arial" w:cs="Arial" w:eastAsia="Arial" w:hAnsi="Arial"/>
          <w:sz w:val="16"/>
          <w:szCs w:val="16"/>
          <w:color w:val="231F20"/>
        </w:rPr>
        <w:t xml:space="preserve">THE BOARD AND THE AUDIT AND COMPLIANCE COMMITTEE RECOMMEND A </w:t>
      </w:r>
      <w:r>
        <w:rPr>
          <w:rFonts w:ascii="Arial" w:cs="Arial" w:eastAsia="Arial" w:hAnsi="Arial"/>
          <w:sz w:val="16"/>
          <w:szCs w:val="16"/>
          <w:b w:val="1"/>
          <w:bCs w:val="1"/>
          <w:color w:val="FC5D45"/>
        </w:rPr>
        <w:t>VOTE “FOR”</w:t>
      </w:r>
      <w:r>
        <w:rPr>
          <w:rFonts w:ascii="Arial" w:cs="Arial" w:eastAsia="Arial" w:hAnsi="Arial"/>
          <w:sz w:val="16"/>
          <w:szCs w:val="16"/>
          <w:color w:val="231F20"/>
        </w:rPr>
        <w:t xml:space="preserve"> THE RE-APPOINTMENT OF PWC UK AS THE COMPANY’S UK STATUTORY AUDITOR UNDER THE COMPANIES ACT TO HOLD OFFICE FROM THE CONCLUSION OF THE MEETING UNTIL THE CONCLUSION OF THE NEXT AGM AT WHICH ACCOUNTS ARE LAID BEFORE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197485" cy="1803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97485" cy="18034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Borders>
              <w:bottom w:val="single" w:sz="8" w:color="auto"/>
            </w:tcBorders>
          </w:tcPr>
          <w:p>
            <w:pPr>
              <w:spacing w:after="0"/>
              <w:rPr>
                <w:sz w:val="10"/>
                <w:szCs w:val="10"/>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63</w:t>
            </w:r>
          </w:p>
        </w:tc>
        <w:tc>
          <w:tcPr>
            <w:tcW w:w="0" w:type="dxa"/>
            <w:vAlign w:val="bottom"/>
          </w:tcPr>
          <w:p>
            <w:pPr>
              <w:spacing w:after="0"/>
              <w:rPr>
                <w:sz w:val="1"/>
                <w:szCs w:val="1"/>
                <w:color w:val="auto"/>
              </w:rPr>
            </w:pPr>
          </w:p>
        </w:tc>
      </w:tr>
      <w:tr>
        <w:trPr>
          <w:trHeight w:val="69"/>
        </w:trPr>
        <w:tc>
          <w:tcPr>
            <w:tcW w:w="40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jc w:val="both"/>
        <w:ind w:right="100"/>
        <w:spacing w:after="0" w:line="245" w:lineRule="auto"/>
        <w:rPr>
          <w:sz w:val="20"/>
          <w:szCs w:val="20"/>
          <w:color w:val="auto"/>
        </w:rPr>
      </w:pPr>
      <w:r>
        <w:rPr>
          <w:rFonts w:ascii="Arial" w:cs="Arial" w:eastAsia="Arial" w:hAnsi="Arial"/>
          <w:sz w:val="47"/>
          <w:szCs w:val="47"/>
          <w:b w:val="1"/>
          <w:bCs w:val="1"/>
          <w:color w:val="6F2875"/>
        </w:rPr>
        <w:t xml:space="preserve">Proposal 9 </w:t>
      </w:r>
      <w:r>
        <w:rPr>
          <w:rFonts w:ascii="Arial" w:cs="Arial" w:eastAsia="Arial" w:hAnsi="Arial"/>
          <w:sz w:val="47"/>
          <w:szCs w:val="47"/>
          <w:b w:val="1"/>
          <w:bCs w:val="1"/>
          <w:color w:val="818285"/>
        </w:rPr>
        <w:t>Authorization of the Directors and/or</w:t>
      </w:r>
      <w:r>
        <w:rPr>
          <w:rFonts w:ascii="Arial" w:cs="Arial" w:eastAsia="Arial" w:hAnsi="Arial"/>
          <w:sz w:val="47"/>
          <w:szCs w:val="47"/>
          <w:b w:val="1"/>
          <w:bCs w:val="1"/>
          <w:color w:val="6F2875"/>
        </w:rPr>
        <w:t xml:space="preserve"> </w:t>
      </w:r>
      <w:r>
        <w:rPr>
          <w:rFonts w:ascii="Arial" w:cs="Arial" w:eastAsia="Arial" w:hAnsi="Arial"/>
          <w:sz w:val="47"/>
          <w:szCs w:val="47"/>
          <w:b w:val="1"/>
          <w:bCs w:val="1"/>
          <w:color w:val="818285"/>
        </w:rPr>
        <w:t>the Audit and Compliance Committee to Determine the Remuneration of PwC UK in its Capacity as UK Statutory Auditor</w:t>
      </w:r>
    </w:p>
    <w:p>
      <w:pPr>
        <w:spacing w:after="0" w:line="38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Under the Companies Act, the remuneration of our UK statutory auditor must be fixed in a general meeting or in such manner as may be determined in a general meeting. We are asking our shareholders to authorize the Board and/or the Audit and Compliance Committee of the Company to determine the remuneration of PwC UK in its capacity as the Company’s UK statutory auditor under the Companies Act.</w:t>
      </w:r>
    </w:p>
    <w:p>
      <w:pPr>
        <w:spacing w:after="0" w:line="366"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Vote Required</w:t>
      </w:r>
    </w:p>
    <w:p>
      <w:pPr>
        <w:spacing w:after="0" w:line="35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This authorization requires an affirmative vote of a majority of shares present at the AGM, in person or by proxy, and entitled to vote on the proposal. Abstentions will have the same effect as votes against this proposal. If you own shares through a bank, broker or other holder of record, you must instruct your bank, broker or other holder of record how to vote in order for them to vote your shares so that your vote can be counted on this proposal. Broker non-votes will have no effect on this proposal as brokers are not entitled to vote on non-routine matters (such as this proposal) in the absence of voting instructions from the beneficial owner.</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Board recommendation</w:t>
      </w:r>
    </w:p>
    <w:p>
      <w:pPr>
        <w:spacing w:after="0" w:line="339" w:lineRule="exact"/>
        <w:rPr>
          <w:sz w:val="20"/>
          <w:szCs w:val="20"/>
          <w:color w:val="auto"/>
        </w:rPr>
      </w:pPr>
    </w:p>
    <w:p>
      <w:pPr>
        <w:ind w:left="340" w:right="380"/>
        <w:spacing w:after="0" w:line="286" w:lineRule="auto"/>
        <w:rPr>
          <w:sz w:val="20"/>
          <w:szCs w:val="20"/>
          <w:color w:val="auto"/>
        </w:rPr>
      </w:pPr>
      <w:r>
        <w:rPr>
          <w:rFonts w:ascii="Arial" w:cs="Arial" w:eastAsia="Arial" w:hAnsi="Arial"/>
          <w:sz w:val="16"/>
          <w:szCs w:val="16"/>
          <w:color w:val="231F20"/>
        </w:rPr>
        <w:t xml:space="preserve">THE BOARD RECOMMENDS A </w:t>
      </w:r>
      <w:r>
        <w:rPr>
          <w:rFonts w:ascii="Arial" w:cs="Arial" w:eastAsia="Arial" w:hAnsi="Arial"/>
          <w:sz w:val="16"/>
          <w:szCs w:val="16"/>
          <w:b w:val="1"/>
          <w:bCs w:val="1"/>
          <w:color w:val="FC5D45"/>
        </w:rPr>
        <w:t>VOTE “FOR”</w:t>
      </w:r>
      <w:r>
        <w:rPr>
          <w:rFonts w:ascii="Arial" w:cs="Arial" w:eastAsia="Arial" w:hAnsi="Arial"/>
          <w:sz w:val="16"/>
          <w:szCs w:val="16"/>
          <w:color w:val="231F20"/>
        </w:rPr>
        <w:t xml:space="preserve"> THE AUTHORIZATION OF THE BOARD AND/OR THE AUDIT AND COMPLIANCE COMMITTEE TO DETERMINE THE COMPANY’S UK STATUTORY AUDITOR’S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97485" cy="1803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97485" cy="180340"/>
                    </a:xfrm>
                    <a:prstGeom prst="rect">
                      <a:avLst/>
                    </a:prstGeom>
                    <a:noFill/>
                  </pic:spPr>
                </pic:pic>
              </a:graphicData>
            </a:graphic>
          </wp:anchor>
        </w:drawing>
      </w:r>
    </w:p>
    <w:p>
      <w:pPr>
        <w:spacing w:after="0" w:line="136" w:lineRule="exact"/>
        <w:rPr>
          <w:sz w:val="20"/>
          <w:szCs w:val="20"/>
          <w:color w:val="auto"/>
        </w:rPr>
      </w:pPr>
    </w:p>
    <w:p>
      <w:pPr>
        <w:spacing w:after="0"/>
        <w:tabs>
          <w:tab w:leader="none" w:pos="4220" w:val="left"/>
          <w:tab w:leader="none" w:pos="9960" w:val="left"/>
        </w:tabs>
        <w:rPr>
          <w:sz w:val="20"/>
          <w:szCs w:val="20"/>
          <w:color w:val="auto"/>
        </w:rPr>
      </w:pPr>
      <w:r>
        <w:rPr>
          <w:rFonts w:ascii="Arial" w:cs="Arial" w:eastAsia="Arial" w:hAnsi="Arial"/>
          <w:sz w:val="16"/>
          <w:szCs w:val="16"/>
          <w:b w:val="1"/>
          <w:bCs w:val="1"/>
          <w:color w:val="auto"/>
        </w:rPr>
        <w:t>64</w:t>
      </w:r>
      <w:r>
        <w:rPr>
          <w:sz w:val="20"/>
          <w:szCs w:val="20"/>
          <w:color w:val="auto"/>
        </w:rPr>
        <w:tab/>
      </w: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r>
        <w:rPr>
          <w:sz w:val="20"/>
          <w:szCs w:val="20"/>
          <w:color w:val="auto"/>
        </w:rPr>
        <w:tab/>
      </w:r>
      <w:r>
        <w:rPr>
          <w:rFonts w:ascii="Arial" w:cs="Arial" w:eastAsia="Arial" w:hAnsi="Arial"/>
          <w:sz w:val="16"/>
          <w:szCs w:val="16"/>
          <w:b w:val="1"/>
          <w:bCs w:val="1"/>
          <w:color w:val="6F2875"/>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-36195</wp:posOffset>
            </wp:positionV>
            <wp:extent cx="1663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-36195</wp:posOffset>
            </wp:positionV>
            <wp:extent cx="23241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47"/>
          <w:szCs w:val="47"/>
          <w:b w:val="1"/>
          <w:bCs w:val="1"/>
          <w:color w:val="6F2875"/>
        </w:rPr>
        <w:t>ANNEXES</w:t>
      </w:r>
    </w:p>
    <w:p>
      <w:pPr>
        <w:spacing w:after="0" w:line="200" w:lineRule="exact"/>
        <w:rPr>
          <w:sz w:val="20"/>
          <w:szCs w:val="20"/>
          <w:color w:val="auto"/>
        </w:rPr>
      </w:pPr>
    </w:p>
    <w:p>
      <w:pPr>
        <w:spacing w:after="0" w:line="205" w:lineRule="exact"/>
        <w:rPr>
          <w:sz w:val="20"/>
          <w:szCs w:val="20"/>
          <w:color w:val="auto"/>
        </w:rPr>
      </w:pPr>
    </w:p>
    <w:p>
      <w:pPr>
        <w:spacing w:after="0"/>
        <w:tabs>
          <w:tab w:leader="none" w:pos="2500" w:val="left"/>
        </w:tabs>
        <w:rPr>
          <w:sz w:val="20"/>
          <w:szCs w:val="20"/>
          <w:color w:val="auto"/>
        </w:rPr>
      </w:pPr>
      <w:r>
        <w:rPr>
          <w:rFonts w:ascii="Arial" w:cs="Arial" w:eastAsia="Arial" w:hAnsi="Arial"/>
          <w:sz w:val="47"/>
          <w:szCs w:val="47"/>
          <w:b w:val="1"/>
          <w:bCs w:val="1"/>
          <w:color w:val="6F2875"/>
        </w:rPr>
        <w:t>Annex A</w:t>
      </w:r>
      <w:r>
        <w:rPr>
          <w:sz w:val="20"/>
          <w:szCs w:val="20"/>
          <w:color w:val="auto"/>
        </w:rPr>
        <w:tab/>
      </w:r>
      <w:r>
        <w:rPr>
          <w:rFonts w:ascii="Arial" w:cs="Arial" w:eastAsia="Arial" w:hAnsi="Arial"/>
          <w:sz w:val="46"/>
          <w:szCs w:val="46"/>
          <w:b w:val="1"/>
          <w:bCs w:val="1"/>
          <w:color w:val="818285"/>
        </w:rPr>
        <w:t>LivaNova Global Employee Share</w:t>
      </w:r>
    </w:p>
    <w:p>
      <w:pPr>
        <w:spacing w:after="0" w:line="44" w:lineRule="exact"/>
        <w:rPr>
          <w:sz w:val="20"/>
          <w:szCs w:val="20"/>
          <w:color w:val="auto"/>
        </w:rPr>
      </w:pPr>
    </w:p>
    <w:p>
      <w:pPr>
        <w:spacing w:after="0"/>
        <w:rPr>
          <w:sz w:val="20"/>
          <w:szCs w:val="20"/>
          <w:color w:val="auto"/>
        </w:rPr>
      </w:pPr>
      <w:r>
        <w:rPr>
          <w:rFonts w:ascii="Arial" w:cs="Arial" w:eastAsia="Arial" w:hAnsi="Arial"/>
          <w:sz w:val="47"/>
          <w:szCs w:val="47"/>
          <w:b w:val="1"/>
          <w:bCs w:val="1"/>
          <w:color w:val="818285"/>
        </w:rPr>
        <w:t>Purchase Plan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32"/>
          <w:szCs w:val="32"/>
          <w:b w:val="1"/>
          <w:bCs w:val="1"/>
          <w:color w:val="6F2875"/>
        </w:rPr>
        <w:t>Summary of the LivaNova Global ESPP</w:t>
      </w:r>
    </w:p>
    <w:p>
      <w:pPr>
        <w:spacing w:after="0" w:line="35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231F20"/>
        </w:rPr>
        <w:t>The ESPP comprises provisions, which apply to all Shares acquired under the ESPP, and separate schedules for participants in the US, in the UK and in all other countries. In order that participants in the US and the UK can take advantage of applicable tax benefits, the US schedule will be established under Section 423 of the Internal Revenue Code of 1986 (of the United States of America) and the UK schedule will be registered with Her Majesty’s Revenue &amp; Customs.</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231F20"/>
        </w:rPr>
        <w:t>The ESPP was adopted by the Company’s board of directors (the “Board”) on 18 April 2018.</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Overview of the ESPP</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Participants in the ESPP elect to purchase shares in the Company, using deductions from their monthly salary (their “Contributions”). These Contributions are accumulated for a period of up to 12 months (for US participants, a period of up to six months but this may be varied by the Board to up to 27 months for future calendar years) (the “Offering Period”) and Shares, known as “Investment Shares”, are bought at the end of the Offering Period using the accumulated Contributions.</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Investment Shares will be allocated to participants at market value on the date of purchase, except for participants in the US and the UK where, in accordance with applicable legislation:</w:t>
      </w:r>
    </w:p>
    <w:p>
      <w:pPr>
        <w:spacing w:after="0" w:line="169" w:lineRule="exact"/>
        <w:rPr>
          <w:sz w:val="20"/>
          <w:szCs w:val="20"/>
          <w:color w:val="auto"/>
        </w:rPr>
      </w:pPr>
    </w:p>
    <w:p>
      <w:pPr>
        <w:ind w:left="180" w:hanging="172"/>
        <w:spacing w:after="0" w:line="260" w:lineRule="auto"/>
        <w:tabs>
          <w:tab w:leader="none" w:pos="180" w:val="left"/>
        </w:tabs>
        <w:numPr>
          <w:ilvl w:val="0"/>
          <w:numId w:val="62"/>
        </w:numPr>
        <w:rPr>
          <w:rFonts w:ascii="Arial" w:cs="Arial" w:eastAsia="Arial" w:hAnsi="Arial"/>
          <w:sz w:val="16"/>
          <w:szCs w:val="16"/>
          <w:color w:val="6F2875"/>
        </w:rPr>
      </w:pPr>
      <w:r>
        <w:rPr>
          <w:rFonts w:ascii="Arial" w:cs="Arial" w:eastAsia="Arial" w:hAnsi="Arial"/>
          <w:sz w:val="16"/>
          <w:szCs w:val="16"/>
          <w:color w:val="231F20"/>
        </w:rPr>
        <w:t>for US participants, Investment Shares will be allocated at a 15% discount to the lower of the market value of Shares at the start of the Offering Period and at the end of the Offering Period.</w:t>
      </w:r>
    </w:p>
    <w:p>
      <w:pPr>
        <w:spacing w:after="0" w:line="33" w:lineRule="exact"/>
        <w:rPr>
          <w:rFonts w:ascii="Arial" w:cs="Arial" w:eastAsia="Arial" w:hAnsi="Arial"/>
          <w:sz w:val="16"/>
          <w:szCs w:val="16"/>
          <w:color w:val="6F2875"/>
        </w:rPr>
      </w:pPr>
    </w:p>
    <w:p>
      <w:pPr>
        <w:ind w:left="180" w:hanging="172"/>
        <w:spacing w:after="0" w:line="260" w:lineRule="auto"/>
        <w:tabs>
          <w:tab w:leader="none" w:pos="180" w:val="left"/>
        </w:tabs>
        <w:numPr>
          <w:ilvl w:val="0"/>
          <w:numId w:val="62"/>
        </w:numPr>
        <w:rPr>
          <w:rFonts w:ascii="Arial" w:cs="Arial" w:eastAsia="Arial" w:hAnsi="Arial"/>
          <w:sz w:val="16"/>
          <w:szCs w:val="16"/>
          <w:color w:val="6F2875"/>
        </w:rPr>
      </w:pPr>
      <w:r>
        <w:rPr>
          <w:rFonts w:ascii="Arial" w:cs="Arial" w:eastAsia="Arial" w:hAnsi="Arial"/>
          <w:sz w:val="16"/>
          <w:szCs w:val="16"/>
          <w:color w:val="231F20"/>
        </w:rPr>
        <w:t>for UK participants Investment Shares will be allocated at the fair market value of a Share at the beginning of the Offering Period or the fair market value of a Share at the date the Share is acquired or the lower of the two values on these dates, as determined by the Administrator.</w:t>
      </w:r>
    </w:p>
    <w:p>
      <w:pPr>
        <w:spacing w:after="0" w:line="169"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In place of the 15% discount available to US participants, all other participants will be granted an award of Matching Shares. Matching Shares must be held for a period of up to three years from the date of award.</w:t>
      </w:r>
    </w:p>
    <w:p>
      <w:pPr>
        <w:spacing w:after="0" w:line="16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231F20"/>
        </w:rPr>
        <w:t>Any dividends received by participants on their Plan Shares will be reinvested in purchasing further Shares, unless the Administrator determines that the dividend be awarded in cash.</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231F20"/>
        </w:rPr>
        <w:t>The ESPP operates in conjunction with a trust, which will hold Shares on behalf of employees.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231F20"/>
        </w:rPr>
        <w:t>The following is a summary of the principle features of the ESPP.</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FC5D45"/>
        </w:rPr>
        <w:t>Eligibility</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All employees of the Company and any participating subsidiaries must be offered the opportunity to join the ESPP. The Administrator can set a minimum qualifying period of employment which may not exceed 18 months or, in certain circumstances, six months.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FC5D45"/>
        </w:rPr>
        <w:t>Free Shares</w:t>
      </w:r>
    </w:p>
    <w:p>
      <w:pPr>
        <w:spacing w:after="0" w:line="21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231F20"/>
        </w:rPr>
        <w:t>Participants can be awarded Free Shares. In accordance with UK legislation, UK participants can be granted Free Shares with a maximum value of £3,600 in any tax year. All other participants can be granted Free Shares with a maximum value of $10,000 per year.</w:t>
      </w:r>
    </w:p>
    <w:p>
      <w:pPr>
        <w:spacing w:after="0" w:line="16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231F20"/>
        </w:rPr>
        <w:t>Free Shares must be awarded on similar terms, although the number of Free Shares awarded to each participant may be varied by reference to remuneration, length of service and hours worked. An award of Free Shares can be subject to performance targets.</w:t>
      </w:r>
    </w:p>
    <w:p>
      <w:pPr>
        <w:spacing w:after="0" w:line="169"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Free Shares must be held in the ESPP for a period of up to three years. During this period the participant cannot withdraw the Free Shares from the trust unless the participant leaves employment or a change of control event occurs.</w:t>
      </w:r>
    </w:p>
    <w:p>
      <w:pPr>
        <w:spacing w:after="0" w:line="169"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The Administrator can provide that the Free Shares will be forfeited if the employee leaves employment, other than where he leaves due to injury, disability, redundancy, transfer of the employing business or company out of LivaNova Group, retirement or on death (as a “Good Leaver”).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Borders>
              <w:bottom w:val="single" w:sz="8" w:color="auto"/>
            </w:tcBorders>
          </w:tcPr>
          <w:p>
            <w:pPr>
              <w:spacing w:after="0"/>
              <w:rPr>
                <w:sz w:val="10"/>
                <w:szCs w:val="10"/>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65</w:t>
            </w:r>
          </w:p>
        </w:tc>
        <w:tc>
          <w:tcPr>
            <w:tcW w:w="0" w:type="dxa"/>
            <w:vAlign w:val="bottom"/>
          </w:tcPr>
          <w:p>
            <w:pPr>
              <w:spacing w:after="0"/>
              <w:rPr>
                <w:sz w:val="1"/>
                <w:szCs w:val="1"/>
                <w:color w:val="auto"/>
              </w:rPr>
            </w:pPr>
          </w:p>
        </w:tc>
      </w:tr>
      <w:tr>
        <w:trPr>
          <w:trHeight w:val="69"/>
        </w:trPr>
        <w:tc>
          <w:tcPr>
            <w:tcW w:w="40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FC5D45"/>
        </w:rPr>
        <w:t>Investment Shares</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The Administrator may invite participants to buy Investment Shares using their Contributions (which, in the case of UK participants, will be deducted from their pre-tax salary). Participants may purchase Investment Shares with a maximum value of:</w:t>
      </w:r>
    </w:p>
    <w:p>
      <w:pPr>
        <w:spacing w:after="0" w:line="182" w:lineRule="exact"/>
        <w:rPr>
          <w:sz w:val="20"/>
          <w:szCs w:val="20"/>
          <w:color w:val="auto"/>
        </w:rPr>
      </w:pPr>
    </w:p>
    <w:p>
      <w:pPr>
        <w:ind w:left="180" w:hanging="172"/>
        <w:spacing w:after="0"/>
        <w:tabs>
          <w:tab w:leader="none" w:pos="180" w:val="left"/>
        </w:tabs>
        <w:numPr>
          <w:ilvl w:val="0"/>
          <w:numId w:val="63"/>
        </w:numPr>
        <w:rPr>
          <w:rFonts w:ascii="Arial" w:cs="Arial" w:eastAsia="Arial" w:hAnsi="Arial"/>
          <w:sz w:val="16"/>
          <w:szCs w:val="16"/>
          <w:color w:val="6F2875"/>
        </w:rPr>
      </w:pPr>
      <w:r>
        <w:rPr>
          <w:rFonts w:ascii="Arial" w:cs="Arial" w:eastAsia="Arial" w:hAnsi="Arial"/>
          <w:sz w:val="16"/>
          <w:szCs w:val="16"/>
          <w:color w:val="231F20"/>
        </w:rPr>
        <w:t>for US participants $25,000 per calendar year;</w:t>
      </w:r>
    </w:p>
    <w:p>
      <w:pPr>
        <w:spacing w:after="0" w:line="59" w:lineRule="exact"/>
        <w:rPr>
          <w:rFonts w:ascii="Arial" w:cs="Arial" w:eastAsia="Arial" w:hAnsi="Arial"/>
          <w:sz w:val="16"/>
          <w:szCs w:val="16"/>
          <w:color w:val="6F2875"/>
        </w:rPr>
      </w:pPr>
    </w:p>
    <w:p>
      <w:pPr>
        <w:ind w:left="180" w:hanging="172"/>
        <w:spacing w:after="0"/>
        <w:tabs>
          <w:tab w:leader="none" w:pos="180" w:val="left"/>
        </w:tabs>
        <w:numPr>
          <w:ilvl w:val="0"/>
          <w:numId w:val="63"/>
        </w:numPr>
        <w:rPr>
          <w:rFonts w:ascii="Arial" w:cs="Arial" w:eastAsia="Arial" w:hAnsi="Arial"/>
          <w:sz w:val="16"/>
          <w:szCs w:val="16"/>
          <w:color w:val="6F2875"/>
        </w:rPr>
      </w:pPr>
      <w:r>
        <w:rPr>
          <w:rFonts w:ascii="Arial" w:cs="Arial" w:eastAsia="Arial" w:hAnsi="Arial"/>
          <w:sz w:val="16"/>
          <w:szCs w:val="16"/>
          <w:color w:val="231F20"/>
        </w:rPr>
        <w:t>for UK participants the lower of £1,800 or 10 percent of pre-tax salary in any tax year; and</w:t>
      </w:r>
    </w:p>
    <w:p>
      <w:pPr>
        <w:spacing w:after="0" w:line="59" w:lineRule="exact"/>
        <w:rPr>
          <w:rFonts w:ascii="Arial" w:cs="Arial" w:eastAsia="Arial" w:hAnsi="Arial"/>
          <w:sz w:val="16"/>
          <w:szCs w:val="16"/>
          <w:color w:val="6F2875"/>
        </w:rPr>
      </w:pPr>
    </w:p>
    <w:p>
      <w:pPr>
        <w:ind w:left="180" w:hanging="172"/>
        <w:spacing w:after="0"/>
        <w:tabs>
          <w:tab w:leader="none" w:pos="180" w:val="left"/>
        </w:tabs>
        <w:numPr>
          <w:ilvl w:val="0"/>
          <w:numId w:val="63"/>
        </w:numPr>
        <w:rPr>
          <w:rFonts w:ascii="Arial" w:cs="Arial" w:eastAsia="Arial" w:hAnsi="Arial"/>
          <w:sz w:val="16"/>
          <w:szCs w:val="16"/>
          <w:color w:val="6F2875"/>
        </w:rPr>
      </w:pPr>
      <w:r>
        <w:rPr>
          <w:rFonts w:ascii="Arial" w:cs="Arial" w:eastAsia="Arial" w:hAnsi="Arial"/>
          <w:sz w:val="16"/>
          <w:szCs w:val="16"/>
          <w:color w:val="231F20"/>
        </w:rPr>
        <w:t>for all other participants, the amount set by the Administrator from time to time.</w:t>
      </w:r>
    </w:p>
    <w:p>
      <w:pPr>
        <w:spacing w:after="0" w:line="208"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Participants’ Contributions will be accumulated for up to 12 months before being used to buy Investment Shares (or up to six months for US participants although this may varied by the Board up to a period of 27 months for future calendar years). A participant may stop and start Contributions at any time.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231F20"/>
        </w:rPr>
        <w:t>The price at which participants can purchase shares under the ESPP is:</w:t>
      </w:r>
    </w:p>
    <w:p>
      <w:pPr>
        <w:spacing w:after="0" w:line="194" w:lineRule="exact"/>
        <w:rPr>
          <w:sz w:val="20"/>
          <w:szCs w:val="20"/>
          <w:color w:val="auto"/>
        </w:rPr>
      </w:pPr>
    </w:p>
    <w:p>
      <w:pPr>
        <w:ind w:left="180" w:hanging="172"/>
        <w:spacing w:after="0" w:line="260" w:lineRule="auto"/>
        <w:tabs>
          <w:tab w:leader="none" w:pos="180" w:val="left"/>
        </w:tabs>
        <w:numPr>
          <w:ilvl w:val="0"/>
          <w:numId w:val="64"/>
        </w:numPr>
        <w:rPr>
          <w:rFonts w:ascii="Arial" w:cs="Arial" w:eastAsia="Arial" w:hAnsi="Arial"/>
          <w:sz w:val="16"/>
          <w:szCs w:val="16"/>
          <w:color w:val="6F2875"/>
        </w:rPr>
      </w:pPr>
      <w:r>
        <w:rPr>
          <w:rFonts w:ascii="Arial" w:cs="Arial" w:eastAsia="Arial" w:hAnsi="Arial"/>
          <w:sz w:val="16"/>
          <w:szCs w:val="16"/>
          <w:color w:val="231F20"/>
        </w:rPr>
        <w:t>for US participants, eighty-five percent (the maximum discount allowed under relevant US law) of the fair market value of a Share at the beginning or end of the Offering Period, whichever is the lower;</w:t>
      </w:r>
    </w:p>
    <w:p>
      <w:pPr>
        <w:spacing w:after="0" w:line="33" w:lineRule="exact"/>
        <w:rPr>
          <w:rFonts w:ascii="Arial" w:cs="Arial" w:eastAsia="Arial" w:hAnsi="Arial"/>
          <w:sz w:val="16"/>
          <w:szCs w:val="16"/>
          <w:color w:val="6F2875"/>
        </w:rPr>
      </w:pPr>
    </w:p>
    <w:p>
      <w:pPr>
        <w:ind w:left="180" w:hanging="172"/>
        <w:spacing w:after="0" w:line="260" w:lineRule="auto"/>
        <w:tabs>
          <w:tab w:leader="none" w:pos="180" w:val="left"/>
        </w:tabs>
        <w:numPr>
          <w:ilvl w:val="0"/>
          <w:numId w:val="64"/>
        </w:numPr>
        <w:rPr>
          <w:rFonts w:ascii="Arial" w:cs="Arial" w:eastAsia="Arial" w:hAnsi="Arial"/>
          <w:sz w:val="16"/>
          <w:szCs w:val="16"/>
          <w:color w:val="6F2875"/>
        </w:rPr>
      </w:pPr>
      <w:r>
        <w:rPr>
          <w:rFonts w:ascii="Arial" w:cs="Arial" w:eastAsia="Arial" w:hAnsi="Arial"/>
          <w:sz w:val="16"/>
          <w:szCs w:val="16"/>
          <w:color w:val="231F20"/>
        </w:rPr>
        <w:t>for UK participants the fair market value of a Share at the beginning of the Offering Period or the fair market value of a Share at the date the Share is acquired or the lower of the two values on these dates, as determined by the Administrator; and</w:t>
      </w:r>
    </w:p>
    <w:p>
      <w:pPr>
        <w:spacing w:after="0" w:line="33" w:lineRule="exact"/>
        <w:rPr>
          <w:rFonts w:ascii="Arial" w:cs="Arial" w:eastAsia="Arial" w:hAnsi="Arial"/>
          <w:sz w:val="16"/>
          <w:szCs w:val="16"/>
          <w:color w:val="6F2875"/>
        </w:rPr>
      </w:pPr>
    </w:p>
    <w:p>
      <w:pPr>
        <w:ind w:left="180" w:hanging="172"/>
        <w:spacing w:after="0"/>
        <w:tabs>
          <w:tab w:leader="none" w:pos="180" w:val="left"/>
        </w:tabs>
        <w:numPr>
          <w:ilvl w:val="0"/>
          <w:numId w:val="64"/>
        </w:numPr>
        <w:rPr>
          <w:rFonts w:ascii="Arial" w:cs="Arial" w:eastAsia="Arial" w:hAnsi="Arial"/>
          <w:sz w:val="16"/>
          <w:szCs w:val="16"/>
          <w:color w:val="6F2875"/>
        </w:rPr>
      </w:pPr>
      <w:r>
        <w:rPr>
          <w:rFonts w:ascii="Arial" w:cs="Arial" w:eastAsia="Arial" w:hAnsi="Arial"/>
          <w:sz w:val="16"/>
          <w:szCs w:val="16"/>
          <w:color w:val="231F20"/>
        </w:rPr>
        <w:t>for all other participants, the fair market value of a Share.</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The Administrator determines the fair market value for shares purchased under the ESPP for each Offering Period by reference to the closing price per share on the Nasdaq for the last preceding date on which there was a sale of shares on such exchange.</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Investment Shares may be withdrawn from the ESPP by the participant at any time and are not forfeitable in any circumstances. UK participants will have to pay income tax if the Investment Shares are taken out of the ESPP within five years of being bought (unless the participant is a Good Leaver).</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A participant’s right to participate in the ESPP shall terminate immediately when the participant leaves employment and any Contributions accumulated shall be refunded as soon as practicable (although for participants that are neither US nor UK employees, this shall only be the case if local rules require it, otherwise Contributions held will be used to acquire Investment Shares on the next allocation date).</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FC5D45"/>
        </w:rPr>
        <w:t>Matching Shares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231F20"/>
        </w:rPr>
        <w:t>Matching Shares will not be awarded to US participants as they are entitled to acquire Investment Shares at a 15% discount to the purchase price.</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Where a non-US participant buys Investment Shares, the Administrator may award the participant free, additional Shares or a conditional award of Shares (known as “Matching Shares”). The number of Matching Shares will be calculated so as to equal the value provided to US participants as a result of the 15% discount to the purchase price, save that UK participants may be awarded a maximum of two Matching Shares for every Investment Share purchased. The Administrator can change the number of Matching Shares awarded as it thinks fit, and must give participants notice of such change before it takes effect.</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Matching Shares awarded to UK participants must be held for a period of three years. During this period the participant cannot withdraw the Matching Shares from the ESPP unless the participant leaves employment as a Good Leaver or a change of control event occurs.</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Matching Shares awarded to all other participants will usually vest on the third anniversary of grant, unless the participant leaves employment as a Good Leaver or a change of control event occurs in which case the Matching Shares will vest early.</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FC5D45"/>
        </w:rPr>
        <w:t>Dividends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231F20"/>
        </w:rPr>
        <w:t>The Administrator may allow a participant to reinvest any dividends paid on Free, Investment or Matching Shares in buying additional Shares (“Dividend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Shares”) which for UK participants must be held in the ESPP for three years, unless the participant leaves employment or a change of control event occurs.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Dividend Shares are not forfeitable in any circumstances.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FC5D45"/>
        </w:rPr>
        <w:t>Voting rights</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Participants may direct the trustees of the ESPP how to exercise the voting rights attributable to the Shares held on their behalf. The trustees of the ESPP will not exercise the voting rights unless they receive the participants’ instructions.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FC5D45"/>
        </w:rPr>
        <w:t>Overall plan limits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231F20"/>
        </w:rPr>
        <w:t>In any 10-year period, not more than 2.5 million shares may be issued under the ESPP. This limit does not include awards which have lapsed or been forfeited.</w:t>
      </w:r>
    </w:p>
    <w:p>
      <w:pPr>
        <w:spacing w:after="0" w:line="188" w:lineRule="exact"/>
        <w:rPr>
          <w:sz w:val="20"/>
          <w:szCs w:val="20"/>
          <w:color w:val="auto"/>
        </w:rPr>
      </w:pPr>
    </w:p>
    <w:p>
      <w:pPr>
        <w:spacing w:after="0"/>
        <w:tabs>
          <w:tab w:leader="none" w:pos="4220" w:val="left"/>
          <w:tab w:leader="none" w:pos="9960" w:val="left"/>
        </w:tabs>
        <w:rPr>
          <w:sz w:val="20"/>
          <w:szCs w:val="20"/>
          <w:color w:val="auto"/>
        </w:rPr>
      </w:pPr>
      <w:r>
        <w:rPr>
          <w:rFonts w:ascii="Arial" w:cs="Arial" w:eastAsia="Arial" w:hAnsi="Arial"/>
          <w:sz w:val="16"/>
          <w:szCs w:val="16"/>
          <w:b w:val="1"/>
          <w:bCs w:val="1"/>
          <w:color w:val="auto"/>
        </w:rPr>
        <w:t>66</w:t>
      </w:r>
      <w:r>
        <w:rPr>
          <w:sz w:val="20"/>
          <w:szCs w:val="20"/>
          <w:color w:val="auto"/>
        </w:rPr>
        <w:tab/>
      </w: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r>
        <w:rPr>
          <w:sz w:val="20"/>
          <w:szCs w:val="20"/>
          <w:color w:val="auto"/>
        </w:rPr>
        <w:tab/>
      </w:r>
      <w:r>
        <w:rPr>
          <w:rFonts w:ascii="Arial" w:cs="Arial" w:eastAsia="Arial" w:hAnsi="Arial"/>
          <w:sz w:val="16"/>
          <w:szCs w:val="16"/>
          <w:b w:val="1"/>
          <w:bCs w:val="1"/>
          <w:color w:val="6F2875"/>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-36195</wp:posOffset>
            </wp:positionV>
            <wp:extent cx="1663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-36195</wp:posOffset>
            </wp:positionV>
            <wp:extent cx="23241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FC5D45"/>
        </w:rPr>
        <w:t>Scaling down</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Applications to purchase Investment Shares under the ESPP may be scaled down by the Administrator if applications exceed the number of shares available for purchase for that offering. The provisions provide alternative methods for carrying out any scaling down required, and the Committee may select the method it deems reasonable.</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FC5D45"/>
        </w:rPr>
        <w:t>Source of shares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231F20"/>
        </w:rPr>
        <w:t>Awards under the ESPP may be granted over newly issued Shares, Shares held in treasury or Shares purchased in the market.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FC5D45"/>
        </w:rPr>
        <w:t>Amendments</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Except as otherwise provided, the Plan may be wholly or partially amended or otherwise modified, suspended or terminated at any time or from time to time by the Board; provided that no amendment, suspension or termination of the Plan shall, without the consent of the holder of the Award, materially or adversely affect any rights or obligations under any Award theretofore granted or awarded, unless the Award itself otherwise expressly so provides.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Board may not, except as provided above, take any of the following actions without approval of the Company’s stockholders given within twelve (12) months before or after such action: (a) increase the limit imposed on the maximum number of Shares which may be issued under the Plan or (b) reduce the price per share of any outstanding Award granted under the Plan.</w:t>
      </w:r>
    </w:p>
    <w:p>
      <w:pPr>
        <w:spacing w:after="0" w:line="17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231F20"/>
        </w:rPr>
        <w:t>However, where the Board considers it necessary or desirable to amend or add to the provisions of the ESPP in order to facilitate the operation of the ESPP in any jurisdiction or to enable the ESPP to take advantage of any favourable tax or regulatory treatment, the Board is unrestricted in making such addition or amendment, provided that such addition or amendment does not vary the basic features of the ESPP.</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FC5D45"/>
        </w:rPr>
        <w:t>General</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Any Shares issued under the ESPP will rank equally with Shares of the same class in issue on the date of allotment except in respect of rights arising by reference to a prior record date.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231F20"/>
        </w:rPr>
        <w:t>Awards granted under the ESPP are personal to participants and, except on death, may not be transferred. Awards will not form part of pensionable earnings.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Borders>
              <w:bottom w:val="single" w:sz="8" w:color="auto"/>
            </w:tcBorders>
          </w:tcPr>
          <w:p>
            <w:pPr>
              <w:spacing w:after="0"/>
              <w:rPr>
                <w:sz w:val="10"/>
                <w:szCs w:val="10"/>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67</w:t>
            </w:r>
          </w:p>
        </w:tc>
        <w:tc>
          <w:tcPr>
            <w:tcW w:w="0" w:type="dxa"/>
            <w:vAlign w:val="bottom"/>
          </w:tcPr>
          <w:p>
            <w:pPr>
              <w:spacing w:after="0"/>
              <w:rPr>
                <w:sz w:val="1"/>
                <w:szCs w:val="1"/>
                <w:color w:val="auto"/>
              </w:rPr>
            </w:pPr>
          </w:p>
        </w:tc>
      </w:tr>
      <w:tr>
        <w:trPr>
          <w:trHeight w:val="69"/>
        </w:trPr>
        <w:tc>
          <w:tcPr>
            <w:tcW w:w="40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tabs>
          <w:tab w:leader="none" w:pos="2540" w:val="left"/>
        </w:tabs>
        <w:rPr>
          <w:sz w:val="20"/>
          <w:szCs w:val="20"/>
          <w:color w:val="auto"/>
        </w:rPr>
      </w:pPr>
      <w:r>
        <w:rPr>
          <w:rFonts w:ascii="Arial" w:cs="Arial" w:eastAsia="Arial" w:hAnsi="Arial"/>
          <w:sz w:val="47"/>
          <w:szCs w:val="47"/>
          <w:b w:val="1"/>
          <w:bCs w:val="1"/>
          <w:color w:val="6F2875"/>
        </w:rPr>
        <w:t>Annex B</w:t>
      </w:r>
      <w:r>
        <w:rPr>
          <w:sz w:val="20"/>
          <w:szCs w:val="20"/>
          <w:color w:val="auto"/>
        </w:rPr>
        <w:tab/>
      </w:r>
      <w:r>
        <w:rPr>
          <w:rFonts w:ascii="Arial" w:cs="Arial" w:eastAsia="Arial" w:hAnsi="Arial"/>
          <w:sz w:val="46"/>
          <w:szCs w:val="46"/>
          <w:b w:val="1"/>
          <w:bCs w:val="1"/>
          <w:color w:val="818285"/>
        </w:rPr>
        <w:t>Non-GAAP Reconciliations</w:t>
      </w:r>
    </w:p>
    <w:p>
      <w:pPr>
        <w:spacing w:after="0" w:line="200" w:lineRule="exact"/>
        <w:rPr>
          <w:sz w:val="20"/>
          <w:szCs w:val="20"/>
          <w:color w:val="auto"/>
        </w:rPr>
      </w:pPr>
    </w:p>
    <w:p>
      <w:pPr>
        <w:spacing w:after="0" w:line="27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This proxy statement includes several non-GAAP financial measures, including adjusted net sales and adjusted net income. The corresponding reconciliations of these non-GAAP financial measures to the most comparable GAAP financial measures are included below.</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Management uses non-GAAP financial measures only in addition to and in conjunction with results presented in accordance with GAAP. Management believes that these non-GAAP financial measures help it to evaluate the Company’s performance and operations and to compare the Company’s current results with those for prior periods by adjusting for items that are not related to the ongoing operations of the Company.</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Management uses these measurements as aids in monitoring the Company’s ongoing financial performance from quarter to quarter and year to year on a regular basis and for benchmarking against other medical technology companies. The non-GAAP financial measures reflect the Company’s reported operating performance without such items. Non-GAAP financial measures used by the Company may be calculated differently from, and therefore may not be comparable to, similarly titled measures used by other companies.</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These non-GAAP financial measures should be considered along with, but not as alternatives to, the operating performance measure as prescribed by GAAP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40" w:type="dxa"/>
            <w:vAlign w:val="bottom"/>
          </w:tcPr>
          <w:p>
            <w:pPr>
              <w:spacing w:after="0"/>
              <w:rPr>
                <w:sz w:val="16"/>
                <w:szCs w:val="16"/>
                <w:color w:val="auto"/>
              </w:rPr>
            </w:pPr>
          </w:p>
        </w:tc>
        <w:tc>
          <w:tcPr>
            <w:tcW w:w="50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6F2875"/>
              </w:rPr>
              <w:t>For the Year Ended</w:t>
            </w:r>
          </w:p>
        </w:tc>
      </w:tr>
      <w:tr>
        <w:trPr>
          <w:trHeight w:val="189"/>
        </w:trPr>
        <w:tc>
          <w:tcPr>
            <w:tcW w:w="6340" w:type="dxa"/>
            <w:vAlign w:val="bottom"/>
          </w:tcPr>
          <w:p>
            <w:pPr>
              <w:spacing w:after="0"/>
              <w:rPr>
                <w:sz w:val="16"/>
                <w:szCs w:val="16"/>
                <w:color w:val="auto"/>
              </w:rPr>
            </w:pPr>
          </w:p>
        </w:tc>
        <w:tc>
          <w:tcPr>
            <w:tcW w:w="50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6F2875"/>
              </w:rPr>
              <w:t>December 31,</w:t>
            </w:r>
          </w:p>
        </w:tc>
      </w:tr>
      <w:tr>
        <w:trPr>
          <w:trHeight w:val="207"/>
        </w:trPr>
        <w:tc>
          <w:tcPr>
            <w:tcW w:w="6340" w:type="dxa"/>
            <w:vAlign w:val="bottom"/>
            <w:tcBorders>
              <w:bottom w:val="single" w:sz="8" w:color="6F2875"/>
            </w:tcBorders>
          </w:tcPr>
          <w:p>
            <w:pPr>
              <w:spacing w:after="0"/>
              <w:rPr>
                <w:sz w:val="18"/>
                <w:szCs w:val="18"/>
                <w:color w:val="auto"/>
              </w:rPr>
            </w:pPr>
          </w:p>
        </w:tc>
        <w:tc>
          <w:tcPr>
            <w:tcW w:w="4280" w:type="dxa"/>
            <w:vAlign w:val="bottom"/>
            <w:tcBorders>
              <w:bottom w:val="single" w:sz="8" w:color="6F2875"/>
            </w:tcBorders>
          </w:tcPr>
          <w:p>
            <w:pPr>
              <w:spacing w:after="0"/>
              <w:rPr>
                <w:sz w:val="18"/>
                <w:szCs w:val="18"/>
                <w:color w:val="auto"/>
              </w:rPr>
            </w:pPr>
          </w:p>
        </w:tc>
        <w:tc>
          <w:tcPr>
            <w:tcW w:w="800" w:type="dxa"/>
            <w:vAlign w:val="bottom"/>
            <w:tcBorders>
              <w:bottom w:val="single" w:sz="8" w:color="6F2875"/>
            </w:tcBorders>
          </w:tcPr>
          <w:p>
            <w:pPr>
              <w:jc w:val="right"/>
              <w:ind w:right="19"/>
              <w:spacing w:after="0"/>
              <w:rPr>
                <w:sz w:val="20"/>
                <w:szCs w:val="20"/>
                <w:color w:val="auto"/>
              </w:rPr>
            </w:pPr>
            <w:r>
              <w:rPr>
                <w:rFonts w:ascii="Arial" w:cs="Arial" w:eastAsia="Arial" w:hAnsi="Arial"/>
                <w:sz w:val="16"/>
                <w:szCs w:val="16"/>
                <w:b w:val="1"/>
                <w:bCs w:val="1"/>
                <w:color w:val="6F2875"/>
              </w:rPr>
              <w:t>2017*</w:t>
            </w:r>
          </w:p>
        </w:tc>
      </w:tr>
      <w:tr>
        <w:trPr>
          <w:trHeight w:val="183"/>
        </w:trPr>
        <w:tc>
          <w:tcPr>
            <w:tcW w:w="6340" w:type="dxa"/>
            <w:vAlign w:val="bottom"/>
          </w:tcPr>
          <w:p>
            <w:pPr>
              <w:ind w:left="60"/>
              <w:spacing w:after="0" w:line="183" w:lineRule="exact"/>
              <w:rPr>
                <w:sz w:val="20"/>
                <w:szCs w:val="20"/>
                <w:color w:val="auto"/>
              </w:rPr>
            </w:pPr>
            <w:r>
              <w:rPr>
                <w:rFonts w:ascii="Arial" w:cs="Arial" w:eastAsia="Arial" w:hAnsi="Arial"/>
                <w:sz w:val="16"/>
                <w:szCs w:val="16"/>
                <w:color w:val="231F20"/>
              </w:rPr>
              <w:t>Net sales – GAAP</w:t>
            </w:r>
          </w:p>
        </w:tc>
        <w:tc>
          <w:tcPr>
            <w:tcW w:w="4280" w:type="dxa"/>
            <w:vAlign w:val="bottom"/>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line="183" w:lineRule="exact"/>
              <w:rPr>
                <w:sz w:val="20"/>
                <w:szCs w:val="20"/>
                <w:color w:val="auto"/>
              </w:rPr>
            </w:pPr>
            <w:r>
              <w:rPr>
                <w:rFonts w:ascii="Arial" w:cs="Arial" w:eastAsia="Arial" w:hAnsi="Arial"/>
                <w:sz w:val="16"/>
                <w:szCs w:val="16"/>
                <w:color w:val="231F20"/>
              </w:rPr>
              <w:t>1,012.3</w:t>
            </w:r>
          </w:p>
        </w:tc>
      </w:tr>
      <w:tr>
        <w:trPr>
          <w:trHeight w:val="230"/>
        </w:trPr>
        <w:tc>
          <w:tcPr>
            <w:tcW w:w="6340" w:type="dxa"/>
            <w:vAlign w:val="bottom"/>
            <w:tcBorders>
              <w:bottom w:val="single" w:sz="8" w:color="C79FC4"/>
            </w:tcBorders>
            <w:shd w:val="clear" w:color="auto" w:fill="F3EDF3"/>
          </w:tcPr>
          <w:p>
            <w:pPr>
              <w:ind w:left="60"/>
              <w:spacing w:after="0" w:line="230" w:lineRule="exact"/>
              <w:rPr>
                <w:sz w:val="20"/>
                <w:szCs w:val="20"/>
                <w:color w:val="auto"/>
              </w:rPr>
            </w:pPr>
            <w:r>
              <w:rPr>
                <w:rFonts w:ascii="Arial" w:cs="Arial" w:eastAsia="Arial" w:hAnsi="Arial"/>
                <w:sz w:val="16"/>
                <w:szCs w:val="16"/>
                <w:color w:val="231F20"/>
              </w:rPr>
              <w:t>Net sales of discontinued operations</w:t>
            </w:r>
            <w:r>
              <w:rPr>
                <w:rFonts w:ascii="Arial" w:cs="Arial" w:eastAsia="Arial" w:hAnsi="Arial"/>
                <w:sz w:val="26"/>
                <w:szCs w:val="26"/>
                <w:color w:val="231F20"/>
                <w:vertAlign w:val="superscript"/>
              </w:rPr>
              <w:t>(A)</w:t>
            </w:r>
          </w:p>
        </w:tc>
        <w:tc>
          <w:tcPr>
            <w:tcW w:w="4280" w:type="dxa"/>
            <w:vAlign w:val="bottom"/>
            <w:tcBorders>
              <w:bottom w:val="single" w:sz="8" w:color="C79FC4"/>
            </w:tcBorders>
            <w:shd w:val="clear" w:color="auto" w:fill="F3EDF3"/>
          </w:tcPr>
          <w:p>
            <w:pPr>
              <w:spacing w:after="0"/>
              <w:rPr>
                <w:sz w:val="19"/>
                <w:szCs w:val="19"/>
                <w:color w:val="auto"/>
              </w:rPr>
            </w:pPr>
          </w:p>
        </w:tc>
        <w:tc>
          <w:tcPr>
            <w:tcW w:w="800" w:type="dxa"/>
            <w:vAlign w:val="bottom"/>
            <w:tcBorders>
              <w:bottom w:val="single" w:sz="8" w:color="C79FC4"/>
            </w:tcBorders>
            <w:shd w:val="clear" w:color="auto" w:fill="F3EDF3"/>
          </w:tcPr>
          <w:p>
            <w:pPr>
              <w:jc w:val="right"/>
              <w:ind w:right="19"/>
              <w:spacing w:after="0"/>
              <w:rPr>
                <w:sz w:val="20"/>
                <w:szCs w:val="20"/>
                <w:color w:val="auto"/>
              </w:rPr>
            </w:pPr>
            <w:r>
              <w:rPr>
                <w:rFonts w:ascii="Arial" w:cs="Arial" w:eastAsia="Arial" w:hAnsi="Arial"/>
                <w:sz w:val="16"/>
                <w:szCs w:val="16"/>
                <w:color w:val="231F20"/>
              </w:rPr>
              <w:t>245.2</w:t>
            </w:r>
          </w:p>
        </w:tc>
      </w:tr>
      <w:tr>
        <w:trPr>
          <w:trHeight w:val="183"/>
        </w:trPr>
        <w:tc>
          <w:tcPr>
            <w:tcW w:w="634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800" w:type="dxa"/>
            <w:vAlign w:val="bottom"/>
          </w:tcPr>
          <w:p>
            <w:pPr>
              <w:jc w:val="right"/>
              <w:ind w:right="19"/>
              <w:spacing w:after="0" w:line="183" w:lineRule="exact"/>
              <w:rPr>
                <w:sz w:val="20"/>
                <w:szCs w:val="20"/>
                <w:color w:val="auto"/>
              </w:rPr>
            </w:pPr>
            <w:r>
              <w:rPr>
                <w:rFonts w:ascii="Arial" w:cs="Arial" w:eastAsia="Arial" w:hAnsi="Arial"/>
                <w:sz w:val="16"/>
                <w:szCs w:val="16"/>
                <w:color w:val="231F20"/>
              </w:rPr>
              <w:t>1,257.4</w:t>
            </w:r>
          </w:p>
        </w:tc>
      </w:tr>
      <w:tr>
        <w:trPr>
          <w:trHeight w:val="230"/>
        </w:trPr>
        <w:tc>
          <w:tcPr>
            <w:tcW w:w="6340" w:type="dxa"/>
            <w:vAlign w:val="bottom"/>
            <w:tcBorders>
              <w:bottom w:val="single" w:sz="8" w:color="6F2875"/>
            </w:tcBorders>
            <w:shd w:val="clear" w:color="auto" w:fill="F3EDF3"/>
          </w:tcPr>
          <w:p>
            <w:pPr>
              <w:ind w:left="60"/>
              <w:spacing w:after="0" w:line="230" w:lineRule="exact"/>
              <w:rPr>
                <w:sz w:val="20"/>
                <w:szCs w:val="20"/>
                <w:color w:val="auto"/>
              </w:rPr>
            </w:pPr>
            <w:r>
              <w:rPr>
                <w:rFonts w:ascii="Arial" w:cs="Arial" w:eastAsia="Arial" w:hAnsi="Arial"/>
                <w:sz w:val="16"/>
                <w:szCs w:val="16"/>
                <w:color w:val="231F20"/>
              </w:rPr>
              <w:t>Constant currency adjustment</w:t>
            </w:r>
            <w:r>
              <w:rPr>
                <w:rFonts w:ascii="Arial" w:cs="Arial" w:eastAsia="Arial" w:hAnsi="Arial"/>
                <w:sz w:val="26"/>
                <w:szCs w:val="26"/>
                <w:color w:val="231F20"/>
                <w:vertAlign w:val="superscript"/>
              </w:rPr>
              <w:t>(B)</w:t>
            </w:r>
          </w:p>
        </w:tc>
        <w:tc>
          <w:tcPr>
            <w:tcW w:w="4280" w:type="dxa"/>
            <w:vAlign w:val="bottom"/>
            <w:tcBorders>
              <w:bottom w:val="single" w:sz="8" w:color="6F2875"/>
            </w:tcBorders>
            <w:shd w:val="clear" w:color="auto" w:fill="F3EDF3"/>
          </w:tcPr>
          <w:p>
            <w:pPr>
              <w:spacing w:after="0"/>
              <w:rPr>
                <w:sz w:val="19"/>
                <w:szCs w:val="19"/>
                <w:color w:val="auto"/>
              </w:rPr>
            </w:pPr>
          </w:p>
        </w:tc>
        <w:tc>
          <w:tcPr>
            <w:tcW w:w="800" w:type="dxa"/>
            <w:vAlign w:val="bottom"/>
            <w:tcBorders>
              <w:bottom w:val="single" w:sz="8" w:color="6F2875"/>
            </w:tcBorders>
            <w:shd w:val="clear" w:color="auto" w:fill="F3EDF3"/>
          </w:tcPr>
          <w:p>
            <w:pPr>
              <w:jc w:val="right"/>
              <w:spacing w:after="0"/>
              <w:rPr>
                <w:sz w:val="20"/>
                <w:szCs w:val="20"/>
                <w:color w:val="auto"/>
              </w:rPr>
            </w:pPr>
            <w:r>
              <w:rPr>
                <w:rFonts w:ascii="Arial" w:cs="Arial" w:eastAsia="Arial" w:hAnsi="Arial"/>
                <w:sz w:val="16"/>
                <w:szCs w:val="16"/>
                <w:color w:val="231F20"/>
              </w:rPr>
              <w:t>(15.7</w:t>
            </w:r>
            <w:r>
              <w:rPr>
                <w:rFonts w:ascii="Arial" w:cs="Arial" w:eastAsia="Arial" w:hAnsi="Arial"/>
                <w:sz w:val="16"/>
                <w:szCs w:val="16"/>
                <w:color w:val="000000"/>
              </w:rPr>
              <w:t>)</w:t>
            </w:r>
          </w:p>
        </w:tc>
      </w:tr>
      <w:tr>
        <w:trPr>
          <w:trHeight w:val="183"/>
        </w:trPr>
        <w:tc>
          <w:tcPr>
            <w:tcW w:w="6340" w:type="dxa"/>
            <w:vAlign w:val="bottom"/>
            <w:tcBorders>
              <w:bottom w:val="single" w:sz="8" w:color="6F2875"/>
            </w:tcBorders>
          </w:tcPr>
          <w:p>
            <w:pPr>
              <w:ind w:left="60"/>
              <w:spacing w:after="0" w:line="183" w:lineRule="exact"/>
              <w:rPr>
                <w:sz w:val="20"/>
                <w:szCs w:val="20"/>
                <w:color w:val="auto"/>
              </w:rPr>
            </w:pPr>
            <w:r>
              <w:rPr>
                <w:rFonts w:ascii="Arial" w:cs="Arial" w:eastAsia="Arial" w:hAnsi="Arial"/>
                <w:sz w:val="16"/>
                <w:szCs w:val="16"/>
                <w:b w:val="1"/>
                <w:bCs w:val="1"/>
                <w:color w:val="6F2875"/>
              </w:rPr>
              <w:t>ADJUSTED NET SALES</w:t>
            </w:r>
          </w:p>
        </w:tc>
        <w:tc>
          <w:tcPr>
            <w:tcW w:w="4280" w:type="dxa"/>
            <w:vAlign w:val="bottom"/>
            <w:tcBorders>
              <w:bottom w:val="single" w:sz="8" w:color="6F2875"/>
            </w:tcBorders>
          </w:tcPr>
          <w:p>
            <w:pPr>
              <w:jc w:val="right"/>
              <w:ind w:right="79"/>
              <w:spacing w:after="0" w:line="183" w:lineRule="exact"/>
              <w:rPr>
                <w:sz w:val="20"/>
                <w:szCs w:val="20"/>
                <w:color w:val="auto"/>
              </w:rPr>
            </w:pPr>
            <w:r>
              <w:rPr>
                <w:rFonts w:ascii="Arial" w:cs="Arial" w:eastAsia="Arial" w:hAnsi="Arial"/>
                <w:sz w:val="16"/>
                <w:szCs w:val="16"/>
                <w:b w:val="1"/>
                <w:bCs w:val="1"/>
                <w:color w:val="6F2875"/>
              </w:rPr>
              <w:t>$</w:t>
            </w:r>
          </w:p>
        </w:tc>
        <w:tc>
          <w:tcPr>
            <w:tcW w:w="800" w:type="dxa"/>
            <w:vAlign w:val="bottom"/>
            <w:tcBorders>
              <w:bottom w:val="single" w:sz="8" w:color="6F2875"/>
            </w:tcBorders>
          </w:tcPr>
          <w:p>
            <w:pPr>
              <w:jc w:val="right"/>
              <w:ind w:right="19"/>
              <w:spacing w:after="0" w:line="183" w:lineRule="exact"/>
              <w:rPr>
                <w:sz w:val="20"/>
                <w:szCs w:val="20"/>
                <w:color w:val="auto"/>
              </w:rPr>
            </w:pPr>
            <w:r>
              <w:rPr>
                <w:rFonts w:ascii="Arial" w:cs="Arial" w:eastAsia="Arial" w:hAnsi="Arial"/>
                <w:sz w:val="16"/>
                <w:szCs w:val="16"/>
                <w:b w:val="1"/>
                <w:bCs w:val="1"/>
                <w:color w:val="6F2875"/>
              </w:rPr>
              <w:t>1,241.7</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231F20"/>
        </w:rPr>
        <w:t>Adjustments for the year ended December 31, 2017 include:</w:t>
      </w:r>
    </w:p>
    <w:p>
      <w:pPr>
        <w:spacing w:after="0" w:line="183"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4"/>
          <w:szCs w:val="14"/>
          <w:i w:val="1"/>
          <w:iCs w:val="1"/>
          <w:color w:val="231F20"/>
        </w:rPr>
      </w:pPr>
      <w:r>
        <w:rPr>
          <w:rFonts w:ascii="Arial" w:cs="Arial" w:eastAsia="Arial" w:hAnsi="Arial"/>
          <w:sz w:val="14"/>
          <w:szCs w:val="14"/>
          <w:i w:val="1"/>
          <w:iCs w:val="1"/>
          <w:color w:val="231F20"/>
        </w:rPr>
        <w:t>Adjustment to include the net sales of the CRM Business Franchise.</w:t>
      </w:r>
    </w:p>
    <w:p>
      <w:pPr>
        <w:spacing w:after="0" w:line="55" w:lineRule="exact"/>
        <w:rPr>
          <w:rFonts w:ascii="Arial" w:cs="Arial" w:eastAsia="Arial" w:hAnsi="Arial"/>
          <w:sz w:val="14"/>
          <w:szCs w:val="14"/>
          <w:i w:val="1"/>
          <w:iCs w:val="1"/>
          <w:color w:val="231F20"/>
        </w:rPr>
      </w:pPr>
    </w:p>
    <w:p>
      <w:pPr>
        <w:ind w:left="340" w:hanging="332"/>
        <w:spacing w:after="0"/>
        <w:tabs>
          <w:tab w:leader="none" w:pos="340" w:val="left"/>
        </w:tabs>
        <w:numPr>
          <w:ilvl w:val="0"/>
          <w:numId w:val="65"/>
        </w:numPr>
        <w:rPr>
          <w:rFonts w:ascii="Arial" w:cs="Arial" w:eastAsia="Arial" w:hAnsi="Arial"/>
          <w:sz w:val="14"/>
          <w:szCs w:val="14"/>
          <w:i w:val="1"/>
          <w:iCs w:val="1"/>
          <w:color w:val="231F20"/>
        </w:rPr>
      </w:pPr>
      <w:r>
        <w:rPr>
          <w:rFonts w:ascii="Arial" w:cs="Arial" w:eastAsia="Arial" w:hAnsi="Arial"/>
          <w:sz w:val="14"/>
          <w:szCs w:val="14"/>
          <w:i w:val="1"/>
          <w:iCs w:val="1"/>
          <w:color w:val="231F20"/>
        </w:rPr>
        <w:t>Adjustment to reflect net sales at constant currency rates.</w:t>
      </w:r>
    </w:p>
    <w:p>
      <w:pPr>
        <w:spacing w:after="0" w:line="55"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4"/>
          <w:szCs w:val="14"/>
          <w:i w:val="1"/>
          <w:iCs w:val="1"/>
          <w:color w:val="231F20"/>
        </w:rPr>
      </w:pPr>
      <w:r>
        <w:rPr>
          <w:rFonts w:ascii="Arial" w:cs="Arial" w:eastAsia="Arial" w:hAnsi="Arial"/>
          <w:sz w:val="14"/>
          <w:szCs w:val="14"/>
          <w:i w:val="1"/>
          <w:iCs w:val="1"/>
          <w:color w:val="231F20"/>
        </w:rPr>
        <w:t>Numbers may not add up precisely due to rounding.</w:t>
      </w:r>
    </w:p>
    <w:p>
      <w:pPr>
        <w:sectPr>
          <w:pgSz w:w="11900" w:h="16838" w:orient="portrait"/>
          <w:cols w:equalWidth="0" w:num="1">
            <w:col w:w="11420"/>
          </w:cols>
          <w:pgMar w:left="240" w:top="2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ind w:right="7840"/>
        <w:spacing w:after="0"/>
        <w:rPr>
          <w:sz w:val="20"/>
          <w:szCs w:val="20"/>
          <w:color w:val="auto"/>
        </w:rPr>
      </w:pPr>
      <w:r>
        <w:rPr>
          <w:rFonts w:ascii="Arial" w:cs="Arial" w:eastAsia="Arial" w:hAnsi="Arial"/>
          <w:sz w:val="16"/>
          <w:szCs w:val="16"/>
          <w:color w:val="231F20"/>
        </w:rPr>
        <w:t>Net loss –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200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right"/>
        <w:ind w:right="7820"/>
        <w:spacing w:after="0"/>
        <w:rPr>
          <w:sz w:val="20"/>
          <w:szCs w:val="20"/>
          <w:color w:val="auto"/>
        </w:rPr>
      </w:pPr>
      <w:r>
        <w:rPr>
          <w:rFonts w:ascii="Arial" w:cs="Arial" w:eastAsia="Arial" w:hAnsi="Arial"/>
          <w:sz w:val="16"/>
          <w:szCs w:val="16"/>
          <w:color w:val="231F20"/>
        </w:rPr>
        <w:t>Specified Items</w:t>
      </w:r>
    </w:p>
    <w:p>
      <w:pPr>
        <w:ind w:left="180"/>
        <w:spacing w:after="0" w:line="212" w:lineRule="auto"/>
        <w:rPr>
          <w:sz w:val="20"/>
          <w:szCs w:val="20"/>
          <w:color w:val="auto"/>
        </w:rPr>
      </w:pPr>
      <w:r>
        <w:rPr>
          <w:rFonts w:ascii="Arial" w:cs="Arial" w:eastAsia="Arial" w:hAnsi="Arial"/>
          <w:sz w:val="16"/>
          <w:szCs w:val="16"/>
          <w:color w:val="231F20"/>
        </w:rPr>
        <w:t>Merger and integration expenses</w:t>
      </w:r>
      <w:r>
        <w:rPr>
          <w:rFonts w:ascii="Arial" w:cs="Arial" w:eastAsia="Arial" w:hAnsi="Arial"/>
          <w:sz w:val="27"/>
          <w:szCs w:val="27"/>
          <w:color w:val="231F20"/>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46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80"/>
        <w:spacing w:after="0" w:line="185" w:lineRule="auto"/>
        <w:rPr>
          <w:sz w:val="20"/>
          <w:szCs w:val="20"/>
          <w:color w:val="auto"/>
        </w:rPr>
      </w:pPr>
      <w:r>
        <w:rPr>
          <w:rFonts w:ascii="Arial" w:cs="Arial" w:eastAsia="Arial" w:hAnsi="Arial"/>
          <w:sz w:val="16"/>
          <w:szCs w:val="16"/>
          <w:color w:val="231F20"/>
        </w:rPr>
        <w:t>Restructuring expenses</w:t>
      </w:r>
      <w:r>
        <w:rPr>
          <w:rFonts w:ascii="Arial" w:cs="Arial" w:eastAsia="Arial" w:hAnsi="Arial"/>
          <w:sz w:val="26"/>
          <w:szCs w:val="26"/>
          <w:color w:val="231F20"/>
          <w:vertAlign w:val="superscript"/>
        </w:rPr>
        <w:t>(B)</w:t>
      </w:r>
    </w:p>
    <w:p>
      <w:pPr>
        <w:ind w:left="180"/>
        <w:spacing w:after="0" w:line="184" w:lineRule="auto"/>
        <w:rPr>
          <w:sz w:val="20"/>
          <w:szCs w:val="20"/>
          <w:color w:val="auto"/>
        </w:rPr>
      </w:pPr>
      <w:r>
        <w:rPr>
          <w:rFonts w:ascii="Arial" w:cs="Arial" w:eastAsia="Arial" w:hAnsi="Arial"/>
          <w:sz w:val="16"/>
          <w:szCs w:val="16"/>
          <w:color w:val="231F20"/>
        </w:rPr>
        <w:t>Depreciation and Amortization</w:t>
      </w:r>
      <w:r>
        <w:rPr>
          <w:rFonts w:ascii="Arial" w:cs="Arial" w:eastAsia="Arial" w:hAnsi="Arial"/>
          <w:sz w:val="26"/>
          <w:szCs w:val="26"/>
          <w:color w:val="231F20"/>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46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80"/>
        <w:spacing w:after="0" w:line="185" w:lineRule="auto"/>
        <w:rPr>
          <w:sz w:val="20"/>
          <w:szCs w:val="20"/>
          <w:color w:val="auto"/>
        </w:rPr>
      </w:pPr>
      <w:r>
        <w:rPr>
          <w:rFonts w:ascii="Arial" w:cs="Arial" w:eastAsia="Arial" w:hAnsi="Arial"/>
          <w:sz w:val="13"/>
          <w:szCs w:val="13"/>
          <w:color w:val="231F20"/>
        </w:rPr>
        <w:t>Product remediation</w:t>
      </w:r>
      <w:r>
        <w:rPr>
          <w:rFonts w:ascii="Arial" w:cs="Arial" w:eastAsia="Arial" w:hAnsi="Arial"/>
          <w:sz w:val="21"/>
          <w:szCs w:val="21"/>
          <w:color w:val="231F20"/>
          <w:vertAlign w:val="superscript"/>
        </w:rPr>
        <w:t>(D)</w:t>
      </w:r>
    </w:p>
    <w:p>
      <w:pPr>
        <w:ind w:left="180"/>
        <w:spacing w:after="0" w:line="228" w:lineRule="auto"/>
        <w:rPr>
          <w:sz w:val="20"/>
          <w:szCs w:val="20"/>
          <w:color w:val="auto"/>
        </w:rPr>
      </w:pPr>
      <w:r>
        <w:rPr>
          <w:rFonts w:ascii="Arial" w:cs="Arial" w:eastAsia="Arial" w:hAnsi="Arial"/>
          <w:sz w:val="15"/>
          <w:szCs w:val="15"/>
          <w:color w:val="231F20"/>
        </w:rPr>
        <w:t>Other income/(expenses) &amp; litigations</w:t>
      </w:r>
      <w:r>
        <w:rPr>
          <w:rFonts w:ascii="Arial" w:cs="Arial" w:eastAsia="Arial" w:hAnsi="Arial"/>
          <w:sz w:val="25"/>
          <w:szCs w:val="25"/>
          <w:color w:val="231F20"/>
          <w:vertAlign w:val="superscript"/>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46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80"/>
        <w:spacing w:after="0" w:line="185" w:lineRule="auto"/>
        <w:rPr>
          <w:sz w:val="20"/>
          <w:szCs w:val="20"/>
          <w:color w:val="auto"/>
        </w:rPr>
      </w:pPr>
      <w:r>
        <w:rPr>
          <w:rFonts w:ascii="Arial" w:cs="Arial" w:eastAsia="Arial" w:hAnsi="Arial"/>
          <w:sz w:val="13"/>
          <w:szCs w:val="13"/>
          <w:color w:val="231F20"/>
        </w:rPr>
        <w:t>Equity compensation</w:t>
      </w:r>
      <w:r>
        <w:rPr>
          <w:rFonts w:ascii="Arial" w:cs="Arial" w:eastAsia="Arial" w:hAnsi="Arial"/>
          <w:sz w:val="21"/>
          <w:szCs w:val="21"/>
          <w:color w:val="231F20"/>
          <w:vertAlign w:val="superscript"/>
        </w:rPr>
        <w:t>(F)</w:t>
      </w:r>
    </w:p>
    <w:p>
      <w:pPr>
        <w:ind w:left="180"/>
        <w:spacing w:after="0" w:line="211" w:lineRule="auto"/>
        <w:rPr>
          <w:sz w:val="20"/>
          <w:szCs w:val="20"/>
          <w:color w:val="auto"/>
        </w:rPr>
      </w:pPr>
      <w:r>
        <w:rPr>
          <w:rFonts w:ascii="Arial" w:cs="Arial" w:eastAsia="Arial" w:hAnsi="Arial"/>
          <w:sz w:val="16"/>
          <w:szCs w:val="16"/>
          <w:color w:val="231F20"/>
        </w:rPr>
        <w:t>CRM business franchise divestiture</w:t>
      </w:r>
      <w:r>
        <w:rPr>
          <w:rFonts w:ascii="Arial" w:cs="Arial" w:eastAsia="Arial" w:hAnsi="Arial"/>
          <w:sz w:val="27"/>
          <w:szCs w:val="27"/>
          <w:color w:val="231F20"/>
          <w:vertAlign w:val="superscript"/>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46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80"/>
        <w:spacing w:after="0" w:line="185" w:lineRule="auto"/>
        <w:rPr>
          <w:sz w:val="20"/>
          <w:szCs w:val="20"/>
          <w:color w:val="auto"/>
        </w:rPr>
      </w:pPr>
      <w:r>
        <w:rPr>
          <w:rFonts w:ascii="Arial" w:cs="Arial" w:eastAsia="Arial" w:hAnsi="Arial"/>
          <w:sz w:val="13"/>
          <w:szCs w:val="13"/>
          <w:color w:val="231F20"/>
        </w:rPr>
        <w:t>Other impairments</w:t>
      </w:r>
      <w:r>
        <w:rPr>
          <w:rFonts w:ascii="Arial" w:cs="Arial" w:eastAsia="Arial" w:hAnsi="Arial"/>
          <w:sz w:val="21"/>
          <w:szCs w:val="21"/>
          <w:color w:val="231F20"/>
          <w:vertAlign w:val="superscript"/>
        </w:rPr>
        <w:t>(H)</w:t>
      </w:r>
    </w:p>
    <w:p>
      <w:pPr>
        <w:ind w:left="180"/>
        <w:spacing w:after="0" w:line="184" w:lineRule="auto"/>
        <w:rPr>
          <w:sz w:val="20"/>
          <w:szCs w:val="20"/>
          <w:color w:val="auto"/>
        </w:rPr>
      </w:pPr>
      <w:r>
        <w:rPr>
          <w:rFonts w:ascii="Arial" w:cs="Arial" w:eastAsia="Arial" w:hAnsi="Arial"/>
          <w:sz w:val="16"/>
          <w:szCs w:val="16"/>
          <w:color w:val="231F20"/>
        </w:rPr>
        <w:t>Acquisition costs</w:t>
      </w:r>
      <w:r>
        <w:rPr>
          <w:rFonts w:ascii="Arial" w:cs="Arial" w:eastAsia="Arial" w:hAnsi="Arial"/>
          <w:sz w:val="26"/>
          <w:szCs w:val="26"/>
          <w:color w:val="231F20"/>
          <w:vertAlign w:val="superscript"/>
        </w:rPr>
        <w:t>(I)</w:t>
      </w:r>
    </w:p>
    <w:p>
      <w:pPr>
        <w:ind w:left="180"/>
        <w:spacing w:after="0" w:line="211" w:lineRule="auto"/>
        <w:rPr>
          <w:sz w:val="20"/>
          <w:szCs w:val="20"/>
          <w:color w:val="auto"/>
        </w:rPr>
      </w:pPr>
      <w:r>
        <w:rPr>
          <w:rFonts w:ascii="Arial" w:cs="Arial" w:eastAsia="Arial" w:hAnsi="Arial"/>
          <w:sz w:val="16"/>
          <w:szCs w:val="16"/>
          <w:color w:val="231F20"/>
        </w:rPr>
        <w:t>Certain interest adjustments</w:t>
      </w:r>
      <w:r>
        <w:rPr>
          <w:rFonts w:ascii="Arial" w:cs="Arial" w:eastAsia="Arial" w:hAnsi="Arial"/>
          <w:sz w:val="27"/>
          <w:szCs w:val="27"/>
          <w:color w:val="231F20"/>
          <w:vertAlign w:val="superscript"/>
        </w:rPr>
        <w:t>(J)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80"/>
        <w:spacing w:after="0" w:line="184" w:lineRule="auto"/>
        <w:rPr>
          <w:sz w:val="20"/>
          <w:szCs w:val="20"/>
          <w:color w:val="auto"/>
        </w:rPr>
      </w:pPr>
      <w:r>
        <w:rPr>
          <w:rFonts w:ascii="Arial" w:cs="Arial" w:eastAsia="Arial" w:hAnsi="Arial"/>
          <w:sz w:val="14"/>
          <w:szCs w:val="14"/>
          <w:color w:val="231F20"/>
        </w:rPr>
        <w:t>Certain tax adjustments</w:t>
      </w:r>
      <w:r>
        <w:rPr>
          <w:rFonts w:ascii="Arial" w:cs="Arial" w:eastAsia="Arial" w:hAnsi="Arial"/>
          <w:sz w:val="23"/>
          <w:szCs w:val="23"/>
          <w:color w:val="231F20"/>
          <w:vertAlign w:val="superscript"/>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28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b w:val="1"/>
          <w:bCs w:val="1"/>
          <w:color w:val="6F2875"/>
        </w:rPr>
        <w:t>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right"/>
        <w:ind w:right="100"/>
        <w:spacing w:after="0"/>
        <w:rPr>
          <w:sz w:val="20"/>
          <w:szCs w:val="20"/>
          <w:color w:val="auto"/>
        </w:rPr>
      </w:pPr>
      <w:r>
        <w:rPr>
          <w:rFonts w:ascii="Arial" w:cs="Arial" w:eastAsia="Arial" w:hAnsi="Arial"/>
          <w:sz w:val="16"/>
          <w:szCs w:val="16"/>
          <w:b w:val="1"/>
          <w:bCs w:val="1"/>
          <w:color w:val="6F2875"/>
        </w:rPr>
        <w:t>For the Year Ended</w:t>
      </w:r>
    </w:p>
    <w:p>
      <w:pPr>
        <w:spacing w:after="0" w:line="25" w:lineRule="exact"/>
        <w:rPr>
          <w:sz w:val="20"/>
          <w:szCs w:val="20"/>
          <w:color w:val="auto"/>
        </w:rPr>
      </w:pPr>
    </w:p>
    <w:p>
      <w:pPr>
        <w:jc w:val="right"/>
        <w:ind w:right="100"/>
        <w:spacing w:after="0"/>
        <w:rPr>
          <w:sz w:val="20"/>
          <w:szCs w:val="20"/>
          <w:color w:val="auto"/>
        </w:rPr>
      </w:pPr>
      <w:r>
        <w:rPr>
          <w:rFonts w:ascii="Arial" w:cs="Arial" w:eastAsia="Arial" w:hAnsi="Arial"/>
          <w:sz w:val="16"/>
          <w:szCs w:val="16"/>
          <w:b w:val="1"/>
          <w:bCs w:val="1"/>
          <w:color w:val="6F2875"/>
        </w:rPr>
        <w:t>December 31,</w:t>
      </w:r>
    </w:p>
    <w:p>
      <w:pPr>
        <w:spacing w:after="0" w:line="5" w:lineRule="exact"/>
        <w:rPr>
          <w:sz w:val="20"/>
          <w:szCs w:val="20"/>
          <w:color w:val="auto"/>
        </w:rPr>
      </w:pPr>
    </w:p>
    <w:p>
      <w:pPr>
        <w:jc w:val="right"/>
        <w:ind w:right="100"/>
        <w:spacing w:after="0"/>
        <w:rPr>
          <w:sz w:val="20"/>
          <w:szCs w:val="20"/>
          <w:color w:val="auto"/>
        </w:rPr>
      </w:pPr>
      <w:r>
        <w:rPr>
          <w:rFonts w:ascii="Arial" w:cs="Arial" w:eastAsia="Arial" w:hAnsi="Arial"/>
          <w:sz w:val="16"/>
          <w:szCs w:val="16"/>
          <w:b w:val="1"/>
          <w:bCs w:val="1"/>
          <w:color w:val="6F2875"/>
        </w:rPr>
        <w:t>2017*</w:t>
      </w:r>
    </w:p>
    <w:p>
      <w:pPr>
        <w:spacing w:after="0" w:line="19" w:lineRule="exact"/>
        <w:rPr>
          <w:sz w:val="20"/>
          <w:szCs w:val="20"/>
          <w:color w:val="auto"/>
        </w:rPr>
      </w:pPr>
    </w:p>
    <w:p>
      <w:pPr>
        <w:ind w:left="1100" w:hanging="569"/>
        <w:spacing w:after="0"/>
        <w:tabs>
          <w:tab w:leader="none" w:pos="1100" w:val="left"/>
        </w:tabs>
        <w:numPr>
          <w:ilvl w:val="0"/>
          <w:numId w:val="67"/>
        </w:numPr>
        <w:rPr>
          <w:rFonts w:ascii="Arial" w:cs="Arial" w:eastAsia="Arial" w:hAnsi="Arial"/>
          <w:sz w:val="16"/>
          <w:szCs w:val="16"/>
          <w:color w:val="auto"/>
        </w:rPr>
      </w:pPr>
      <w:r>
        <w:rPr>
          <w:rFonts w:ascii="Arial" w:cs="Arial" w:eastAsia="Arial" w:hAnsi="Arial"/>
          <w:sz w:val="16"/>
          <w:szCs w:val="16"/>
          <w:color w:val="231F20"/>
        </w:rPr>
        <w:t>(25.1</w:t>
      </w:r>
      <w:r>
        <w:rPr>
          <w:rFonts w:ascii="Arial" w:cs="Arial" w:eastAsia="Arial" w:hAnsi="Arial"/>
          <w:sz w:val="16"/>
          <w:szCs w:val="16"/>
          <w:color w:val="000000"/>
        </w:rPr>
        <w:t>)</w:t>
      </w:r>
    </w:p>
    <w:p>
      <w:pPr>
        <w:spacing w:after="0" w:line="194"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231F20"/>
        </w:rPr>
        <w:t>11.6</w:t>
      </w:r>
    </w:p>
    <w:p>
      <w:pPr>
        <w:spacing w:after="0" w:line="4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231F20"/>
        </w:rPr>
        <w:t>13.0</w:t>
      </w:r>
    </w:p>
    <w:p>
      <w:pPr>
        <w:spacing w:after="0" w:line="4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231F20"/>
        </w:rPr>
        <w:t>37.2</w:t>
      </w:r>
    </w:p>
    <w:p>
      <w:pPr>
        <w:spacing w:after="0" w:line="4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231F20"/>
        </w:rPr>
        <w:t>4.8</w:t>
      </w:r>
    </w:p>
    <w:p>
      <w:pPr>
        <w:spacing w:after="0" w:line="4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231F20"/>
        </w:rPr>
        <w:t>3.7</w:t>
      </w:r>
    </w:p>
    <w:p>
      <w:pPr>
        <w:spacing w:after="0" w:line="4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231F20"/>
        </w:rPr>
        <w:t>14.8</w:t>
      </w:r>
    </w:p>
    <w:p>
      <w:pPr>
        <w:spacing w:after="0" w:line="4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231F20"/>
        </w:rPr>
        <w:t>83.7</w:t>
      </w:r>
    </w:p>
    <w:p>
      <w:pPr>
        <w:spacing w:after="0" w:line="4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231F20"/>
        </w:rPr>
        <w:t>20.9</w:t>
      </w:r>
    </w:p>
    <w:p>
      <w:pPr>
        <w:spacing w:after="0" w:line="4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231F20"/>
        </w:rPr>
        <w:t>(28.7</w:t>
      </w:r>
      <w:r>
        <w:rPr>
          <w:rFonts w:ascii="Arial" w:cs="Arial" w:eastAsia="Arial" w:hAnsi="Arial"/>
          <w:sz w:val="16"/>
          <w:szCs w:val="16"/>
          <w:color w:val="000000"/>
        </w:rPr>
        <w:t>)</w:t>
      </w:r>
    </w:p>
    <w:p>
      <w:pPr>
        <w:spacing w:after="0" w:line="4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231F20"/>
        </w:rPr>
        <w:t>1.5</w:t>
      </w:r>
    </w:p>
    <w:p>
      <w:pPr>
        <w:spacing w:after="0" w:line="4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231F20"/>
        </w:rPr>
        <w:t>34.3</w:t>
      </w:r>
    </w:p>
    <w:p>
      <w:pPr>
        <w:spacing w:after="0" w:line="39" w:lineRule="exact"/>
        <w:rPr>
          <w:sz w:val="20"/>
          <w:szCs w:val="20"/>
          <w:color w:val="auto"/>
        </w:rPr>
      </w:pPr>
    </w:p>
    <w:p>
      <w:pPr>
        <w:ind w:left="1060" w:hanging="529"/>
        <w:spacing w:after="0"/>
        <w:tabs>
          <w:tab w:leader="none" w:pos="1060" w:val="left"/>
        </w:tabs>
        <w:numPr>
          <w:ilvl w:val="0"/>
          <w:numId w:val="68"/>
        </w:numPr>
        <w:rPr>
          <w:rFonts w:ascii="Arial" w:cs="Arial" w:eastAsia="Arial" w:hAnsi="Arial"/>
          <w:sz w:val="16"/>
          <w:szCs w:val="16"/>
          <w:b w:val="1"/>
          <w:bCs w:val="1"/>
          <w:color w:val="6F2875"/>
        </w:rPr>
      </w:pPr>
      <w:r>
        <w:rPr>
          <w:rFonts w:ascii="Arial" w:cs="Arial" w:eastAsia="Arial" w:hAnsi="Arial"/>
          <w:sz w:val="16"/>
          <w:szCs w:val="16"/>
          <w:b w:val="1"/>
          <w:bCs w:val="1"/>
          <w:color w:val="6F2875"/>
        </w:rPr>
        <w:t>171.8</w:t>
      </w:r>
    </w:p>
    <w:p>
      <w:pPr>
        <w:spacing w:after="0" w:line="220" w:lineRule="exact"/>
        <w:rPr>
          <w:sz w:val="20"/>
          <w:szCs w:val="20"/>
          <w:color w:val="auto"/>
        </w:rPr>
      </w:pPr>
    </w:p>
    <w:p>
      <w:pPr>
        <w:sectPr>
          <w:pgSz w:w="11900" w:h="16838" w:orient="portrait"/>
          <w:cols w:equalWidth="0" w:num="2">
            <w:col w:w="9120" w:space="720"/>
            <w:col w:w="1580"/>
          </w:cols>
          <w:pgMar w:left="240" w:top="234" w:right="239" w:bottom="1440" w:gutter="0" w:footer="0" w:header="0"/>
          <w:type w:val="continuous"/>
        </w:sectPr>
      </w:pPr>
    </w:p>
    <w:p>
      <w:pPr>
        <w:spacing w:after="0" w:line="1" w:lineRule="exact"/>
        <w:rPr>
          <w:sz w:val="20"/>
          <w:szCs w:val="20"/>
          <w:color w:val="auto"/>
        </w:rPr>
      </w:pPr>
    </w:p>
    <w:p>
      <w:pPr>
        <w:spacing w:after="0"/>
        <w:tabs>
          <w:tab w:leader="none" w:pos="4220" w:val="left"/>
          <w:tab w:leader="none" w:pos="9960" w:val="left"/>
        </w:tabs>
        <w:rPr>
          <w:sz w:val="20"/>
          <w:szCs w:val="20"/>
          <w:color w:val="auto"/>
        </w:rPr>
      </w:pPr>
      <w:r>
        <w:rPr>
          <w:rFonts w:ascii="Arial" w:cs="Arial" w:eastAsia="Arial" w:hAnsi="Arial"/>
          <w:sz w:val="16"/>
          <w:szCs w:val="16"/>
          <w:b w:val="1"/>
          <w:bCs w:val="1"/>
          <w:color w:val="auto"/>
        </w:rPr>
        <w:t>68</w:t>
      </w:r>
      <w:r>
        <w:rPr>
          <w:sz w:val="20"/>
          <w:szCs w:val="20"/>
          <w:color w:val="auto"/>
        </w:rPr>
        <w:tab/>
      </w: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r>
        <w:rPr>
          <w:sz w:val="20"/>
          <w:szCs w:val="20"/>
          <w:color w:val="auto"/>
        </w:rPr>
        <w:tab/>
      </w:r>
      <w:r>
        <w:rPr>
          <w:rFonts w:ascii="Arial" w:cs="Arial" w:eastAsia="Arial" w:hAnsi="Arial"/>
          <w:sz w:val="16"/>
          <w:szCs w:val="16"/>
          <w:b w:val="1"/>
          <w:bCs w:val="1"/>
          <w:color w:val="6F2875"/>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-36195</wp:posOffset>
            </wp:positionV>
            <wp:extent cx="1663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-36195</wp:posOffset>
            </wp:positionV>
            <wp:extent cx="23241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71" w:name="page72"/>
    <w:bookmarkEnd w:id="7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81"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4"/>
          <w:szCs w:val="14"/>
          <w:i w:val="1"/>
          <w:iCs w:val="1"/>
          <w:color w:val="231F20"/>
        </w:rPr>
      </w:pPr>
      <w:r>
        <w:rPr>
          <w:rFonts w:ascii="Arial" w:cs="Arial" w:eastAsia="Arial" w:hAnsi="Arial"/>
          <w:sz w:val="14"/>
          <w:szCs w:val="14"/>
          <w:i w:val="1"/>
          <w:iCs w:val="1"/>
          <w:color w:val="231F20"/>
        </w:rPr>
        <w:t>Merger and integration expenses related to our legacy companies.</w:t>
      </w:r>
    </w:p>
    <w:p>
      <w:pPr>
        <w:spacing w:after="0" w:line="55" w:lineRule="exact"/>
        <w:rPr>
          <w:rFonts w:ascii="Arial" w:cs="Arial" w:eastAsia="Arial" w:hAnsi="Arial"/>
          <w:sz w:val="14"/>
          <w:szCs w:val="14"/>
          <w:i w:val="1"/>
          <w:iCs w:val="1"/>
          <w:color w:val="231F20"/>
        </w:rPr>
      </w:pPr>
    </w:p>
    <w:p>
      <w:pPr>
        <w:ind w:left="340" w:hanging="332"/>
        <w:spacing w:after="0"/>
        <w:tabs>
          <w:tab w:leader="none" w:pos="340" w:val="left"/>
        </w:tabs>
        <w:numPr>
          <w:ilvl w:val="0"/>
          <w:numId w:val="69"/>
        </w:numPr>
        <w:rPr>
          <w:rFonts w:ascii="Arial" w:cs="Arial" w:eastAsia="Arial" w:hAnsi="Arial"/>
          <w:sz w:val="14"/>
          <w:szCs w:val="14"/>
          <w:i w:val="1"/>
          <w:iCs w:val="1"/>
          <w:color w:val="auto"/>
        </w:rPr>
      </w:pPr>
      <w:r>
        <w:rPr>
          <w:rFonts w:ascii="Arial" w:cs="Arial" w:eastAsia="Arial" w:hAnsi="Arial"/>
          <w:sz w:val="14"/>
          <w:szCs w:val="14"/>
          <w:i w:val="1"/>
          <w:iCs w:val="1"/>
          <w:color w:val="231F20"/>
        </w:rPr>
        <w:t>Restructuring expenses related to organizational changes.</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69"/>
        </w:numPr>
        <w:rPr>
          <w:rFonts w:ascii="Arial" w:cs="Arial" w:eastAsia="Arial" w:hAnsi="Arial"/>
          <w:sz w:val="14"/>
          <w:szCs w:val="14"/>
          <w:i w:val="1"/>
          <w:iCs w:val="1"/>
          <w:color w:val="231F20"/>
        </w:rPr>
      </w:pPr>
      <w:r>
        <w:rPr>
          <w:rFonts w:ascii="Arial" w:cs="Arial" w:eastAsia="Arial" w:hAnsi="Arial"/>
          <w:sz w:val="14"/>
          <w:szCs w:val="14"/>
          <w:i w:val="1"/>
          <w:iCs w:val="1"/>
          <w:color w:val="231F20"/>
        </w:rPr>
        <w:t>Includes depreciation and amortization associated with purchase price accounting ($5.4m COGS, $0.7m SG&amp;A, $0.4m R&amp;D and $45.9m amortization of intangible assets).</w:t>
      </w:r>
    </w:p>
    <w:p>
      <w:pPr>
        <w:spacing w:after="0" w:line="55" w:lineRule="exact"/>
        <w:rPr>
          <w:rFonts w:ascii="Arial" w:cs="Arial" w:eastAsia="Arial" w:hAnsi="Arial"/>
          <w:sz w:val="14"/>
          <w:szCs w:val="14"/>
          <w:i w:val="1"/>
          <w:iCs w:val="1"/>
          <w:color w:val="231F20"/>
        </w:rPr>
      </w:pPr>
    </w:p>
    <w:p>
      <w:pPr>
        <w:ind w:left="340" w:hanging="332"/>
        <w:spacing w:after="0"/>
        <w:tabs>
          <w:tab w:leader="none" w:pos="340" w:val="left"/>
        </w:tabs>
        <w:numPr>
          <w:ilvl w:val="0"/>
          <w:numId w:val="69"/>
        </w:numPr>
        <w:rPr>
          <w:rFonts w:ascii="Arial" w:cs="Arial" w:eastAsia="Arial" w:hAnsi="Arial"/>
          <w:sz w:val="14"/>
          <w:szCs w:val="14"/>
          <w:i w:val="1"/>
          <w:iCs w:val="1"/>
          <w:color w:val="231F20"/>
        </w:rPr>
      </w:pPr>
      <w:r>
        <w:rPr>
          <w:rFonts w:ascii="Arial" w:cs="Arial" w:eastAsia="Arial" w:hAnsi="Arial"/>
          <w:sz w:val="14"/>
          <w:szCs w:val="14"/>
          <w:i w:val="1"/>
          <w:iCs w:val="1"/>
          <w:color w:val="231F20"/>
        </w:rPr>
        <w:t>Costs related to the 3T Heater-Cooler remediation plan.</w:t>
      </w:r>
    </w:p>
    <w:p>
      <w:pPr>
        <w:spacing w:after="0" w:line="55" w:lineRule="exact"/>
        <w:rPr>
          <w:rFonts w:ascii="Arial" w:cs="Arial" w:eastAsia="Arial" w:hAnsi="Arial"/>
          <w:sz w:val="14"/>
          <w:szCs w:val="14"/>
          <w:i w:val="1"/>
          <w:iCs w:val="1"/>
          <w:color w:val="231F20"/>
        </w:rPr>
      </w:pPr>
    </w:p>
    <w:p>
      <w:pPr>
        <w:ind w:left="340" w:hanging="332"/>
        <w:spacing w:after="0" w:line="279" w:lineRule="auto"/>
        <w:tabs>
          <w:tab w:leader="none" w:pos="340" w:val="left"/>
        </w:tabs>
        <w:numPr>
          <w:ilvl w:val="0"/>
          <w:numId w:val="69"/>
        </w:numPr>
        <w:rPr>
          <w:rFonts w:ascii="Arial" w:cs="Arial" w:eastAsia="Arial" w:hAnsi="Arial"/>
          <w:sz w:val="14"/>
          <w:szCs w:val="14"/>
          <w:i w:val="1"/>
          <w:iCs w:val="1"/>
          <w:color w:val="231F20"/>
        </w:rPr>
      </w:pPr>
      <w:r>
        <w:rPr>
          <w:rFonts w:ascii="Arial" w:cs="Arial" w:eastAsia="Arial" w:hAnsi="Arial"/>
          <w:sz w:val="14"/>
          <w:szCs w:val="14"/>
          <w:i w:val="1"/>
          <w:iCs w:val="1"/>
          <w:color w:val="231F20"/>
        </w:rPr>
        <w:t>Contingent consideration related to acquisitions and legal expenses primarily related to 3T Heater-Cooler defense and other matters ($0.1m COGS, $10.5m SG&amp;A, ($0.3m) R&amp;D, ($0.2m) M&amp;I and $3.2m interest expense).</w:t>
      </w:r>
    </w:p>
    <w:p>
      <w:pPr>
        <w:spacing w:after="0" w:line="3" w:lineRule="exact"/>
        <w:rPr>
          <w:rFonts w:ascii="Arial" w:cs="Arial" w:eastAsia="Arial" w:hAnsi="Arial"/>
          <w:sz w:val="14"/>
          <w:szCs w:val="14"/>
          <w:i w:val="1"/>
          <w:iCs w:val="1"/>
          <w:color w:val="231F20"/>
        </w:rPr>
      </w:pPr>
    </w:p>
    <w:p>
      <w:pPr>
        <w:ind w:left="340" w:hanging="332"/>
        <w:spacing w:after="0"/>
        <w:tabs>
          <w:tab w:leader="none" w:pos="340" w:val="left"/>
        </w:tabs>
        <w:numPr>
          <w:ilvl w:val="0"/>
          <w:numId w:val="69"/>
        </w:numPr>
        <w:rPr>
          <w:rFonts w:ascii="Arial" w:cs="Arial" w:eastAsia="Arial" w:hAnsi="Arial"/>
          <w:sz w:val="14"/>
          <w:szCs w:val="14"/>
          <w:i w:val="1"/>
          <w:iCs w:val="1"/>
          <w:color w:val="231F20"/>
        </w:rPr>
      </w:pPr>
      <w:r>
        <w:rPr>
          <w:rFonts w:ascii="Arial" w:cs="Arial" w:eastAsia="Arial" w:hAnsi="Arial"/>
          <w:sz w:val="14"/>
          <w:szCs w:val="14"/>
          <w:i w:val="1"/>
          <w:iCs w:val="1"/>
          <w:color w:val="231F20"/>
        </w:rPr>
        <w:t>Includes $0.6m related to COGS, $16.9m related to SG&amp;A and $1.6m for R&amp;D.</w:t>
      </w:r>
    </w:p>
    <w:p>
      <w:pPr>
        <w:spacing w:after="0" w:line="55" w:lineRule="exact"/>
        <w:rPr>
          <w:rFonts w:ascii="Arial" w:cs="Arial" w:eastAsia="Arial" w:hAnsi="Arial"/>
          <w:sz w:val="14"/>
          <w:szCs w:val="14"/>
          <w:i w:val="1"/>
          <w:iCs w:val="1"/>
          <w:color w:val="231F20"/>
        </w:rPr>
      </w:pPr>
    </w:p>
    <w:p>
      <w:pPr>
        <w:ind w:left="340" w:hanging="332"/>
        <w:spacing w:after="0" w:line="279" w:lineRule="auto"/>
        <w:tabs>
          <w:tab w:leader="none" w:pos="340" w:val="left"/>
        </w:tabs>
        <w:numPr>
          <w:ilvl w:val="0"/>
          <w:numId w:val="69"/>
        </w:numPr>
        <w:rPr>
          <w:rFonts w:ascii="Arial" w:cs="Arial" w:eastAsia="Arial" w:hAnsi="Arial"/>
          <w:sz w:val="14"/>
          <w:szCs w:val="14"/>
          <w:i w:val="1"/>
          <w:iCs w:val="1"/>
          <w:color w:val="231F20"/>
        </w:rPr>
      </w:pPr>
      <w:r>
        <w:rPr>
          <w:rFonts w:ascii="Arial" w:cs="Arial" w:eastAsia="Arial" w:hAnsi="Arial"/>
          <w:sz w:val="14"/>
          <w:szCs w:val="14"/>
          <w:i w:val="1"/>
          <w:iCs w:val="1"/>
          <w:color w:val="231F20"/>
        </w:rPr>
        <w:t>Includes CRM business franchise impairment of $93.6m and $7.3m of expenses associated with divestiture ($0.1m COGS, $7.0m SG&amp;A, $93.6m Impairment of CRM and $0.2m R&amp;D).</w:t>
      </w:r>
    </w:p>
    <w:p>
      <w:pPr>
        <w:spacing w:after="0" w:line="3" w:lineRule="exact"/>
        <w:rPr>
          <w:rFonts w:ascii="Arial" w:cs="Arial" w:eastAsia="Arial" w:hAnsi="Arial"/>
          <w:sz w:val="14"/>
          <w:szCs w:val="14"/>
          <w:i w:val="1"/>
          <w:iCs w:val="1"/>
          <w:color w:val="231F20"/>
        </w:rPr>
      </w:pPr>
    </w:p>
    <w:p>
      <w:pPr>
        <w:ind w:left="340" w:hanging="332"/>
        <w:spacing w:after="0"/>
        <w:tabs>
          <w:tab w:leader="none" w:pos="340" w:val="left"/>
        </w:tabs>
        <w:numPr>
          <w:ilvl w:val="0"/>
          <w:numId w:val="69"/>
        </w:numPr>
        <w:rPr>
          <w:rFonts w:ascii="Arial" w:cs="Arial" w:eastAsia="Arial" w:hAnsi="Arial"/>
          <w:sz w:val="14"/>
          <w:szCs w:val="14"/>
          <w:i w:val="1"/>
          <w:iCs w:val="1"/>
          <w:color w:val="231F20"/>
        </w:rPr>
      </w:pPr>
      <w:r>
        <w:rPr>
          <w:rFonts w:ascii="Arial" w:cs="Arial" w:eastAsia="Arial" w:hAnsi="Arial"/>
          <w:sz w:val="14"/>
          <w:szCs w:val="14"/>
          <w:i w:val="1"/>
          <w:iCs w:val="1"/>
          <w:color w:val="231F20"/>
        </w:rPr>
        <w:t>Includes $13.0m of impairments to an equity method investment, $8.6m of impairments to cost-method investments and $1.0m of tangible asset impairments.</w:t>
      </w:r>
    </w:p>
    <w:p>
      <w:pPr>
        <w:spacing w:after="0" w:line="55" w:lineRule="exact"/>
        <w:rPr>
          <w:rFonts w:ascii="Arial" w:cs="Arial" w:eastAsia="Arial" w:hAnsi="Arial"/>
          <w:sz w:val="14"/>
          <w:szCs w:val="14"/>
          <w:i w:val="1"/>
          <w:iCs w:val="1"/>
          <w:color w:val="231F20"/>
        </w:rPr>
      </w:pPr>
    </w:p>
    <w:p>
      <w:pPr>
        <w:ind w:left="340" w:right="20" w:hanging="332"/>
        <w:spacing w:after="0" w:line="279" w:lineRule="auto"/>
        <w:tabs>
          <w:tab w:leader="none" w:pos="340" w:val="left"/>
        </w:tabs>
        <w:numPr>
          <w:ilvl w:val="0"/>
          <w:numId w:val="69"/>
        </w:numPr>
        <w:rPr>
          <w:rFonts w:ascii="Arial" w:cs="Arial" w:eastAsia="Arial" w:hAnsi="Arial"/>
          <w:sz w:val="14"/>
          <w:szCs w:val="14"/>
          <w:i w:val="1"/>
          <w:iCs w:val="1"/>
          <w:color w:val="231F20"/>
        </w:rPr>
      </w:pPr>
      <w:r>
        <w:rPr>
          <w:rFonts w:ascii="Arial" w:cs="Arial" w:eastAsia="Arial" w:hAnsi="Arial"/>
          <w:sz w:val="14"/>
          <w:szCs w:val="14"/>
          <w:i w:val="1"/>
          <w:iCs w:val="1"/>
          <w:color w:val="231F20"/>
        </w:rPr>
        <w:t>Costs associated with the acquisitions of ImThera, TandemLife and Caisson. Includes $16.5m in acquisitions costs ($0.2m COGS, $2.3m SG&amp;A, $13.0m R&amp;D and $1.0m M&amp;I) and a $39.4m gain upon acquisition of Caisson.</w:t>
      </w:r>
    </w:p>
    <w:p>
      <w:pPr>
        <w:spacing w:after="0" w:line="3" w:lineRule="exact"/>
        <w:rPr>
          <w:rFonts w:ascii="Arial" w:cs="Arial" w:eastAsia="Arial" w:hAnsi="Arial"/>
          <w:sz w:val="14"/>
          <w:szCs w:val="14"/>
          <w:i w:val="1"/>
          <w:iCs w:val="1"/>
          <w:color w:val="231F20"/>
        </w:rPr>
      </w:pPr>
    </w:p>
    <w:p>
      <w:pPr>
        <w:ind w:left="340" w:hanging="332"/>
        <w:spacing w:after="0"/>
        <w:tabs>
          <w:tab w:leader="none" w:pos="340" w:val="left"/>
        </w:tabs>
        <w:numPr>
          <w:ilvl w:val="0"/>
          <w:numId w:val="69"/>
        </w:numPr>
        <w:rPr>
          <w:rFonts w:ascii="Arial" w:cs="Arial" w:eastAsia="Arial" w:hAnsi="Arial"/>
          <w:sz w:val="14"/>
          <w:szCs w:val="14"/>
          <w:i w:val="1"/>
          <w:iCs w:val="1"/>
          <w:color w:val="231F20"/>
        </w:rPr>
      </w:pPr>
      <w:r>
        <w:rPr>
          <w:rFonts w:ascii="Arial" w:cs="Arial" w:eastAsia="Arial" w:hAnsi="Arial"/>
          <w:sz w:val="14"/>
          <w:szCs w:val="14"/>
          <w:i w:val="1"/>
          <w:iCs w:val="1"/>
          <w:color w:val="231F20"/>
        </w:rPr>
        <w:t>Primarily related to intellectual property migration and other non-recurring impacts to interest expense.</w:t>
      </w:r>
    </w:p>
    <w:p>
      <w:pPr>
        <w:spacing w:after="0" w:line="55" w:lineRule="exact"/>
        <w:rPr>
          <w:rFonts w:ascii="Arial" w:cs="Arial" w:eastAsia="Arial" w:hAnsi="Arial"/>
          <w:sz w:val="14"/>
          <w:szCs w:val="14"/>
          <w:i w:val="1"/>
          <w:iCs w:val="1"/>
          <w:color w:val="231F20"/>
        </w:rPr>
      </w:pPr>
    </w:p>
    <w:p>
      <w:pPr>
        <w:ind w:left="340" w:right="20" w:hanging="332"/>
        <w:spacing w:after="0" w:line="279" w:lineRule="auto"/>
        <w:tabs>
          <w:tab w:leader="none" w:pos="340" w:val="left"/>
        </w:tabs>
        <w:numPr>
          <w:ilvl w:val="0"/>
          <w:numId w:val="69"/>
        </w:numPr>
        <w:rPr>
          <w:rFonts w:ascii="Arial" w:cs="Arial" w:eastAsia="Arial" w:hAnsi="Arial"/>
          <w:sz w:val="14"/>
          <w:szCs w:val="14"/>
          <w:i w:val="1"/>
          <w:iCs w:val="1"/>
          <w:color w:val="231F20"/>
        </w:rPr>
      </w:pPr>
      <w:r>
        <w:rPr>
          <w:rFonts w:ascii="Arial" w:cs="Arial" w:eastAsia="Arial" w:hAnsi="Arial"/>
          <w:sz w:val="14"/>
          <w:szCs w:val="14"/>
          <w:i w:val="1"/>
          <w:iCs w:val="1"/>
          <w:color w:val="231F20"/>
        </w:rPr>
        <w:t>Primarily relates to discrete tax items and the tax impact of intercompany transactions, of which $27.5m related to a net, non-cash charge incurred as a result of the U.S. enacted Tax Cuts and Jobs Act on December 22, 2017.</w:t>
      </w:r>
    </w:p>
    <w:p>
      <w:pPr>
        <w:spacing w:after="0" w:line="4"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4"/>
          <w:szCs w:val="14"/>
          <w:i w:val="1"/>
          <w:iCs w:val="1"/>
          <w:color w:val="231F20"/>
        </w:rPr>
      </w:pPr>
      <w:r>
        <w:rPr>
          <w:rFonts w:ascii="Arial" w:cs="Arial" w:eastAsia="Arial" w:hAnsi="Arial"/>
          <w:sz w:val="14"/>
          <w:szCs w:val="14"/>
          <w:i w:val="1"/>
          <w:iCs w:val="1"/>
          <w:color w:val="231F20"/>
        </w:rPr>
        <w:t>Numbers may not add up precisely due to rounding.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Borders>
              <w:bottom w:val="single" w:sz="8" w:color="auto"/>
            </w:tcBorders>
          </w:tcPr>
          <w:p>
            <w:pPr>
              <w:spacing w:after="0"/>
              <w:rPr>
                <w:sz w:val="10"/>
                <w:szCs w:val="10"/>
                <w:color w:val="auto"/>
              </w:rPr>
            </w:pPr>
          </w:p>
        </w:tc>
        <w:tc>
          <w:tcPr>
            <w:tcW w:w="3100" w:type="dxa"/>
            <w:vAlign w:val="bottom"/>
            <w:vMerge w:val="restart"/>
          </w:tcPr>
          <w:p>
            <w:pPr>
              <w:ind w:left="240"/>
              <w:spacing w:after="0"/>
              <w:rPr>
                <w:sz w:val="20"/>
                <w:szCs w:val="20"/>
                <w:color w:val="auto"/>
              </w:rPr>
            </w:pPr>
            <w:r>
              <w:rPr>
                <w:rFonts w:ascii="Arial" w:cs="Arial" w:eastAsia="Arial" w:hAnsi="Arial"/>
                <w:sz w:val="16"/>
                <w:szCs w:val="16"/>
                <w:b w:val="1"/>
                <w:bCs w:val="1"/>
                <w:color w:val="6F2875"/>
              </w:rPr>
              <w:t xml:space="preserve">LIVANOVA </w:t>
            </w:r>
            <w:r>
              <w:rPr>
                <w:rFonts w:ascii="Arial" w:cs="Arial" w:eastAsia="Arial" w:hAnsi="Arial"/>
                <w:sz w:val="16"/>
                <w:szCs w:val="16"/>
                <w:b w:val="1"/>
                <w:bCs w:val="1"/>
                <w:color w:val="231F20"/>
              </w:rPr>
              <w:t>|</w:t>
            </w:r>
            <w:r>
              <w:rPr>
                <w:rFonts w:ascii="Arial" w:cs="Arial" w:eastAsia="Arial" w:hAnsi="Arial"/>
                <w:sz w:val="16"/>
                <w:szCs w:val="16"/>
                <w:b w:val="1"/>
                <w:bCs w:val="1"/>
                <w:color w:val="6F2875"/>
              </w:rPr>
              <w:t xml:space="preserve"> 2018 Proxy </w:t>
            </w:r>
            <w:r>
              <w:rPr>
                <w:rFonts w:ascii="Arial" w:cs="Arial" w:eastAsia="Arial" w:hAnsi="Arial"/>
                <w:sz w:val="16"/>
                <w:szCs w:val="16"/>
                <w:b w:val="1"/>
                <w:bCs w:val="1"/>
                <w:color w:val="231F20"/>
              </w:rPr>
              <w:t>Statement</w:t>
            </w:r>
          </w:p>
        </w:tc>
        <w:tc>
          <w:tcPr>
            <w:tcW w:w="3980" w:type="dxa"/>
            <w:vAlign w:val="bottom"/>
            <w:tcBorders>
              <w:bottom w:val="single" w:sz="8" w:color="auto"/>
            </w:tcBorders>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69</w:t>
            </w:r>
          </w:p>
        </w:tc>
        <w:tc>
          <w:tcPr>
            <w:tcW w:w="0" w:type="dxa"/>
            <w:vAlign w:val="bottom"/>
          </w:tcPr>
          <w:p>
            <w:pPr>
              <w:spacing w:after="0"/>
              <w:rPr>
                <w:sz w:val="1"/>
                <w:szCs w:val="1"/>
                <w:color w:val="auto"/>
              </w:rPr>
            </w:pPr>
          </w:p>
        </w:tc>
      </w:tr>
      <w:tr>
        <w:trPr>
          <w:trHeight w:val="69"/>
        </w:trPr>
        <w:tc>
          <w:tcPr>
            <w:tcW w:w="400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39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0C0C0"/>
            </w:tcBorders>
          </w:tcPr>
          <w:p>
            <w:pPr>
              <w:spacing w:after="0"/>
              <w:rPr>
                <w:sz w:val="24"/>
                <w:szCs w:val="24"/>
                <w:color w:val="auto"/>
              </w:rPr>
            </w:pPr>
          </w:p>
        </w:tc>
        <w:tc>
          <w:tcPr>
            <w:tcW w:w="3100" w:type="dxa"/>
            <w:vAlign w:val="bottom"/>
            <w:tcBorders>
              <w:bottom w:val="single" w:sz="8" w:color="C0C0C0"/>
            </w:tcBorders>
          </w:tcPr>
          <w:p>
            <w:pPr>
              <w:spacing w:after="0"/>
              <w:rPr>
                <w:sz w:val="24"/>
                <w:szCs w:val="24"/>
                <w:color w:val="auto"/>
              </w:rPr>
            </w:pPr>
          </w:p>
        </w:tc>
        <w:tc>
          <w:tcPr>
            <w:tcW w:w="39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120650</wp:posOffset>
            </wp:positionV>
            <wp:extent cx="6671945" cy="8678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671945" cy="8678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20"/>
        <w:spacing w:after="0"/>
        <w:rPr>
          <w:sz w:val="20"/>
          <w:szCs w:val="20"/>
          <w:color w:val="auto"/>
        </w:rPr>
      </w:pPr>
      <w:r>
        <w:rPr>
          <w:rFonts w:ascii="Arial" w:cs="Arial" w:eastAsia="Arial" w:hAnsi="Arial"/>
          <w:sz w:val="16"/>
          <w:szCs w:val="16"/>
          <w:b w:val="1"/>
          <w:bCs w:val="1"/>
          <w:color w:val="6F2875"/>
        </w:rPr>
        <w:t>LivaNova Plc</w:t>
      </w:r>
    </w:p>
    <w:p>
      <w:pPr>
        <w:spacing w:after="0" w:line="214" w:lineRule="exact"/>
        <w:rPr>
          <w:sz w:val="20"/>
          <w:szCs w:val="20"/>
          <w:color w:val="auto"/>
        </w:rPr>
      </w:pPr>
    </w:p>
    <w:p>
      <w:pPr>
        <w:ind w:left="1220"/>
        <w:spacing w:after="0"/>
        <w:rPr>
          <w:sz w:val="20"/>
          <w:szCs w:val="20"/>
          <w:color w:val="auto"/>
        </w:rPr>
      </w:pPr>
      <w:r>
        <w:rPr>
          <w:rFonts w:ascii="Arial" w:cs="Arial" w:eastAsia="Arial" w:hAnsi="Arial"/>
          <w:sz w:val="16"/>
          <w:szCs w:val="16"/>
          <w:color w:val="6F2875"/>
        </w:rPr>
        <w:t>20 Eastbourne Terrace</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6"/>
          <w:szCs w:val="16"/>
          <w:color w:val="6F2875"/>
        </w:rPr>
        <w:t>London, W2 6LG</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6"/>
          <w:szCs w:val="16"/>
          <w:color w:val="6F2875"/>
        </w:rPr>
        <w:t>United Kingdom</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16"/>
          <w:szCs w:val="16"/>
          <w:color w:val="6F2875"/>
        </w:rPr>
        <w:t>T +44 20 3325 0660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6"/>
          <w:szCs w:val="16"/>
          <w:color w:val="6F2875"/>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3029585</wp:posOffset>
            </wp:positionV>
            <wp:extent cx="724662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234" w:right="1440"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98" w:lineRule="exact"/>
        <w:rPr>
          <w:sz w:val="20"/>
          <w:szCs w:val="20"/>
          <w:color w:val="auto"/>
        </w:rPr>
      </w:pPr>
    </w:p>
    <w:tbl>
      <w:tblPr>
        <w:tblLayout w:type="fixed"/>
        <w:tblInd w:w="2880" w:type="dxa"/>
        <w:tblCellMar>
          <w:top w:w="0" w:type="dxa"/>
          <w:left w:w="0" w:type="dxa"/>
          <w:bottom w:w="0" w:type="dxa"/>
          <w:right w:w="0" w:type="dxa"/>
        </w:tblCellMar>
      </w:tblPr>
      <w:tr>
        <w:trPr>
          <w:trHeight w:val="217"/>
        </w:trPr>
        <w:tc>
          <w:tcPr>
            <w:tcW w:w="2940" w:type="dxa"/>
            <w:vAlign w:val="bottom"/>
          </w:tcPr>
          <w:p>
            <w:pPr>
              <w:spacing w:after="0"/>
              <w:rPr>
                <w:sz w:val="20"/>
                <w:szCs w:val="20"/>
                <w:color w:val="auto"/>
              </w:rPr>
            </w:pPr>
            <w:r>
              <w:rPr>
                <w:rFonts w:ascii="Arial" w:cs="Arial" w:eastAsia="Arial" w:hAnsi="Arial"/>
                <w:sz w:val="18"/>
                <w:szCs w:val="18"/>
                <w:color w:val="auto"/>
              </w:rPr>
              <w:t>DATED</w:t>
            </w:r>
          </w:p>
        </w:tc>
        <w:tc>
          <w:tcPr>
            <w:tcW w:w="2760" w:type="dxa"/>
            <w:vAlign w:val="bottom"/>
          </w:tcPr>
          <w:p>
            <w:pPr>
              <w:jc w:val="right"/>
              <w:spacing w:after="0"/>
              <w:rPr>
                <w:sz w:val="20"/>
                <w:szCs w:val="20"/>
                <w:color w:val="auto"/>
              </w:rPr>
            </w:pPr>
            <w:r>
              <w:rPr>
                <w:rFonts w:ascii="Arial" w:cs="Arial" w:eastAsia="Arial" w:hAnsi="Arial"/>
                <w:sz w:val="18"/>
                <w:szCs w:val="18"/>
                <w:color w:val="auto"/>
              </w:rPr>
              <w:t>2018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800735</wp:posOffset>
            </wp:positionV>
            <wp:extent cx="361886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 OF THE LIVANOVA</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EMPLOYEE SHARE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109220</wp:posOffset>
            </wp:positionV>
            <wp:extent cx="361886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2890" w:type="dxa"/>
        <w:tblCellMar>
          <w:top w:w="0" w:type="dxa"/>
          <w:left w:w="0" w:type="dxa"/>
          <w:bottom w:w="0" w:type="dxa"/>
          <w:right w:w="0" w:type="dxa"/>
        </w:tblCellMar>
      </w:tblPr>
      <w:tr>
        <w:trPr>
          <w:trHeight w:val="215"/>
        </w:trPr>
        <w:tc>
          <w:tcPr>
            <w:tcW w:w="28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Compensation Committee</w:t>
            </w:r>
          </w:p>
        </w:tc>
        <w:tc>
          <w:tcPr>
            <w:tcW w:w="284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18 April 2018</w:t>
            </w:r>
          </w:p>
        </w:tc>
      </w:tr>
      <w:tr>
        <w:trPr>
          <w:trHeight w:val="217"/>
        </w:trPr>
        <w:tc>
          <w:tcPr>
            <w:tcW w:w="28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approval</w:t>
            </w:r>
          </w:p>
        </w:tc>
        <w:tc>
          <w:tcPr>
            <w:tcW w:w="520" w:type="dxa"/>
            <w:vAlign w:val="bottom"/>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r>
      <w:tr>
        <w:trPr>
          <w:trHeight w:val="162"/>
        </w:trPr>
        <w:tc>
          <w:tcPr>
            <w:tcW w:w="2860" w:type="dxa"/>
            <w:vAlign w:val="bottom"/>
            <w:tcBorders>
              <w:left w:val="single" w:sz="8" w:color="auto"/>
              <w:bottom w:val="single" w:sz="8" w:color="auto"/>
              <w:right w:val="single" w:sz="8" w:color="auto"/>
            </w:tcBorders>
          </w:tcPr>
          <w:p>
            <w:pPr>
              <w:spacing w:after="0"/>
              <w:rPr>
                <w:sz w:val="14"/>
                <w:szCs w:val="14"/>
                <w:color w:val="auto"/>
              </w:rPr>
            </w:pPr>
          </w:p>
        </w:tc>
        <w:tc>
          <w:tcPr>
            <w:tcW w:w="2840" w:type="dxa"/>
            <w:vAlign w:val="bottom"/>
            <w:tcBorders>
              <w:bottom w:val="single" w:sz="8" w:color="auto"/>
              <w:right w:val="single" w:sz="8" w:color="auto"/>
            </w:tcBorders>
            <w:gridSpan w:val="2"/>
          </w:tcPr>
          <w:p>
            <w:pPr>
              <w:spacing w:after="0"/>
              <w:rPr>
                <w:sz w:val="14"/>
                <w:szCs w:val="14"/>
                <w:color w:val="auto"/>
              </w:rPr>
            </w:pPr>
          </w:p>
        </w:tc>
      </w:tr>
      <w:tr>
        <w:trPr>
          <w:trHeight w:val="210"/>
        </w:trPr>
        <w:tc>
          <w:tcPr>
            <w:tcW w:w="28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Board adoption</w:t>
            </w:r>
          </w:p>
        </w:tc>
        <w:tc>
          <w:tcPr>
            <w:tcW w:w="28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19 April 2018</w:t>
            </w:r>
          </w:p>
        </w:tc>
      </w:tr>
      <w:tr>
        <w:trPr>
          <w:trHeight w:val="161"/>
        </w:trPr>
        <w:tc>
          <w:tcPr>
            <w:tcW w:w="2860" w:type="dxa"/>
            <w:vAlign w:val="bottom"/>
            <w:tcBorders>
              <w:left w:val="single" w:sz="8" w:color="auto"/>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320" w:type="dxa"/>
            <w:vAlign w:val="bottom"/>
            <w:tcBorders>
              <w:bottom w:val="single" w:sz="8" w:color="auto"/>
              <w:right w:val="single" w:sz="8" w:color="auto"/>
            </w:tcBorders>
          </w:tcPr>
          <w:p>
            <w:pPr>
              <w:spacing w:after="0"/>
              <w:rPr>
                <w:sz w:val="14"/>
                <w:szCs w:val="14"/>
                <w:color w:val="auto"/>
              </w:rPr>
            </w:pPr>
          </w:p>
        </w:tc>
      </w:tr>
      <w:tr>
        <w:trPr>
          <w:trHeight w:val="210"/>
        </w:trPr>
        <w:tc>
          <w:tcPr>
            <w:tcW w:w="28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Shareholder approval</w:t>
            </w: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2320" w:type="dxa"/>
            <w:vAlign w:val="bottom"/>
            <w:tcBorders>
              <w:right w:val="single" w:sz="8" w:color="auto"/>
            </w:tcBorders>
          </w:tcPr>
          <w:p>
            <w:pPr>
              <w:jc w:val="right"/>
              <w:ind w:right="1410"/>
              <w:spacing w:after="0"/>
              <w:rPr>
                <w:sz w:val="20"/>
                <w:szCs w:val="20"/>
                <w:color w:val="auto"/>
              </w:rPr>
            </w:pPr>
            <w:r>
              <w:rPr>
                <w:rFonts w:ascii="Arial" w:cs="Arial" w:eastAsia="Arial" w:hAnsi="Arial"/>
                <w:sz w:val="18"/>
                <w:szCs w:val="18"/>
                <w:color w:val="auto"/>
              </w:rPr>
              <w:t>] 2018</w:t>
            </w:r>
          </w:p>
        </w:tc>
      </w:tr>
      <w:tr>
        <w:trPr>
          <w:trHeight w:val="161"/>
        </w:trPr>
        <w:tc>
          <w:tcPr>
            <w:tcW w:w="2860" w:type="dxa"/>
            <w:vAlign w:val="bottom"/>
            <w:tcBorders>
              <w:left w:val="single" w:sz="8" w:color="auto"/>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320" w:type="dxa"/>
            <w:vAlign w:val="bottom"/>
            <w:tcBorders>
              <w:bottom w:val="single" w:sz="8" w:color="auto"/>
              <w:right w:val="single" w:sz="8" w:color="auto"/>
            </w:tcBorders>
          </w:tcPr>
          <w:p>
            <w:pPr>
              <w:spacing w:after="0"/>
              <w:rPr>
                <w:sz w:val="14"/>
                <w:szCs w:val="14"/>
                <w:color w:val="auto"/>
              </w:rPr>
            </w:pPr>
          </w:p>
        </w:tc>
      </w:tr>
      <w:tr>
        <w:trPr>
          <w:trHeight w:val="210"/>
        </w:trPr>
        <w:tc>
          <w:tcPr>
            <w:tcW w:w="28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Expiry date</w:t>
            </w: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2320" w:type="dxa"/>
            <w:vAlign w:val="bottom"/>
            <w:tcBorders>
              <w:right w:val="single" w:sz="8" w:color="auto"/>
            </w:tcBorders>
          </w:tcPr>
          <w:p>
            <w:pPr>
              <w:jc w:val="right"/>
              <w:ind w:right="1410"/>
              <w:spacing w:after="0"/>
              <w:rPr>
                <w:sz w:val="20"/>
                <w:szCs w:val="20"/>
                <w:color w:val="auto"/>
              </w:rPr>
            </w:pPr>
            <w:r>
              <w:rPr>
                <w:rFonts w:ascii="Arial" w:cs="Arial" w:eastAsia="Arial" w:hAnsi="Arial"/>
                <w:sz w:val="18"/>
                <w:szCs w:val="18"/>
                <w:color w:val="auto"/>
              </w:rPr>
              <w:t>] 2018</w:t>
            </w:r>
          </w:p>
        </w:tc>
      </w:tr>
      <w:tr>
        <w:trPr>
          <w:trHeight w:val="161"/>
        </w:trPr>
        <w:tc>
          <w:tcPr>
            <w:tcW w:w="2860" w:type="dxa"/>
            <w:vAlign w:val="bottom"/>
            <w:tcBorders>
              <w:left w:val="single" w:sz="8" w:color="auto"/>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32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Squire Patton Boggs (UK) LLP</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7 Devonshire Square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London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EC2M 4YH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DX 136546 Bishopsgate 2</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O +44 20 7655 1000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 +44 20 7655 1001</w:t>
      </w:r>
    </w:p>
    <w:p>
      <w:pPr>
        <w:spacing w:after="0" w:line="163" w:lineRule="exact"/>
        <w:rPr>
          <w:sz w:val="20"/>
          <w:szCs w:val="20"/>
          <w:color w:val="auto"/>
        </w:rPr>
      </w:pPr>
    </w:p>
    <w:p>
      <w:pPr>
        <w:spacing w:after="0"/>
        <w:tabs>
          <w:tab w:leader="none" w:pos="1720" w:val="left"/>
        </w:tabs>
        <w:rPr>
          <w:sz w:val="20"/>
          <w:szCs w:val="20"/>
          <w:color w:val="auto"/>
        </w:rPr>
      </w:pPr>
      <w:r>
        <w:rPr>
          <w:rFonts w:ascii="Arial" w:cs="Arial" w:eastAsia="Arial" w:hAnsi="Arial"/>
          <w:sz w:val="14"/>
          <w:szCs w:val="14"/>
          <w:color w:val="auto"/>
        </w:rPr>
        <w:t>Reference EAP2.[•</w:t>
      </w:r>
      <w:r>
        <w:rPr>
          <w:sz w:val="20"/>
          <w:szCs w:val="20"/>
          <w:color w:val="auto"/>
        </w:rPr>
        <w:tab/>
      </w:r>
      <w:r>
        <w:rPr>
          <w:rFonts w:ascii="Arial" w:cs="Arial" w:eastAsia="Arial" w:hAnsi="Arial"/>
          <w:sz w:val="14"/>
          <w:szCs w:val="14"/>
          <w:color w:val="auto"/>
        </w:rPr>
        <w:t>]</w:t>
      </w:r>
    </w:p>
    <w:p>
      <w:pPr>
        <w:spacing w:after="0" w:line="204" w:lineRule="exact"/>
        <w:rPr>
          <w:sz w:val="20"/>
          <w:szCs w:val="20"/>
          <w:color w:val="auto"/>
        </w:rPr>
      </w:pPr>
    </w:p>
    <w:p>
      <w:pPr>
        <w:ind w:left="9600"/>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2"/>
        </w:trPr>
        <w:tc>
          <w:tcPr>
            <w:tcW w:w="5080" w:type="dxa"/>
            <w:vAlign w:val="bottom"/>
            <w:gridSpan w:val="3"/>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Back to Contents</w:t>
              </w:r>
            </w:hyperlink>
          </w:p>
        </w:tc>
        <w:tc>
          <w:tcPr>
            <w:tcW w:w="6340" w:type="dxa"/>
            <w:vAlign w:val="bottom"/>
          </w:tcPr>
          <w:p>
            <w:pPr>
              <w:spacing w:after="0"/>
              <w:rPr>
                <w:sz w:val="14"/>
                <w:szCs w:val="14"/>
                <w:color w:val="auto"/>
              </w:rPr>
            </w:pPr>
          </w:p>
        </w:tc>
      </w:tr>
      <w:tr>
        <w:trPr>
          <w:trHeight w:val="346"/>
        </w:trPr>
        <w:tc>
          <w:tcPr>
            <w:tcW w:w="4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880" w:type="dxa"/>
            <w:vAlign w:val="bottom"/>
          </w:tcPr>
          <w:p>
            <w:pPr>
              <w:spacing w:after="0"/>
              <w:rPr>
                <w:sz w:val="24"/>
                <w:szCs w:val="24"/>
                <w:color w:val="auto"/>
              </w:rPr>
            </w:pPr>
          </w:p>
        </w:tc>
        <w:tc>
          <w:tcPr>
            <w:tcW w:w="6340" w:type="dxa"/>
            <w:vAlign w:val="bottom"/>
          </w:tcPr>
          <w:p>
            <w:pPr>
              <w:jc w:val="right"/>
              <w:spacing w:after="0"/>
              <w:rPr>
                <w:sz w:val="20"/>
                <w:szCs w:val="20"/>
                <w:color w:val="auto"/>
              </w:rPr>
            </w:pPr>
            <w:r>
              <w:rPr>
                <w:rFonts w:ascii="Arial" w:cs="Arial" w:eastAsia="Arial" w:hAnsi="Arial"/>
                <w:sz w:val="14"/>
                <w:szCs w:val="14"/>
                <w:color w:val="auto"/>
              </w:rPr>
              <w:t>Draft</w:t>
            </w:r>
          </w:p>
        </w:tc>
      </w:tr>
      <w:tr>
        <w:trPr>
          <w:trHeight w:val="404"/>
        </w:trPr>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340" w:type="dxa"/>
            <w:vAlign w:val="bottom"/>
          </w:tcPr>
          <w:p>
            <w:pPr>
              <w:jc w:val="right"/>
              <w:ind w:right="5133"/>
              <w:spacing w:after="0"/>
              <w:rPr>
                <w:sz w:val="20"/>
                <w:szCs w:val="20"/>
                <w:color w:val="auto"/>
              </w:rPr>
            </w:pPr>
            <w:r>
              <w:rPr>
                <w:rFonts w:ascii="Arial" w:cs="Arial" w:eastAsia="Arial" w:hAnsi="Arial"/>
                <w:sz w:val="18"/>
                <w:szCs w:val="18"/>
                <w:b w:val="1"/>
                <w:bCs w:val="1"/>
                <w:color w:val="auto"/>
              </w:rPr>
              <w:t>CONTENTS</w:t>
            </w:r>
          </w:p>
        </w:tc>
      </w:tr>
      <w:tr>
        <w:trPr>
          <w:trHeight w:val="405"/>
        </w:trPr>
        <w:tc>
          <w:tcPr>
            <w:tcW w:w="440" w:type="dxa"/>
            <w:vAlign w:val="bottom"/>
          </w:tcPr>
          <w:p>
            <w:pPr>
              <w:spacing w:after="0"/>
              <w:rPr>
                <w:rFonts w:ascii="Arial" w:cs="Arial" w:eastAsia="Arial" w:hAnsi="Arial"/>
                <w:sz w:val="18"/>
                <w:szCs w:val="18"/>
                <w:color w:val="auto"/>
              </w:rPr>
            </w:pPr>
            <w:hyperlink w:anchor="page76">
              <w:r>
                <w:rPr>
                  <w:rFonts w:ascii="Arial" w:cs="Arial" w:eastAsia="Arial" w:hAnsi="Arial"/>
                  <w:sz w:val="18"/>
                  <w:szCs w:val="18"/>
                  <w:color w:val="auto"/>
                </w:rPr>
                <w:t>1</w:t>
              </w:r>
            </w:hyperlink>
          </w:p>
        </w:tc>
        <w:tc>
          <w:tcPr>
            <w:tcW w:w="4640" w:type="dxa"/>
            <w:vAlign w:val="bottom"/>
            <w:gridSpan w:val="2"/>
          </w:tcPr>
          <w:p>
            <w:pPr>
              <w:ind w:left="220"/>
              <w:spacing w:after="0"/>
              <w:rPr>
                <w:rFonts w:ascii="Arial" w:cs="Arial" w:eastAsia="Arial" w:hAnsi="Arial"/>
                <w:sz w:val="18"/>
                <w:szCs w:val="18"/>
                <w:color w:val="auto"/>
              </w:rPr>
            </w:pPr>
            <w:hyperlink w:anchor="page76">
              <w:r>
                <w:rPr>
                  <w:rFonts w:ascii="Arial" w:cs="Arial" w:eastAsia="Arial" w:hAnsi="Arial"/>
                  <w:sz w:val="18"/>
                  <w:szCs w:val="18"/>
                  <w:color w:val="auto"/>
                </w:rPr>
                <w:t>DEFINITIONS</w:t>
              </w:r>
            </w:hyperlink>
          </w:p>
        </w:tc>
        <w:tc>
          <w:tcPr>
            <w:tcW w:w="634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2</w:t>
              </w:r>
            </w:hyperlink>
          </w:p>
        </w:tc>
      </w:tr>
      <w:tr>
        <w:trPr>
          <w:trHeight w:val="405"/>
        </w:trPr>
        <w:tc>
          <w:tcPr>
            <w:tcW w:w="440" w:type="dxa"/>
            <w:vAlign w:val="bottom"/>
          </w:tcPr>
          <w:p>
            <w:pPr>
              <w:spacing w:after="0"/>
              <w:rPr>
                <w:rFonts w:ascii="Arial" w:cs="Arial" w:eastAsia="Arial" w:hAnsi="Arial"/>
                <w:sz w:val="18"/>
                <w:szCs w:val="18"/>
                <w:color w:val="auto"/>
              </w:rPr>
            </w:pPr>
            <w:hyperlink w:anchor="page81">
              <w:r>
                <w:rPr>
                  <w:rFonts w:ascii="Arial" w:cs="Arial" w:eastAsia="Arial" w:hAnsi="Arial"/>
                  <w:sz w:val="18"/>
                  <w:szCs w:val="18"/>
                  <w:color w:val="auto"/>
                </w:rPr>
                <w:t>2</w:t>
              </w:r>
            </w:hyperlink>
          </w:p>
        </w:tc>
        <w:tc>
          <w:tcPr>
            <w:tcW w:w="4640" w:type="dxa"/>
            <w:vAlign w:val="bottom"/>
            <w:gridSpan w:val="2"/>
          </w:tcPr>
          <w:p>
            <w:pPr>
              <w:ind w:left="220"/>
              <w:spacing w:after="0"/>
              <w:rPr>
                <w:rFonts w:ascii="Arial" w:cs="Arial" w:eastAsia="Arial" w:hAnsi="Arial"/>
                <w:sz w:val="18"/>
                <w:szCs w:val="18"/>
                <w:color w:val="auto"/>
              </w:rPr>
            </w:pPr>
            <w:hyperlink w:anchor="page81">
              <w:r>
                <w:rPr>
                  <w:rFonts w:ascii="Arial" w:cs="Arial" w:eastAsia="Arial" w:hAnsi="Arial"/>
                  <w:sz w:val="18"/>
                  <w:szCs w:val="18"/>
                  <w:color w:val="auto"/>
                </w:rPr>
                <w:t>OPERATION OF THE PLAN</w:t>
              </w:r>
            </w:hyperlink>
          </w:p>
        </w:tc>
        <w:tc>
          <w:tcPr>
            <w:tcW w:w="6340" w:type="dxa"/>
            <w:vAlign w:val="bottom"/>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7</w:t>
              </w:r>
            </w:hyperlink>
          </w:p>
        </w:tc>
      </w:tr>
      <w:tr>
        <w:trPr>
          <w:trHeight w:val="405"/>
        </w:trPr>
        <w:tc>
          <w:tcPr>
            <w:tcW w:w="440" w:type="dxa"/>
            <w:vAlign w:val="bottom"/>
          </w:tcPr>
          <w:p>
            <w:pPr>
              <w:spacing w:after="0"/>
              <w:rPr>
                <w:rFonts w:ascii="Arial" w:cs="Arial" w:eastAsia="Arial" w:hAnsi="Arial"/>
                <w:sz w:val="18"/>
                <w:szCs w:val="18"/>
                <w:color w:val="auto"/>
              </w:rPr>
            </w:pPr>
            <w:hyperlink w:anchor="page81">
              <w:r>
                <w:rPr>
                  <w:rFonts w:ascii="Arial" w:cs="Arial" w:eastAsia="Arial" w:hAnsi="Arial"/>
                  <w:sz w:val="18"/>
                  <w:szCs w:val="18"/>
                  <w:color w:val="auto"/>
                </w:rPr>
                <w:t>3</w:t>
              </w:r>
            </w:hyperlink>
          </w:p>
        </w:tc>
        <w:tc>
          <w:tcPr>
            <w:tcW w:w="4640" w:type="dxa"/>
            <w:vAlign w:val="bottom"/>
            <w:gridSpan w:val="2"/>
          </w:tcPr>
          <w:p>
            <w:pPr>
              <w:ind w:left="220"/>
              <w:spacing w:after="0"/>
              <w:rPr>
                <w:rFonts w:ascii="Arial" w:cs="Arial" w:eastAsia="Arial" w:hAnsi="Arial"/>
                <w:sz w:val="18"/>
                <w:szCs w:val="18"/>
                <w:color w:val="auto"/>
              </w:rPr>
            </w:pPr>
            <w:hyperlink w:anchor="page81">
              <w:r>
                <w:rPr>
                  <w:rFonts w:ascii="Arial" w:cs="Arial" w:eastAsia="Arial" w:hAnsi="Arial"/>
                  <w:sz w:val="18"/>
                  <w:szCs w:val="18"/>
                  <w:color w:val="auto"/>
                </w:rPr>
                <w:t>PLAN LIMITS</w:t>
              </w:r>
            </w:hyperlink>
          </w:p>
        </w:tc>
        <w:tc>
          <w:tcPr>
            <w:tcW w:w="6340" w:type="dxa"/>
            <w:vAlign w:val="bottom"/>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7</w:t>
              </w:r>
            </w:hyperlink>
          </w:p>
        </w:tc>
      </w:tr>
      <w:tr>
        <w:trPr>
          <w:trHeight w:val="405"/>
        </w:trPr>
        <w:tc>
          <w:tcPr>
            <w:tcW w:w="440" w:type="dxa"/>
            <w:vAlign w:val="bottom"/>
          </w:tcPr>
          <w:p>
            <w:pPr>
              <w:spacing w:after="0"/>
              <w:rPr>
                <w:rFonts w:ascii="Arial" w:cs="Arial" w:eastAsia="Arial" w:hAnsi="Arial"/>
                <w:sz w:val="18"/>
                <w:szCs w:val="18"/>
                <w:color w:val="auto"/>
              </w:rPr>
            </w:pPr>
            <w:hyperlink w:anchor="page82">
              <w:r>
                <w:rPr>
                  <w:rFonts w:ascii="Arial" w:cs="Arial" w:eastAsia="Arial" w:hAnsi="Arial"/>
                  <w:sz w:val="18"/>
                  <w:szCs w:val="18"/>
                  <w:color w:val="auto"/>
                </w:rPr>
                <w:t>4</w:t>
              </w:r>
            </w:hyperlink>
          </w:p>
        </w:tc>
        <w:tc>
          <w:tcPr>
            <w:tcW w:w="4640" w:type="dxa"/>
            <w:vAlign w:val="bottom"/>
            <w:gridSpan w:val="2"/>
          </w:tcPr>
          <w:p>
            <w:pPr>
              <w:ind w:left="220"/>
              <w:spacing w:after="0"/>
              <w:rPr>
                <w:rFonts w:ascii="Arial" w:cs="Arial" w:eastAsia="Arial" w:hAnsi="Arial"/>
                <w:sz w:val="18"/>
                <w:szCs w:val="18"/>
                <w:color w:val="auto"/>
              </w:rPr>
            </w:pPr>
            <w:hyperlink w:anchor="page82">
              <w:r>
                <w:rPr>
                  <w:rFonts w:ascii="Arial" w:cs="Arial" w:eastAsia="Arial" w:hAnsi="Arial"/>
                  <w:sz w:val="18"/>
                  <w:szCs w:val="18"/>
                  <w:color w:val="auto"/>
                </w:rPr>
                <w:t>FORM OF INVITATION AND APPLICATION</w:t>
              </w:r>
            </w:hyperlink>
          </w:p>
        </w:tc>
        <w:tc>
          <w:tcPr>
            <w:tcW w:w="6340" w:type="dxa"/>
            <w:vAlign w:val="bottom"/>
          </w:tcPr>
          <w:p>
            <w:pPr>
              <w:jc w:val="right"/>
              <w:spacing w:after="0"/>
              <w:rPr>
                <w:rFonts w:ascii="Arial" w:cs="Arial" w:eastAsia="Arial" w:hAnsi="Arial"/>
                <w:sz w:val="18"/>
                <w:szCs w:val="18"/>
                <w:color w:val="auto"/>
              </w:rPr>
            </w:pPr>
            <w:hyperlink w:anchor="page82">
              <w:r>
                <w:rPr>
                  <w:rFonts w:ascii="Arial" w:cs="Arial" w:eastAsia="Arial" w:hAnsi="Arial"/>
                  <w:sz w:val="18"/>
                  <w:szCs w:val="18"/>
                  <w:color w:val="auto"/>
                </w:rPr>
                <w:t>8</w:t>
              </w:r>
            </w:hyperlink>
          </w:p>
        </w:tc>
      </w:tr>
      <w:tr>
        <w:trPr>
          <w:trHeight w:val="405"/>
        </w:trPr>
        <w:tc>
          <w:tcPr>
            <w:tcW w:w="440" w:type="dxa"/>
            <w:vAlign w:val="bottom"/>
          </w:tcPr>
          <w:p>
            <w:pPr>
              <w:spacing w:after="0"/>
              <w:rPr>
                <w:rFonts w:ascii="Arial" w:cs="Arial" w:eastAsia="Arial" w:hAnsi="Arial"/>
                <w:sz w:val="18"/>
                <w:szCs w:val="18"/>
                <w:color w:val="auto"/>
              </w:rPr>
            </w:pPr>
            <w:hyperlink w:anchor="page82">
              <w:r>
                <w:rPr>
                  <w:rFonts w:ascii="Arial" w:cs="Arial" w:eastAsia="Arial" w:hAnsi="Arial"/>
                  <w:sz w:val="18"/>
                  <w:szCs w:val="18"/>
                  <w:color w:val="auto"/>
                </w:rPr>
                <w:t>5</w:t>
              </w:r>
            </w:hyperlink>
          </w:p>
        </w:tc>
        <w:tc>
          <w:tcPr>
            <w:tcW w:w="4640" w:type="dxa"/>
            <w:vAlign w:val="bottom"/>
            <w:gridSpan w:val="2"/>
          </w:tcPr>
          <w:p>
            <w:pPr>
              <w:ind w:left="220"/>
              <w:spacing w:after="0"/>
              <w:rPr>
                <w:rFonts w:ascii="Arial" w:cs="Arial" w:eastAsia="Arial" w:hAnsi="Arial"/>
                <w:sz w:val="18"/>
                <w:szCs w:val="18"/>
                <w:color w:val="auto"/>
              </w:rPr>
            </w:pPr>
            <w:hyperlink w:anchor="page82">
              <w:r>
                <w:rPr>
                  <w:rFonts w:ascii="Arial" w:cs="Arial" w:eastAsia="Arial" w:hAnsi="Arial"/>
                  <w:sz w:val="18"/>
                  <w:szCs w:val="18"/>
                  <w:color w:val="auto"/>
                </w:rPr>
                <w:t>SCALING BACK</w:t>
              </w:r>
            </w:hyperlink>
          </w:p>
        </w:tc>
        <w:tc>
          <w:tcPr>
            <w:tcW w:w="6340" w:type="dxa"/>
            <w:vAlign w:val="bottom"/>
          </w:tcPr>
          <w:p>
            <w:pPr>
              <w:jc w:val="right"/>
              <w:spacing w:after="0"/>
              <w:rPr>
                <w:rFonts w:ascii="Arial" w:cs="Arial" w:eastAsia="Arial" w:hAnsi="Arial"/>
                <w:sz w:val="18"/>
                <w:szCs w:val="18"/>
                <w:color w:val="auto"/>
              </w:rPr>
            </w:pPr>
            <w:hyperlink w:anchor="page82">
              <w:r>
                <w:rPr>
                  <w:rFonts w:ascii="Arial" w:cs="Arial" w:eastAsia="Arial" w:hAnsi="Arial"/>
                  <w:sz w:val="18"/>
                  <w:szCs w:val="18"/>
                  <w:color w:val="auto"/>
                </w:rPr>
                <w:t>8</w:t>
              </w:r>
            </w:hyperlink>
          </w:p>
        </w:tc>
      </w:tr>
      <w:tr>
        <w:trPr>
          <w:trHeight w:val="405"/>
        </w:trPr>
        <w:tc>
          <w:tcPr>
            <w:tcW w:w="440" w:type="dxa"/>
            <w:vAlign w:val="bottom"/>
          </w:tcPr>
          <w:p>
            <w:pPr>
              <w:spacing w:after="0"/>
              <w:rPr>
                <w:rFonts w:ascii="Arial" w:cs="Arial" w:eastAsia="Arial" w:hAnsi="Arial"/>
                <w:sz w:val="18"/>
                <w:szCs w:val="18"/>
                <w:color w:val="auto"/>
              </w:rPr>
            </w:pPr>
            <w:hyperlink w:anchor="page83">
              <w:r>
                <w:rPr>
                  <w:rFonts w:ascii="Arial" w:cs="Arial" w:eastAsia="Arial" w:hAnsi="Arial"/>
                  <w:sz w:val="18"/>
                  <w:szCs w:val="18"/>
                  <w:color w:val="auto"/>
                </w:rPr>
                <w:t>6</w:t>
              </w:r>
            </w:hyperlink>
          </w:p>
        </w:tc>
        <w:tc>
          <w:tcPr>
            <w:tcW w:w="4640" w:type="dxa"/>
            <w:vAlign w:val="bottom"/>
            <w:gridSpan w:val="2"/>
          </w:tcPr>
          <w:p>
            <w:pPr>
              <w:ind w:left="220"/>
              <w:spacing w:after="0"/>
              <w:rPr>
                <w:rFonts w:ascii="Arial" w:cs="Arial" w:eastAsia="Arial" w:hAnsi="Arial"/>
                <w:sz w:val="18"/>
                <w:szCs w:val="18"/>
                <w:color w:val="auto"/>
              </w:rPr>
            </w:pPr>
            <w:hyperlink w:anchor="page83">
              <w:r>
                <w:rPr>
                  <w:rFonts w:ascii="Arial" w:cs="Arial" w:eastAsia="Arial" w:hAnsi="Arial"/>
                  <w:sz w:val="18"/>
                  <w:szCs w:val="18"/>
                  <w:color w:val="auto"/>
                </w:rPr>
                <w:t>DIVIDEND SHARES AND DIVIDEND EQUIVALENTS</w:t>
              </w:r>
            </w:hyperlink>
          </w:p>
        </w:tc>
        <w:tc>
          <w:tcPr>
            <w:tcW w:w="634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9</w:t>
              </w:r>
            </w:hyperlink>
          </w:p>
        </w:tc>
      </w:tr>
      <w:tr>
        <w:trPr>
          <w:trHeight w:val="405"/>
        </w:trPr>
        <w:tc>
          <w:tcPr>
            <w:tcW w:w="440" w:type="dxa"/>
            <w:vAlign w:val="bottom"/>
          </w:tcPr>
          <w:p>
            <w:pPr>
              <w:spacing w:after="0"/>
              <w:rPr>
                <w:rFonts w:ascii="Arial" w:cs="Arial" w:eastAsia="Arial" w:hAnsi="Arial"/>
                <w:sz w:val="18"/>
                <w:szCs w:val="18"/>
                <w:color w:val="auto"/>
              </w:rPr>
            </w:pPr>
            <w:hyperlink w:anchor="page83">
              <w:r>
                <w:rPr>
                  <w:rFonts w:ascii="Arial" w:cs="Arial" w:eastAsia="Arial" w:hAnsi="Arial"/>
                  <w:sz w:val="18"/>
                  <w:szCs w:val="18"/>
                  <w:color w:val="auto"/>
                </w:rPr>
                <w:t>7</w:t>
              </w:r>
            </w:hyperlink>
          </w:p>
        </w:tc>
        <w:tc>
          <w:tcPr>
            <w:tcW w:w="4640" w:type="dxa"/>
            <w:vAlign w:val="bottom"/>
            <w:gridSpan w:val="2"/>
          </w:tcPr>
          <w:p>
            <w:pPr>
              <w:ind w:left="220"/>
              <w:spacing w:after="0"/>
              <w:rPr>
                <w:rFonts w:ascii="Arial" w:cs="Arial" w:eastAsia="Arial" w:hAnsi="Arial"/>
                <w:sz w:val="18"/>
                <w:szCs w:val="18"/>
                <w:color w:val="auto"/>
              </w:rPr>
            </w:pPr>
            <w:hyperlink w:anchor="page83">
              <w:r>
                <w:rPr>
                  <w:rFonts w:ascii="Arial" w:cs="Arial" w:eastAsia="Arial" w:hAnsi="Arial"/>
                  <w:sz w:val="18"/>
                  <w:szCs w:val="18"/>
                  <w:color w:val="auto"/>
                </w:rPr>
                <w:t>EVENTS AFFECTING SHARE CAPITAL</w:t>
              </w:r>
            </w:hyperlink>
          </w:p>
        </w:tc>
        <w:tc>
          <w:tcPr>
            <w:tcW w:w="634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9</w:t>
              </w:r>
            </w:hyperlink>
          </w:p>
        </w:tc>
      </w:tr>
      <w:tr>
        <w:trPr>
          <w:trHeight w:val="405"/>
        </w:trPr>
        <w:tc>
          <w:tcPr>
            <w:tcW w:w="440" w:type="dxa"/>
            <w:vAlign w:val="bottom"/>
          </w:tcPr>
          <w:p>
            <w:pPr>
              <w:spacing w:after="0"/>
              <w:rPr>
                <w:rFonts w:ascii="Arial" w:cs="Arial" w:eastAsia="Arial" w:hAnsi="Arial"/>
                <w:sz w:val="18"/>
                <w:szCs w:val="18"/>
                <w:color w:val="auto"/>
              </w:rPr>
            </w:pPr>
            <w:hyperlink w:anchor="page84">
              <w:r>
                <w:rPr>
                  <w:rFonts w:ascii="Arial" w:cs="Arial" w:eastAsia="Arial" w:hAnsi="Arial"/>
                  <w:sz w:val="18"/>
                  <w:szCs w:val="18"/>
                  <w:color w:val="auto"/>
                </w:rPr>
                <w:t>8</w:t>
              </w:r>
            </w:hyperlink>
          </w:p>
        </w:tc>
        <w:tc>
          <w:tcPr>
            <w:tcW w:w="4640" w:type="dxa"/>
            <w:vAlign w:val="bottom"/>
            <w:gridSpan w:val="2"/>
          </w:tcPr>
          <w:p>
            <w:pPr>
              <w:ind w:left="220"/>
              <w:spacing w:after="0"/>
              <w:rPr>
                <w:rFonts w:ascii="Arial" w:cs="Arial" w:eastAsia="Arial" w:hAnsi="Arial"/>
                <w:sz w:val="18"/>
                <w:szCs w:val="18"/>
                <w:color w:val="auto"/>
              </w:rPr>
            </w:pPr>
            <w:hyperlink w:anchor="page84">
              <w:r>
                <w:rPr>
                  <w:rFonts w:ascii="Arial" w:cs="Arial" w:eastAsia="Arial" w:hAnsi="Arial"/>
                  <w:sz w:val="18"/>
                  <w:szCs w:val="18"/>
                  <w:color w:val="auto"/>
                </w:rPr>
                <w:t>SHARE RIGHTS</w:t>
              </w:r>
            </w:hyperlink>
          </w:p>
        </w:tc>
        <w:tc>
          <w:tcPr>
            <w:tcW w:w="634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10</w:t>
              </w:r>
            </w:hyperlink>
          </w:p>
        </w:tc>
      </w:tr>
      <w:tr>
        <w:trPr>
          <w:trHeight w:val="405"/>
        </w:trPr>
        <w:tc>
          <w:tcPr>
            <w:tcW w:w="440" w:type="dxa"/>
            <w:vAlign w:val="bottom"/>
          </w:tcPr>
          <w:p>
            <w:pPr>
              <w:spacing w:after="0"/>
              <w:rPr>
                <w:rFonts w:ascii="Arial" w:cs="Arial" w:eastAsia="Arial" w:hAnsi="Arial"/>
                <w:sz w:val="18"/>
                <w:szCs w:val="18"/>
                <w:color w:val="auto"/>
              </w:rPr>
            </w:pPr>
            <w:hyperlink w:anchor="page85">
              <w:r>
                <w:rPr>
                  <w:rFonts w:ascii="Arial" w:cs="Arial" w:eastAsia="Arial" w:hAnsi="Arial"/>
                  <w:sz w:val="18"/>
                  <w:szCs w:val="18"/>
                  <w:color w:val="auto"/>
                </w:rPr>
                <w:t>9</w:t>
              </w:r>
            </w:hyperlink>
          </w:p>
        </w:tc>
        <w:tc>
          <w:tcPr>
            <w:tcW w:w="4640" w:type="dxa"/>
            <w:vAlign w:val="bottom"/>
            <w:gridSpan w:val="2"/>
          </w:tcPr>
          <w:p>
            <w:pPr>
              <w:ind w:left="220"/>
              <w:spacing w:after="0"/>
              <w:rPr>
                <w:rFonts w:ascii="Arial" w:cs="Arial" w:eastAsia="Arial" w:hAnsi="Arial"/>
                <w:sz w:val="18"/>
                <w:szCs w:val="18"/>
                <w:color w:val="auto"/>
              </w:rPr>
            </w:pPr>
            <w:hyperlink w:anchor="page85">
              <w:r>
                <w:rPr>
                  <w:rFonts w:ascii="Arial" w:cs="Arial" w:eastAsia="Arial" w:hAnsi="Arial"/>
                  <w:sz w:val="18"/>
                  <w:szCs w:val="18"/>
                  <w:color w:val="auto"/>
                </w:rPr>
                <w:t>PERSONAL DATA</w:t>
              </w:r>
            </w:hyperlink>
          </w:p>
        </w:tc>
        <w:tc>
          <w:tcPr>
            <w:tcW w:w="634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11</w:t>
              </w:r>
            </w:hyperlink>
          </w:p>
        </w:tc>
      </w:tr>
      <w:tr>
        <w:trPr>
          <w:trHeight w:val="405"/>
        </w:trPr>
        <w:tc>
          <w:tcPr>
            <w:tcW w:w="440" w:type="dxa"/>
            <w:vAlign w:val="bottom"/>
          </w:tcPr>
          <w:p>
            <w:pPr>
              <w:spacing w:after="0"/>
              <w:rPr>
                <w:rFonts w:ascii="Arial" w:cs="Arial" w:eastAsia="Arial" w:hAnsi="Arial"/>
                <w:sz w:val="18"/>
                <w:szCs w:val="18"/>
                <w:color w:val="auto"/>
              </w:rPr>
            </w:pPr>
            <w:hyperlink w:anchor="page86">
              <w:r>
                <w:rPr>
                  <w:rFonts w:ascii="Arial" w:cs="Arial" w:eastAsia="Arial" w:hAnsi="Arial"/>
                  <w:sz w:val="18"/>
                  <w:szCs w:val="18"/>
                  <w:color w:val="auto"/>
                </w:rPr>
                <w:t>10</w:t>
              </w:r>
            </w:hyperlink>
          </w:p>
        </w:tc>
        <w:tc>
          <w:tcPr>
            <w:tcW w:w="4640" w:type="dxa"/>
            <w:vAlign w:val="bottom"/>
            <w:gridSpan w:val="2"/>
          </w:tcPr>
          <w:p>
            <w:pPr>
              <w:ind w:left="220"/>
              <w:spacing w:after="0"/>
              <w:rPr>
                <w:rFonts w:ascii="Arial" w:cs="Arial" w:eastAsia="Arial" w:hAnsi="Arial"/>
                <w:sz w:val="18"/>
                <w:szCs w:val="18"/>
                <w:color w:val="auto"/>
              </w:rPr>
            </w:pPr>
            <w:hyperlink w:anchor="page86">
              <w:r>
                <w:rPr>
                  <w:rFonts w:ascii="Arial" w:cs="Arial" w:eastAsia="Arial" w:hAnsi="Arial"/>
                  <w:sz w:val="18"/>
                  <w:szCs w:val="18"/>
                  <w:color w:val="auto"/>
                </w:rPr>
                <w:t>NOTICES AND DIRECTIONS FROM PARTICIPANTS</w:t>
              </w:r>
            </w:hyperlink>
          </w:p>
        </w:tc>
        <w:tc>
          <w:tcPr>
            <w:tcW w:w="6340" w:type="dxa"/>
            <w:vAlign w:val="bottom"/>
          </w:tcPr>
          <w:p>
            <w:pPr>
              <w:jc w:val="right"/>
              <w:spacing w:after="0"/>
              <w:rPr>
                <w:rFonts w:ascii="Arial" w:cs="Arial" w:eastAsia="Arial" w:hAnsi="Arial"/>
                <w:sz w:val="18"/>
                <w:szCs w:val="18"/>
                <w:color w:val="auto"/>
              </w:rPr>
            </w:pPr>
            <w:hyperlink w:anchor="page86">
              <w:r>
                <w:rPr>
                  <w:rFonts w:ascii="Arial" w:cs="Arial" w:eastAsia="Arial" w:hAnsi="Arial"/>
                  <w:sz w:val="18"/>
                  <w:szCs w:val="18"/>
                  <w:color w:val="auto"/>
                </w:rPr>
                <w:t>12</w:t>
              </w:r>
            </w:hyperlink>
          </w:p>
        </w:tc>
      </w:tr>
      <w:tr>
        <w:trPr>
          <w:trHeight w:val="405"/>
        </w:trPr>
        <w:tc>
          <w:tcPr>
            <w:tcW w:w="440" w:type="dxa"/>
            <w:vAlign w:val="bottom"/>
          </w:tcPr>
          <w:p>
            <w:pPr>
              <w:spacing w:after="0"/>
              <w:rPr>
                <w:rFonts w:ascii="Arial" w:cs="Arial" w:eastAsia="Arial" w:hAnsi="Arial"/>
                <w:sz w:val="18"/>
                <w:szCs w:val="18"/>
                <w:color w:val="auto"/>
              </w:rPr>
            </w:pPr>
            <w:hyperlink w:anchor="page86">
              <w:r>
                <w:rPr>
                  <w:rFonts w:ascii="Arial" w:cs="Arial" w:eastAsia="Arial" w:hAnsi="Arial"/>
                  <w:sz w:val="18"/>
                  <w:szCs w:val="18"/>
                  <w:color w:val="auto"/>
                </w:rPr>
                <w:t>11</w:t>
              </w:r>
            </w:hyperlink>
          </w:p>
        </w:tc>
        <w:tc>
          <w:tcPr>
            <w:tcW w:w="4640" w:type="dxa"/>
            <w:vAlign w:val="bottom"/>
            <w:gridSpan w:val="2"/>
          </w:tcPr>
          <w:p>
            <w:pPr>
              <w:ind w:left="220"/>
              <w:spacing w:after="0"/>
              <w:rPr>
                <w:rFonts w:ascii="Arial" w:cs="Arial" w:eastAsia="Arial" w:hAnsi="Arial"/>
                <w:sz w:val="18"/>
                <w:szCs w:val="18"/>
                <w:color w:val="auto"/>
              </w:rPr>
            </w:pPr>
            <w:hyperlink w:anchor="page86">
              <w:r>
                <w:rPr>
                  <w:rFonts w:ascii="Arial" w:cs="Arial" w:eastAsia="Arial" w:hAnsi="Arial"/>
                  <w:sz w:val="18"/>
                  <w:szCs w:val="18"/>
                  <w:color w:val="auto"/>
                </w:rPr>
                <w:t>TAX</w:t>
              </w:r>
            </w:hyperlink>
          </w:p>
        </w:tc>
        <w:tc>
          <w:tcPr>
            <w:tcW w:w="6340" w:type="dxa"/>
            <w:vAlign w:val="bottom"/>
          </w:tcPr>
          <w:p>
            <w:pPr>
              <w:jc w:val="right"/>
              <w:spacing w:after="0"/>
              <w:rPr>
                <w:rFonts w:ascii="Arial" w:cs="Arial" w:eastAsia="Arial" w:hAnsi="Arial"/>
                <w:sz w:val="18"/>
                <w:szCs w:val="18"/>
                <w:color w:val="auto"/>
              </w:rPr>
            </w:pPr>
            <w:hyperlink w:anchor="page86">
              <w:r>
                <w:rPr>
                  <w:rFonts w:ascii="Arial" w:cs="Arial" w:eastAsia="Arial" w:hAnsi="Arial"/>
                  <w:sz w:val="18"/>
                  <w:szCs w:val="18"/>
                  <w:color w:val="auto"/>
                </w:rPr>
                <w:t>12</w:t>
              </w:r>
            </w:hyperlink>
          </w:p>
        </w:tc>
      </w:tr>
      <w:tr>
        <w:trPr>
          <w:trHeight w:val="405"/>
        </w:trPr>
        <w:tc>
          <w:tcPr>
            <w:tcW w:w="440" w:type="dxa"/>
            <w:vAlign w:val="bottom"/>
          </w:tcPr>
          <w:p>
            <w:pPr>
              <w:spacing w:after="0"/>
              <w:rPr>
                <w:rFonts w:ascii="Arial" w:cs="Arial" w:eastAsia="Arial" w:hAnsi="Arial"/>
                <w:sz w:val="18"/>
                <w:szCs w:val="18"/>
                <w:color w:val="auto"/>
              </w:rPr>
            </w:pPr>
            <w:hyperlink w:anchor="page87">
              <w:r>
                <w:rPr>
                  <w:rFonts w:ascii="Arial" w:cs="Arial" w:eastAsia="Arial" w:hAnsi="Arial"/>
                  <w:sz w:val="18"/>
                  <w:szCs w:val="18"/>
                  <w:color w:val="auto"/>
                </w:rPr>
                <w:t>12</w:t>
              </w:r>
            </w:hyperlink>
          </w:p>
        </w:tc>
        <w:tc>
          <w:tcPr>
            <w:tcW w:w="4640" w:type="dxa"/>
            <w:vAlign w:val="bottom"/>
            <w:gridSpan w:val="2"/>
          </w:tcPr>
          <w:p>
            <w:pPr>
              <w:ind w:left="220"/>
              <w:spacing w:after="0"/>
              <w:rPr>
                <w:rFonts w:ascii="Arial" w:cs="Arial" w:eastAsia="Arial" w:hAnsi="Arial"/>
                <w:sz w:val="18"/>
                <w:szCs w:val="18"/>
                <w:color w:val="auto"/>
              </w:rPr>
            </w:pPr>
            <w:hyperlink w:anchor="page87">
              <w:r>
                <w:rPr>
                  <w:rFonts w:ascii="Arial" w:cs="Arial" w:eastAsia="Arial" w:hAnsi="Arial"/>
                  <w:sz w:val="18"/>
                  <w:szCs w:val="18"/>
                  <w:color w:val="auto"/>
                </w:rPr>
                <w:t>AMENDMENTS</w:t>
              </w:r>
            </w:hyperlink>
          </w:p>
        </w:tc>
        <w:tc>
          <w:tcPr>
            <w:tcW w:w="634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13</w:t>
              </w:r>
            </w:hyperlink>
          </w:p>
        </w:tc>
      </w:tr>
      <w:tr>
        <w:trPr>
          <w:trHeight w:val="405"/>
        </w:trPr>
        <w:tc>
          <w:tcPr>
            <w:tcW w:w="440" w:type="dxa"/>
            <w:vAlign w:val="bottom"/>
          </w:tcPr>
          <w:p>
            <w:pPr>
              <w:spacing w:after="0"/>
              <w:rPr>
                <w:rFonts w:ascii="Arial" w:cs="Arial" w:eastAsia="Arial" w:hAnsi="Arial"/>
                <w:sz w:val="18"/>
                <w:szCs w:val="18"/>
                <w:color w:val="auto"/>
              </w:rPr>
            </w:pPr>
            <w:hyperlink w:anchor="page87">
              <w:r>
                <w:rPr>
                  <w:rFonts w:ascii="Arial" w:cs="Arial" w:eastAsia="Arial" w:hAnsi="Arial"/>
                  <w:sz w:val="18"/>
                  <w:szCs w:val="18"/>
                  <w:color w:val="auto"/>
                </w:rPr>
                <w:t>13</w:t>
              </w:r>
            </w:hyperlink>
          </w:p>
        </w:tc>
        <w:tc>
          <w:tcPr>
            <w:tcW w:w="4640" w:type="dxa"/>
            <w:vAlign w:val="bottom"/>
            <w:gridSpan w:val="2"/>
          </w:tcPr>
          <w:p>
            <w:pPr>
              <w:ind w:left="220"/>
              <w:spacing w:after="0"/>
              <w:rPr>
                <w:rFonts w:ascii="Arial" w:cs="Arial" w:eastAsia="Arial" w:hAnsi="Arial"/>
                <w:sz w:val="18"/>
                <w:szCs w:val="18"/>
                <w:color w:val="auto"/>
              </w:rPr>
            </w:pPr>
            <w:hyperlink w:anchor="page87">
              <w:r>
                <w:rPr>
                  <w:rFonts w:ascii="Arial" w:cs="Arial" w:eastAsia="Arial" w:hAnsi="Arial"/>
                  <w:sz w:val="18"/>
                  <w:szCs w:val="18"/>
                  <w:color w:val="auto"/>
                </w:rPr>
                <w:t>GENERAL</w:t>
              </w:r>
            </w:hyperlink>
          </w:p>
        </w:tc>
        <w:tc>
          <w:tcPr>
            <w:tcW w:w="634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13</w:t>
              </w:r>
            </w:hyperlink>
          </w:p>
        </w:tc>
      </w:tr>
      <w:tr>
        <w:trPr>
          <w:trHeight w:val="405"/>
        </w:trPr>
        <w:tc>
          <w:tcPr>
            <w:tcW w:w="5080" w:type="dxa"/>
            <w:vAlign w:val="bottom"/>
            <w:gridSpan w:val="3"/>
          </w:tcPr>
          <w:p>
            <w:pPr>
              <w:spacing w:after="0"/>
              <w:rPr>
                <w:rFonts w:ascii="Arial" w:cs="Arial" w:eastAsia="Arial" w:hAnsi="Arial"/>
                <w:sz w:val="18"/>
                <w:szCs w:val="18"/>
                <w:color w:val="auto"/>
              </w:rPr>
            </w:pPr>
            <w:hyperlink w:anchor="page89">
              <w:r>
                <w:rPr>
                  <w:rFonts w:ascii="Arial" w:cs="Arial" w:eastAsia="Arial" w:hAnsi="Arial"/>
                  <w:sz w:val="18"/>
                  <w:szCs w:val="18"/>
                  <w:color w:val="auto"/>
                </w:rPr>
                <w:t>SCHEDULE 1 UNITED STATES EMPLOYEES</w:t>
              </w:r>
            </w:hyperlink>
          </w:p>
        </w:tc>
        <w:tc>
          <w:tcPr>
            <w:tcW w:w="6340" w:type="dxa"/>
            <w:vAlign w:val="bottom"/>
          </w:tcPr>
          <w:p>
            <w:pPr>
              <w:jc w:val="right"/>
              <w:spacing w:after="0"/>
              <w:rPr>
                <w:rFonts w:ascii="Arial" w:cs="Arial" w:eastAsia="Arial" w:hAnsi="Arial"/>
                <w:sz w:val="18"/>
                <w:szCs w:val="18"/>
                <w:color w:val="auto"/>
              </w:rPr>
            </w:pPr>
            <w:hyperlink w:anchor="page89">
              <w:r>
                <w:rPr>
                  <w:rFonts w:ascii="Arial" w:cs="Arial" w:eastAsia="Arial" w:hAnsi="Arial"/>
                  <w:sz w:val="18"/>
                  <w:szCs w:val="18"/>
                  <w:color w:val="auto"/>
                </w:rPr>
                <w:t>15</w:t>
              </w:r>
            </w:hyperlink>
          </w:p>
        </w:tc>
      </w:tr>
      <w:tr>
        <w:trPr>
          <w:trHeight w:val="405"/>
        </w:trPr>
        <w:tc>
          <w:tcPr>
            <w:tcW w:w="5080" w:type="dxa"/>
            <w:vAlign w:val="bottom"/>
            <w:gridSpan w:val="3"/>
          </w:tcPr>
          <w:p>
            <w:pPr>
              <w:spacing w:after="0"/>
              <w:rPr>
                <w:rFonts w:ascii="Arial" w:cs="Arial" w:eastAsia="Arial" w:hAnsi="Arial"/>
                <w:sz w:val="18"/>
                <w:szCs w:val="18"/>
                <w:color w:val="auto"/>
              </w:rPr>
            </w:pPr>
            <w:hyperlink w:anchor="page94">
              <w:r>
                <w:rPr>
                  <w:rFonts w:ascii="Arial" w:cs="Arial" w:eastAsia="Arial" w:hAnsi="Arial"/>
                  <w:sz w:val="18"/>
                  <w:szCs w:val="18"/>
                  <w:color w:val="auto"/>
                </w:rPr>
                <w:t>SCHEDULE 2 UNITED KINGDOM EMPLOYEES</w:t>
              </w:r>
            </w:hyperlink>
          </w:p>
        </w:tc>
        <w:tc>
          <w:tcPr>
            <w:tcW w:w="6340" w:type="dxa"/>
            <w:vAlign w:val="bottom"/>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20</w:t>
              </w:r>
            </w:hyperlink>
          </w:p>
        </w:tc>
      </w:tr>
      <w:tr>
        <w:trPr>
          <w:trHeight w:val="405"/>
        </w:trPr>
        <w:tc>
          <w:tcPr>
            <w:tcW w:w="5080" w:type="dxa"/>
            <w:vAlign w:val="bottom"/>
            <w:gridSpan w:val="3"/>
          </w:tcPr>
          <w:p>
            <w:pPr>
              <w:spacing w:after="0"/>
              <w:rPr>
                <w:rFonts w:ascii="Arial" w:cs="Arial" w:eastAsia="Arial" w:hAnsi="Arial"/>
                <w:sz w:val="18"/>
                <w:szCs w:val="18"/>
                <w:color w:val="auto"/>
              </w:rPr>
            </w:pPr>
            <w:hyperlink w:anchor="page113">
              <w:r>
                <w:rPr>
                  <w:rFonts w:ascii="Arial" w:cs="Arial" w:eastAsia="Arial" w:hAnsi="Arial"/>
                  <w:sz w:val="18"/>
                  <w:szCs w:val="18"/>
                  <w:color w:val="auto"/>
                </w:rPr>
                <w:t>SCHEDULE 3 REST OF WORLD EMPLOYEES</w:t>
              </w:r>
            </w:hyperlink>
          </w:p>
        </w:tc>
        <w:tc>
          <w:tcPr>
            <w:tcW w:w="6340" w:type="dxa"/>
            <w:vAlign w:val="bottom"/>
          </w:tcPr>
          <w:p>
            <w:pPr>
              <w:jc w:val="right"/>
              <w:spacing w:after="0"/>
              <w:rPr>
                <w:rFonts w:ascii="Arial" w:cs="Arial" w:eastAsia="Arial" w:hAnsi="Arial"/>
                <w:sz w:val="18"/>
                <w:szCs w:val="18"/>
                <w:color w:val="auto"/>
              </w:rPr>
            </w:pPr>
            <w:hyperlink w:anchor="page113">
              <w:r>
                <w:rPr>
                  <w:rFonts w:ascii="Arial" w:cs="Arial" w:eastAsia="Arial" w:hAnsi="Arial"/>
                  <w:sz w:val="18"/>
                  <w:szCs w:val="18"/>
                  <w:color w:val="auto"/>
                </w:rPr>
                <w:t>39</w:t>
              </w:r>
            </w:hyperlink>
          </w:p>
        </w:tc>
      </w:tr>
      <w:tr>
        <w:trPr>
          <w:trHeight w:val="366"/>
        </w:trPr>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340" w:type="dxa"/>
            <w:vAlign w:val="bottom"/>
          </w:tcPr>
          <w:p>
            <w:pPr>
              <w:jc w:val="right"/>
              <w:spacing w:after="0"/>
              <w:rPr>
                <w:sz w:val="20"/>
                <w:szCs w:val="20"/>
                <w:color w:val="auto"/>
              </w:rPr>
            </w:pPr>
            <w:r>
              <w:rPr>
                <w:rFonts w:ascii="Arial" w:cs="Arial" w:eastAsia="Arial" w:hAnsi="Arial"/>
                <w:sz w:val="14"/>
                <w:szCs w:val="14"/>
                <w:color w:val="auto"/>
              </w:rPr>
              <w:t>i</w:t>
            </w:r>
          </w:p>
        </w:tc>
      </w:tr>
      <w:tr>
        <w:trPr>
          <w:trHeight w:val="324"/>
        </w:trPr>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340" w:type="dxa"/>
            <w:vAlign w:val="bottom"/>
          </w:tcPr>
          <w:p>
            <w:pPr>
              <w:jc w:val="right"/>
              <w:spacing w:after="0"/>
              <w:rPr>
                <w:sz w:val="20"/>
                <w:szCs w:val="20"/>
                <w:color w:val="auto"/>
              </w:rPr>
            </w:pPr>
            <w:r>
              <w:rPr>
                <w:rFonts w:ascii="Arial" w:cs="Arial" w:eastAsia="Arial" w:hAnsi="Arial"/>
                <w:sz w:val="14"/>
                <w:szCs w:val="14"/>
                <w:color w:val="auto"/>
              </w:rPr>
              <w:t>014-3956-4410/13/EUROPE</w:t>
            </w:r>
          </w:p>
        </w:tc>
      </w:tr>
      <w:tr>
        <w:trPr>
          <w:trHeight w:val="262"/>
        </w:trPr>
        <w:tc>
          <w:tcPr>
            <w:tcW w:w="440" w:type="dxa"/>
            <w:vAlign w:val="bottom"/>
            <w:tcBorders>
              <w:bottom w:val="single" w:sz="8" w:color="C0C0C0"/>
            </w:tcBorders>
          </w:tcPr>
          <w:p>
            <w:pPr>
              <w:spacing w:after="0"/>
              <w:rPr>
                <w:sz w:val="22"/>
                <w:szCs w:val="22"/>
                <w:color w:val="auto"/>
              </w:rPr>
            </w:pPr>
          </w:p>
        </w:tc>
        <w:tc>
          <w:tcPr>
            <w:tcW w:w="760" w:type="dxa"/>
            <w:vAlign w:val="bottom"/>
            <w:tcBorders>
              <w:bottom w:val="single" w:sz="8" w:color="C0C0C0"/>
            </w:tcBorders>
          </w:tcPr>
          <w:p>
            <w:pPr>
              <w:spacing w:after="0"/>
              <w:rPr>
                <w:sz w:val="22"/>
                <w:szCs w:val="22"/>
                <w:color w:val="auto"/>
              </w:rPr>
            </w:pPr>
          </w:p>
        </w:tc>
        <w:tc>
          <w:tcPr>
            <w:tcW w:w="3880" w:type="dxa"/>
            <w:vAlign w:val="bottom"/>
            <w:tcBorders>
              <w:bottom w:val="single" w:sz="8" w:color="C0C0C0"/>
            </w:tcBorders>
          </w:tcPr>
          <w:p>
            <w:pPr>
              <w:spacing w:after="0"/>
              <w:rPr>
                <w:sz w:val="22"/>
                <w:szCs w:val="22"/>
                <w:color w:val="auto"/>
              </w:rPr>
            </w:pPr>
          </w:p>
        </w:tc>
        <w:tc>
          <w:tcPr>
            <w:tcW w:w="63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420"/>
          </w:cols>
          <w:pgMar w:left="240" w:top="234" w:right="2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LIVANOVA GLOBAL EMPLOYEE SHARE PLAN</w:t>
      </w:r>
    </w:p>
    <w:p>
      <w:pPr>
        <w:spacing w:after="0" w:line="198"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these Provisions:</w:t>
      </w:r>
    </w:p>
    <w:p>
      <w:pPr>
        <w:spacing w:after="0" w:line="176" w:lineRule="exact"/>
        <w:rPr>
          <w:rFonts w:ascii="Arial" w:cs="Arial" w:eastAsia="Arial" w:hAnsi="Arial"/>
          <w:sz w:val="18"/>
          <w:szCs w:val="18"/>
          <w:b w:val="1"/>
          <w:bCs w:val="1"/>
          <w:color w:val="auto"/>
        </w:rPr>
      </w:pPr>
    </w:p>
    <w:p>
      <w:pPr>
        <w:ind w:left="660" w:right="320"/>
        <w:spacing w:after="0" w:line="27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 Date” </w:t>
      </w:r>
      <w:r>
        <w:rPr>
          <w:rFonts w:ascii="Arial" w:cs="Arial" w:eastAsia="Arial" w:hAnsi="Arial"/>
          <w:sz w:val="18"/>
          <w:szCs w:val="18"/>
          <w:color w:val="auto"/>
        </w:rPr>
        <w:t>means the date determined by the Nominee in accordance with the Provisions on which it acquires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(or, as the case may be, Dividend Shares) on behalf of an Eligible Employee.</w:t>
      </w:r>
    </w:p>
    <w:p>
      <w:pPr>
        <w:spacing w:after="0" w:line="140" w:lineRule="exact"/>
        <w:rPr>
          <w:rFonts w:ascii="Arial" w:cs="Arial" w:eastAsia="Arial" w:hAnsi="Arial"/>
          <w:sz w:val="18"/>
          <w:szCs w:val="18"/>
          <w:b w:val="1"/>
          <w:bCs w:val="1"/>
          <w:color w:val="auto"/>
        </w:rPr>
      </w:pPr>
    </w:p>
    <w:p>
      <w:pPr>
        <w:ind w:left="660" w:right="220"/>
        <w:spacing w:after="0" w:line="253"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“Administrator” </w:t>
      </w:r>
      <w:r>
        <w:rPr>
          <w:rFonts w:ascii="Arial" w:cs="Arial" w:eastAsia="Arial" w:hAnsi="Arial"/>
          <w:sz w:val="18"/>
          <w:szCs w:val="18"/>
          <w:color w:val="auto"/>
        </w:rPr>
        <w:t>means the Equity Compensation Committee (a committee created by the Board of Directors to administer this Plan</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Equity Compensation Plans) or any other person as delegated by the Board of Directors or the Equity Compensation Committee, an example of such person being the Vice President of HR.</w:t>
      </w:r>
    </w:p>
    <w:p>
      <w:pPr>
        <w:spacing w:after="0" w:line="15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means:</w:t>
      </w:r>
    </w:p>
    <w:p>
      <w:pPr>
        <w:spacing w:after="0" w:line="220" w:lineRule="exact"/>
        <w:rPr>
          <w:rFonts w:ascii="Arial" w:cs="Arial" w:eastAsia="Arial" w:hAnsi="Arial"/>
          <w:sz w:val="18"/>
          <w:szCs w:val="18"/>
          <w:b w:val="1"/>
          <w:bCs w:val="1"/>
          <w:color w:val="auto"/>
        </w:rPr>
      </w:pPr>
    </w:p>
    <w:p>
      <w:pPr>
        <w:ind w:left="1300" w:right="340" w:hanging="644"/>
        <w:spacing w:after="0" w:line="246"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 relation to Free Shares or Matching Shares, the appropriation of Free Shares or Matching Shares in accordance with the Provisions; and</w:t>
      </w:r>
    </w:p>
    <w:p>
      <w:pPr>
        <w:spacing w:after="0" w:line="183" w:lineRule="exact"/>
        <w:rPr>
          <w:rFonts w:ascii="Arial" w:cs="Arial" w:eastAsia="Arial" w:hAnsi="Arial"/>
          <w:sz w:val="18"/>
          <w:szCs w:val="18"/>
          <w:color w:val="auto"/>
        </w:rPr>
      </w:pPr>
    </w:p>
    <w:p>
      <w:pPr>
        <w:ind w:left="1300" w:right="420" w:hanging="644"/>
        <w:spacing w:after="0" w:line="246"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 relation to Investment Shares or Dividend Shares, the acquisition of Investment Shares or Dividend Shares on behalf of Participants in accordance with the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reference to Shares being awarded will be construed accordingly.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“Award Date” </w:t>
      </w:r>
      <w:r>
        <w:rPr>
          <w:rFonts w:ascii="Arial" w:cs="Arial" w:eastAsia="Arial" w:hAnsi="Arial"/>
          <w:sz w:val="18"/>
          <w:szCs w:val="18"/>
          <w:color w:val="auto"/>
        </w:rPr>
        <w:t>means the date on which Free Shares and/or Matching Shares are awarded to a Participant under the Plan.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of the Company or a duly constituted committee of the Board.</w:t>
      </w:r>
    </w:p>
    <w:p>
      <w:pPr>
        <w:spacing w:after="0" w:line="198" w:lineRule="exact"/>
        <w:rPr>
          <w:sz w:val="20"/>
          <w:szCs w:val="20"/>
          <w:color w:val="auto"/>
        </w:rPr>
      </w:pPr>
    </w:p>
    <w:p>
      <w:pPr>
        <w:ind w:left="660" w:right="260"/>
        <w:spacing w:after="0" w:line="271"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on which the Nasdaq or other stock exchange on which the Company’s shares are traded is open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transaction of business.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shall mean and includes each of the following:</w:t>
      </w:r>
    </w:p>
    <w:p>
      <w:pPr>
        <w:spacing w:after="0" w:line="220"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Sale; or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Takeover.</w:t>
      </w:r>
    </w:p>
    <w:p>
      <w:pPr>
        <w:spacing w:after="0" w:line="198" w:lineRule="exact"/>
        <w:rPr>
          <w:sz w:val="20"/>
          <w:szCs w:val="20"/>
          <w:color w:val="auto"/>
        </w:rPr>
      </w:pPr>
    </w:p>
    <w:p>
      <w:pPr>
        <w:ind w:left="660" w:right="60"/>
        <w:spacing w:after="0" w:line="257" w:lineRule="auto"/>
        <w:rPr>
          <w:sz w:val="20"/>
          <w:szCs w:val="20"/>
          <w:color w:val="auto"/>
        </w:rPr>
      </w:pPr>
      <w:r>
        <w:rPr>
          <w:rFonts w:ascii="Arial" w:cs="Arial" w:eastAsia="Arial" w:hAnsi="Arial"/>
          <w:sz w:val="17"/>
          <w:szCs w:val="17"/>
          <w:color w:val="auto"/>
        </w:rPr>
        <w:t>The Administrator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United States Internal Revenue Code of 1986, as amended.</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ind w:left="11100"/>
        <w:spacing w:after="0"/>
        <w:rPr>
          <w:sz w:val="20"/>
          <w:szCs w:val="20"/>
          <w:color w:val="auto"/>
        </w:rPr>
      </w:pPr>
      <w:r>
        <w:rPr>
          <w:rFonts w:ascii="Arial" w:cs="Arial" w:eastAsia="Arial" w:hAnsi="Arial"/>
          <w:sz w:val="14"/>
          <w:szCs w:val="14"/>
          <w:color w:val="auto"/>
        </w:rPr>
        <w:t>Draft</w:t>
      </w:r>
    </w:p>
    <w:p>
      <w:pPr>
        <w:spacing w:after="0" w:line="176" w:lineRule="exact"/>
        <w:rPr>
          <w:sz w:val="20"/>
          <w:szCs w:val="20"/>
          <w:color w:val="auto"/>
        </w:rPr>
      </w:pPr>
    </w:p>
    <w:p>
      <w:pPr>
        <w:ind w:left="660" w:right="220"/>
        <w:spacing w:after="0" w:line="271" w:lineRule="auto"/>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LivaNova Plc (company number 09451374) whose registered address is at 20 Eastbourne Terrace, London, W2</w:t>
      </w:r>
      <w:r>
        <w:rPr>
          <w:rFonts w:ascii="Arial" w:cs="Arial" w:eastAsia="Arial" w:hAnsi="Arial"/>
          <w:sz w:val="18"/>
          <w:szCs w:val="18"/>
          <w:b w:val="1"/>
          <w:bCs w:val="1"/>
          <w:color w:val="auto"/>
        </w:rPr>
        <w:t xml:space="preserve"> </w:t>
      </w:r>
      <w:r>
        <w:rPr>
          <w:rFonts w:ascii="Arial" w:cs="Arial" w:eastAsia="Arial" w:hAnsi="Arial"/>
          <w:sz w:val="18"/>
          <w:szCs w:val="18"/>
          <w:color w:val="auto"/>
        </w:rPr>
        <w:t>6LG.</w:t>
      </w:r>
    </w:p>
    <w:p>
      <w:pPr>
        <w:spacing w:after="0" w:line="140" w:lineRule="exact"/>
        <w:rPr>
          <w:sz w:val="20"/>
          <w:szCs w:val="20"/>
          <w:color w:val="auto"/>
        </w:rPr>
      </w:pPr>
    </w:p>
    <w:p>
      <w:pPr>
        <w:ind w:left="660" w:right="300"/>
        <w:spacing w:after="0" w:line="247" w:lineRule="auto"/>
        <w:rPr>
          <w:sz w:val="20"/>
          <w:szCs w:val="20"/>
          <w:color w:val="auto"/>
        </w:rPr>
      </w:pPr>
      <w:r>
        <w:rPr>
          <w:rFonts w:ascii="Arial" w:cs="Arial" w:eastAsia="Arial" w:hAnsi="Arial"/>
          <w:sz w:val="18"/>
          <w:szCs w:val="18"/>
          <w:b w:val="1"/>
          <w:bCs w:val="1"/>
          <w:color w:val="auto"/>
        </w:rPr>
        <w:t xml:space="preserve">“Contributions” </w:t>
      </w:r>
      <w:r>
        <w:rPr>
          <w:rFonts w:ascii="Arial" w:cs="Arial" w:eastAsia="Arial" w:hAnsi="Arial"/>
          <w:sz w:val="18"/>
          <w:szCs w:val="18"/>
          <w:color w:val="auto"/>
        </w:rPr>
        <w:t>means (i) except with respect to Schedule 1, deductions from a Participant’s Salary or other payment made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for the purpose of acquiring Investment Shares, and (ii) with respect to Schedule 1, deductions from a Participant’s Compensation (as defined in Schedule 1), in accordance with a Participant’s election in effect during an Offering Period, for the purpose of acquiring Investment Shares pursuant to the provisions of.</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“Corporate Event” </w:t>
      </w:r>
      <w:r>
        <w:rPr>
          <w:rFonts w:ascii="Arial" w:cs="Arial" w:eastAsia="Arial" w:hAnsi="Arial"/>
          <w:sz w:val="18"/>
          <w:szCs w:val="18"/>
          <w:color w:val="auto"/>
        </w:rPr>
        <w:t>means, in relation to the Company:</w:t>
      </w:r>
    </w:p>
    <w:p>
      <w:pPr>
        <w:spacing w:after="0" w:line="220" w:lineRule="exact"/>
        <w:rPr>
          <w:sz w:val="20"/>
          <w:szCs w:val="20"/>
          <w:color w:val="auto"/>
        </w:rPr>
      </w:pPr>
    </w:p>
    <w:p>
      <w:pPr>
        <w:ind w:left="1300" w:right="800" w:hanging="644"/>
        <w:spacing w:after="0" w:line="275" w:lineRule="auto"/>
        <w:tabs>
          <w:tab w:leader="none" w:pos="13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any demerger, delisting, distribution (other than an ordinary dividend) or other transaction, which, in the opinion of the Administrator, might affect the current or future value of Plan Shares or any Free Share or Matching Share award; or</w:t>
      </w:r>
    </w:p>
    <w:p>
      <w:pPr>
        <w:spacing w:after="0" w:line="159" w:lineRule="exact"/>
        <w:rPr>
          <w:rFonts w:ascii="Arial" w:cs="Arial" w:eastAsia="Arial" w:hAnsi="Arial"/>
          <w:sz w:val="17"/>
          <w:szCs w:val="17"/>
          <w:color w:val="auto"/>
        </w:rPr>
      </w:pPr>
    </w:p>
    <w:p>
      <w:pPr>
        <w:ind w:left="1300" w:right="260" w:hanging="644"/>
        <w:spacing w:after="0" w:line="246"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reverse takeover (not falling within the definition of Change of Control), merger by way of a dual listed company or other significant corporate event, as determined by the Administrator.</w:t>
      </w:r>
    </w:p>
    <w:p>
      <w:pPr>
        <w:spacing w:after="0" w:line="161" w:lineRule="exact"/>
        <w:rPr>
          <w:sz w:val="20"/>
          <w:szCs w:val="20"/>
          <w:color w:val="auto"/>
        </w:rPr>
      </w:pPr>
    </w:p>
    <w:p>
      <w:pPr>
        <w:ind w:left="660" w:right="40"/>
        <w:spacing w:after="0" w:line="253" w:lineRule="auto"/>
        <w:rPr>
          <w:sz w:val="20"/>
          <w:szCs w:val="20"/>
          <w:color w:val="auto"/>
        </w:rPr>
      </w:pPr>
      <w:r>
        <w:rPr>
          <w:rFonts w:ascii="Arial" w:cs="Arial" w:eastAsia="Arial" w:hAnsi="Arial"/>
          <w:sz w:val="18"/>
          <w:szCs w:val="18"/>
          <w:b w:val="1"/>
          <w:bCs w:val="1"/>
          <w:color w:val="auto"/>
        </w:rPr>
        <w:t xml:space="preserve">“Dealing Restrictions” </w:t>
      </w:r>
      <w:r>
        <w:rPr>
          <w:rFonts w:ascii="Arial" w:cs="Arial" w:eastAsia="Arial" w:hAnsi="Arial"/>
          <w:sz w:val="18"/>
          <w:szCs w:val="18"/>
          <w:color w:val="auto"/>
        </w:rPr>
        <w:t>means the Company’s code for dealing in shares by its directors and applicable employees (as amended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in accordance with relevant legislation or regulation and any other agreement, arrangement, contract or code adopted or entered into by the Company containing provisions similar in purpose and effect.</w:t>
      </w:r>
    </w:p>
    <w:p>
      <w:pPr>
        <w:spacing w:after="0" w:line="156" w:lineRule="exact"/>
        <w:rPr>
          <w:sz w:val="20"/>
          <w:szCs w:val="20"/>
          <w:color w:val="auto"/>
        </w:rPr>
      </w:pPr>
    </w:p>
    <w:p>
      <w:pPr>
        <w:ind w:left="660" w:right="520"/>
        <w:spacing w:after="0" w:line="271" w:lineRule="auto"/>
        <w:rPr>
          <w:sz w:val="20"/>
          <w:szCs w:val="20"/>
          <w:color w:val="auto"/>
        </w:rPr>
      </w:pPr>
      <w:r>
        <w:rPr>
          <w:rFonts w:ascii="Arial" w:cs="Arial" w:eastAsia="Arial" w:hAnsi="Arial"/>
          <w:sz w:val="18"/>
          <w:szCs w:val="18"/>
          <w:b w:val="1"/>
          <w:bCs w:val="1"/>
          <w:color w:val="auto"/>
        </w:rPr>
        <w:t xml:space="preserve">“Dividend Equivalent” </w:t>
      </w:r>
      <w:r>
        <w:rPr>
          <w:rFonts w:ascii="Arial" w:cs="Arial" w:eastAsia="Arial" w:hAnsi="Arial"/>
          <w:sz w:val="18"/>
          <w:szCs w:val="18"/>
          <w:color w:val="auto"/>
        </w:rPr>
        <w:t>means an amount equal to the ordinary dividends payable on the number of Vested Shares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Date and Vesting.</w:t>
      </w:r>
    </w:p>
    <w:p>
      <w:pPr>
        <w:spacing w:after="0" w:line="140" w:lineRule="exact"/>
        <w:rPr>
          <w:sz w:val="20"/>
          <w:szCs w:val="20"/>
          <w:color w:val="auto"/>
        </w:rPr>
      </w:pPr>
    </w:p>
    <w:p>
      <w:pPr>
        <w:ind w:left="660" w:right="520"/>
        <w:spacing w:after="0" w:line="271" w:lineRule="auto"/>
        <w:rPr>
          <w:sz w:val="20"/>
          <w:szCs w:val="20"/>
          <w:color w:val="auto"/>
        </w:rPr>
      </w:pPr>
      <w:r>
        <w:rPr>
          <w:rFonts w:ascii="Arial" w:cs="Arial" w:eastAsia="Arial" w:hAnsi="Arial"/>
          <w:sz w:val="18"/>
          <w:szCs w:val="18"/>
          <w:b w:val="1"/>
          <w:bCs w:val="1"/>
          <w:color w:val="auto"/>
        </w:rPr>
        <w:t xml:space="preserve">“Dividend Shares” </w:t>
      </w:r>
      <w:r>
        <w:rPr>
          <w:rFonts w:ascii="Arial" w:cs="Arial" w:eastAsia="Arial" w:hAnsi="Arial"/>
          <w:sz w:val="18"/>
          <w:szCs w:val="18"/>
          <w:color w:val="auto"/>
        </w:rPr>
        <w:t>means Shares acquired through the reinvestment of cash dividends paid on Plan Shares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 (</w:t>
      </w:r>
      <w:r>
        <w:rPr>
          <w:rFonts w:ascii="Arial" w:cs="Arial" w:eastAsia="Arial" w:hAnsi="Arial"/>
          <w:sz w:val="18"/>
          <w:szCs w:val="18"/>
          <w:i w:val="1"/>
          <w:iCs w:val="1"/>
          <w:color w:val="auto"/>
        </w:rPr>
        <w:t>Dividend Shares and Dividend Equivalents</w:t>
      </w:r>
      <w:r>
        <w:rPr>
          <w:rFonts w:ascii="Arial" w:cs="Arial" w:eastAsia="Arial" w:hAnsi="Arial"/>
          <w:sz w:val="18"/>
          <w:szCs w:val="18"/>
          <w:color w:val="auto"/>
        </w:rPr>
        <w:t>) or, in respect of Awards granted under Schedule 2, Part 4 of Schedule 2.</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“Eligible Employee” </w:t>
      </w:r>
      <w:r>
        <w:rPr>
          <w:rFonts w:ascii="Arial" w:cs="Arial" w:eastAsia="Arial" w:hAnsi="Arial"/>
          <w:sz w:val="18"/>
          <w:szCs w:val="18"/>
          <w:color w:val="auto"/>
        </w:rPr>
        <w:t>means any person who, on a date or dates determined by the Administrator:</w:t>
      </w:r>
    </w:p>
    <w:p>
      <w:pPr>
        <w:spacing w:after="0" w:line="220"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is an employee of a Participating Company.</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has held employment with a Participating Company at all times during any relevant Qualifying Period.</w:t>
      </w:r>
    </w:p>
    <w:p>
      <w:pPr>
        <w:spacing w:after="0" w:line="198" w:lineRule="exact"/>
        <w:rPr>
          <w:rFonts w:ascii="Arial" w:cs="Arial" w:eastAsia="Arial" w:hAnsi="Arial"/>
          <w:sz w:val="18"/>
          <w:szCs w:val="18"/>
          <w:color w:val="auto"/>
        </w:rPr>
      </w:pPr>
    </w:p>
    <w:p>
      <w:pPr>
        <w:ind w:left="1300" w:right="140" w:hanging="644"/>
        <w:spacing w:after="0" w:line="246"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is not under notice of termination of employment either given or received (other than notice given by reason of redundancy or, at the discretion of the Administrator, any other reason); and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satisfies any other conditions specified by the Administrator (if any) in relation to any employee or group of employees; or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“Employment” </w:t>
      </w:r>
      <w:r>
        <w:rPr>
          <w:rFonts w:ascii="Arial" w:cs="Arial" w:eastAsia="Arial" w:hAnsi="Arial"/>
          <w:sz w:val="18"/>
          <w:szCs w:val="18"/>
          <w:color w:val="auto"/>
        </w:rPr>
        <w:t>means employment with a Group Company.</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ind w:left="11100"/>
        <w:spacing w:after="0"/>
        <w:rPr>
          <w:sz w:val="20"/>
          <w:szCs w:val="20"/>
          <w:color w:val="auto"/>
        </w:rPr>
      </w:pPr>
      <w:r>
        <w:rPr>
          <w:rFonts w:ascii="Arial" w:cs="Arial" w:eastAsia="Arial" w:hAnsi="Arial"/>
          <w:sz w:val="14"/>
          <w:szCs w:val="14"/>
          <w:color w:val="auto"/>
        </w:rPr>
        <w:t>Draft</w:t>
      </w:r>
    </w:p>
    <w:p>
      <w:pPr>
        <w:spacing w:after="0" w:line="176" w:lineRule="exact"/>
        <w:rPr>
          <w:sz w:val="20"/>
          <w:szCs w:val="20"/>
          <w:color w:val="auto"/>
        </w:rPr>
      </w:pPr>
    </w:p>
    <w:p>
      <w:pPr>
        <w:ind w:left="660" w:right="60"/>
        <w:spacing w:after="0" w:line="271" w:lineRule="auto"/>
        <w:rPr>
          <w:sz w:val="20"/>
          <w:szCs w:val="20"/>
          <w:color w:val="auto"/>
        </w:rPr>
      </w:pPr>
      <w:r>
        <w:rPr>
          <w:rFonts w:ascii="Arial" w:cs="Arial" w:eastAsia="Arial" w:hAnsi="Arial"/>
          <w:sz w:val="18"/>
          <w:szCs w:val="18"/>
          <w:b w:val="1"/>
          <w:bCs w:val="1"/>
          <w:color w:val="auto"/>
        </w:rPr>
        <w:t xml:space="preserve">“Free Shares” </w:t>
      </w:r>
      <w:r>
        <w:rPr>
          <w:rFonts w:ascii="Arial" w:cs="Arial" w:eastAsia="Arial" w:hAnsi="Arial"/>
          <w:sz w:val="18"/>
          <w:szCs w:val="18"/>
          <w:color w:val="auto"/>
        </w:rPr>
        <w:t>means an award of shares awarded under Part 1 of Schedule 2 to the Plan and/or a conditional right to acquire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awarded under Schedule 3 to the Plan.</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“Group Company” </w:t>
      </w:r>
      <w:r>
        <w:rPr>
          <w:rFonts w:ascii="Arial" w:cs="Arial" w:eastAsia="Arial" w:hAnsi="Arial"/>
          <w:sz w:val="18"/>
          <w:szCs w:val="18"/>
          <w:color w:val="auto"/>
        </w:rPr>
        <w:t>means:</w:t>
      </w:r>
    </w:p>
    <w:p>
      <w:pPr>
        <w:spacing w:after="0" w:line="220" w:lineRule="exact"/>
        <w:rPr>
          <w:sz w:val="20"/>
          <w:szCs w:val="20"/>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Subsidiary; or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other company which is associated with the Company and is so designated by the Administrator.</w:t>
      </w:r>
    </w:p>
    <w:p>
      <w:pPr>
        <w:spacing w:after="0" w:line="176" w:lineRule="exact"/>
        <w:rPr>
          <w:sz w:val="20"/>
          <w:szCs w:val="20"/>
          <w:color w:val="auto"/>
        </w:rPr>
      </w:pPr>
    </w:p>
    <w:p>
      <w:pPr>
        <w:ind w:left="660" w:right="80"/>
        <w:spacing w:after="0" w:line="271" w:lineRule="auto"/>
        <w:rPr>
          <w:sz w:val="20"/>
          <w:szCs w:val="20"/>
          <w:color w:val="auto"/>
        </w:rPr>
      </w:pPr>
      <w:r>
        <w:rPr>
          <w:rFonts w:ascii="Arial" w:cs="Arial" w:eastAsia="Arial" w:hAnsi="Arial"/>
          <w:sz w:val="18"/>
          <w:szCs w:val="18"/>
          <w:b w:val="1"/>
          <w:bCs w:val="1"/>
          <w:color w:val="auto"/>
        </w:rPr>
        <w:t xml:space="preserve">“Holding Period” </w:t>
      </w:r>
      <w:r>
        <w:rPr>
          <w:rFonts w:ascii="Arial" w:cs="Arial" w:eastAsia="Arial" w:hAnsi="Arial"/>
          <w:sz w:val="18"/>
          <w:szCs w:val="18"/>
          <w:color w:val="auto"/>
        </w:rPr>
        <w:t>means the period for holding Free Shares; Matching Shares or Dividend Shares in the Plan which must be no more</w:t>
      </w:r>
      <w:r>
        <w:rPr>
          <w:rFonts w:ascii="Arial" w:cs="Arial" w:eastAsia="Arial" w:hAnsi="Arial"/>
          <w:sz w:val="18"/>
          <w:szCs w:val="18"/>
          <w:b w:val="1"/>
          <w:bCs w:val="1"/>
          <w:color w:val="auto"/>
        </w:rPr>
        <w:t xml:space="preserve"> </w:t>
      </w:r>
      <w:r>
        <w:rPr>
          <w:rFonts w:ascii="Arial" w:cs="Arial" w:eastAsia="Arial" w:hAnsi="Arial"/>
          <w:sz w:val="18"/>
          <w:szCs w:val="18"/>
          <w:color w:val="auto"/>
        </w:rPr>
        <w:t>than three years (or such other period as determined by the Administrator) beginning on the Award Date.</w:t>
      </w:r>
    </w:p>
    <w:p>
      <w:pPr>
        <w:spacing w:after="0" w:line="140" w:lineRule="exact"/>
        <w:rPr>
          <w:sz w:val="20"/>
          <w:szCs w:val="20"/>
          <w:color w:val="auto"/>
        </w:rPr>
      </w:pPr>
    </w:p>
    <w:p>
      <w:pPr>
        <w:ind w:left="660" w:right="2040"/>
        <w:spacing w:after="0" w:line="478" w:lineRule="auto"/>
        <w:rPr>
          <w:sz w:val="20"/>
          <w:szCs w:val="20"/>
          <w:color w:val="auto"/>
        </w:rPr>
      </w:pPr>
      <w:r>
        <w:rPr>
          <w:rFonts w:ascii="Arial" w:cs="Arial" w:eastAsia="Arial" w:hAnsi="Arial"/>
          <w:sz w:val="18"/>
          <w:szCs w:val="18"/>
          <w:b w:val="1"/>
          <w:bCs w:val="1"/>
          <w:color w:val="auto"/>
        </w:rPr>
        <w:t xml:space="preserve">“Initial Market Value” </w:t>
      </w:r>
      <w:r>
        <w:rPr>
          <w:rFonts w:ascii="Arial" w:cs="Arial" w:eastAsia="Arial" w:hAnsi="Arial"/>
          <w:sz w:val="18"/>
          <w:szCs w:val="18"/>
          <w:color w:val="auto"/>
        </w:rPr>
        <w:t>means in relation to any Shares, the Market Value of those Shares on the Award Date.</w:t>
      </w:r>
      <w:r>
        <w:rPr>
          <w:rFonts w:ascii="Arial" w:cs="Arial" w:eastAsia="Arial" w:hAnsi="Arial"/>
          <w:sz w:val="18"/>
          <w:szCs w:val="18"/>
          <w:b w:val="1"/>
          <w:bCs w:val="1"/>
          <w:color w:val="auto"/>
        </w:rPr>
        <w:t xml:space="preserve"> “Investment Shares” </w:t>
      </w:r>
      <w:r>
        <w:rPr>
          <w:rFonts w:ascii="Arial" w:cs="Arial" w:eastAsia="Arial" w:hAnsi="Arial"/>
          <w:sz w:val="18"/>
          <w:szCs w:val="18"/>
          <w:color w:val="auto"/>
        </w:rPr>
        <w:t>means Shares which are allocated to a Participant in respect of their Contributions.</w:t>
      </w:r>
      <w:r>
        <w:rPr>
          <w:rFonts w:ascii="Arial" w:cs="Arial" w:eastAsia="Arial" w:hAnsi="Arial"/>
          <w:sz w:val="18"/>
          <w:szCs w:val="18"/>
          <w:b w:val="1"/>
          <w:bCs w:val="1"/>
          <w:color w:val="auto"/>
        </w:rPr>
        <w:t xml:space="preserve"> “Market Value” </w:t>
      </w:r>
      <w:r>
        <w:rPr>
          <w:rFonts w:ascii="Arial" w:cs="Arial" w:eastAsia="Arial" w:hAnsi="Arial"/>
          <w:sz w:val="18"/>
          <w:szCs w:val="18"/>
          <w:color w:val="auto"/>
        </w:rPr>
        <w:t>means, as of any given date, if the Shares are:</w:t>
      </w:r>
    </w:p>
    <w:p>
      <w:pPr>
        <w:spacing w:after="0" w:line="1" w:lineRule="exact"/>
        <w:rPr>
          <w:sz w:val="20"/>
          <w:szCs w:val="20"/>
          <w:color w:val="auto"/>
        </w:rPr>
      </w:pPr>
    </w:p>
    <w:p>
      <w:pPr>
        <w:ind w:left="1300" w:right="580" w:hanging="644"/>
        <w:spacing w:after="0" w:line="246"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listed on any established securities exchange (such as the New York Stock Exchange, the NASDAQ Capital Market, the NASDAQ Global Select Market;</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listed on any national market system; or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listed quoted or traded on any automated quotation system,</w:t>
      </w:r>
    </w:p>
    <w:p>
      <w:pPr>
        <w:spacing w:after="0" w:line="198" w:lineRule="exact"/>
        <w:rPr>
          <w:sz w:val="20"/>
          <w:szCs w:val="20"/>
          <w:color w:val="auto"/>
        </w:rPr>
      </w:pPr>
    </w:p>
    <w:p>
      <w:pPr>
        <w:ind w:left="660" w:right="40"/>
        <w:spacing w:after="0"/>
        <w:rPr>
          <w:sz w:val="20"/>
          <w:szCs w:val="20"/>
          <w:color w:val="auto"/>
        </w:rPr>
      </w:pPr>
      <w:r>
        <w:rPr>
          <w:rFonts w:ascii="Arial" w:cs="Arial" w:eastAsia="Arial" w:hAnsi="Arial"/>
          <w:sz w:val="18"/>
          <w:szCs w:val="18"/>
          <w:color w:val="auto"/>
        </w:rPr>
        <w:t xml:space="preserve">the closing sales price for a Share as quoted on such exchange or system for such date or, if there is no closing sales price for a Share on the date in question, the closing sales price for a Share on the last preceding date for which such quotation exists, as reported in </w:t>
      </w:r>
      <w:r>
        <w:rPr>
          <w:rFonts w:ascii="Arial" w:cs="Arial" w:eastAsia="Arial" w:hAnsi="Arial"/>
          <w:sz w:val="18"/>
          <w:szCs w:val="18"/>
          <w:i w:val="1"/>
          <w:iCs w:val="1"/>
          <w:color w:val="auto"/>
        </w:rPr>
        <w:t xml:space="preserve">The Wall Street Journal </w:t>
      </w:r>
      <w:r>
        <w:rPr>
          <w:rFonts w:ascii="Arial" w:cs="Arial" w:eastAsia="Arial" w:hAnsi="Arial"/>
          <w:sz w:val="18"/>
          <w:szCs w:val="18"/>
          <w:color w:val="auto"/>
        </w:rPr>
        <w:t>or such other source as the Administrator deems reliable.</w:t>
      </w:r>
    </w:p>
    <w:p>
      <w:pPr>
        <w:spacing w:after="0" w:line="167" w:lineRule="exact"/>
        <w:rPr>
          <w:sz w:val="20"/>
          <w:szCs w:val="20"/>
          <w:color w:val="auto"/>
        </w:rPr>
      </w:pPr>
    </w:p>
    <w:p>
      <w:pPr>
        <w:ind w:left="660" w:right="600"/>
        <w:spacing w:after="0" w:line="271" w:lineRule="auto"/>
        <w:rPr>
          <w:sz w:val="20"/>
          <w:szCs w:val="20"/>
          <w:color w:val="auto"/>
        </w:rPr>
      </w:pPr>
      <w:r>
        <w:rPr>
          <w:rFonts w:ascii="Arial" w:cs="Arial" w:eastAsia="Arial" w:hAnsi="Arial"/>
          <w:sz w:val="18"/>
          <w:szCs w:val="18"/>
          <w:b w:val="1"/>
          <w:bCs w:val="1"/>
          <w:color w:val="auto"/>
        </w:rPr>
        <w:t xml:space="preserve">“Matching Shares” </w:t>
      </w:r>
      <w:r>
        <w:rPr>
          <w:rFonts w:ascii="Arial" w:cs="Arial" w:eastAsia="Arial" w:hAnsi="Arial"/>
          <w:sz w:val="18"/>
          <w:szCs w:val="18"/>
          <w:color w:val="auto"/>
        </w:rPr>
        <w:t>means an award of Shares granted under Part 3 of Schedule 2 and/or a conditional right to acquire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under Schedule 3.</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“Nasdaq” </w:t>
      </w:r>
      <w:r>
        <w:rPr>
          <w:rFonts w:ascii="Arial" w:cs="Arial" w:eastAsia="Arial" w:hAnsi="Arial"/>
          <w:sz w:val="18"/>
          <w:szCs w:val="18"/>
          <w:color w:val="auto"/>
        </w:rPr>
        <w:t>means the Nasdaq Stock Market, a United States stock exchange.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“Nominee” </w:t>
      </w:r>
      <w:r>
        <w:rPr>
          <w:rFonts w:ascii="Arial" w:cs="Arial" w:eastAsia="Arial" w:hAnsi="Arial"/>
          <w:sz w:val="18"/>
          <w:szCs w:val="18"/>
          <w:color w:val="auto"/>
        </w:rPr>
        <w:t>means the registered holder of the Plan Shares appointed by the Company for the purpose of the Plan.</w:t>
      </w:r>
    </w:p>
    <w:p>
      <w:pPr>
        <w:spacing w:after="0" w:line="198" w:lineRule="exact"/>
        <w:rPr>
          <w:sz w:val="20"/>
          <w:szCs w:val="20"/>
          <w:color w:val="auto"/>
        </w:rPr>
      </w:pPr>
    </w:p>
    <w:p>
      <w:pPr>
        <w:ind w:left="660" w:right="440"/>
        <w:spacing w:after="0" w:line="271" w:lineRule="auto"/>
        <w:rPr>
          <w:sz w:val="20"/>
          <w:szCs w:val="20"/>
          <w:color w:val="auto"/>
        </w:rPr>
      </w:pPr>
      <w:r>
        <w:rPr>
          <w:rFonts w:ascii="Arial" w:cs="Arial" w:eastAsia="Arial" w:hAnsi="Arial"/>
          <w:sz w:val="18"/>
          <w:szCs w:val="18"/>
          <w:b w:val="1"/>
          <w:bCs w:val="1"/>
          <w:color w:val="auto"/>
        </w:rPr>
        <w:t xml:space="preserve">“Offering Period” </w:t>
      </w:r>
      <w:r>
        <w:rPr>
          <w:rFonts w:ascii="Arial" w:cs="Arial" w:eastAsia="Arial" w:hAnsi="Arial"/>
          <w:sz w:val="18"/>
          <w:szCs w:val="18"/>
          <w:color w:val="auto"/>
        </w:rPr>
        <w:t>means a specified period not exceeding 12 months during which a Participant’s Contributions are accumulated</w:t>
      </w:r>
      <w:r>
        <w:rPr>
          <w:rFonts w:ascii="Arial" w:cs="Arial" w:eastAsia="Arial" w:hAnsi="Arial"/>
          <w:sz w:val="18"/>
          <w:szCs w:val="18"/>
          <w:b w:val="1"/>
          <w:bCs w:val="1"/>
          <w:color w:val="auto"/>
        </w:rPr>
        <w:t xml:space="preserve"> </w:t>
      </w:r>
      <w:r>
        <w:rPr>
          <w:rFonts w:ascii="Arial" w:cs="Arial" w:eastAsia="Arial" w:hAnsi="Arial"/>
          <w:sz w:val="18"/>
          <w:szCs w:val="18"/>
          <w:color w:val="auto"/>
        </w:rPr>
        <w:t>before being used by the Nominee to acquire Investment Shares or repaying it to that Participant;</w:t>
      </w:r>
    </w:p>
    <w:p>
      <w:pPr>
        <w:spacing w:after="0" w:line="140" w:lineRule="exact"/>
        <w:rPr>
          <w:sz w:val="20"/>
          <w:szCs w:val="20"/>
          <w:color w:val="auto"/>
        </w:rPr>
      </w:pPr>
    </w:p>
    <w:p>
      <w:pPr>
        <w:ind w:left="660" w:right="540"/>
        <w:spacing w:after="0" w:line="271" w:lineRule="auto"/>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means any person (including any person acquiring beneficial interest by operation of law) who holds a Conditional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Award and/or on whose behalf</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 Shares or other Plan Shares or other securities are held by the Nominee under the Plan.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“Participating Company” </w:t>
      </w:r>
      <w:r>
        <w:rPr>
          <w:rFonts w:ascii="Arial" w:cs="Arial" w:eastAsia="Arial" w:hAnsi="Arial"/>
          <w:sz w:val="18"/>
          <w:szCs w:val="18"/>
          <w:color w:val="auto"/>
        </w:rPr>
        <w:t>means for the purposes of the Plan:</w:t>
      </w:r>
    </w:p>
    <w:p>
      <w:pPr>
        <w:spacing w:after="0" w:line="220" w:lineRule="exact"/>
        <w:rPr>
          <w:sz w:val="20"/>
          <w:szCs w:val="20"/>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 and</w:t>
      </w:r>
    </w:p>
    <w:p>
      <w:pPr>
        <w:spacing w:after="0" w:line="198"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Subsidiary and any associated company which, in both cases, is so designated by the Administrator and which has, for the purposes of Schedule 2, entered into a deed of adherence to the Trust.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“Participating Employee” </w:t>
      </w:r>
      <w:r>
        <w:rPr>
          <w:rFonts w:ascii="Arial" w:cs="Arial" w:eastAsia="Arial" w:hAnsi="Arial"/>
          <w:sz w:val="18"/>
          <w:szCs w:val="18"/>
          <w:color w:val="auto"/>
        </w:rPr>
        <w:t>means an employee (including an executive director) of a Participating Company.</w:t>
      </w:r>
    </w:p>
    <w:p>
      <w:pPr>
        <w:spacing w:after="0" w:line="198" w:lineRule="exact"/>
        <w:rPr>
          <w:sz w:val="20"/>
          <w:szCs w:val="20"/>
          <w:color w:val="auto"/>
        </w:rPr>
      </w:pPr>
    </w:p>
    <w:p>
      <w:pPr>
        <w:ind w:left="660" w:right="140"/>
        <w:spacing w:after="0" w:line="271" w:lineRule="auto"/>
        <w:rPr>
          <w:sz w:val="20"/>
          <w:szCs w:val="20"/>
          <w:color w:val="auto"/>
        </w:rPr>
      </w:pPr>
      <w:r>
        <w:rPr>
          <w:rFonts w:ascii="Arial" w:cs="Arial" w:eastAsia="Arial" w:hAnsi="Arial"/>
          <w:sz w:val="18"/>
          <w:szCs w:val="18"/>
          <w:b w:val="1"/>
          <w:bCs w:val="1"/>
          <w:color w:val="auto"/>
        </w:rPr>
        <w:t xml:space="preserve">“Performance Measures” </w:t>
      </w:r>
      <w:r>
        <w:rPr>
          <w:rFonts w:ascii="Arial" w:cs="Arial" w:eastAsia="Arial" w:hAnsi="Arial"/>
          <w:sz w:val="18"/>
          <w:szCs w:val="18"/>
          <w:color w:val="auto"/>
        </w:rPr>
        <w:t>means the targets or requirements set by the Administrator from time to time which govern the availability,</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or value of Free Shares to be awarded.</w:t>
      </w:r>
    </w:p>
    <w:p>
      <w:pPr>
        <w:spacing w:after="0" w:line="140" w:lineRule="exact"/>
        <w:rPr>
          <w:sz w:val="20"/>
          <w:szCs w:val="20"/>
          <w:color w:val="auto"/>
        </w:rPr>
      </w:pPr>
    </w:p>
    <w:p>
      <w:pPr>
        <w:ind w:left="660" w:right="160"/>
        <w:spacing w:after="0" w:line="271" w:lineRule="auto"/>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the LivaNova Global Employee Share Plan 2018 as set out in these Provisions and, for the purposes of Schedule 2, in</w:t>
      </w:r>
      <w:r>
        <w:rPr>
          <w:rFonts w:ascii="Arial" w:cs="Arial" w:eastAsia="Arial" w:hAnsi="Arial"/>
          <w:sz w:val="18"/>
          <w:szCs w:val="18"/>
          <w:b w:val="1"/>
          <w:bCs w:val="1"/>
          <w:color w:val="auto"/>
        </w:rPr>
        <w:t xml:space="preserve"> </w:t>
      </w:r>
      <w:r>
        <w:rPr>
          <w:rFonts w:ascii="Arial" w:cs="Arial" w:eastAsia="Arial" w:hAnsi="Arial"/>
          <w:sz w:val="18"/>
          <w:szCs w:val="18"/>
          <w:color w:val="auto"/>
        </w:rPr>
        <w:t>the Trust deed both as amended from time to time.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“Plan Shares” </w:t>
      </w:r>
      <w:r>
        <w:rPr>
          <w:rFonts w:ascii="Arial" w:cs="Arial" w:eastAsia="Arial" w:hAnsi="Arial"/>
          <w:sz w:val="18"/>
          <w:szCs w:val="18"/>
          <w:color w:val="auto"/>
        </w:rPr>
        <w:t>mean the Shares awarded or allocated to Participants under the Plan and held by the Nominee.</w:t>
      </w:r>
    </w:p>
    <w:p>
      <w:pPr>
        <w:spacing w:after="0" w:line="198" w:lineRule="exact"/>
        <w:rPr>
          <w:sz w:val="20"/>
          <w:szCs w:val="20"/>
          <w:color w:val="auto"/>
        </w:rPr>
      </w:pPr>
    </w:p>
    <w:p>
      <w:pPr>
        <w:ind w:left="660" w:right="300"/>
        <w:spacing w:after="0" w:line="302" w:lineRule="auto"/>
        <w:rPr>
          <w:sz w:val="20"/>
          <w:szCs w:val="20"/>
          <w:color w:val="auto"/>
        </w:rPr>
      </w:pPr>
      <w:r>
        <w:rPr>
          <w:rFonts w:ascii="Arial" w:cs="Arial" w:eastAsia="Arial" w:hAnsi="Arial"/>
          <w:sz w:val="17"/>
          <w:szCs w:val="17"/>
          <w:b w:val="1"/>
          <w:bCs w:val="1"/>
          <w:color w:val="auto"/>
        </w:rPr>
        <w:t xml:space="preserve">“Provisions” </w:t>
      </w:r>
      <w:r>
        <w:rPr>
          <w:rFonts w:ascii="Arial" w:cs="Arial" w:eastAsia="Arial" w:hAnsi="Arial"/>
          <w:sz w:val="17"/>
          <w:szCs w:val="17"/>
          <w:color w:val="auto"/>
        </w:rPr>
        <w:t>means the provisions of the LivaNova Global Employee Share Plan 2018 as set out in this document, and “Provision”</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construed accordingly. Where the context requires, “Provisions” may mean a particular section of the Provisions.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“Qualifying Period” </w:t>
      </w:r>
      <w:r>
        <w:rPr>
          <w:rFonts w:ascii="Arial" w:cs="Arial" w:eastAsia="Arial" w:hAnsi="Arial"/>
          <w:sz w:val="18"/>
          <w:szCs w:val="18"/>
          <w:color w:val="auto"/>
        </w:rPr>
        <w:t>means:</w:t>
      </w:r>
    </w:p>
    <w:p>
      <w:pPr>
        <w:spacing w:after="0" w:line="220" w:lineRule="exact"/>
        <w:rPr>
          <w:sz w:val="20"/>
          <w:szCs w:val="20"/>
          <w:color w:val="auto"/>
        </w:rPr>
      </w:pPr>
    </w:p>
    <w:p>
      <w:pPr>
        <w:ind w:left="1300" w:right="180" w:hanging="644"/>
        <w:spacing w:after="0" w:line="246"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case of Free Shares, such period as may be determined by the Administrator in relation to each Award of Free Shares, such period not to exceed 18 months before the Award is made;</w:t>
      </w:r>
    </w:p>
    <w:p>
      <w:pPr>
        <w:spacing w:after="0" w:line="183" w:lineRule="exact"/>
        <w:rPr>
          <w:rFonts w:ascii="Arial" w:cs="Arial" w:eastAsia="Arial" w:hAnsi="Arial"/>
          <w:sz w:val="18"/>
          <w:szCs w:val="18"/>
          <w:color w:val="auto"/>
        </w:rPr>
      </w:pPr>
    </w:p>
    <w:p>
      <w:pPr>
        <w:ind w:left="1300" w:right="4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case of Investment Shares and Matching Shares where there is an Offering Period, such period as may be determined by the Administrator in relation to each Award of Investment Shares and Matching Shares, such period not to exceed 6 months before the start of such an Offering Period; and</w:t>
      </w:r>
    </w:p>
    <w:p>
      <w:pPr>
        <w:spacing w:after="0" w:line="189" w:lineRule="exact"/>
        <w:rPr>
          <w:rFonts w:ascii="Arial" w:cs="Arial" w:eastAsia="Arial" w:hAnsi="Arial"/>
          <w:sz w:val="18"/>
          <w:szCs w:val="18"/>
          <w:color w:val="auto"/>
        </w:rPr>
      </w:pPr>
    </w:p>
    <w:p>
      <w:pPr>
        <w:ind w:left="1300" w:right="2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case of Investment Shares and Matching Shares where there is no Offering Period, such period as may be determined by the Administrator in relation to each Award of Investment Shares and Matching Shares, such period not to exceed 18 months before the deduction of Partnership Share Money relating to the Award.</w:t>
      </w:r>
    </w:p>
    <w:p>
      <w:pPr>
        <w:spacing w:after="0" w:line="167" w:lineRule="exact"/>
        <w:rPr>
          <w:sz w:val="20"/>
          <w:szCs w:val="20"/>
          <w:color w:val="auto"/>
        </w:rPr>
      </w:pPr>
    </w:p>
    <w:p>
      <w:pPr>
        <w:ind w:left="660" w:right="620"/>
        <w:spacing w:after="0" w:line="271" w:lineRule="auto"/>
        <w:rPr>
          <w:sz w:val="20"/>
          <w:szCs w:val="20"/>
          <w:color w:val="auto"/>
        </w:rPr>
      </w:pPr>
      <w:r>
        <w:rPr>
          <w:rFonts w:ascii="Arial" w:cs="Arial" w:eastAsia="Arial" w:hAnsi="Arial"/>
          <w:sz w:val="18"/>
          <w:szCs w:val="18"/>
          <w:b w:val="1"/>
          <w:bCs w:val="1"/>
          <w:color w:val="auto"/>
        </w:rPr>
        <w:t xml:space="preserve">“Salary” </w:t>
      </w:r>
      <w:r>
        <w:rPr>
          <w:rFonts w:ascii="Arial" w:cs="Arial" w:eastAsia="Arial" w:hAnsi="Arial"/>
          <w:sz w:val="18"/>
          <w:szCs w:val="18"/>
          <w:color w:val="auto"/>
        </w:rPr>
        <w:t>means basic salary or any such remuneration paid or made available by an employing company as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generally or on an individual country basis.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“Sale” </w:t>
      </w:r>
      <w:r>
        <w:rPr>
          <w:rFonts w:ascii="Arial" w:cs="Arial" w:eastAsia="Arial" w:hAnsi="Arial"/>
          <w:sz w:val="18"/>
          <w:szCs w:val="18"/>
          <w:color w:val="auto"/>
        </w:rPr>
        <w:t>means the sale of all or substantially all of the assets of the Company.</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“Share Capital Variation” </w:t>
      </w:r>
      <w:r>
        <w:rPr>
          <w:rFonts w:ascii="Arial" w:cs="Arial" w:eastAsia="Arial" w:hAnsi="Arial"/>
          <w:sz w:val="18"/>
          <w:szCs w:val="18"/>
          <w:color w:val="auto"/>
        </w:rPr>
        <w:t>means:</w:t>
      </w:r>
    </w:p>
    <w:p>
      <w:pPr>
        <w:spacing w:after="0" w:line="220" w:lineRule="exact"/>
        <w:rPr>
          <w:sz w:val="20"/>
          <w:szCs w:val="20"/>
          <w:color w:val="auto"/>
        </w:rPr>
      </w:pPr>
    </w:p>
    <w:p>
      <w:pPr>
        <w:ind w:left="1300" w:right="260" w:hanging="644"/>
        <w:spacing w:after="0" w:line="246"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variation in the equity share capital of the Company, including a capitalisation or rights issue, sub-division, consolidation or reduction of share capital;</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demerger (in whatever form);</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special dividend or distribution; or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other corporate event which might affect the current or future value of Plan Shares and/or Conditional Awards.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means ordinary shares in the capital of the Company.</w:t>
      </w:r>
    </w:p>
    <w:p>
      <w:pPr>
        <w:spacing w:after="0" w:line="198" w:lineRule="exact"/>
        <w:rPr>
          <w:sz w:val="20"/>
          <w:szCs w:val="20"/>
          <w:color w:val="auto"/>
        </w:rPr>
      </w:pPr>
    </w:p>
    <w:p>
      <w:pPr>
        <w:ind w:left="660" w:right="40"/>
        <w:spacing w:after="0" w:line="271" w:lineRule="auto"/>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means a company which is a subsidiary of the Company within the meaning of Section 1159 of the Companies Act 2006</w:t>
      </w:r>
      <w:r>
        <w:rPr>
          <w:rFonts w:ascii="Arial" w:cs="Arial" w:eastAsia="Arial" w:hAnsi="Arial"/>
          <w:sz w:val="18"/>
          <w:szCs w:val="18"/>
          <w:b w:val="1"/>
          <w:bCs w:val="1"/>
          <w:color w:val="auto"/>
        </w:rPr>
        <w:t xml:space="preserve"> </w:t>
      </w:r>
      <w:r>
        <w:rPr>
          <w:rFonts w:ascii="Arial" w:cs="Arial" w:eastAsia="Arial" w:hAnsi="Arial"/>
          <w:sz w:val="18"/>
          <w:szCs w:val="18"/>
          <w:color w:val="auto"/>
        </w:rPr>
        <w:t>or Code Section 424(f), as applicable.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“Takeover” </w:t>
      </w:r>
      <w:r>
        <w:rPr>
          <w:rFonts w:ascii="Arial" w:cs="Arial" w:eastAsia="Arial" w:hAnsi="Arial"/>
          <w:sz w:val="18"/>
          <w:szCs w:val="18"/>
          <w:color w:val="auto"/>
        </w:rPr>
        <w:t>shall mean if any person (or a group of persons acting in concert) the “</w:t>
      </w:r>
      <w:r>
        <w:rPr>
          <w:rFonts w:ascii="Arial" w:cs="Arial" w:eastAsia="Arial" w:hAnsi="Arial"/>
          <w:sz w:val="18"/>
          <w:szCs w:val="18"/>
          <w:b w:val="1"/>
          <w:bCs w:val="1"/>
          <w:color w:val="auto"/>
        </w:rPr>
        <w:t>Acquiring Person</w:t>
      </w:r>
      <w:r>
        <w:rPr>
          <w:rFonts w:ascii="Arial" w:cs="Arial" w:eastAsia="Arial" w:hAnsi="Arial"/>
          <w:sz w:val="18"/>
          <w:szCs w:val="18"/>
          <w:color w:val="auto"/>
        </w:rPr>
        <w:t>”):</w:t>
      </w:r>
    </w:p>
    <w:p>
      <w:pPr>
        <w:spacing w:after="0" w:line="220" w:lineRule="exact"/>
        <w:rPr>
          <w:sz w:val="20"/>
          <w:szCs w:val="20"/>
          <w:color w:val="auto"/>
        </w:rPr>
      </w:pPr>
    </w:p>
    <w:p>
      <w:pPr>
        <w:ind w:left="1300" w:hanging="644"/>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obtains Control of the Company as the result of making a general offer to:</w:t>
      </w:r>
    </w:p>
    <w:p>
      <w:pPr>
        <w:spacing w:after="0" w:line="198" w:lineRule="exact"/>
        <w:rPr>
          <w:rFonts w:ascii="Arial" w:cs="Arial" w:eastAsia="Arial" w:hAnsi="Arial"/>
          <w:sz w:val="18"/>
          <w:szCs w:val="18"/>
          <w:color w:val="auto"/>
        </w:rPr>
      </w:pPr>
    </w:p>
    <w:p>
      <w:pPr>
        <w:ind w:left="1960" w:right="160" w:hanging="655"/>
        <w:spacing w:after="0" w:line="246" w:lineRule="auto"/>
        <w:tabs>
          <w:tab w:leader="none" w:pos="19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acquire all of the issued ordinary share capital of the Company, which is made on a condition that, if it is satisfied, the Acquiring Person will have Control of the Company; or</w:t>
      </w:r>
    </w:p>
    <w:p>
      <w:pPr>
        <w:spacing w:after="0" w:line="183" w:lineRule="exact"/>
        <w:rPr>
          <w:rFonts w:ascii="Arial" w:cs="Arial" w:eastAsia="Arial" w:hAnsi="Arial"/>
          <w:sz w:val="18"/>
          <w:szCs w:val="18"/>
          <w:color w:val="auto"/>
        </w:rPr>
      </w:pPr>
    </w:p>
    <w:p>
      <w:pPr>
        <w:ind w:left="1960" w:hanging="655"/>
        <w:spacing w:after="0"/>
        <w:tabs>
          <w:tab w:leader="none" w:pos="19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acquire all of the shares in the Company which are of the same class as the Shares; or</w:t>
      </w:r>
    </w:p>
    <w:p>
      <w:pPr>
        <w:spacing w:after="0" w:line="198" w:lineRule="exact"/>
        <w:rPr>
          <w:rFonts w:ascii="Arial" w:cs="Arial" w:eastAsia="Arial" w:hAnsi="Arial"/>
          <w:sz w:val="18"/>
          <w:szCs w:val="18"/>
          <w:color w:val="auto"/>
        </w:rPr>
      </w:pPr>
    </w:p>
    <w:p>
      <w:pPr>
        <w:ind w:left="1300" w:right="260" w:hanging="644"/>
        <w:spacing w:after="0" w:line="246"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obtains Control of the Company as a result of a compromise or arrangement sanctioned by a court under Section 899 of the Companies Act 2006, or sanctioned under any other similar law of another jurisdiction; or</w:t>
      </w:r>
    </w:p>
    <w:p>
      <w:pPr>
        <w:spacing w:after="0" w:line="183" w:lineRule="exact"/>
        <w:rPr>
          <w:rFonts w:ascii="Arial" w:cs="Arial" w:eastAsia="Arial" w:hAnsi="Arial"/>
          <w:sz w:val="18"/>
          <w:szCs w:val="18"/>
          <w:color w:val="auto"/>
        </w:rPr>
      </w:pPr>
    </w:p>
    <w:p>
      <w:pPr>
        <w:ind w:left="1300" w:right="440" w:hanging="644"/>
        <w:spacing w:after="0" w:line="246"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becomes bound or entitled under Sections 979 to 985 of the Companies Act 2006 (or similar law of another jurisdiction) to acquire shares of the same class as the Shares; or</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obtains Control of the Company in any other way.</w:t>
      </w:r>
    </w:p>
    <w:p>
      <w:pPr>
        <w:spacing w:after="0" w:line="176" w:lineRule="exact"/>
        <w:rPr>
          <w:sz w:val="20"/>
          <w:szCs w:val="20"/>
          <w:color w:val="auto"/>
        </w:rPr>
      </w:pPr>
    </w:p>
    <w:p>
      <w:pPr>
        <w:ind w:left="660" w:right="220"/>
        <w:spacing w:after="0" w:line="271" w:lineRule="auto"/>
        <w:rPr>
          <w:sz w:val="20"/>
          <w:szCs w:val="20"/>
          <w:color w:val="auto"/>
        </w:rPr>
      </w:pPr>
      <w:r>
        <w:rPr>
          <w:rFonts w:ascii="Arial" w:cs="Arial" w:eastAsia="Arial" w:hAnsi="Arial"/>
          <w:sz w:val="18"/>
          <w:szCs w:val="18"/>
          <w:b w:val="1"/>
          <w:bCs w:val="1"/>
          <w:color w:val="auto"/>
        </w:rPr>
        <w:t xml:space="preserve">“Treasury Shares” </w:t>
      </w:r>
      <w:r>
        <w:rPr>
          <w:rFonts w:ascii="Arial" w:cs="Arial" w:eastAsia="Arial" w:hAnsi="Arial"/>
          <w:sz w:val="18"/>
          <w:szCs w:val="18"/>
          <w:color w:val="auto"/>
        </w:rPr>
        <w:t>means qualifying Shares held by the Company in treasury under the provisions of section 724 of the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Act 2006.</w:t>
      </w:r>
    </w:p>
    <w:p>
      <w:pPr>
        <w:spacing w:after="0" w:line="157" w:lineRule="exact"/>
        <w:rPr>
          <w:sz w:val="20"/>
          <w:szCs w:val="20"/>
          <w:color w:val="auto"/>
        </w:rPr>
      </w:pPr>
    </w:p>
    <w:p>
      <w:pPr>
        <w:ind w:left="660" w:right="500"/>
        <w:spacing w:after="0" w:line="259" w:lineRule="auto"/>
        <w:rPr>
          <w:sz w:val="20"/>
          <w:szCs w:val="20"/>
          <w:color w:val="auto"/>
        </w:rPr>
      </w:pPr>
      <w:r>
        <w:rPr>
          <w:rFonts w:ascii="Arial" w:cs="Arial" w:eastAsia="Arial" w:hAnsi="Arial"/>
          <w:sz w:val="18"/>
          <w:szCs w:val="18"/>
          <w:b w:val="1"/>
          <w:bCs w:val="1"/>
          <w:color w:val="auto"/>
        </w:rPr>
        <w:t xml:space="preserve">“Trust” </w:t>
      </w:r>
      <w:r>
        <w:rPr>
          <w:rFonts w:ascii="Arial" w:cs="Arial" w:eastAsia="Arial" w:hAnsi="Arial"/>
          <w:sz w:val="18"/>
          <w:szCs w:val="18"/>
          <w:color w:val="auto"/>
        </w:rPr>
        <w:t>means the trust deed dated [</w:t>
      </w:r>
      <w:r>
        <w:rPr>
          <w:rFonts w:ascii="Arial" w:cs="Arial" w:eastAsia="Arial" w:hAnsi="Arial"/>
          <w:sz w:val="21"/>
          <w:szCs w:val="21"/>
          <w:color w:val="auto"/>
        </w:rPr>
        <w:t>●</w:t>
      </w:r>
      <w:r>
        <w:rPr>
          <w:rFonts w:ascii="Arial" w:cs="Arial" w:eastAsia="Arial" w:hAnsi="Arial"/>
          <w:sz w:val="18"/>
          <w:szCs w:val="18"/>
          <w:color w:val="auto"/>
        </w:rPr>
        <w:t>] 2018 establishing the LivaNova Global Employee Share Plan to which the Provisions are</w:t>
      </w:r>
      <w:r>
        <w:rPr>
          <w:rFonts w:ascii="Arial" w:cs="Arial" w:eastAsia="Arial" w:hAnsi="Arial"/>
          <w:sz w:val="18"/>
          <w:szCs w:val="18"/>
          <w:b w:val="1"/>
          <w:bCs w:val="1"/>
          <w:color w:val="auto"/>
        </w:rPr>
        <w:t xml:space="preserve"> </w:t>
      </w:r>
      <w:r>
        <w:rPr>
          <w:rFonts w:ascii="Arial" w:cs="Arial" w:eastAsia="Arial" w:hAnsi="Arial"/>
          <w:sz w:val="18"/>
          <w:szCs w:val="18"/>
          <w:color w:val="auto"/>
        </w:rPr>
        <w:t>appended.</w:t>
      </w:r>
    </w:p>
    <w:p>
      <w:pPr>
        <w:spacing w:after="0" w:line="148" w:lineRule="exact"/>
        <w:rPr>
          <w:sz w:val="20"/>
          <w:szCs w:val="20"/>
          <w:color w:val="auto"/>
        </w:rPr>
      </w:pPr>
    </w:p>
    <w:p>
      <w:pPr>
        <w:ind w:left="660" w:right="220"/>
        <w:spacing w:after="0" w:line="271" w:lineRule="auto"/>
        <w:rPr>
          <w:sz w:val="20"/>
          <w:szCs w:val="20"/>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means a Participant becoming entitled to have the Shares subject to a Conditional Award transferred to him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and “Vest” and “Vested” shall be construed accordingly.</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76"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OPERATION OF THE PLAN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Time of operation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Administrator can operate the Plan at any time subject to any applicable Dealing Restrictions.</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Notification to Participating Companies</w:t>
      </w:r>
    </w:p>
    <w:p>
      <w:pPr>
        <w:spacing w:after="0" w:line="198" w:lineRule="exact"/>
        <w:rPr>
          <w:sz w:val="20"/>
          <w:szCs w:val="20"/>
          <w:color w:val="auto"/>
        </w:rPr>
      </w:pPr>
    </w:p>
    <w:p>
      <w:pPr>
        <w:ind w:left="660" w:right="560"/>
        <w:spacing w:after="0" w:line="246" w:lineRule="auto"/>
        <w:rPr>
          <w:sz w:val="20"/>
          <w:szCs w:val="20"/>
          <w:color w:val="auto"/>
        </w:rPr>
      </w:pPr>
      <w:r>
        <w:rPr>
          <w:rFonts w:ascii="Arial" w:cs="Arial" w:eastAsia="Arial" w:hAnsi="Arial"/>
          <w:sz w:val="18"/>
          <w:szCs w:val="18"/>
          <w:color w:val="auto"/>
        </w:rPr>
        <w:t>As soon as practicable after the Administrator has decided to operate the Plan, the Company will notify the relevant Participating Companies of the proposed operation of the Plan.</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Payments by Participating Companies</w:t>
      </w:r>
    </w:p>
    <w:p>
      <w:pPr>
        <w:spacing w:after="0" w:line="198" w:lineRule="exact"/>
        <w:rPr>
          <w:sz w:val="20"/>
          <w:szCs w:val="20"/>
          <w:color w:val="auto"/>
        </w:rPr>
      </w:pPr>
    </w:p>
    <w:p>
      <w:pPr>
        <w:ind w:left="660" w:right="360"/>
        <w:spacing w:after="0"/>
        <w:rPr>
          <w:sz w:val="20"/>
          <w:szCs w:val="20"/>
          <w:color w:val="auto"/>
        </w:rPr>
      </w:pPr>
      <w:r>
        <w:rPr>
          <w:rFonts w:ascii="Arial" w:cs="Arial" w:eastAsia="Arial" w:hAnsi="Arial"/>
          <w:sz w:val="18"/>
          <w:szCs w:val="18"/>
          <w:color w:val="auto"/>
        </w:rPr>
        <w:t>The Company may notify each Participating Company of an amount it is required to contribute in respect of Free Shares and/or Matching Shares. If it does so, each Participating Company will pay this amount to the Company to be used for the purposes of the Plan.</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Source of funds</w:t>
      </w:r>
    </w:p>
    <w:p>
      <w:pPr>
        <w:spacing w:after="0" w:line="198" w:lineRule="exact"/>
        <w:rPr>
          <w:sz w:val="20"/>
          <w:szCs w:val="20"/>
          <w:color w:val="auto"/>
        </w:rPr>
      </w:pPr>
    </w:p>
    <w:p>
      <w:pPr>
        <w:jc w:val="both"/>
        <w:ind w:left="660" w:right="40"/>
        <w:spacing w:after="0"/>
        <w:rPr>
          <w:sz w:val="20"/>
          <w:szCs w:val="20"/>
          <w:color w:val="auto"/>
        </w:rPr>
      </w:pPr>
      <w:r>
        <w:rPr>
          <w:rFonts w:ascii="Arial" w:cs="Arial" w:eastAsia="Arial" w:hAnsi="Arial"/>
          <w:sz w:val="18"/>
          <w:szCs w:val="18"/>
          <w:color w:val="auto"/>
        </w:rPr>
        <w:t>A Participating Company may at any time allocate funds for the purposes of the Plan in accordance with the Provisions, provided that it will only pay to the Trustee such sums as are required in connection with the acquisition of Free or Matching Shares by the Trustee for appropriation to ROW Eligible Employees who are for the time being employed by that Participating Company.</w:t>
      </w:r>
    </w:p>
    <w:p>
      <w:pPr>
        <w:spacing w:after="0" w:line="167"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PLAN LIMITS</w:t>
      </w:r>
    </w:p>
    <w:p>
      <w:pPr>
        <w:spacing w:after="0" w:line="220" w:lineRule="exact"/>
        <w:rPr>
          <w:sz w:val="20"/>
          <w:szCs w:val="20"/>
          <w:color w:val="auto"/>
        </w:rPr>
      </w:pPr>
    </w:p>
    <w:p>
      <w:pPr>
        <w:ind w:left="660" w:right="200" w:hanging="647"/>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Subject to section 3.2, the aggregate number of Shares which may be issued or transferred pursuant to Awards under the Plan is 2.5 million Shares. Any Shares distributed pursuant to an Award may consist, in whole or in part, of authorized and unissued Shares, treasury Shares or Shares purchased on the open market.</w:t>
      </w:r>
    </w:p>
    <w:p>
      <w:pPr>
        <w:spacing w:after="0" w:line="189" w:lineRule="exact"/>
        <w:rPr>
          <w:sz w:val="20"/>
          <w:szCs w:val="20"/>
          <w:color w:val="auto"/>
        </w:rPr>
      </w:pPr>
    </w:p>
    <w:p>
      <w:pPr>
        <w:ind w:left="660" w:right="80" w:hanging="647"/>
        <w:spacing w:after="0" w:line="238"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If any Shares subject to an Award are forfeited or expire, are converted to shares of another entity in connection with a Takeover, Sale, recapitalization, reorganization, merger, consolidation, split-up, spin-off, combination, exchange of shares or other similar event, the Shares subject to such Award shall, to the extent of such forfeiture, expiration or conversion, again be available for future grants of Awards under the Plan. The following Shares shall not be added to the Shares authorized for grant under section 3.1 and shall not be available for future grants of Awards:</w:t>
      </w:r>
    </w:p>
    <w:p>
      <w:pPr>
        <w:spacing w:after="0" w:line="189" w:lineRule="exact"/>
        <w:rPr>
          <w:sz w:val="20"/>
          <w:szCs w:val="20"/>
          <w:color w:val="auto"/>
        </w:rPr>
      </w:pPr>
    </w:p>
    <w:p>
      <w:pPr>
        <w:ind w:left="1300" w:right="440" w:hanging="644"/>
        <w:spacing w:after="0" w:line="246"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Shares tendered by the Participant or withheld by the Company to satisfy any tax withholding obligation with respect to an Award; and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Shares purchased on the open market with the cash proceeds from the Awards.</w:t>
      </w:r>
    </w:p>
    <w:p>
      <w:pPr>
        <w:spacing w:after="0" w:line="198" w:lineRule="exact"/>
        <w:rPr>
          <w:sz w:val="20"/>
          <w:szCs w:val="20"/>
          <w:color w:val="auto"/>
        </w:rPr>
      </w:pPr>
    </w:p>
    <w:p>
      <w:pPr>
        <w:ind w:left="660" w:right="200" w:hanging="647"/>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Substitute Awards shall not reduce the Shares authorized for grant under the Plan, except as may be required by reason of Section 422 of the Code. Additionally, in the event that a company acquired by the Company or any Subsidiary or with which the Company or any Subsidiary combines has shares available under a pre-existing plan</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98" w:lineRule="exact"/>
        <w:rPr>
          <w:sz w:val="20"/>
          <w:szCs w:val="20"/>
          <w:color w:val="auto"/>
        </w:rPr>
      </w:pPr>
    </w:p>
    <w:p>
      <w:pPr>
        <w:ind w:left="660"/>
        <w:spacing w:after="0" w:line="236" w:lineRule="auto"/>
        <w:rPr>
          <w:sz w:val="20"/>
          <w:szCs w:val="20"/>
          <w:color w:val="auto"/>
        </w:rPr>
      </w:pPr>
      <w:r>
        <w:rPr>
          <w:rFonts w:ascii="Arial" w:cs="Arial" w:eastAsia="Arial" w:hAnsi="Arial"/>
          <w:sz w:val="18"/>
          <w:szCs w:val="18"/>
          <w:color w:val="auto"/>
        </w:rPr>
        <w:t>approved by its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shares of the entities party to such acquisition or combination) may be used for Awards under the Plan and shall not reduce the Shares authorized for grant under the Plan; provided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Subsidiaries immediately prior to such acquisition or combination.</w:t>
      </w:r>
    </w:p>
    <w:p>
      <w:pPr>
        <w:spacing w:after="0" w:line="173"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FORM OF INVITATION AND APPLICATION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When invitations to join the Plan are made:</w:t>
      </w:r>
    </w:p>
    <w:p>
      <w:pPr>
        <w:spacing w:after="0" w:line="198" w:lineRule="exact"/>
        <w:rPr>
          <w:sz w:val="20"/>
          <w:szCs w:val="20"/>
          <w:color w:val="auto"/>
        </w:rPr>
      </w:pPr>
    </w:p>
    <w:p>
      <w:pPr>
        <w:jc w:val="both"/>
        <w:ind w:left="1300" w:right="22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invitations and applications to join the Plan must be made in the form determined by the Administrator from time to time. This may include invitations and applications in writing or by e-mail, internet (or other electronic means) and interactive voice response.</w:t>
      </w:r>
    </w:p>
    <w:p>
      <w:pPr>
        <w:spacing w:after="0" w:line="189" w:lineRule="exact"/>
        <w:rPr>
          <w:rFonts w:ascii="Arial" w:cs="Arial" w:eastAsia="Arial" w:hAnsi="Arial"/>
          <w:sz w:val="18"/>
          <w:szCs w:val="18"/>
          <w:color w:val="auto"/>
        </w:rPr>
      </w:pPr>
    </w:p>
    <w:p>
      <w:pPr>
        <w:ind w:left="1300" w:right="260" w:hanging="644"/>
        <w:spacing w:after="0" w:line="246"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invitation and the application will, if applicable, specify whether for that or any future operation of the Plan, Free Shares, Investment Shares and/or Matching Shares may be acquired.</w:t>
      </w:r>
    </w:p>
    <w:p>
      <w:pPr>
        <w:spacing w:after="0" w:line="183" w:lineRule="exact"/>
        <w:rPr>
          <w:rFonts w:ascii="Arial" w:cs="Arial" w:eastAsia="Arial" w:hAnsi="Arial"/>
          <w:sz w:val="18"/>
          <w:szCs w:val="18"/>
          <w:color w:val="auto"/>
        </w:rPr>
      </w:pPr>
    </w:p>
    <w:p>
      <w:pPr>
        <w:ind w:left="1300" w:right="140" w:hanging="644"/>
        <w:spacing w:after="0" w:line="246"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completed application must be submitted to the Company or any Participating Company within the period specified in the invitation. An Eligible Employee who has not submitted a completed application will not be able to participate in the Plan.</w:t>
      </w:r>
    </w:p>
    <w:p>
      <w:pPr>
        <w:spacing w:after="0" w:line="183" w:lineRule="exact"/>
        <w:rPr>
          <w:rFonts w:ascii="Arial" w:cs="Arial" w:eastAsia="Arial" w:hAnsi="Arial"/>
          <w:sz w:val="18"/>
          <w:szCs w:val="18"/>
          <w:color w:val="auto"/>
        </w:rPr>
      </w:pPr>
    </w:p>
    <w:p>
      <w:pPr>
        <w:ind w:left="1300" w:right="40" w:hanging="644"/>
        <w:spacing w:after="0" w:line="246"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application will take effect from such date as is set out in the application and will continue until such time as the Participant ceases to be a Participating Employee or notifies the Company that he wishes to withdraw from the Plan.</w:t>
      </w:r>
    </w:p>
    <w:p>
      <w:pPr>
        <w:spacing w:after="0" w:line="183" w:lineRule="exact"/>
        <w:rPr>
          <w:rFonts w:ascii="Arial" w:cs="Arial" w:eastAsia="Arial" w:hAnsi="Arial"/>
          <w:sz w:val="18"/>
          <w:szCs w:val="18"/>
          <w:color w:val="auto"/>
        </w:rPr>
      </w:pPr>
    </w:p>
    <w:p>
      <w:pPr>
        <w:jc w:val="both"/>
        <w:ind w:left="1300" w:right="14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application must include an undertaking by the Eligible Employee not to sell or dispose of any interest in the Free Shares and Matching Shares until the end of the Holding Period except in the event of a Change of Control, as set out in section 11.2 (</w:t>
      </w:r>
      <w:r>
        <w:rPr>
          <w:rFonts w:ascii="Arial" w:cs="Arial" w:eastAsia="Arial" w:hAnsi="Arial"/>
          <w:sz w:val="18"/>
          <w:szCs w:val="18"/>
          <w:i w:val="1"/>
          <w:iCs w:val="1"/>
          <w:color w:val="auto"/>
        </w:rPr>
        <w:t>Withholding</w:t>
      </w:r>
      <w:r>
        <w:rPr>
          <w:rFonts w:ascii="Arial" w:cs="Arial" w:eastAsia="Arial" w:hAnsi="Arial"/>
          <w:sz w:val="18"/>
          <w:szCs w:val="18"/>
          <w:color w:val="auto"/>
        </w:rPr>
        <w:t>) or on cessation of employment as set out in the relevant Schedule.</w:t>
      </w:r>
    </w:p>
    <w:p>
      <w:pPr>
        <w:spacing w:after="0" w:line="167"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SCALING BACK</w:t>
      </w:r>
    </w:p>
    <w:p>
      <w:pPr>
        <w:spacing w:after="0" w:line="220" w:lineRule="exact"/>
        <w:rPr>
          <w:rFonts w:ascii="Arial" w:cs="Arial" w:eastAsia="Arial" w:hAnsi="Arial"/>
          <w:sz w:val="18"/>
          <w:szCs w:val="18"/>
          <w:b w:val="1"/>
          <w:bCs w:val="1"/>
          <w:color w:val="auto"/>
        </w:rPr>
      </w:pPr>
    </w:p>
    <w:p>
      <w:pPr>
        <w:ind w:left="660" w:right="4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If there is a limit on the number of Shares which may be acquired as Investment Shares and the Contributions set out in the application exceed that number, the Administrator will scale down applications by taking any one or more of the following steps:</w:t>
      </w:r>
    </w:p>
    <w:p>
      <w:pPr>
        <w:spacing w:after="0" w:line="183" w:lineRule="exact"/>
        <w:rPr>
          <w:rFonts w:ascii="Arial" w:cs="Arial" w:eastAsia="Arial" w:hAnsi="Arial"/>
          <w:sz w:val="18"/>
          <w:szCs w:val="18"/>
          <w:b w:val="1"/>
          <w:bCs w:val="1"/>
          <w:color w:val="auto"/>
        </w:rPr>
      </w:pPr>
    </w:p>
    <w:p>
      <w:pPr>
        <w:ind w:left="1300" w:hanging="644"/>
        <w:spacing w:after="0"/>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reducing the excess of Contributions over any set minimum amount for Contributions proportionately;</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98" w:lineRule="exact"/>
        <w:rPr>
          <w:sz w:val="20"/>
          <w:szCs w:val="20"/>
          <w:color w:val="auto"/>
        </w:rPr>
      </w:pPr>
    </w:p>
    <w:p>
      <w:pPr>
        <w:ind w:left="1300" w:hanging="644"/>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reducing all monthly Contributions to any set minimum amount for Contributions;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selecting applications to contribute the minimum amount for Contributions by lot; or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choosing any other method which they deem appropriate.</w:t>
      </w:r>
    </w:p>
    <w:p>
      <w:pPr>
        <w:spacing w:after="0" w:line="198" w:lineRule="exact"/>
        <w:rPr>
          <w:rFonts w:ascii="Arial" w:cs="Arial" w:eastAsia="Arial" w:hAnsi="Arial"/>
          <w:sz w:val="18"/>
          <w:szCs w:val="18"/>
          <w:color w:val="auto"/>
        </w:rPr>
      </w:pPr>
    </w:p>
    <w:p>
      <w:pPr>
        <w:ind w:left="1300" w:right="620" w:hanging="644"/>
        <w:spacing w:after="0" w:line="246" w:lineRule="auto"/>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Administrator will notify Participants of the scaling down and their application will be deemed changed or withdrawn accordingly.</w:t>
      </w:r>
    </w:p>
    <w:p>
      <w:pPr>
        <w:spacing w:after="0" w:line="161" w:lineRule="exact"/>
        <w:rPr>
          <w:sz w:val="20"/>
          <w:szCs w:val="20"/>
          <w:color w:val="auto"/>
        </w:rPr>
      </w:pPr>
    </w:p>
    <w:p>
      <w:pPr>
        <w:ind w:left="660" w:hanging="652"/>
        <w:spacing w:after="0"/>
        <w:tabs>
          <w:tab w:leader="none" w:pos="6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DIVIDEND SHARES AND DIVIDEND EQUIVALENTS</w:t>
      </w:r>
    </w:p>
    <w:p>
      <w:pPr>
        <w:spacing w:after="0" w:line="220" w:lineRule="exact"/>
        <w:rPr>
          <w:sz w:val="20"/>
          <w:szCs w:val="20"/>
          <w:color w:val="auto"/>
        </w:rPr>
      </w:pPr>
    </w:p>
    <w:p>
      <w:pPr>
        <w:ind w:left="660" w:right="40" w:hanging="647"/>
        <w:spacing w:after="0" w:line="253"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All dividends payable in respect of a Participant’s Plan Shares will belong to the Participant. Unless the Administrator determines otherwise, the Company will procure that any dividends paid will be used to acquire Dividend Shares on behalf of the Participant as the Administrator determines from time to time. Dividend Shares will not be subject to any restrictions or forfeiture and will form part of the Participant’s Plan Shares for the purpose of this section 6.1. Dividend Shares will be held by the Nominee on behalf of the Participant unless and until the Participant or the Administrator direct that the Dividend Shares should be transferred to the Participant or his nominee or sold. Where the Administrator determines that dividends will not be reinvested they will be paid in cash to the Participant.</w:t>
      </w:r>
    </w:p>
    <w:p>
      <w:pPr>
        <w:spacing w:after="0" w:line="182" w:lineRule="exact"/>
        <w:rPr>
          <w:sz w:val="20"/>
          <w:szCs w:val="20"/>
          <w:color w:val="auto"/>
        </w:rPr>
      </w:pPr>
    </w:p>
    <w:p>
      <w:pPr>
        <w:ind w:left="660" w:right="20" w:hanging="647"/>
        <w:spacing w:after="0" w:line="238"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Where the Participant is granted Free Shares or Matching Shares under Schedule 3, the Administrator may at any time determine that the Participant will also be granted the right to receive a Dividend Equivalent which may be paid in cash or in Dividend Shares (as determined from time to time by the Administrator). Dividend Equivalents will be paid to the Participant or their nominee at such time as the Shares subject to the Free Share and/or Matching Share award are issued or transferred to the Participant unless the Administrator decides that any Dividend Shares should be held in accordance with section 6.1.</w:t>
      </w:r>
    </w:p>
    <w:p>
      <w:pPr>
        <w:spacing w:after="0" w:line="189" w:lineRule="exact"/>
        <w:rPr>
          <w:sz w:val="20"/>
          <w:szCs w:val="20"/>
          <w:color w:val="auto"/>
        </w:rPr>
      </w:pPr>
    </w:p>
    <w:p>
      <w:pPr>
        <w:ind w:left="660" w:right="100" w:hanging="647"/>
        <w:spacing w:after="0" w:line="246"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The Nominee is not required to pay a Participant any interest earned on any dividend to which the Participant is entitled. The Nominee may retain any interest on such terms as the Administrator decides.</w:t>
      </w:r>
    </w:p>
    <w:p>
      <w:pPr>
        <w:spacing w:after="0" w:line="161"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EVENTS AFFECTING SHARE CAPITAL</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Share Capital Variation</w:t>
      </w:r>
    </w:p>
    <w:p>
      <w:pPr>
        <w:spacing w:after="0" w:line="198" w:lineRule="exact"/>
        <w:rPr>
          <w:sz w:val="20"/>
          <w:szCs w:val="20"/>
          <w:color w:val="auto"/>
        </w:rPr>
      </w:pPr>
    </w:p>
    <w:p>
      <w:pPr>
        <w:ind w:left="1300" w:right="140" w:hanging="644"/>
        <w:spacing w:after="0" w:line="238" w:lineRule="auto"/>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Participant (or anyone authorised by him) has the right to direct the Nominee on the appropriate action to take (if any) in relation to any right relating to a Participant’s Plan Shares in connection with a Share Capital Variation. The Nominee may not take any action without such a direction. If the Nominee has not received the necessary direction and funds needed to carry out the direction before such time as the Nominee specifies, it will allow the right to lapse. If the Nominee is to be involved in any liability, it may require an indemnity which it considers appropriate from the Participant.</w:t>
      </w:r>
    </w:p>
    <w:p>
      <w:pPr>
        <w:spacing w:after="0" w:line="189" w:lineRule="exact"/>
        <w:rPr>
          <w:rFonts w:ascii="Arial" w:cs="Arial" w:eastAsia="Arial" w:hAnsi="Arial"/>
          <w:sz w:val="18"/>
          <w:szCs w:val="18"/>
          <w:color w:val="auto"/>
        </w:rPr>
      </w:pPr>
    </w:p>
    <w:p>
      <w:pPr>
        <w:ind w:left="1300" w:right="260" w:hanging="644"/>
        <w:spacing w:after="0" w:line="246" w:lineRule="auto"/>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the event of a Share Capital Variation, the Administrator may adjust the number or class of Shares or securities subject to any Free Share or Matching Share award.</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Change of Control and Corporate Events</w:t>
      </w:r>
    </w:p>
    <w:p>
      <w:pPr>
        <w:spacing w:after="0" w:line="198" w:lineRule="exact"/>
        <w:rPr>
          <w:sz w:val="20"/>
          <w:szCs w:val="20"/>
          <w:color w:val="auto"/>
        </w:rPr>
      </w:pPr>
    </w:p>
    <w:p>
      <w:pPr>
        <w:ind w:left="1300" w:hanging="644"/>
        <w:spacing w:after="0" w:line="239"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Participant (or anyone authorised by him) has the right to direct the Nominee on the appropriate action to take in relation to any offer or right relating to a Participant’s Plan Shares in connection with a Change of Control or Corporate Event. The Nominee may not take any action without such a direction. On a Change of Control or Corporate Event, any consideration consisting of new shares or securities will be held by the Nominee as Plan Shares as if they were the original Plan Shares.</w:t>
      </w:r>
    </w:p>
    <w:p>
      <w:pPr>
        <w:spacing w:after="0" w:line="188" w:lineRule="exact"/>
        <w:rPr>
          <w:rFonts w:ascii="Arial" w:cs="Arial" w:eastAsia="Arial" w:hAnsi="Arial"/>
          <w:sz w:val="18"/>
          <w:szCs w:val="18"/>
          <w:color w:val="auto"/>
        </w:rPr>
      </w:pPr>
    </w:p>
    <w:p>
      <w:pPr>
        <w:ind w:left="1300" w:right="220" w:hanging="644"/>
        <w:spacing w:after="0" w:line="246"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event of a Change of Control or, if the Administrator so decides, a Corporate Event, a Participant’s Free Shares and/or Matching Shares will Vest at the time of the relevant event.</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Fractional entitlements</w:t>
      </w:r>
    </w:p>
    <w:p>
      <w:pPr>
        <w:spacing w:after="0" w:line="198" w:lineRule="exact"/>
        <w:rPr>
          <w:sz w:val="20"/>
          <w:szCs w:val="20"/>
          <w:color w:val="auto"/>
        </w:rPr>
      </w:pPr>
    </w:p>
    <w:p>
      <w:pPr>
        <w:ind w:left="660" w:right="300"/>
        <w:spacing w:after="0" w:line="237" w:lineRule="auto"/>
        <w:rPr>
          <w:sz w:val="20"/>
          <w:szCs w:val="20"/>
          <w:color w:val="auto"/>
        </w:rPr>
      </w:pPr>
      <w:r>
        <w:rPr>
          <w:rFonts w:ascii="Arial" w:cs="Arial" w:eastAsia="Arial" w:hAnsi="Arial"/>
          <w:sz w:val="18"/>
          <w:szCs w:val="18"/>
          <w:color w:val="auto"/>
        </w:rPr>
        <w:t>Where, following any offer referred to in section 7.1 (Share Capital Variation), the Nominee receives rights or securities in respect of Plan Shares, it will allocate them among the Participants concerned on a proportionate basis, rounding down if necessary. The Nominee will then aggregate any fractions not allocated and sell the unallocated rights and securities. The Nominee will deduct all expenses of sale and applicable tax and social security from the proceeds of sale and distribute the net proceeds of sale proportionately among the Participants whose allocation was rounded down. However, if a Participant’s entitlement is less than the transfer costs (wire fees) to be incurred in distributing the entitlement, the Nominee may retain that entitlement and use it to pay the expenses of the Plan.</w:t>
      </w:r>
    </w:p>
    <w:p>
      <w:pPr>
        <w:spacing w:after="0" w:line="168" w:lineRule="exact"/>
        <w:rPr>
          <w:sz w:val="20"/>
          <w:szCs w:val="20"/>
          <w:color w:val="auto"/>
        </w:rPr>
      </w:pPr>
    </w:p>
    <w:p>
      <w:pPr>
        <w:ind w:left="660" w:hanging="652"/>
        <w:spacing w:after="0"/>
        <w:tabs>
          <w:tab w:leader="none" w:pos="6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SHARE RIGHTS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Rights</w:t>
      </w:r>
    </w:p>
    <w:p>
      <w:pPr>
        <w:spacing w:after="0" w:line="198" w:lineRule="exact"/>
        <w:rPr>
          <w:sz w:val="20"/>
          <w:szCs w:val="20"/>
          <w:color w:val="auto"/>
        </w:rPr>
      </w:pPr>
    </w:p>
    <w:p>
      <w:pPr>
        <w:ind w:left="660" w:right="140"/>
        <w:spacing w:after="0" w:line="246" w:lineRule="auto"/>
        <w:rPr>
          <w:sz w:val="20"/>
          <w:szCs w:val="20"/>
          <w:color w:val="auto"/>
        </w:rPr>
      </w:pPr>
      <w:r>
        <w:rPr>
          <w:rFonts w:ascii="Arial" w:cs="Arial" w:eastAsia="Arial" w:hAnsi="Arial"/>
          <w:sz w:val="18"/>
          <w:szCs w:val="18"/>
          <w:color w:val="auto"/>
        </w:rPr>
        <w:t>Except as otherwise provided in the Plan, Plan Shares will receive identical treatment and rank pari passu in all respects with all other shares of common stock of the Company and in particular in respect of each of the following, where applicable:</w:t>
      </w:r>
    </w:p>
    <w:p>
      <w:pPr>
        <w:spacing w:after="0" w:line="183" w:lineRule="exact"/>
        <w:rPr>
          <w:sz w:val="20"/>
          <w:szCs w:val="20"/>
          <w:color w:val="auto"/>
        </w:rPr>
      </w:pPr>
    </w:p>
    <w:p>
      <w:pPr>
        <w:ind w:left="1300" w:right="160" w:hanging="644"/>
        <w:spacing w:after="0" w:line="237"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dividend payable (provided that Plan Shares which have been newly issued may receive, in respect of dividends payable by reference to a period beginning before the date on which such Plan Shares were issued, treatment that is less favourable than that accorded to Shares issued before that date) and further provided that the Nominee may award Shares, a proportion of which will rank for dividends or other rights attaching to Shares by reference to a record date preceding the relevant Award Date and a proportion of which will not. If this happens, the Nominee will award the Shares to each Participant as far as practicable in those same proportions.;</w:t>
      </w:r>
    </w:p>
    <w:p>
      <w:pPr>
        <w:spacing w:after="0" w:line="191" w:lineRule="exact"/>
        <w:rPr>
          <w:rFonts w:ascii="Arial" w:cs="Arial" w:eastAsia="Arial" w:hAnsi="Arial"/>
          <w:sz w:val="18"/>
          <w:szCs w:val="18"/>
          <w:color w:val="auto"/>
        </w:rPr>
      </w:pPr>
    </w:p>
    <w:p>
      <w:pPr>
        <w:ind w:left="1300" w:hanging="64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repayment rights;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restrictions attaching to the Shares;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offer of substituted or additional shares, securities or rights of any description in respect of Shares.</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color w:val="auto"/>
        </w:rPr>
        <w:t>Voting</w:t>
      </w:r>
    </w:p>
    <w:p>
      <w:pPr>
        <w:spacing w:after="0" w:line="198" w:lineRule="exact"/>
        <w:rPr>
          <w:sz w:val="20"/>
          <w:szCs w:val="20"/>
          <w:color w:val="auto"/>
        </w:rPr>
      </w:pPr>
    </w:p>
    <w:p>
      <w:pPr>
        <w:ind w:left="1300" w:hanging="644"/>
        <w:spacing w:after="0" w:line="238" w:lineRule="auto"/>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Nominee may invite Participants to direct it on the exercise of any voting rights attaching to Plan Shares registered in the name of the Nominee. The Nominee may not take any action without such a direction. The Nominee will only be entitled to vote on a show of hands if all directions received from Participants who have given directions in respect of a particular resolution are identical. The Nominee will not be under any obligation to call for a poll. In the event of a poll the Nominee will vote in accordance with the directions of Participants.</w:t>
      </w:r>
    </w:p>
    <w:p>
      <w:pPr>
        <w:spacing w:after="0" w:line="189" w:lineRule="exact"/>
        <w:rPr>
          <w:rFonts w:ascii="Arial" w:cs="Arial" w:eastAsia="Arial" w:hAnsi="Arial"/>
          <w:sz w:val="18"/>
          <w:szCs w:val="18"/>
          <w:color w:val="auto"/>
        </w:rPr>
      </w:pPr>
    </w:p>
    <w:p>
      <w:pPr>
        <w:ind w:left="1300" w:right="220" w:hanging="644"/>
        <w:spacing w:after="0" w:line="246" w:lineRule="auto"/>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Nominee must not vote in respect any Shares it holds under the Plan which have not been registered in the name of the Nominee.</w:t>
      </w:r>
    </w:p>
    <w:p>
      <w:pPr>
        <w:spacing w:after="0" w:line="183" w:lineRule="exact"/>
        <w:rPr>
          <w:rFonts w:ascii="Arial" w:cs="Arial" w:eastAsia="Arial" w:hAnsi="Arial"/>
          <w:sz w:val="18"/>
          <w:szCs w:val="18"/>
          <w:color w:val="auto"/>
        </w:rPr>
      </w:pPr>
    </w:p>
    <w:p>
      <w:pPr>
        <w:ind w:left="1300" w:right="560" w:hanging="644"/>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Participant is not entitled to vote, to receive dividends or to have any other rights of a shareholder in respect of Shares subject to a Free Share or Matching Share award until the Shares are issued or transferred to the Participant or to the Nominee to hold on behalf of the Participant.</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color w:val="auto"/>
        </w:rPr>
        <w:t>Dealing with Plan Shares</w:t>
      </w:r>
    </w:p>
    <w:p>
      <w:pPr>
        <w:spacing w:after="0" w:line="198" w:lineRule="exact"/>
        <w:rPr>
          <w:sz w:val="20"/>
          <w:szCs w:val="20"/>
          <w:color w:val="auto"/>
        </w:rPr>
      </w:pPr>
    </w:p>
    <w:p>
      <w:pPr>
        <w:jc w:val="both"/>
        <w:ind w:left="660" w:right="260"/>
        <w:spacing w:after="0" w:line="238" w:lineRule="auto"/>
        <w:rPr>
          <w:sz w:val="20"/>
          <w:szCs w:val="20"/>
          <w:color w:val="auto"/>
        </w:rPr>
      </w:pPr>
      <w:r>
        <w:rPr>
          <w:rFonts w:ascii="Arial" w:cs="Arial" w:eastAsia="Arial" w:hAnsi="Arial"/>
          <w:sz w:val="18"/>
          <w:szCs w:val="18"/>
          <w:color w:val="auto"/>
        </w:rPr>
        <w:t>Subject to the Provisions the Nominee will deal with a Participant’s Plan Shares at all times in accordance with the lawful directions given by or on behalf of that Participant or any person in whom the beneficial interest in his Plan Shares is for the time being vested. The Nominee will obey any directions given by a Participant in accordance with the Provisions in relation to his Plan Shares and any rights and income relating to those Shares (but in the absence of any such direction, or provision of the Plan, the Nominee need not seek such direction and will take no action).</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color w:val="auto"/>
        </w:rPr>
        <w:t>Stamp duty on Plan Shares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stamp duty payable on a transfer of a Participant’s Plan Shares to him will be paid by the Trustee.</w:t>
      </w:r>
    </w:p>
    <w:p>
      <w:pPr>
        <w:spacing w:after="0" w:line="176"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PERSONAL DATA</w:t>
      </w:r>
    </w:p>
    <w:p>
      <w:pPr>
        <w:spacing w:after="0" w:line="220" w:lineRule="exact"/>
        <w:rPr>
          <w:sz w:val="20"/>
          <w:szCs w:val="20"/>
          <w:color w:val="auto"/>
        </w:rPr>
      </w:pPr>
    </w:p>
    <w:p>
      <w:pPr>
        <w:jc w:val="both"/>
        <w:ind w:left="660" w:right="280" w:hanging="647"/>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By participating in the Plan, a Participant consents to the holding and processing of personal data provided by the Participant to any member of the Group, trustee or third party service provider, for all purposes relating to the operation of the Plan. These include, but are not limited to:</w:t>
      </w:r>
    </w:p>
    <w:p>
      <w:pPr>
        <w:spacing w:after="0" w:line="189" w:lineRule="exact"/>
        <w:rPr>
          <w:sz w:val="20"/>
          <w:szCs w:val="20"/>
          <w:color w:val="auto"/>
        </w:rPr>
      </w:pPr>
    </w:p>
    <w:p>
      <w:pPr>
        <w:ind w:left="1300" w:hanging="644"/>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administering and maintaining Participant records;</w:t>
      </w:r>
    </w:p>
    <w:p>
      <w:pPr>
        <w:spacing w:after="0" w:line="198" w:lineRule="exact"/>
        <w:rPr>
          <w:rFonts w:ascii="Arial" w:cs="Arial" w:eastAsia="Arial" w:hAnsi="Arial"/>
          <w:sz w:val="18"/>
          <w:szCs w:val="18"/>
          <w:color w:val="auto"/>
        </w:rPr>
      </w:pPr>
    </w:p>
    <w:p>
      <w:pPr>
        <w:ind w:left="1300" w:right="380" w:hanging="644"/>
        <w:spacing w:after="0" w:line="246" w:lineRule="auto"/>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providing information to any taxation authority, members of the Group, the trustee of any employee benefit trust, registrars, brokers or third party administrators of the Scheme;</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providing information to future purchasers of the Company or the business in which the Participant works; and</w:t>
      </w:r>
    </w:p>
    <w:p>
      <w:pPr>
        <w:spacing w:after="0" w:line="198" w:lineRule="exact"/>
        <w:rPr>
          <w:rFonts w:ascii="Arial" w:cs="Arial" w:eastAsia="Arial" w:hAnsi="Arial"/>
          <w:sz w:val="18"/>
          <w:szCs w:val="18"/>
          <w:color w:val="auto"/>
        </w:rPr>
      </w:pPr>
    </w:p>
    <w:p>
      <w:pPr>
        <w:ind w:left="1300" w:right="640" w:hanging="644"/>
        <w:spacing w:after="0" w:line="246" w:lineRule="auto"/>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transferring information about the Participant to a country or territory outside the European Economic Area that may not provide the same statutory protection for the information as the Participant’s home country.</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Section 9.1 shall not apply to the processing of data of Eligible Employees based in the European Economic Area and instead the</w:t>
      </w:r>
    </w:p>
    <w:p>
      <w:pPr>
        <w:ind w:left="660"/>
        <w:spacing w:after="0"/>
        <w:rPr>
          <w:sz w:val="20"/>
          <w:szCs w:val="20"/>
          <w:color w:val="auto"/>
        </w:rPr>
      </w:pPr>
      <w:r>
        <w:rPr>
          <w:rFonts w:ascii="Arial" w:cs="Arial" w:eastAsia="Arial" w:hAnsi="Arial"/>
          <w:sz w:val="18"/>
          <w:szCs w:val="18"/>
          <w:color w:val="auto"/>
        </w:rPr>
        <w:t>Company and any member of the Group will process the data of such Eligible Employees in accordance with:</w:t>
      </w:r>
    </w:p>
    <w:p>
      <w:pPr>
        <w:spacing w:after="0" w:line="198" w:lineRule="exact"/>
        <w:rPr>
          <w:sz w:val="20"/>
          <w:szCs w:val="20"/>
          <w:color w:val="auto"/>
        </w:rPr>
      </w:pPr>
    </w:p>
    <w:p>
      <w:pPr>
        <w:ind w:left="1960" w:hanging="655"/>
        <w:spacing w:after="0"/>
        <w:tabs>
          <w:tab w:leader="none" w:pos="1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applicable data privacy policy or policies adopted by the Company or other member of the Group; and</w:t>
      </w:r>
    </w:p>
    <w:p>
      <w:pPr>
        <w:spacing w:after="0" w:line="198" w:lineRule="exact"/>
        <w:rPr>
          <w:rFonts w:ascii="Arial" w:cs="Arial" w:eastAsia="Arial" w:hAnsi="Arial"/>
          <w:sz w:val="18"/>
          <w:szCs w:val="18"/>
          <w:color w:val="auto"/>
        </w:rPr>
      </w:pPr>
    </w:p>
    <w:p>
      <w:pPr>
        <w:ind w:left="1960" w:right="80" w:hanging="655"/>
        <w:spacing w:after="0" w:line="246" w:lineRule="auto"/>
        <w:tabs>
          <w:tab w:leader="none" w:pos="1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data privacy notice(s) provided to the Eligible Employee covering the processing of the Eligible Employee’s data in connection with the Scheme.</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NOTICES AND DIRECTIONS FROM PARTICIPANTS</w:t>
      </w:r>
    </w:p>
    <w:p>
      <w:pPr>
        <w:spacing w:after="0" w:line="220" w:lineRule="exact"/>
        <w:rPr>
          <w:sz w:val="20"/>
          <w:szCs w:val="20"/>
          <w:color w:val="auto"/>
        </w:rPr>
      </w:pPr>
    </w:p>
    <w:p>
      <w:pPr>
        <w:ind w:left="660" w:right="100" w:hanging="647"/>
        <w:spacing w:after="0" w:line="246"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Any direction to the Nominee in respect of a Participant’s Plan Shares must be given in writing by or on behalf of the Participant or any person in whom the beneficial interest in his Plan Shares is for the time being vested.</w:t>
      </w:r>
    </w:p>
    <w:p>
      <w:pPr>
        <w:spacing w:after="0" w:line="183" w:lineRule="exact"/>
        <w:rPr>
          <w:sz w:val="20"/>
          <w:szCs w:val="20"/>
          <w:color w:val="auto"/>
        </w:rPr>
      </w:pPr>
    </w:p>
    <w:p>
      <w:pPr>
        <w:ind w:left="660" w:right="100" w:hanging="647"/>
        <w:spacing w:after="0" w:line="239" w:lineRule="auto"/>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Any notice or other communication under or in connection with the Plan may be given by electronic mail, personal delivery or by sending the same by first class post, in the case of a company to its registered office, and in the case of an individual to his last known address. Where a notice or other communication is given by first class post, it will be deemed to have been received 5 Business Days after it was put into the post properly addressed and stamped.</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The Company may send to the Participants copies of any documents or notices normally sent to its shareholders.</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TAX</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Capital receipts and other amounts</w:t>
      </w:r>
    </w:p>
    <w:p>
      <w:pPr>
        <w:spacing w:after="0" w:line="198" w:lineRule="exact"/>
        <w:rPr>
          <w:sz w:val="20"/>
          <w:szCs w:val="20"/>
          <w:color w:val="auto"/>
        </w:rPr>
      </w:pPr>
    </w:p>
    <w:p>
      <w:pPr>
        <w:ind w:left="660" w:right="120"/>
        <w:spacing w:after="0"/>
        <w:rPr>
          <w:sz w:val="20"/>
          <w:szCs w:val="20"/>
          <w:color w:val="auto"/>
        </w:rPr>
      </w:pPr>
      <w:r>
        <w:rPr>
          <w:rFonts w:ascii="Arial" w:cs="Arial" w:eastAsia="Arial" w:hAnsi="Arial"/>
          <w:sz w:val="18"/>
          <w:szCs w:val="18"/>
          <w:color w:val="auto"/>
        </w:rPr>
        <w:t>When the Nominee receives money in relation to Plan Shares or the proceeds of any disposal, it will make the required deductions for tax and social security and pay the balance to the Participant. The Nominee may, however, retain any amount which is less than the transfer costs (wire fees) to be incurred in distributing the amount and use it for the purposes of the Plan.</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Withholding</w:t>
      </w:r>
    </w:p>
    <w:p>
      <w:pPr>
        <w:spacing w:after="0" w:line="198" w:lineRule="exact"/>
        <w:rPr>
          <w:sz w:val="20"/>
          <w:szCs w:val="20"/>
          <w:color w:val="auto"/>
        </w:rPr>
      </w:pPr>
    </w:p>
    <w:p>
      <w:pPr>
        <w:ind w:left="660" w:right="120"/>
        <w:spacing w:after="0" w:line="236" w:lineRule="auto"/>
        <w:rPr>
          <w:sz w:val="20"/>
          <w:szCs w:val="20"/>
          <w:color w:val="auto"/>
        </w:rPr>
      </w:pPr>
      <w:r>
        <w:rPr>
          <w:rFonts w:ascii="Arial" w:cs="Arial" w:eastAsia="Arial" w:hAnsi="Arial"/>
          <w:sz w:val="18"/>
          <w:szCs w:val="18"/>
          <w:color w:val="auto"/>
        </w:rPr>
        <w:t>The Company or any Subsidiary shall have the authority and the right to deduct or withhold, or require a Participant to remit to the relevant Group Company, an amount sufficient to satisfy any federal, state, local and foreign taxes (including the Holder’s FICA, employment tax or other social security contribution obligation) required by law to be withheld or otherwise arising with respect to any taxable event concerning a Participant arising as a result of the Plan or any Award. The Administrator may, in its sole discretion and in satisfaction of the foregoing requirement, satisfy such obligations by any payment means it deems appropriate including without limitation, by withholding Shares otherwise issuable under an Award (or allowing the surrender of Shares). The number of Shares which may be so withheld or surrendered shall be limited to the number of Shares which have a fair market value on the date of withholding or repurchase no greater than the aggregate amount of such liabilities based on the minimum statutory withholding rates for federal, state, local and foreign income tax and payroll tax purposes that are applicable to such supplemental taxable</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98" w:lineRule="exact"/>
        <w:rPr>
          <w:sz w:val="20"/>
          <w:szCs w:val="20"/>
          <w:color w:val="auto"/>
        </w:rPr>
      </w:pPr>
    </w:p>
    <w:p>
      <w:pPr>
        <w:ind w:left="660" w:right="720"/>
        <w:spacing w:after="0" w:line="246" w:lineRule="auto"/>
        <w:rPr>
          <w:sz w:val="20"/>
          <w:szCs w:val="20"/>
          <w:color w:val="auto"/>
        </w:rPr>
      </w:pPr>
      <w:r>
        <w:rPr>
          <w:rFonts w:ascii="Arial" w:cs="Arial" w:eastAsia="Arial" w:hAnsi="Arial"/>
          <w:sz w:val="18"/>
          <w:szCs w:val="18"/>
          <w:color w:val="auto"/>
        </w:rPr>
        <w:t>income (or such other number as would not result in adverse financial accounting consequences for the Company or any of its Subsidiaries).</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AMENDMENTS</w:t>
      </w:r>
    </w:p>
    <w:p>
      <w:pPr>
        <w:spacing w:after="0" w:line="220" w:lineRule="exact"/>
        <w:rPr>
          <w:sz w:val="20"/>
          <w:szCs w:val="20"/>
          <w:color w:val="auto"/>
        </w:rPr>
      </w:pPr>
    </w:p>
    <w:p>
      <w:pPr>
        <w:ind w:left="660" w:right="300" w:hanging="647"/>
        <w:spacing w:after="0" w:line="239" w:lineRule="auto"/>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 xml:space="preserve">Except as otherwise provided in section 12.3, the Plan may be wholly or partially amended or otherwise modified, suspended or terminated at any time or from time to time by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amendment, suspension or termination of the Plan shall, without the consent of the holder of the Award, materially and adversely affect any rights or obligations under any Award theretofore granted or awarded, unless the Award itself otherwise expressly so provides.</w:t>
      </w:r>
    </w:p>
    <w:p>
      <w:pPr>
        <w:spacing w:after="0" w:line="188" w:lineRule="exact"/>
        <w:rPr>
          <w:sz w:val="20"/>
          <w:szCs w:val="20"/>
          <w:color w:val="auto"/>
        </w:rPr>
      </w:pPr>
    </w:p>
    <w:p>
      <w:pPr>
        <w:ind w:left="660" w:right="140" w:hanging="647"/>
        <w:spacing w:after="0" w:line="246" w:lineRule="auto"/>
        <w:tabs>
          <w:tab w:leader="none" w:pos="6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Notwithstanding section 12.1, the Board may not, except as provided in Provision 7, take any of the following actions without approval of the Company’s stockholders given within twelve (12) months before or after such action:</w:t>
      </w:r>
    </w:p>
    <w:p>
      <w:pPr>
        <w:spacing w:after="0" w:line="183" w:lineRule="exact"/>
        <w:rPr>
          <w:sz w:val="20"/>
          <w:szCs w:val="20"/>
          <w:color w:val="auto"/>
        </w:rPr>
      </w:pPr>
    </w:p>
    <w:p>
      <w:pPr>
        <w:ind w:left="1300" w:hanging="644"/>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increase the limit imposed in section 3.1 on the maximum number of Shares which may be issued under the Plan, or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reduce the price per share of any outstanding Award granted under the Plan.</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color w:val="auto"/>
        </w:rPr>
        <w:t>Overseas considerations</w:t>
      </w:r>
    </w:p>
    <w:p>
      <w:pPr>
        <w:spacing w:after="0" w:line="198" w:lineRule="exact"/>
        <w:rPr>
          <w:sz w:val="20"/>
          <w:szCs w:val="20"/>
          <w:color w:val="auto"/>
        </w:rPr>
      </w:pPr>
    </w:p>
    <w:p>
      <w:pPr>
        <w:ind w:left="660" w:right="60"/>
        <w:spacing w:after="0" w:line="239" w:lineRule="auto"/>
        <w:rPr>
          <w:sz w:val="20"/>
          <w:szCs w:val="20"/>
          <w:color w:val="auto"/>
        </w:rPr>
      </w:pPr>
      <w:r>
        <w:rPr>
          <w:rFonts w:ascii="Arial" w:cs="Arial" w:eastAsia="Arial" w:hAnsi="Arial"/>
          <w:sz w:val="18"/>
          <w:szCs w:val="18"/>
          <w:color w:val="auto"/>
        </w:rPr>
        <w:t>Notwithstanding any other provision of the Plan, the Board may amend or add to the provisions of the Plan (by way of schedule or otherwise) as they consider necessary or desirable to facilitate the operation of the Plan in any jurisdiction or to enable the Plan to take advantage of any favourable tax or regulatory treatment, provided that any such addition or amendment does not vary the basic features of the Plan.</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GENERAL</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Relationship between the Plan and employment</w:t>
      </w:r>
    </w:p>
    <w:p>
      <w:pPr>
        <w:spacing w:after="0" w:line="198" w:lineRule="exact"/>
        <w:rPr>
          <w:sz w:val="20"/>
          <w:szCs w:val="20"/>
          <w:color w:val="auto"/>
        </w:rPr>
      </w:pPr>
    </w:p>
    <w:p>
      <w:pPr>
        <w:ind w:left="660" w:right="80"/>
        <w:spacing w:after="0" w:line="237" w:lineRule="auto"/>
        <w:rPr>
          <w:sz w:val="20"/>
          <w:szCs w:val="20"/>
          <w:color w:val="auto"/>
        </w:rPr>
      </w:pPr>
      <w:r>
        <w:rPr>
          <w:rFonts w:ascii="Arial" w:cs="Arial" w:eastAsia="Arial" w:hAnsi="Arial"/>
          <w:sz w:val="18"/>
          <w:szCs w:val="18"/>
          <w:color w:val="auto"/>
        </w:rPr>
        <w:t>The rights and obligations of any individual under the terms of his office or employment with any member of the Group will not be affected by his participation in the Plan or any right which he may have to participate in it and the Plan does not form part of any contract of employment between that individual and any member of the Group. A Participant whose office or employment is terminated for any reason whatsoever (and whether lawful or otherwise) will not be entitled to claim any compensation for or in respect of any consequent diminution or extinction of his rights or benefits (actual or prospective) under any Award then held by him or otherwise in connection with the Plan.</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Administrator’s power of interpretation</w:t>
      </w:r>
    </w:p>
    <w:p>
      <w:pPr>
        <w:spacing w:after="0" w:line="198" w:lineRule="exact"/>
        <w:rPr>
          <w:sz w:val="20"/>
          <w:szCs w:val="20"/>
          <w:color w:val="auto"/>
        </w:rPr>
      </w:pPr>
    </w:p>
    <w:p>
      <w:pPr>
        <w:ind w:left="660" w:right="140"/>
        <w:spacing w:after="0" w:line="239" w:lineRule="auto"/>
        <w:rPr>
          <w:sz w:val="20"/>
          <w:szCs w:val="20"/>
          <w:color w:val="auto"/>
        </w:rPr>
      </w:pPr>
      <w:r>
        <w:rPr>
          <w:rFonts w:ascii="Arial" w:cs="Arial" w:eastAsia="Arial" w:hAnsi="Arial"/>
          <w:sz w:val="18"/>
          <w:szCs w:val="18"/>
          <w:color w:val="auto"/>
        </w:rPr>
        <w:t>The Plan will be administered by the Administrator, which may from time to time make and vary Provisions and regulations consistent with the Plan and establish procedures for the administration and implementation of the Plan as it thinks fit, and in the event of any dispute or disagreement as to the interpretation of the Plan, or of any Provision, regulation or procedure, or as to any question or right arising from or related to the Plan, the decision of the Administrator will be final and binding on all persons.</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7"/>
          <w:szCs w:val="17"/>
          <w:color w:val="auto"/>
        </w:rPr>
        <w:t>Change in legislation</w:t>
      </w:r>
    </w:p>
    <w:p>
      <w:pPr>
        <w:spacing w:after="0" w:line="198" w:lineRule="exact"/>
        <w:rPr>
          <w:sz w:val="20"/>
          <w:szCs w:val="20"/>
          <w:color w:val="auto"/>
        </w:rPr>
      </w:pPr>
    </w:p>
    <w:p>
      <w:pPr>
        <w:ind w:left="660" w:right="600"/>
        <w:spacing w:after="0" w:line="246" w:lineRule="auto"/>
        <w:rPr>
          <w:sz w:val="20"/>
          <w:szCs w:val="20"/>
          <w:color w:val="auto"/>
        </w:rPr>
      </w:pPr>
      <w:r>
        <w:rPr>
          <w:rFonts w:ascii="Arial" w:cs="Arial" w:eastAsia="Arial" w:hAnsi="Arial"/>
          <w:sz w:val="18"/>
          <w:szCs w:val="18"/>
          <w:color w:val="auto"/>
        </w:rPr>
        <w:t>Any reference in the Plan to any legislation includes a reference to that legislation as from time to time modified, extended or re-extended.</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color w:val="auto"/>
        </w:rPr>
        <w:t>Termination of the Plan</w:t>
      </w:r>
    </w:p>
    <w:p>
      <w:pPr>
        <w:spacing w:after="0" w:line="198" w:lineRule="exact"/>
        <w:rPr>
          <w:sz w:val="20"/>
          <w:szCs w:val="20"/>
          <w:color w:val="auto"/>
        </w:rPr>
      </w:pPr>
    </w:p>
    <w:p>
      <w:pPr>
        <w:ind w:left="660" w:right="120"/>
        <w:spacing w:after="0"/>
        <w:rPr>
          <w:sz w:val="20"/>
          <w:szCs w:val="20"/>
          <w:color w:val="auto"/>
        </w:rPr>
      </w:pPr>
      <w:r>
        <w:rPr>
          <w:rFonts w:ascii="Arial" w:cs="Arial" w:eastAsia="Arial" w:hAnsi="Arial"/>
          <w:sz w:val="18"/>
          <w:szCs w:val="18"/>
          <w:color w:val="auto"/>
        </w:rPr>
        <w:t>The Plan will be terminated at the end of the period of 10 years from the date it is approved by the shareholder of the Company or earlier as determined by the Board and, in respect of Awards granted under Schedule 2, in accordance with a Plan Termination Notice issued by the Company to the Nominee pursuant to paragraph 89 of ITEPA Schedule 2 (as defined in Schedule 2).</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7"/>
          <w:szCs w:val="17"/>
          <w:color w:val="auto"/>
        </w:rPr>
        <w:t>Governing law</w:t>
      </w:r>
    </w:p>
    <w:p>
      <w:pPr>
        <w:spacing w:after="0" w:line="198" w:lineRule="exact"/>
        <w:rPr>
          <w:sz w:val="20"/>
          <w:szCs w:val="20"/>
          <w:color w:val="auto"/>
        </w:rPr>
      </w:pPr>
    </w:p>
    <w:p>
      <w:pPr>
        <w:ind w:left="660" w:right="60"/>
        <w:spacing w:after="0" w:line="246" w:lineRule="auto"/>
        <w:rPr>
          <w:sz w:val="20"/>
          <w:szCs w:val="20"/>
          <w:color w:val="auto"/>
        </w:rPr>
      </w:pPr>
      <w:r>
        <w:rPr>
          <w:rFonts w:ascii="Arial" w:cs="Arial" w:eastAsia="Arial" w:hAnsi="Arial"/>
          <w:sz w:val="18"/>
          <w:szCs w:val="18"/>
          <w:color w:val="auto"/>
        </w:rPr>
        <w:t>The Plan and any Programs and Award Agreements hereunder shall be administered, interpreted and enforced under the internal laws of the State of Delaware without regard to conflicts thereof or of any other jurisdiction.</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Employees</w:t>
      </w:r>
    </w:p>
    <w:p>
      <w:pPr>
        <w:spacing w:after="0" w:line="176"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Purpose of this schedule</w:t>
      </w:r>
    </w:p>
    <w:p>
      <w:pPr>
        <w:spacing w:after="0" w:line="220" w:lineRule="exact"/>
        <w:rPr>
          <w:sz w:val="20"/>
          <w:szCs w:val="20"/>
          <w:color w:val="auto"/>
        </w:rPr>
      </w:pPr>
    </w:p>
    <w:p>
      <w:pPr>
        <w:ind w:left="660" w:right="80" w:hanging="647"/>
        <w:spacing w:after="0" w:line="246"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purpose of this Schedule 1 is to provide “Eligible Employees,” as such term is defined in this Schedule 1, a convenient opportunity to become shareholders of the Company through payroll deductions.</w:t>
      </w:r>
    </w:p>
    <w:p>
      <w:pPr>
        <w:spacing w:after="0" w:line="183" w:lineRule="exact"/>
        <w:rPr>
          <w:sz w:val="20"/>
          <w:szCs w:val="20"/>
          <w:color w:val="auto"/>
        </w:rPr>
      </w:pPr>
    </w:p>
    <w:p>
      <w:pPr>
        <w:jc w:val="both"/>
        <w:ind w:left="660" w:right="220" w:hanging="647"/>
        <w:spacing w:after="0" w:line="238"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 xml:space="preserve">The Company intends the Plan, as modified by this Schedule 1, to qualify as an employee stock purchase plan under Section 423 of the United States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Accordingly, the provisions of the Plan, as modified by and provided for in this Schedule 1, shall be construed in a manner consistent with the requirements of Code Section 423; provided, however, that the Company makes no representations to any Eligible Employee of the tax consequences of purchases of Investment Shares.</w:t>
      </w:r>
    </w:p>
    <w:p>
      <w:pPr>
        <w:spacing w:after="0" w:line="189" w:lineRule="exact"/>
        <w:rPr>
          <w:sz w:val="20"/>
          <w:szCs w:val="20"/>
          <w:color w:val="auto"/>
        </w:rPr>
      </w:pPr>
    </w:p>
    <w:p>
      <w:pPr>
        <w:ind w:left="660" w:right="60" w:hanging="647"/>
        <w:spacing w:after="0" w:line="246"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provisions of the Plan (including, without limitation, the maximum number of offered Shares and the ten (10) year term of the Plan) shall apply in this Schedule 1 except as varied or replaced by this Schedule 1.</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All paragraph references are to paragraphs in this Schedule 1.</w:t>
      </w:r>
    </w:p>
    <w:p>
      <w:pPr>
        <w:spacing w:after="0" w:line="176" w:lineRule="exact"/>
        <w:rPr>
          <w:sz w:val="20"/>
          <w:szCs w:val="20"/>
          <w:color w:val="auto"/>
        </w:rPr>
      </w:pPr>
    </w:p>
    <w:p>
      <w:pPr>
        <w:ind w:left="660" w:hanging="652"/>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220" w:lineRule="exact"/>
        <w:rPr>
          <w:rFonts w:ascii="Arial" w:cs="Arial" w:eastAsia="Arial" w:hAnsi="Arial"/>
          <w:sz w:val="18"/>
          <w:szCs w:val="18"/>
          <w:color w:val="auto"/>
        </w:rPr>
      </w:pPr>
    </w:p>
    <w:p>
      <w:pPr>
        <w:ind w:left="660" w:right="40"/>
        <w:spacing w:after="0" w:line="358" w:lineRule="auto"/>
        <w:rPr>
          <w:rFonts w:ascii="Arial" w:cs="Arial" w:eastAsia="Arial" w:hAnsi="Arial"/>
          <w:sz w:val="18"/>
          <w:szCs w:val="18"/>
          <w:color w:val="auto"/>
        </w:rPr>
      </w:pPr>
      <w:r>
        <w:rPr>
          <w:rFonts w:ascii="Arial" w:cs="Arial" w:eastAsia="Arial" w:hAnsi="Arial"/>
          <w:sz w:val="18"/>
          <w:szCs w:val="18"/>
          <w:color w:val="auto"/>
        </w:rPr>
        <w:t xml:space="preserve">In this Schedule 1 the terms defined below shall have the following meaning and, where applicable, shall replace the relevant definition in Section 1 of the Plan. Defined terms used in this Schedule 1 but not defined below shall have the meaning in Section 1. </w:t>
      </w:r>
      <w:r>
        <w:rPr>
          <w:rFonts w:ascii="Arial" w:cs="Arial" w:eastAsia="Arial" w:hAnsi="Arial"/>
          <w:sz w:val="18"/>
          <w:szCs w:val="18"/>
          <w:b w:val="1"/>
          <w:bCs w:val="1"/>
          <w:color w:val="auto"/>
        </w:rPr>
        <w:t xml:space="preserve">“Applicable Restrictions Period” </w:t>
      </w:r>
      <w:r>
        <w:rPr>
          <w:rFonts w:ascii="Arial" w:cs="Arial" w:eastAsia="Arial" w:hAnsi="Arial"/>
          <w:sz w:val="18"/>
          <w:szCs w:val="18"/>
          <w:color w:val="auto"/>
        </w:rPr>
        <w:t>has the meaning given in paragraph 9.2.</w:t>
      </w:r>
    </w:p>
    <w:p>
      <w:pPr>
        <w:spacing w:after="0" w:line="64" w:lineRule="exact"/>
        <w:rPr>
          <w:rFonts w:ascii="Arial" w:cs="Arial" w:eastAsia="Arial" w:hAnsi="Arial"/>
          <w:sz w:val="18"/>
          <w:szCs w:val="18"/>
          <w:color w:val="auto"/>
        </w:rPr>
      </w:pPr>
    </w:p>
    <w:p>
      <w:pPr>
        <w:ind w:left="660" w:right="80"/>
        <w:spacing w:after="0" w:line="247" w:lineRule="auto"/>
        <w:rPr>
          <w:rFonts w:ascii="Arial" w:cs="Arial" w:eastAsia="Arial" w:hAnsi="Arial"/>
          <w:sz w:val="18"/>
          <w:szCs w:val="18"/>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means the base pay (including overtime), commissions and bonus amounts paid in cash to an Eligible Employee by</w:t>
      </w:r>
      <w:r>
        <w:rPr>
          <w:rFonts w:ascii="Arial" w:cs="Arial" w:eastAsia="Arial" w:hAnsi="Arial"/>
          <w:sz w:val="18"/>
          <w:szCs w:val="18"/>
          <w:b w:val="1"/>
          <w:bCs w:val="1"/>
          <w:color w:val="auto"/>
        </w:rPr>
        <w:t xml:space="preserve"> </w:t>
      </w:r>
      <w:r>
        <w:rPr>
          <w:rFonts w:ascii="Arial" w:cs="Arial" w:eastAsia="Arial" w:hAnsi="Arial"/>
          <w:sz w:val="18"/>
          <w:szCs w:val="18"/>
          <w:color w:val="auto"/>
        </w:rPr>
        <w:t>a Participating Company with respect to an Offering Period. Notwithstanding the foregoing, the Company, in its sole discretion, may determine to exclude bonuses and commissions from Compensation for any given Offering Period, provided that any such determination shall apply consistently to all Employees who are granted purchase rights for such Offering Period.</w:t>
      </w:r>
    </w:p>
    <w:p>
      <w:pPr>
        <w:spacing w:after="0" w:line="160" w:lineRule="exact"/>
        <w:rPr>
          <w:rFonts w:ascii="Arial" w:cs="Arial" w:eastAsia="Arial" w:hAnsi="Arial"/>
          <w:sz w:val="18"/>
          <w:szCs w:val="18"/>
          <w:color w:val="auto"/>
        </w:rPr>
      </w:pPr>
    </w:p>
    <w:p>
      <w:pPr>
        <w:ind w:left="660" w:right="20"/>
        <w:spacing w:after="0" w:line="244" w:lineRule="auto"/>
        <w:rPr>
          <w:rFonts w:ascii="Arial" w:cs="Arial" w:eastAsia="Arial" w:hAnsi="Arial"/>
          <w:sz w:val="18"/>
          <w:szCs w:val="18"/>
          <w:color w:val="auto"/>
        </w:rPr>
      </w:pPr>
      <w:r>
        <w:rPr>
          <w:rFonts w:ascii="Arial" w:cs="Arial" w:eastAsia="Arial" w:hAnsi="Arial"/>
          <w:sz w:val="18"/>
          <w:szCs w:val="18"/>
          <w:b w:val="1"/>
          <w:bCs w:val="1"/>
          <w:color w:val="auto"/>
        </w:rPr>
        <w:t xml:space="preserve">“Eligible Employee” </w:t>
      </w:r>
      <w:r>
        <w:rPr>
          <w:rFonts w:ascii="Arial" w:cs="Arial" w:eastAsia="Arial" w:hAnsi="Arial"/>
          <w:sz w:val="18"/>
          <w:szCs w:val="18"/>
          <w:color w:val="auto"/>
        </w:rPr>
        <w:t>shall mean any person who is customarily employed for more than twenty (20) hours per week and for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five (5) months during any calendar year, and who is having payroll taxes withheld from his/her Compensation on a regular basis, by a Participating Company; provided, however, to the extent permissible under United States Treasury Regulation Section 1.423-2(f), employees of a Participating Company who are solely citizens or residents of a country other than the United States are not Eligible Employees; and provided further, that such employee otherwise meets the eligibility requirements of Section 423 of the Code.</w:t>
      </w:r>
    </w:p>
    <w:p>
      <w:pPr>
        <w:spacing w:after="0" w:line="163" w:lineRule="exact"/>
        <w:rPr>
          <w:rFonts w:ascii="Arial" w:cs="Arial" w:eastAsia="Arial" w:hAnsi="Arial"/>
          <w:sz w:val="18"/>
          <w:szCs w:val="18"/>
          <w:color w:val="auto"/>
        </w:rPr>
      </w:pPr>
    </w:p>
    <w:p>
      <w:pPr>
        <w:ind w:left="660" w:right="26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“Offering Period” </w:t>
      </w:r>
      <w:r>
        <w:rPr>
          <w:rFonts w:ascii="Arial" w:cs="Arial" w:eastAsia="Arial" w:hAnsi="Arial"/>
          <w:sz w:val="18"/>
          <w:szCs w:val="18"/>
          <w:color w:val="auto"/>
        </w:rPr>
        <w:t>means a time period consisting of the number of months, not in excess of twenty-seven (27) months,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paragraph 4.</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means an Eligible Employee who elects to participate in the Plan pursuant to this Schedule 1.</w:t>
      </w:r>
    </w:p>
    <w:p>
      <w:pPr>
        <w:spacing w:after="0" w:line="198" w:lineRule="exact"/>
        <w:rPr>
          <w:sz w:val="20"/>
          <w:szCs w:val="20"/>
          <w:color w:val="auto"/>
        </w:rPr>
      </w:pPr>
    </w:p>
    <w:p>
      <w:pPr>
        <w:ind w:left="660" w:right="320"/>
        <w:spacing w:after="0" w:line="271" w:lineRule="auto"/>
        <w:rPr>
          <w:sz w:val="20"/>
          <w:szCs w:val="20"/>
          <w:color w:val="auto"/>
        </w:rPr>
      </w:pPr>
      <w:r>
        <w:rPr>
          <w:rFonts w:ascii="Arial" w:cs="Arial" w:eastAsia="Arial" w:hAnsi="Arial"/>
          <w:sz w:val="18"/>
          <w:szCs w:val="18"/>
          <w:b w:val="1"/>
          <w:bCs w:val="1"/>
          <w:color w:val="auto"/>
        </w:rPr>
        <w:t xml:space="preserve">“Participating Company” </w:t>
      </w:r>
      <w:r>
        <w:rPr>
          <w:rFonts w:ascii="Arial" w:cs="Arial" w:eastAsia="Arial" w:hAnsi="Arial"/>
          <w:sz w:val="18"/>
          <w:szCs w:val="18"/>
          <w:color w:val="auto"/>
        </w:rPr>
        <w:t>means any Participating Company, as defined in Section 1 of the Plan, that employs Eligible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who are resident in the United States.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“Purchase Price” </w:t>
      </w:r>
      <w:r>
        <w:rPr>
          <w:rFonts w:ascii="Arial" w:cs="Arial" w:eastAsia="Arial" w:hAnsi="Arial"/>
          <w:sz w:val="18"/>
          <w:szCs w:val="18"/>
          <w:color w:val="auto"/>
        </w:rPr>
        <w:t>has the meaning given in paragraph 8.</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shares of common stock of the Company.</w:t>
      </w:r>
    </w:p>
    <w:p>
      <w:pPr>
        <w:spacing w:after="0" w:line="198"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Eligibility</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Any Eligible Employee may participate in the Plan by completing the appropriate investment election forms specified by the Company,</w:t>
      </w:r>
    </w:p>
    <w:p>
      <w:pPr>
        <w:ind w:left="660" w:right="260"/>
        <w:spacing w:after="0" w:line="199" w:lineRule="auto"/>
        <w:rPr>
          <w:sz w:val="20"/>
          <w:szCs w:val="20"/>
          <w:color w:val="auto"/>
        </w:rPr>
      </w:pPr>
      <w:r>
        <w:rPr>
          <w:rFonts w:ascii="Arial" w:cs="Arial" w:eastAsia="Arial" w:hAnsi="Arial"/>
          <w:sz w:val="18"/>
          <w:szCs w:val="18"/>
          <w:color w:val="auto"/>
        </w:rPr>
        <w:t>and delivering such forms to the Company by the tenth (10</w:t>
      </w:r>
      <w:r>
        <w:rPr>
          <w:rFonts w:ascii="Arial" w:cs="Arial" w:eastAsia="Arial" w:hAnsi="Arial"/>
          <w:sz w:val="30"/>
          <w:szCs w:val="30"/>
          <w:color w:val="auto"/>
          <w:vertAlign w:val="superscript"/>
        </w:rPr>
        <w:t>th</w:t>
      </w:r>
      <w:r>
        <w:rPr>
          <w:rFonts w:ascii="Arial" w:cs="Arial" w:eastAsia="Arial" w:hAnsi="Arial"/>
          <w:sz w:val="18"/>
          <w:szCs w:val="18"/>
          <w:color w:val="auto"/>
        </w:rPr>
        <w:t>) day of the month prior to the commencement of an Offering Period. All Participants shall have the same rights and privileges in accordance with Section 423 of the Code.</w:t>
      </w:r>
    </w:p>
    <w:p>
      <w:pPr>
        <w:spacing w:after="0" w:line="190" w:lineRule="exact"/>
        <w:rPr>
          <w:sz w:val="20"/>
          <w:szCs w:val="20"/>
          <w:color w:val="auto"/>
        </w:rPr>
      </w:pPr>
    </w:p>
    <w:p>
      <w:pPr>
        <w:ind w:left="660" w:right="280" w:hanging="647"/>
        <w:spacing w:after="0" w:line="238"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No Eligible Employee who becomes a Participant shall be entitled to acquire Investment Shares if, immediately after the acquisition, that Participant (together with any other person whose Investment Shares and other shares of the Company and any Subsidiaries would be attributed to such Participant pursuant to Section 424(d) of the Code) would own Shares and other shares or hold outstanding rights to purchase Shares or other shares, or both, possessing five percent (5%) or more of the total combined voting power or value of Shares and other shares in the Company or in any Subsidiaries.</w:t>
      </w:r>
    </w:p>
    <w:p>
      <w:pPr>
        <w:spacing w:after="0" w:line="189" w:lineRule="exact"/>
        <w:rPr>
          <w:sz w:val="20"/>
          <w:szCs w:val="20"/>
          <w:color w:val="auto"/>
        </w:rPr>
      </w:pPr>
    </w:p>
    <w:p>
      <w:pPr>
        <w:ind w:left="660" w:right="20" w:hanging="647"/>
        <w:spacing w:after="0" w:line="238"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No Participant shall have the right to purchase Shares in excess of the limitations specified in Section 423(b)(8) of the Code. Therefore, the maximum value of the Shares and other shares that a Participant may accrue at a rate or acquire in a calendar year under all employee purchase plans (described in Code Section 423) of the Company and its Subsidiaries, when aggregated, is US $25,000 of the Market Value of the Shares and other shares determined on the first day of each Offering Period (which is equal to US $21,250 at 85% of the Market Value).</w:t>
      </w:r>
    </w:p>
    <w:p>
      <w:pPr>
        <w:spacing w:after="0" w:line="167" w:lineRule="exact"/>
        <w:rPr>
          <w:sz w:val="20"/>
          <w:szCs w:val="20"/>
          <w:color w:val="auto"/>
        </w:rPr>
      </w:pPr>
    </w:p>
    <w:p>
      <w:pPr>
        <w:ind w:left="660" w:hanging="652"/>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Offering Period</w:t>
      </w:r>
    </w:p>
    <w:p>
      <w:pPr>
        <w:spacing w:after="0" w:line="220" w:lineRule="exact"/>
        <w:rPr>
          <w:sz w:val="20"/>
          <w:szCs w:val="20"/>
          <w:color w:val="auto"/>
        </w:rPr>
      </w:pPr>
    </w:p>
    <w:p>
      <w:pPr>
        <w:ind w:left="660" w:right="140" w:hanging="647"/>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Initially there will be two (2) Offering Periods each calendar year, each for a six- (6-) month period commencing on January 1 and July 1, and ending on June 30 and December 31, respectively. The Board may change the duration, frequency, start and end date of an Offering Period for future calendar years.</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A Participant shall cease to be a Participant upon the earliest to occur of:</w:t>
      </w:r>
    </w:p>
    <w:p>
      <w:pPr>
        <w:spacing w:after="0" w:line="198" w:lineRule="exact"/>
        <w:rPr>
          <w:sz w:val="20"/>
          <w:szCs w:val="20"/>
          <w:color w:val="auto"/>
        </w:rPr>
      </w:pPr>
    </w:p>
    <w:p>
      <w:pPr>
        <w:ind w:left="1300" w:hanging="644"/>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date of a withdrawal under paragraph 10 below, or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date the Participant otherwise ceases to be an Eligible Employee.</w:t>
      </w:r>
    </w:p>
    <w:p>
      <w:pPr>
        <w:spacing w:after="0" w:line="198" w:lineRule="exact"/>
        <w:rPr>
          <w:sz w:val="20"/>
          <w:szCs w:val="20"/>
          <w:color w:val="auto"/>
        </w:rPr>
      </w:pPr>
    </w:p>
    <w:p>
      <w:pPr>
        <w:ind w:left="660" w:right="120" w:hanging="647"/>
        <w:spacing w:after="0"/>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The start and end of any Offering Period must be set out in the investment election form completed by the Participant pursuant to paragraph 3.1 before the first Contribution is deducted from a Participant’s Compensation. The Offering Period must start on or before the date of the first Contribution.</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98" w:lineRule="exact"/>
        <w:rPr>
          <w:sz w:val="20"/>
          <w:szCs w:val="20"/>
          <w:color w:val="auto"/>
        </w:rPr>
      </w:pPr>
    </w:p>
    <w:p>
      <w:pPr>
        <w:jc w:val="both"/>
        <w:ind w:left="660" w:right="360" w:hanging="647"/>
        <w:spacing w:after="0"/>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If, during an Offering Period, a transaction or other corporate event described in Code Section 424 occurs, then unless the Plan is assumed, the Offering Period will be shortened by the Board setting a new last day of the Offering Period that is prior to the closing date of such transaction; and the new date of purchase of Investment Shares shall be communicated to the Participants.</w:t>
      </w:r>
    </w:p>
    <w:p>
      <w:pPr>
        <w:spacing w:after="0" w:line="167" w:lineRule="exact"/>
        <w:rPr>
          <w:sz w:val="20"/>
          <w:szCs w:val="20"/>
          <w:color w:val="auto"/>
        </w:rPr>
      </w:pPr>
    </w:p>
    <w:p>
      <w:pPr>
        <w:ind w:left="660" w:hanging="652"/>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Making Contributions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Contributions will be deducted from the Participant’s Compensation on each pay date after the start of the Offering Period.</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All Contributions are made after any payroll deductions for tax and social security contributions.</w:t>
      </w:r>
    </w:p>
    <w:p>
      <w:pPr>
        <w:spacing w:after="0" w:line="176"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Holding Contributions</w:t>
      </w:r>
    </w:p>
    <w:p>
      <w:pPr>
        <w:spacing w:after="0" w:line="220" w:lineRule="exact"/>
        <w:rPr>
          <w:rFonts w:ascii="Arial" w:cs="Arial" w:eastAsia="Arial" w:hAnsi="Arial"/>
          <w:sz w:val="18"/>
          <w:szCs w:val="18"/>
          <w:color w:val="auto"/>
        </w:rPr>
      </w:pPr>
    </w:p>
    <w:p>
      <w:pPr>
        <w:ind w:left="660" w:right="320"/>
        <w:spacing w:after="0"/>
        <w:rPr>
          <w:rFonts w:ascii="Arial" w:cs="Arial" w:eastAsia="Arial" w:hAnsi="Arial"/>
          <w:sz w:val="18"/>
          <w:szCs w:val="18"/>
          <w:color w:val="auto"/>
        </w:rPr>
      </w:pPr>
      <w:r>
        <w:rPr>
          <w:rFonts w:ascii="Arial" w:cs="Arial" w:eastAsia="Arial" w:hAnsi="Arial"/>
          <w:sz w:val="18"/>
          <w:szCs w:val="18"/>
          <w:color w:val="auto"/>
        </w:rPr>
        <w:t>The Contributions will be held by the Company or a Participating Company in a non-interest bearing notional account until they are used to acquire Investment Shares on the Participant’s behalf pursuant to paragraph 8 or returned to the Participant pursuant to the provisions of the Plan.</w:t>
      </w:r>
    </w:p>
    <w:p>
      <w:pPr>
        <w:spacing w:after="0" w:line="167" w:lineRule="exact"/>
        <w:rPr>
          <w:sz w:val="20"/>
          <w:szCs w:val="20"/>
          <w:color w:val="auto"/>
        </w:rPr>
      </w:pPr>
    </w:p>
    <w:p>
      <w:pPr>
        <w:ind w:left="660" w:hanging="652"/>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Varying Contributions</w:t>
      </w:r>
    </w:p>
    <w:p>
      <w:pPr>
        <w:spacing w:after="0" w:line="220" w:lineRule="exact"/>
        <w:rPr>
          <w:sz w:val="20"/>
          <w:szCs w:val="20"/>
          <w:color w:val="auto"/>
        </w:rPr>
      </w:pPr>
    </w:p>
    <w:p>
      <w:pPr>
        <w:ind w:left="660" w:right="40"/>
        <w:spacing w:after="0"/>
        <w:rPr>
          <w:sz w:val="20"/>
          <w:szCs w:val="20"/>
          <w:color w:val="auto"/>
        </w:rPr>
      </w:pPr>
      <w:r>
        <w:rPr>
          <w:rFonts w:ascii="Arial" w:cs="Arial" w:eastAsia="Arial" w:hAnsi="Arial"/>
          <w:sz w:val="18"/>
          <w:szCs w:val="18"/>
          <w:color w:val="auto"/>
        </w:rPr>
        <w:t>A Participant may elect to decrease or terminate his rate of Contributions by submitting a notice to the Company on such terms as set by the Company from time to time. The new rate of Contributions will take effect on the date specified by the Company. The Committee may set a limit on the number of times a Participant is permitted to vary his rate of Contributions.</w:t>
      </w:r>
    </w:p>
    <w:p>
      <w:pPr>
        <w:spacing w:after="0" w:line="167"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Purchase of Shares</w:t>
      </w:r>
    </w:p>
    <w:p>
      <w:pPr>
        <w:spacing w:after="0" w:line="220" w:lineRule="exact"/>
        <w:rPr>
          <w:sz w:val="20"/>
          <w:szCs w:val="20"/>
          <w:color w:val="auto"/>
        </w:rPr>
      </w:pPr>
    </w:p>
    <w:p>
      <w:pPr>
        <w:ind w:left="660" w:right="60" w:hanging="647"/>
        <w:spacing w:after="0" w:line="237"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Investment Shares shall be acquired for each Participant (with each Participant’s Contributions for an Offering Period) automatically on the last day of the Offering Period or, if that is not a Business Day, on the previous Business Day. The Company or applicable Participating Company may make such provisions and take such action as it deems necessary or appropriate for the withholding of taxes (including employment taxes) which may be required under applicable law, including the withholding of such taxes from other compensation payable to the Participant. Each Participant, however, shall be responsible for the payment of all individual tax liabilities of the Participant relating to his or her participation in the Plan.</w:t>
      </w:r>
    </w:p>
    <w:p>
      <w:pPr>
        <w:spacing w:after="0" w:line="192" w:lineRule="exact"/>
        <w:rPr>
          <w:sz w:val="20"/>
          <w:szCs w:val="20"/>
          <w:color w:val="auto"/>
        </w:rPr>
      </w:pPr>
    </w:p>
    <w:p>
      <w:pPr>
        <w:ind w:left="660" w:right="340" w:hanging="647"/>
        <w:spacing w:after="0" w:line="246"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The number of Investment Shares purchased shall be determined by dividing the Participant’s Contributions by the Purchase Price, subject to the adjustments provided for in paragraph 9 below.</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color w:val="auto"/>
        </w:rPr>
        <w:t xml:space="preserve">The </w:t>
      </w:r>
      <w:r>
        <w:rPr>
          <w:rFonts w:ascii="Arial" w:cs="Arial" w:eastAsia="Arial" w:hAnsi="Arial"/>
          <w:sz w:val="17"/>
          <w:szCs w:val="17"/>
          <w:b w:val="1"/>
          <w:bCs w:val="1"/>
          <w:color w:val="auto"/>
        </w:rPr>
        <w:t>“Purchase Price”</w:t>
      </w:r>
      <w:r>
        <w:rPr>
          <w:rFonts w:ascii="Arial" w:cs="Arial" w:eastAsia="Arial" w:hAnsi="Arial"/>
          <w:sz w:val="17"/>
          <w:szCs w:val="17"/>
          <w:color w:val="auto"/>
        </w:rPr>
        <w:t xml:space="preserve"> shall be the lesser of (i) 85% of the Market Value of a Share on the first day of the relevant Offering Period, and</w:t>
      </w:r>
    </w:p>
    <w:p>
      <w:pPr>
        <w:spacing w:after="0" w:line="22" w:lineRule="exact"/>
        <w:rPr>
          <w:sz w:val="20"/>
          <w:szCs w:val="20"/>
          <w:color w:val="auto"/>
        </w:rPr>
      </w:pPr>
    </w:p>
    <w:p>
      <w:pPr>
        <w:ind w:left="900" w:hanging="244"/>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85% of the Market Value of a Share on the last day of the Offering Period.</w:t>
      </w:r>
    </w:p>
    <w:p>
      <w:pPr>
        <w:spacing w:after="0" w:line="1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9</w:t>
      </w:r>
      <w:r>
        <w:rPr>
          <w:rFonts w:ascii="Arial" w:cs="Arial" w:eastAsia="Arial" w:hAnsi="Arial"/>
          <w:sz w:val="17"/>
          <w:szCs w:val="17"/>
          <w:b w:val="1"/>
          <w:bCs w:val="1"/>
          <w:color w:val="auto"/>
        </w:rPr>
        <w:t>Delivery</w:t>
      </w:r>
    </w:p>
    <w:p>
      <w:pPr>
        <w:spacing w:after="0" w:line="220" w:lineRule="exact"/>
        <w:rPr>
          <w:sz w:val="20"/>
          <w:szCs w:val="20"/>
          <w:color w:val="auto"/>
        </w:rPr>
      </w:pPr>
    </w:p>
    <w:p>
      <w:pPr>
        <w:ind w:left="660" w:right="440" w:hanging="647"/>
        <w:spacing w:after="0" w:line="246"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Investment Shares acquired for a Participant under paragraph 8 shall, as determined by the Company, either be delivered (in non-certificated or certificated form) to the</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ind w:left="11100"/>
        <w:spacing w:after="0"/>
        <w:rPr>
          <w:sz w:val="20"/>
          <w:szCs w:val="20"/>
          <w:color w:val="auto"/>
        </w:rPr>
      </w:pPr>
      <w:r>
        <w:rPr>
          <w:rFonts w:ascii="Arial" w:cs="Arial" w:eastAsia="Arial" w:hAnsi="Arial"/>
          <w:sz w:val="14"/>
          <w:szCs w:val="14"/>
          <w:color w:val="auto"/>
        </w:rPr>
        <w:t>Draft</w:t>
      </w:r>
    </w:p>
    <w:p>
      <w:pPr>
        <w:spacing w:after="0" w:line="198" w:lineRule="exact"/>
        <w:rPr>
          <w:sz w:val="20"/>
          <w:szCs w:val="20"/>
          <w:color w:val="auto"/>
        </w:rPr>
      </w:pPr>
    </w:p>
    <w:p>
      <w:pPr>
        <w:ind w:left="660" w:right="60"/>
        <w:spacing w:after="0" w:line="246" w:lineRule="auto"/>
        <w:rPr>
          <w:sz w:val="20"/>
          <w:szCs w:val="20"/>
          <w:color w:val="auto"/>
        </w:rPr>
      </w:pPr>
      <w:r>
        <w:rPr>
          <w:rFonts w:ascii="Arial" w:cs="Arial" w:eastAsia="Arial" w:hAnsi="Arial"/>
          <w:sz w:val="18"/>
          <w:szCs w:val="18"/>
          <w:color w:val="auto"/>
        </w:rPr>
        <w:t>Participant, a brokerage account established for the Participant at a Company-designated brokerage firm, or to the Nominee to be held on behalf of the Participant.</w:t>
      </w:r>
    </w:p>
    <w:p>
      <w:pPr>
        <w:spacing w:after="0" w:line="183" w:lineRule="exact"/>
        <w:rPr>
          <w:sz w:val="20"/>
          <w:szCs w:val="20"/>
          <w:color w:val="auto"/>
        </w:rPr>
      </w:pPr>
    </w:p>
    <w:p>
      <w:pPr>
        <w:jc w:val="both"/>
        <w:ind w:left="660" w:right="140" w:hanging="647"/>
        <w:spacing w:after="0" w:line="238"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 xml:space="preserve">Unless otherwise determined by the Company, a Participant may not sell, assign, pledge or otherwise transfer any Investment Shares purchased under the Plan for a period of two (2) years after the beginning of an Offering Period or one (1) year from the last day of an Offering Period for which such Shares were acquired (the </w:t>
      </w:r>
      <w:r>
        <w:rPr>
          <w:rFonts w:ascii="Arial" w:cs="Arial" w:eastAsia="Arial" w:hAnsi="Arial"/>
          <w:sz w:val="18"/>
          <w:szCs w:val="18"/>
          <w:b w:val="1"/>
          <w:bCs w:val="1"/>
          <w:color w:val="auto"/>
        </w:rPr>
        <w:t>“Applicable Restriction Period”</w:t>
      </w:r>
      <w:r>
        <w:rPr>
          <w:rFonts w:ascii="Arial" w:cs="Arial" w:eastAsia="Arial" w:hAnsi="Arial"/>
          <w:sz w:val="18"/>
          <w:szCs w:val="18"/>
          <w:color w:val="auto"/>
        </w:rPr>
        <w:t>) except, pursuant to paragraph 11, upon the death of a Participant. Once any Applicable Restriction Period has expired, a Participant may elect to have the applicable Shares delivered to the Participant or to an account established by the Participant with any brokerage firm.</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color w:val="auto"/>
        </w:rPr>
        <w:t>The cost of any disposition of Shares acquired through participation in the Plan shall be the sole responsibility of the Participant.</w:t>
      </w:r>
    </w:p>
    <w:p>
      <w:pPr>
        <w:spacing w:after="0" w:line="176"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Withdrawal</w:t>
      </w:r>
    </w:p>
    <w:p>
      <w:pPr>
        <w:spacing w:after="0" w:line="220" w:lineRule="exact"/>
        <w:rPr>
          <w:sz w:val="20"/>
          <w:szCs w:val="20"/>
          <w:color w:val="auto"/>
        </w:rPr>
      </w:pPr>
    </w:p>
    <w:p>
      <w:pPr>
        <w:jc w:val="both"/>
        <w:ind w:left="660" w:right="40" w:hanging="647"/>
        <w:spacing w:after="0"/>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 Participant whose employment terminates for any reason (including, but not limited to, retirement or death) during an Offering Period and prior to the last day of such Offering Period will be deemed to have withdrawn from the Plan effective immediately upon the date of such termination of employment.</w:t>
      </w:r>
    </w:p>
    <w:p>
      <w:pPr>
        <w:spacing w:after="0" w:line="189" w:lineRule="exact"/>
        <w:rPr>
          <w:sz w:val="20"/>
          <w:szCs w:val="20"/>
          <w:color w:val="auto"/>
        </w:rPr>
      </w:pPr>
    </w:p>
    <w:p>
      <w:pPr>
        <w:ind w:left="660" w:right="80" w:hanging="647"/>
        <w:spacing w:after="0"/>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If a Participant withdraws from the Plan under the terms of this paragraph 10, no Shares will be purchased for the Offering Period in which the Participant’s employment terminates, as applicable. Any Contributions accumulated for the Participant will be returned to the Participant as soon as practicable.</w:t>
      </w:r>
    </w:p>
    <w:p>
      <w:pPr>
        <w:spacing w:after="0" w:line="189" w:lineRule="exact"/>
        <w:rPr>
          <w:sz w:val="20"/>
          <w:szCs w:val="20"/>
          <w:color w:val="auto"/>
        </w:rPr>
      </w:pPr>
    </w:p>
    <w:p>
      <w:pPr>
        <w:ind w:left="660" w:right="220" w:hanging="647"/>
        <w:spacing w:after="0" w:line="246" w:lineRule="auto"/>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In the event of the Participant’s death, all Contributions and Shares shall be paid to the Participant’s beneficiary, estate or other party as provided in paragraph 11 below.</w:t>
      </w:r>
    </w:p>
    <w:p>
      <w:pPr>
        <w:spacing w:after="0" w:line="161"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Designation of Beneficiary</w:t>
      </w:r>
    </w:p>
    <w:p>
      <w:pPr>
        <w:spacing w:after="0" w:line="220" w:lineRule="exact"/>
        <w:rPr>
          <w:sz w:val="20"/>
          <w:szCs w:val="20"/>
          <w:color w:val="auto"/>
        </w:rPr>
      </w:pPr>
    </w:p>
    <w:p>
      <w:pPr>
        <w:ind w:left="660" w:right="40" w:hanging="647"/>
        <w:spacing w:after="0" w:line="239" w:lineRule="auto"/>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A Participant may file with the Company a written designation of a beneficiary who is to receive any cash to his or her credit under the Plan in the event of the Participant’s death before the end of an Offering Period, or any Shares and cash to his or her credit under the Plan in the event of the Participant’s death on or after the end of an Offering Period but prior to the delivery of such Shares and cash. A beneficiary may be changed by the Participant at any time by notice in writing to the Company.</w:t>
      </w:r>
    </w:p>
    <w:p>
      <w:pPr>
        <w:spacing w:after="0" w:line="188" w:lineRule="exact"/>
        <w:rPr>
          <w:sz w:val="20"/>
          <w:szCs w:val="20"/>
          <w:color w:val="auto"/>
        </w:rPr>
      </w:pPr>
    </w:p>
    <w:p>
      <w:pPr>
        <w:ind w:left="660" w:right="80" w:hanging="647"/>
        <w:spacing w:after="0" w:line="237" w:lineRule="auto"/>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Upon the death of a Participant, the Company shall deliver such Shares or cash, or both, to the beneficiary designated under paragraph 11.1. In the event a Participant dies and is not survived by a designated beneficiary, the Company shall deliver such Shares or cash, or both, to the personal representative of the estate of the deceased Participant. If to the knowledge of the Company no personal representative has been appointed within ninety (90) days following the date of the Participant’s death, the Company, in its discretion, may deliver such Shares or cash, or both, to the surviving spouse of the deceased Participant, or to any one or more dependents or relatives of the deceased Participant, or if no spouse, dependent or relative is known to the Company, then to such other person as the Company may designate.</w:t>
      </w:r>
    </w:p>
    <w:p>
      <w:pPr>
        <w:spacing w:after="0" w:line="190" w:lineRule="exact"/>
        <w:rPr>
          <w:sz w:val="20"/>
          <w:szCs w:val="20"/>
          <w:color w:val="auto"/>
        </w:rPr>
      </w:pPr>
    </w:p>
    <w:p>
      <w:pPr>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No designated beneficiary shall, prior to the death of the Participant by whom the beneficiary has been designated, acquire any interest in the Shares or cash credited to the Participant under the Plan.</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76" w:lineRule="exact"/>
        <w:rPr>
          <w:sz w:val="20"/>
          <w:szCs w:val="20"/>
          <w:color w:val="auto"/>
        </w:rPr>
      </w:pPr>
    </w:p>
    <w:p>
      <w:pPr>
        <w:ind w:left="660" w:hanging="652"/>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Waiver</w:t>
      </w:r>
    </w:p>
    <w:p>
      <w:pPr>
        <w:spacing w:after="0" w:line="220" w:lineRule="exact"/>
        <w:rPr>
          <w:rFonts w:ascii="Arial" w:cs="Arial" w:eastAsia="Arial" w:hAnsi="Arial"/>
          <w:sz w:val="18"/>
          <w:szCs w:val="18"/>
          <w:color w:val="auto"/>
        </w:rPr>
      </w:pPr>
    </w:p>
    <w:p>
      <w:pPr>
        <w:ind w:left="660" w:right="160"/>
        <w:spacing w:after="0" w:line="237" w:lineRule="auto"/>
        <w:rPr>
          <w:rFonts w:ascii="Arial" w:cs="Arial" w:eastAsia="Arial" w:hAnsi="Arial"/>
          <w:sz w:val="18"/>
          <w:szCs w:val="18"/>
          <w:color w:val="auto"/>
        </w:rPr>
      </w:pPr>
      <w:r>
        <w:rPr>
          <w:rFonts w:ascii="Arial" w:cs="Arial" w:eastAsia="Arial" w:hAnsi="Arial"/>
          <w:sz w:val="18"/>
          <w:szCs w:val="18"/>
          <w:color w:val="auto"/>
        </w:rPr>
        <w:t>No liability whatever shall attach to or be incurred by any past present or future shareholders, officers or directors, as such, of the Company or any Subsidiary, under or by reason of any of the terms, conditions or agreements contained in this Plan or implied, and any and all liabilities of, and any and all rights and claims against, the Company or any Subsidiary, or any shareholder, officer or director as such, whether arising at common law or in equity or created by statute or constitution or otherwise, pertaining to this Plan, are hereby expressly waived and released by every Eligible Employee as a part of the consideration for any benefits by the Company under this Plan.</w:t>
      </w:r>
    </w:p>
    <w:p>
      <w:pPr>
        <w:spacing w:after="0" w:line="169" w:lineRule="exact"/>
        <w:rPr>
          <w:rFonts w:ascii="Arial" w:cs="Arial" w:eastAsia="Arial" w:hAnsi="Arial"/>
          <w:sz w:val="18"/>
          <w:szCs w:val="18"/>
          <w:color w:val="auto"/>
        </w:rPr>
      </w:pPr>
    </w:p>
    <w:p>
      <w:pPr>
        <w:ind w:left="660" w:hanging="652"/>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Securities Law Restrictions</w:t>
      </w:r>
    </w:p>
    <w:p>
      <w:pPr>
        <w:spacing w:after="0" w:line="220" w:lineRule="exact"/>
        <w:rPr>
          <w:rFonts w:ascii="Arial" w:cs="Arial" w:eastAsia="Arial" w:hAnsi="Arial"/>
          <w:sz w:val="18"/>
          <w:szCs w:val="18"/>
          <w:color w:val="auto"/>
        </w:rPr>
      </w:pPr>
    </w:p>
    <w:p>
      <w:pPr>
        <w:ind w:left="660" w:right="20"/>
        <w:spacing w:after="0" w:line="237" w:lineRule="auto"/>
        <w:rPr>
          <w:rFonts w:ascii="Arial" w:cs="Arial" w:eastAsia="Arial" w:hAnsi="Arial"/>
          <w:sz w:val="18"/>
          <w:szCs w:val="18"/>
          <w:color w:val="auto"/>
        </w:rPr>
      </w:pPr>
      <w:r>
        <w:rPr>
          <w:rFonts w:ascii="Arial" w:cs="Arial" w:eastAsia="Arial" w:hAnsi="Arial"/>
          <w:sz w:val="18"/>
          <w:szCs w:val="18"/>
          <w:color w:val="auto"/>
        </w:rPr>
        <w:t>Shares shall not be issued under the Plan unless (a) the exercise of the related purchase right and the issuance and delivery of the shares pursuant thereto shall comply with all applicable provisions of law, domestic or foreign, including, without limitation, the United States Securities Act of 1933, as amended, and any rules and regulations promulgated pursuant to such laws and with the requirements of any stock exchange upon which the shares may then be listed; and (b) the express approval of counsel for the Company with respect to such compliance is first obtained. The Company reserves the right to place an appropriate legend on any certificate representing Shares issuable under the Plan with any such legend reflecting restrictions on the transfer of the shares as may be necessary to assure the availability of applicable exemptions under federal and state securities laws.</w:t>
      </w:r>
    </w:p>
    <w:p>
      <w:pPr>
        <w:spacing w:after="0" w:line="168"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Shareholder Approval</w:t>
      </w:r>
    </w:p>
    <w:p>
      <w:pPr>
        <w:spacing w:after="0" w:line="220" w:lineRule="exact"/>
        <w:rPr>
          <w:rFonts w:ascii="Arial" w:cs="Arial" w:eastAsia="Arial" w:hAnsi="Arial"/>
          <w:sz w:val="18"/>
          <w:szCs w:val="18"/>
          <w:color w:val="auto"/>
        </w:rPr>
      </w:pPr>
    </w:p>
    <w:p>
      <w:pPr>
        <w:ind w:left="660" w:right="40"/>
        <w:spacing w:after="0"/>
        <w:rPr>
          <w:rFonts w:ascii="Arial" w:cs="Arial" w:eastAsia="Arial" w:hAnsi="Arial"/>
          <w:sz w:val="18"/>
          <w:szCs w:val="18"/>
          <w:color w:val="auto"/>
        </w:rPr>
      </w:pPr>
      <w:r>
        <w:rPr>
          <w:rFonts w:ascii="Arial" w:cs="Arial" w:eastAsia="Arial" w:hAnsi="Arial"/>
          <w:sz w:val="18"/>
          <w:szCs w:val="18"/>
          <w:color w:val="auto"/>
        </w:rPr>
        <w:t>In compliance with Code Section 423, the Plan will be submitted to the Company’s shareholders for approval within twelve (12) months following its adoption by the Board; and the effectiveness of this Schedule 1 is subject to approval by the shareholders within such twelve (12) month period.</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Kingdom Employees</w:t>
      </w:r>
    </w:p>
    <w:p>
      <w:pPr>
        <w:spacing w:after="0" w:line="176" w:lineRule="exact"/>
        <w:rPr>
          <w:sz w:val="20"/>
          <w:szCs w:val="20"/>
          <w:color w:val="auto"/>
        </w:rPr>
      </w:pPr>
    </w:p>
    <w:p>
      <w:pPr>
        <w:ind w:left="660" w:hanging="652"/>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Purpose of this Schedule</w:t>
      </w:r>
    </w:p>
    <w:p>
      <w:pPr>
        <w:spacing w:after="0" w:line="220" w:lineRule="exact"/>
        <w:rPr>
          <w:sz w:val="20"/>
          <w:szCs w:val="20"/>
          <w:color w:val="auto"/>
        </w:rPr>
      </w:pPr>
    </w:p>
    <w:p>
      <w:pPr>
        <w:ind w:left="660" w:right="120" w:hanging="647"/>
        <w:spacing w:after="0" w:line="246"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provisions of this Schedule 2 shall govern invitations made to join the Plan and awards of Free Shares and/or Matching Shares to UK Eligible Employees who are resident in the United Kingdom.</w:t>
      </w:r>
    </w:p>
    <w:p>
      <w:pPr>
        <w:spacing w:after="0" w:line="183" w:lineRule="exact"/>
        <w:rPr>
          <w:sz w:val="20"/>
          <w:szCs w:val="20"/>
          <w:color w:val="auto"/>
        </w:rPr>
      </w:pPr>
    </w:p>
    <w:p>
      <w:pPr>
        <w:ind w:left="660" w:right="380" w:hanging="647"/>
        <w:spacing w:after="0" w:line="246"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Plan must not provide benefits to UK Participants otherwise than in accordance with this Schedule 2 and in particular must not provide cash to UK Participants as an alternative to Shares.</w:t>
      </w:r>
    </w:p>
    <w:p>
      <w:pPr>
        <w:spacing w:after="0" w:line="183" w:lineRule="exact"/>
        <w:rPr>
          <w:sz w:val="20"/>
          <w:szCs w:val="20"/>
          <w:color w:val="auto"/>
        </w:rPr>
      </w:pPr>
    </w:p>
    <w:p>
      <w:pPr>
        <w:jc w:val="both"/>
        <w:ind w:left="660" w:right="160" w:hanging="647"/>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Section 1.2 does not prohibit an Eligible Employee receiving a benefit from the Company as a result of any Shares held on his behalf under the Plan where that Eligible Employee would have received the same benefit from the Company had the Shares been acquired by that Eligible Employee otherwise than by virtue of the Plan.</w:t>
      </w:r>
    </w:p>
    <w:p>
      <w:pPr>
        <w:spacing w:after="0" w:line="189" w:lineRule="exact"/>
        <w:rPr>
          <w:sz w:val="20"/>
          <w:szCs w:val="20"/>
          <w:color w:val="auto"/>
        </w:rPr>
      </w:pPr>
    </w:p>
    <w:p>
      <w:pPr>
        <w:ind w:left="660" w:right="360" w:hanging="647"/>
        <w:spacing w:after="0" w:line="246"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The Company will register the Plan with HM Revenue &amp; Customs in accordance with Part 10 of ITEPA Schedule 2 after it has been adopted by the Board and in any event before the 6 July after the end of the Tax Year in which the first Awards are made.</w:t>
      </w:r>
    </w:p>
    <w:p>
      <w:pPr>
        <w:spacing w:after="0" w:line="161" w:lineRule="exact"/>
        <w:rPr>
          <w:sz w:val="20"/>
          <w:szCs w:val="20"/>
          <w:color w:val="auto"/>
        </w:rPr>
      </w:pPr>
    </w:p>
    <w:p>
      <w:pPr>
        <w:ind w:left="660" w:hanging="652"/>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220" w:lineRule="exact"/>
        <w:rPr>
          <w:rFonts w:ascii="Arial" w:cs="Arial" w:eastAsia="Arial" w:hAnsi="Arial"/>
          <w:sz w:val="18"/>
          <w:szCs w:val="18"/>
          <w:color w:val="auto"/>
        </w:rPr>
      </w:pPr>
    </w:p>
    <w:p>
      <w:pPr>
        <w:ind w:left="660"/>
        <w:spacing w:after="0" w:line="246" w:lineRule="auto"/>
        <w:rPr>
          <w:rFonts w:ascii="Arial" w:cs="Arial" w:eastAsia="Arial" w:hAnsi="Arial"/>
          <w:sz w:val="18"/>
          <w:szCs w:val="18"/>
          <w:color w:val="auto"/>
        </w:rPr>
      </w:pPr>
      <w:r>
        <w:rPr>
          <w:rFonts w:ascii="Arial" w:cs="Arial" w:eastAsia="Arial" w:hAnsi="Arial"/>
          <w:sz w:val="18"/>
          <w:szCs w:val="18"/>
          <w:color w:val="auto"/>
        </w:rPr>
        <w:t>In this Schedule the terms defined below shall have the following meaning and, where applicable, shall replace the relevant definition in section 1. Defined terms used in this Schedule but not defined below shall have the meaning in section 1.</w:t>
      </w:r>
    </w:p>
    <w:p>
      <w:pPr>
        <w:spacing w:after="0" w:line="161" w:lineRule="exact"/>
        <w:rPr>
          <w:rFonts w:ascii="Arial" w:cs="Arial" w:eastAsia="Arial" w:hAnsi="Arial"/>
          <w:sz w:val="18"/>
          <w:szCs w:val="18"/>
          <w:color w:val="auto"/>
        </w:rPr>
      </w:pPr>
    </w:p>
    <w:p>
      <w:pPr>
        <w:ind w:left="660" w:right="44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“Acquisition Date” </w:t>
      </w:r>
      <w:r>
        <w:rPr>
          <w:rFonts w:ascii="Arial" w:cs="Arial" w:eastAsia="Arial" w:hAnsi="Arial"/>
          <w:sz w:val="18"/>
          <w:szCs w:val="18"/>
          <w:color w:val="auto"/>
        </w:rPr>
        <w:t>means the date determined by the Trustee in accordance with the Provisions on which it acquires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(or, as the case may be, Dividend Shares) on behalf of an Eligible Employee.</w:t>
      </w:r>
    </w:p>
    <w:p>
      <w:pPr>
        <w:spacing w:after="0" w:line="140" w:lineRule="exact"/>
        <w:rPr>
          <w:rFonts w:ascii="Arial" w:cs="Arial" w:eastAsia="Arial" w:hAnsi="Arial"/>
          <w:sz w:val="18"/>
          <w:szCs w:val="18"/>
          <w:color w:val="auto"/>
        </w:rPr>
      </w:pPr>
    </w:p>
    <w:p>
      <w:pPr>
        <w:ind w:left="660" w:right="3300"/>
        <w:spacing w:after="0" w:line="497" w:lineRule="auto"/>
        <w:rPr>
          <w:rFonts w:ascii="Arial" w:cs="Arial" w:eastAsia="Arial" w:hAnsi="Arial"/>
          <w:sz w:val="18"/>
          <w:szCs w:val="18"/>
          <w:color w:val="auto"/>
        </w:rPr>
      </w:pPr>
      <w:r>
        <w:rPr>
          <w:rFonts w:ascii="Arial" w:cs="Arial" w:eastAsia="Arial" w:hAnsi="Arial"/>
          <w:sz w:val="17"/>
          <w:szCs w:val="17"/>
          <w:b w:val="1"/>
          <w:bCs w:val="1"/>
          <w:color w:val="auto"/>
        </w:rPr>
        <w:t xml:space="preserve">“Associated Company” </w:t>
      </w:r>
      <w:r>
        <w:rPr>
          <w:rFonts w:ascii="Arial" w:cs="Arial" w:eastAsia="Arial" w:hAnsi="Arial"/>
          <w:sz w:val="17"/>
          <w:szCs w:val="17"/>
          <w:color w:val="auto"/>
        </w:rPr>
        <w:t>has the meaning given to it by paragraph 94 of Schedule 2.</w:t>
      </w:r>
      <w:r>
        <w:rPr>
          <w:rFonts w:ascii="Arial" w:cs="Arial" w:eastAsia="Arial" w:hAnsi="Arial"/>
          <w:sz w:val="17"/>
          <w:szCs w:val="17"/>
          <w:b w:val="1"/>
          <w:bCs w:val="1"/>
          <w:color w:val="auto"/>
        </w:rPr>
        <w:t xml:space="preserve"> “Connected Company” </w:t>
      </w:r>
      <w:r>
        <w:rPr>
          <w:rFonts w:ascii="Arial" w:cs="Arial" w:eastAsia="Arial" w:hAnsi="Arial"/>
          <w:sz w:val="17"/>
          <w:szCs w:val="17"/>
          <w:color w:val="auto"/>
        </w:rPr>
        <w:t>has the meaning given to it in paragraph 18(3) of ITEPA Schedule 2.</w:t>
      </w:r>
    </w:p>
    <w:p>
      <w:pPr>
        <w:ind w:left="660" w:right="10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“Contributions” </w:t>
      </w:r>
      <w:r>
        <w:rPr>
          <w:rFonts w:ascii="Arial" w:cs="Arial" w:eastAsia="Arial" w:hAnsi="Arial"/>
          <w:sz w:val="18"/>
          <w:szCs w:val="18"/>
          <w:color w:val="auto"/>
        </w:rPr>
        <w:t>means money deducted from an Eligible Employee’s Salary pursuant to a Partnership Share Agreement and held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Trustee to acquire Investment Shares or to be returned to such a person.</w:t>
      </w:r>
    </w:p>
    <w:p>
      <w:pPr>
        <w:spacing w:after="0" w:line="140" w:lineRule="exact"/>
        <w:rPr>
          <w:rFonts w:ascii="Arial" w:cs="Arial" w:eastAsia="Arial" w:hAnsi="Arial"/>
          <w:sz w:val="18"/>
          <w:szCs w:val="18"/>
          <w:color w:val="auto"/>
        </w:rPr>
      </w:pPr>
    </w:p>
    <w:p>
      <w:pPr>
        <w:ind w:left="660" w:right="26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“Free Share Agreement” </w:t>
      </w:r>
      <w:r>
        <w:rPr>
          <w:rFonts w:ascii="Arial" w:cs="Arial" w:eastAsia="Arial" w:hAnsi="Arial"/>
          <w:sz w:val="18"/>
          <w:szCs w:val="18"/>
          <w:color w:val="auto"/>
        </w:rPr>
        <w:t>means an agreement issued in accordance with the terms set out in Part 1 of this Schedule 2 and, where</w:t>
      </w:r>
      <w:r>
        <w:rPr>
          <w:rFonts w:ascii="Arial" w:cs="Arial" w:eastAsia="Arial" w:hAnsi="Arial"/>
          <w:sz w:val="18"/>
          <w:szCs w:val="18"/>
          <w:b w:val="1"/>
          <w:bCs w:val="1"/>
          <w:color w:val="auto"/>
        </w:rPr>
        <w:t xml:space="preserve"> </w:t>
      </w:r>
      <w:r>
        <w:rPr>
          <w:rFonts w:ascii="Arial" w:cs="Arial" w:eastAsia="Arial" w:hAnsi="Arial"/>
          <w:sz w:val="18"/>
          <w:szCs w:val="18"/>
          <w:color w:val="auto"/>
        </w:rPr>
        <w:t>relevant, Part 4 of this Schedule 2;</w:t>
      </w:r>
    </w:p>
    <w:p>
      <w:pPr>
        <w:spacing w:after="0" w:line="140" w:lineRule="exact"/>
        <w:rPr>
          <w:rFonts w:ascii="Arial" w:cs="Arial" w:eastAsia="Arial" w:hAnsi="Arial"/>
          <w:sz w:val="18"/>
          <w:szCs w:val="18"/>
          <w:color w:val="auto"/>
        </w:rPr>
      </w:pPr>
    </w:p>
    <w:p>
      <w:pPr>
        <w:ind w:left="660" w:right="5240"/>
        <w:spacing w:after="0" w:line="469" w:lineRule="auto"/>
        <w:rPr>
          <w:rFonts w:ascii="Arial" w:cs="Arial" w:eastAsia="Arial" w:hAnsi="Arial"/>
          <w:sz w:val="18"/>
          <w:szCs w:val="18"/>
          <w:color w:val="auto"/>
        </w:rPr>
      </w:pPr>
      <w:r>
        <w:rPr>
          <w:rFonts w:ascii="Arial" w:cs="Arial" w:eastAsia="Arial" w:hAnsi="Arial"/>
          <w:sz w:val="18"/>
          <w:szCs w:val="18"/>
          <w:b w:val="1"/>
          <w:bCs w:val="1"/>
          <w:color w:val="auto"/>
        </w:rPr>
        <w:t xml:space="preserve">“IT(EP)A” </w:t>
      </w:r>
      <w:r>
        <w:rPr>
          <w:rFonts w:ascii="Arial" w:cs="Arial" w:eastAsia="Arial" w:hAnsi="Arial"/>
          <w:sz w:val="18"/>
          <w:szCs w:val="18"/>
          <w:color w:val="auto"/>
        </w:rPr>
        <w:t>means the Income Tax (Earnings and Pensions) Act 2003.</w:t>
      </w:r>
      <w:r>
        <w:rPr>
          <w:rFonts w:ascii="Arial" w:cs="Arial" w:eastAsia="Arial" w:hAnsi="Arial"/>
          <w:sz w:val="18"/>
          <w:szCs w:val="18"/>
          <w:b w:val="1"/>
          <w:bCs w:val="1"/>
          <w:color w:val="auto"/>
        </w:rPr>
        <w:t xml:space="preserve"> “ITEPA Schedule 2” </w:t>
      </w:r>
      <w:r>
        <w:rPr>
          <w:rFonts w:ascii="Arial" w:cs="Arial" w:eastAsia="Arial" w:hAnsi="Arial"/>
          <w:sz w:val="18"/>
          <w:szCs w:val="18"/>
          <w:color w:val="auto"/>
        </w:rPr>
        <w:t>means Schedule 2 to IT(EP)A.</w:t>
      </w:r>
    </w:p>
    <w:p>
      <w:pPr>
        <w:spacing w:after="0" w:line="1" w:lineRule="exact"/>
        <w:rPr>
          <w:rFonts w:ascii="Arial" w:cs="Arial" w:eastAsia="Arial" w:hAnsi="Arial"/>
          <w:sz w:val="18"/>
          <w:szCs w:val="18"/>
          <w:color w:val="auto"/>
        </w:rPr>
      </w:pPr>
    </w:p>
    <w:p>
      <w:pPr>
        <w:ind w:left="660" w:right="280"/>
        <w:spacing w:after="0" w:line="253" w:lineRule="auto"/>
        <w:rPr>
          <w:rFonts w:ascii="Arial" w:cs="Arial" w:eastAsia="Arial" w:hAnsi="Arial"/>
          <w:sz w:val="18"/>
          <w:szCs w:val="18"/>
          <w:color w:val="auto"/>
        </w:rPr>
      </w:pPr>
      <w:r>
        <w:rPr>
          <w:rFonts w:ascii="Arial" w:cs="Arial" w:eastAsia="Arial" w:hAnsi="Arial"/>
          <w:sz w:val="18"/>
          <w:szCs w:val="18"/>
          <w:b w:val="1"/>
          <w:bCs w:val="1"/>
          <w:color w:val="auto"/>
        </w:rPr>
        <w:t xml:space="preserve">“Market Value” </w:t>
      </w:r>
      <w:r>
        <w:rPr>
          <w:rFonts w:ascii="Arial" w:cs="Arial" w:eastAsia="Arial" w:hAnsi="Arial"/>
          <w:sz w:val="18"/>
          <w:szCs w:val="18"/>
          <w:color w:val="auto"/>
        </w:rPr>
        <w:t>means the closing price of a Share on any day on which the Nasdaq (or other applicable exchange) is open for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or, in respect of any day on which the Nasdaq (or other applicable exchange) is not open for business, the closing price on the preceding day. If more than one price is shown as the closing</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price the Market Value shall be the lower price plus one half of the difference between the two figures.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“NICs” </w:t>
      </w:r>
      <w:r>
        <w:rPr>
          <w:rFonts w:ascii="Arial" w:cs="Arial" w:eastAsia="Arial" w:hAnsi="Arial"/>
          <w:sz w:val="18"/>
          <w:szCs w:val="18"/>
          <w:color w:val="auto"/>
        </w:rPr>
        <w:t>means National Insurance contributions.</w:t>
      </w:r>
    </w:p>
    <w:p>
      <w:pPr>
        <w:spacing w:after="0" w:line="198" w:lineRule="exact"/>
        <w:rPr>
          <w:sz w:val="20"/>
          <w:szCs w:val="20"/>
          <w:color w:val="auto"/>
        </w:rPr>
      </w:pPr>
    </w:p>
    <w:p>
      <w:pPr>
        <w:ind w:left="660" w:right="520"/>
        <w:spacing w:after="0" w:line="271" w:lineRule="auto"/>
        <w:rPr>
          <w:sz w:val="20"/>
          <w:szCs w:val="20"/>
          <w:color w:val="auto"/>
        </w:rPr>
      </w:pPr>
      <w:r>
        <w:rPr>
          <w:rFonts w:ascii="Arial" w:cs="Arial" w:eastAsia="Arial" w:hAnsi="Arial"/>
          <w:sz w:val="18"/>
          <w:szCs w:val="18"/>
          <w:b w:val="1"/>
          <w:bCs w:val="1"/>
          <w:color w:val="auto"/>
        </w:rPr>
        <w:t xml:space="preserve">“Partnership Share Agreement” </w:t>
      </w:r>
      <w:r>
        <w:rPr>
          <w:rFonts w:ascii="Arial" w:cs="Arial" w:eastAsia="Arial" w:hAnsi="Arial"/>
          <w:sz w:val="18"/>
          <w:szCs w:val="18"/>
          <w:color w:val="auto"/>
        </w:rPr>
        <w:t>means an agreement issued in accordance with the terms set out in Part 2 of Schedule 2 and,</w:t>
      </w:r>
      <w:r>
        <w:rPr>
          <w:rFonts w:ascii="Arial" w:cs="Arial" w:eastAsia="Arial" w:hAnsi="Arial"/>
          <w:sz w:val="18"/>
          <w:szCs w:val="18"/>
          <w:b w:val="1"/>
          <w:bCs w:val="1"/>
          <w:color w:val="auto"/>
        </w:rPr>
        <w:t xml:space="preserve"> </w:t>
      </w:r>
      <w:r>
        <w:rPr>
          <w:rFonts w:ascii="Arial" w:cs="Arial" w:eastAsia="Arial" w:hAnsi="Arial"/>
          <w:sz w:val="18"/>
          <w:szCs w:val="18"/>
          <w:color w:val="auto"/>
        </w:rPr>
        <w:t>where relevant Parts 3 and 4 of Schedule 2.</w:t>
      </w:r>
    </w:p>
    <w:p>
      <w:pPr>
        <w:spacing w:after="0" w:line="140" w:lineRule="exact"/>
        <w:rPr>
          <w:sz w:val="20"/>
          <w:szCs w:val="20"/>
          <w:color w:val="auto"/>
        </w:rPr>
      </w:pPr>
    </w:p>
    <w:p>
      <w:pPr>
        <w:ind w:left="660" w:right="160"/>
        <w:spacing w:after="0" w:line="244" w:lineRule="auto"/>
        <w:rPr>
          <w:sz w:val="20"/>
          <w:szCs w:val="20"/>
          <w:color w:val="auto"/>
        </w:rPr>
      </w:pPr>
      <w:r>
        <w:rPr>
          <w:rFonts w:ascii="Arial" w:cs="Arial" w:eastAsia="Arial" w:hAnsi="Arial"/>
          <w:sz w:val="18"/>
          <w:szCs w:val="18"/>
          <w:b w:val="1"/>
          <w:bCs w:val="1"/>
          <w:color w:val="auto"/>
        </w:rPr>
        <w:t xml:space="preserve">“Plan Shares” </w:t>
      </w:r>
      <w:r>
        <w:rPr>
          <w:rFonts w:ascii="Arial" w:cs="Arial" w:eastAsia="Arial" w:hAnsi="Arial"/>
          <w:sz w:val="18"/>
          <w:szCs w:val="18"/>
          <w:color w:val="auto"/>
        </w:rPr>
        <w:t>means Free Shares, Matching Shares, Investment Shares or Dividend Shares subscribed for or purchased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Nominee under the Plan together with all shares subsequently acquired by the Nominee by virtue of exercising any rights attaching to such Shares and, in respect of Awards made under Schedule 2 together with any new shares (within the meaning of paragraph 87 of ITEPA Schedule 2) (subject always to the provisions contained in paragraph 88 of ITEPA Schedule 2), which remain subject to the Plan.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“Plan Termination Notice” </w:t>
      </w:r>
      <w:r>
        <w:rPr>
          <w:rFonts w:ascii="Arial" w:cs="Arial" w:eastAsia="Arial" w:hAnsi="Arial"/>
          <w:sz w:val="18"/>
          <w:szCs w:val="18"/>
          <w:color w:val="auto"/>
        </w:rPr>
        <w:t>means a notice issued under paragraph 89 of Schedule 2.</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“Relevant Employment” </w:t>
      </w:r>
      <w:r>
        <w:rPr>
          <w:rFonts w:ascii="Arial" w:cs="Arial" w:eastAsia="Arial" w:hAnsi="Arial"/>
          <w:sz w:val="18"/>
          <w:szCs w:val="18"/>
          <w:color w:val="auto"/>
        </w:rPr>
        <w:t>means employment by the Company or any Associated Company.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“Salary” </w:t>
      </w:r>
      <w:r>
        <w:rPr>
          <w:rFonts w:ascii="Arial" w:cs="Arial" w:eastAsia="Arial" w:hAnsi="Arial"/>
          <w:sz w:val="18"/>
          <w:szCs w:val="18"/>
          <w:color w:val="auto"/>
        </w:rPr>
        <w:t>has the meaning given to it in paragraph 43(4) of ITEPA Schedule 2.</w:t>
      </w:r>
    </w:p>
    <w:p>
      <w:pPr>
        <w:spacing w:after="0" w:line="198" w:lineRule="exact"/>
        <w:rPr>
          <w:sz w:val="20"/>
          <w:szCs w:val="20"/>
          <w:color w:val="auto"/>
        </w:rPr>
      </w:pPr>
    </w:p>
    <w:p>
      <w:pPr>
        <w:ind w:left="660" w:right="260"/>
        <w:spacing w:after="0" w:line="302" w:lineRule="auto"/>
        <w:rPr>
          <w:sz w:val="20"/>
          <w:szCs w:val="20"/>
          <w:color w:val="auto"/>
        </w:rPr>
      </w:pPr>
      <w:r>
        <w:rPr>
          <w:rFonts w:ascii="Arial" w:cs="Arial" w:eastAsia="Arial" w:hAnsi="Arial"/>
          <w:sz w:val="17"/>
          <w:szCs w:val="17"/>
          <w:b w:val="1"/>
          <w:bCs w:val="1"/>
          <w:color w:val="auto"/>
        </w:rPr>
        <w:t xml:space="preserve">“Schedule 2 SIP” </w:t>
      </w:r>
      <w:r>
        <w:rPr>
          <w:rFonts w:ascii="Arial" w:cs="Arial" w:eastAsia="Arial" w:hAnsi="Arial"/>
          <w:sz w:val="17"/>
          <w:szCs w:val="17"/>
          <w:color w:val="auto"/>
        </w:rPr>
        <w:t>means a share incentive plan that has been certified by the establishing company as complying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of ITEPA Schedule 2 and notified to HM Revenue &amp; Customs in accordance with paragraph 81A of ITEPA Schedule 2.</w:t>
      </w:r>
    </w:p>
    <w:p>
      <w:pPr>
        <w:spacing w:after="0" w:line="116" w:lineRule="exact"/>
        <w:rPr>
          <w:sz w:val="20"/>
          <w:szCs w:val="20"/>
          <w:color w:val="auto"/>
        </w:rPr>
      </w:pPr>
    </w:p>
    <w:p>
      <w:pPr>
        <w:ind w:left="660" w:right="920"/>
        <w:spacing w:after="0" w:line="271" w:lineRule="auto"/>
        <w:rPr>
          <w:sz w:val="20"/>
          <w:szCs w:val="20"/>
          <w:color w:val="auto"/>
        </w:rPr>
      </w:pPr>
      <w:r>
        <w:rPr>
          <w:rFonts w:ascii="Arial" w:cs="Arial" w:eastAsia="Arial" w:hAnsi="Arial"/>
          <w:sz w:val="18"/>
          <w:szCs w:val="18"/>
          <w:b w:val="1"/>
          <w:bCs w:val="1"/>
          <w:color w:val="auto"/>
        </w:rPr>
        <w:t xml:space="preserve">“Surplus Assets” </w:t>
      </w:r>
      <w:r>
        <w:rPr>
          <w:rFonts w:ascii="Arial" w:cs="Arial" w:eastAsia="Arial" w:hAnsi="Arial"/>
          <w:sz w:val="18"/>
          <w:szCs w:val="18"/>
          <w:color w:val="auto"/>
        </w:rPr>
        <w:t>means all other assets being Trust Property of the Trust other than Unawarded Shares, Plan Shares and</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Share Money.</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“Tax Year” </w:t>
      </w:r>
      <w:r>
        <w:rPr>
          <w:rFonts w:ascii="Arial" w:cs="Arial" w:eastAsia="Arial" w:hAnsi="Arial"/>
          <w:sz w:val="18"/>
          <w:szCs w:val="18"/>
          <w:color w:val="auto"/>
        </w:rPr>
        <w:t>means a period of 12 months beginning on any 6 April and ending on the following 5 April.</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“Trustee” </w:t>
      </w:r>
      <w:r>
        <w:rPr>
          <w:rFonts w:ascii="Arial" w:cs="Arial" w:eastAsia="Arial" w:hAnsi="Arial"/>
          <w:sz w:val="18"/>
          <w:szCs w:val="18"/>
          <w:color w:val="auto"/>
        </w:rPr>
        <w:t>means such person or persons who is or are the trustees from time to time of the Plan.</w:t>
      </w:r>
    </w:p>
    <w:p>
      <w:pPr>
        <w:spacing w:after="0" w:line="198" w:lineRule="exact"/>
        <w:rPr>
          <w:sz w:val="20"/>
          <w:szCs w:val="20"/>
          <w:color w:val="auto"/>
        </w:rPr>
      </w:pPr>
    </w:p>
    <w:p>
      <w:pPr>
        <w:ind w:left="660" w:right="120"/>
        <w:spacing w:after="0" w:line="271" w:lineRule="auto"/>
        <w:rPr>
          <w:sz w:val="20"/>
          <w:szCs w:val="20"/>
          <w:color w:val="auto"/>
        </w:rPr>
      </w:pPr>
      <w:r>
        <w:rPr>
          <w:rFonts w:ascii="Arial" w:cs="Arial" w:eastAsia="Arial" w:hAnsi="Arial"/>
          <w:sz w:val="18"/>
          <w:szCs w:val="18"/>
          <w:b w:val="1"/>
          <w:bCs w:val="1"/>
          <w:color w:val="auto"/>
        </w:rPr>
        <w:t xml:space="preserve">“Trust Property” </w:t>
      </w:r>
      <w:r>
        <w:rPr>
          <w:rFonts w:ascii="Arial" w:cs="Arial" w:eastAsia="Arial" w:hAnsi="Arial"/>
          <w:sz w:val="18"/>
          <w:szCs w:val="18"/>
          <w:color w:val="auto"/>
        </w:rPr>
        <w:t>means any shares, money and other property from time to time in the name of, transferred to or held by the Trustee</w:t>
      </w:r>
      <w:r>
        <w:rPr>
          <w:rFonts w:ascii="Arial" w:cs="Arial" w:eastAsia="Arial" w:hAnsi="Arial"/>
          <w:sz w:val="18"/>
          <w:szCs w:val="18"/>
          <w:b w:val="1"/>
          <w:bCs w:val="1"/>
          <w:color w:val="auto"/>
        </w:rPr>
        <w:t xml:space="preserve"> </w:t>
      </w:r>
      <w:r>
        <w:rPr>
          <w:rFonts w:ascii="Arial" w:cs="Arial" w:eastAsia="Arial" w:hAnsi="Arial"/>
          <w:sz w:val="18"/>
          <w:szCs w:val="18"/>
          <w:color w:val="auto"/>
        </w:rPr>
        <w:t>or under its control and subject to the terms of this deed.</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“UK Eligible Employee” </w:t>
      </w:r>
      <w:r>
        <w:rPr>
          <w:rFonts w:ascii="Arial" w:cs="Arial" w:eastAsia="Arial" w:hAnsi="Arial"/>
          <w:sz w:val="18"/>
          <w:szCs w:val="18"/>
          <w:color w:val="auto"/>
        </w:rPr>
        <w:t>means any individual who at the Award Date:</w:t>
      </w:r>
    </w:p>
    <w:p>
      <w:pPr>
        <w:spacing w:after="0" w:line="220" w:lineRule="exact"/>
        <w:rPr>
          <w:sz w:val="20"/>
          <w:szCs w:val="20"/>
          <w:color w:val="auto"/>
        </w:rPr>
      </w:pPr>
    </w:p>
    <w:p>
      <w:pPr>
        <w:ind w:left="1300" w:hanging="64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is an employee of a Constituent Company;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is in such employment on:</w:t>
      </w:r>
    </w:p>
    <w:p>
      <w:pPr>
        <w:spacing w:after="0" w:line="198" w:lineRule="exact"/>
        <w:rPr>
          <w:rFonts w:ascii="Arial" w:cs="Arial" w:eastAsia="Arial" w:hAnsi="Arial"/>
          <w:sz w:val="18"/>
          <w:szCs w:val="18"/>
          <w:color w:val="auto"/>
        </w:rPr>
      </w:pPr>
    </w:p>
    <w:p>
      <w:pPr>
        <w:ind w:left="1960" w:hanging="655"/>
        <w:spacing w:after="0"/>
        <w:tabs>
          <w:tab w:leader="none" w:pos="19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date an Award of Free Shares is made;</w:t>
      </w:r>
    </w:p>
    <w:p>
      <w:pPr>
        <w:spacing w:after="0" w:line="198" w:lineRule="exact"/>
        <w:rPr>
          <w:rFonts w:ascii="Arial" w:cs="Arial" w:eastAsia="Arial" w:hAnsi="Arial"/>
          <w:sz w:val="18"/>
          <w:szCs w:val="18"/>
          <w:color w:val="auto"/>
        </w:rPr>
      </w:pPr>
    </w:p>
    <w:p>
      <w:pPr>
        <w:ind w:left="1960" w:right="40" w:hanging="655"/>
        <w:spacing w:after="0" w:line="246" w:lineRule="auto"/>
        <w:tabs>
          <w:tab w:leader="none" w:pos="19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where an Award of Investment Shares without an Offering Period (and any related Matching Shares) is made, the date of the deduction of Partnership Share Money; and</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98" w:lineRule="exact"/>
        <w:rPr>
          <w:sz w:val="20"/>
          <w:szCs w:val="20"/>
          <w:color w:val="auto"/>
        </w:rPr>
      </w:pPr>
    </w:p>
    <w:p>
      <w:pPr>
        <w:ind w:left="1960" w:right="240" w:hanging="655"/>
        <w:spacing w:after="0" w:line="246" w:lineRule="auto"/>
        <w:tabs>
          <w:tab w:leader="none" w:pos="19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where an Award of Investment Shares with an Offering Period (and any related Matching Share Award) is made, the date of the first deduction of Partnership Share Money; and</w:t>
      </w:r>
    </w:p>
    <w:p>
      <w:pPr>
        <w:spacing w:after="0" w:line="183" w:lineRule="exact"/>
        <w:rPr>
          <w:rFonts w:ascii="Arial" w:cs="Arial" w:eastAsia="Arial" w:hAnsi="Arial"/>
          <w:sz w:val="18"/>
          <w:szCs w:val="18"/>
          <w:color w:val="auto"/>
        </w:rPr>
      </w:pPr>
    </w:p>
    <w:p>
      <w:pPr>
        <w:ind w:left="1300" w:right="240" w:hanging="644"/>
        <w:spacing w:after="0" w:line="246" w:lineRule="auto"/>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has held employment with a “qualifying company” (within the meaning given to it in paragraph 17 of ITEPA Schedule 2) at all times during any relevant Qualifying Period; and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is a UK-resident tax payer (within the meaning set out at paragraph 8(2) of ITEPA Schedule 2);</w:t>
      </w:r>
    </w:p>
    <w:p>
      <w:pPr>
        <w:spacing w:after="0" w:line="176" w:lineRule="exact"/>
        <w:rPr>
          <w:sz w:val="20"/>
          <w:szCs w:val="20"/>
          <w:color w:val="auto"/>
        </w:rPr>
      </w:pPr>
    </w:p>
    <w:p>
      <w:pPr>
        <w:ind w:left="660" w:right="240"/>
        <w:spacing w:after="0" w:line="271" w:lineRule="auto"/>
        <w:rPr>
          <w:sz w:val="20"/>
          <w:szCs w:val="20"/>
          <w:color w:val="auto"/>
        </w:rPr>
      </w:pPr>
      <w:r>
        <w:rPr>
          <w:rFonts w:ascii="Arial" w:cs="Arial" w:eastAsia="Arial" w:hAnsi="Arial"/>
          <w:sz w:val="18"/>
          <w:szCs w:val="18"/>
          <w:b w:val="1"/>
          <w:bCs w:val="1"/>
          <w:color w:val="auto"/>
        </w:rPr>
        <w:t xml:space="preserve">“Unawarded Shares” </w:t>
      </w:r>
      <w:r>
        <w:rPr>
          <w:rFonts w:ascii="Arial" w:cs="Arial" w:eastAsia="Arial" w:hAnsi="Arial"/>
          <w:sz w:val="18"/>
          <w:szCs w:val="18"/>
          <w:color w:val="auto"/>
        </w:rPr>
        <w:t>means Shares held by the Trustee that have not been awarded to a Participant pursuant to the Provisions, or</w:t>
      </w:r>
      <w:r>
        <w:rPr>
          <w:rFonts w:ascii="Arial" w:cs="Arial" w:eastAsia="Arial" w:hAnsi="Arial"/>
          <w:sz w:val="18"/>
          <w:szCs w:val="18"/>
          <w:b w:val="1"/>
          <w:bCs w:val="1"/>
          <w:color w:val="auto"/>
        </w:rPr>
        <w:t xml:space="preserve"> </w:t>
      </w:r>
      <w:r>
        <w:rPr>
          <w:rFonts w:ascii="Arial" w:cs="Arial" w:eastAsia="Arial" w:hAnsi="Arial"/>
          <w:sz w:val="18"/>
          <w:szCs w:val="18"/>
          <w:color w:val="auto"/>
        </w:rPr>
        <w:t>having been so awarded, have been forfeited by the Participant in accordance with the Provisions.</w:t>
      </w:r>
    </w:p>
    <w:p>
      <w:pPr>
        <w:spacing w:after="0" w:line="140" w:lineRule="exact"/>
        <w:rPr>
          <w:sz w:val="20"/>
          <w:szCs w:val="20"/>
          <w:color w:val="auto"/>
        </w:rPr>
      </w:pPr>
    </w:p>
    <w:p>
      <w:pPr>
        <w:ind w:left="660" w:hanging="652"/>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Eligibility</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Participation in other share incentive plans</w:t>
      </w:r>
    </w:p>
    <w:p>
      <w:pPr>
        <w:spacing w:after="0" w:line="198" w:lineRule="exact"/>
        <w:rPr>
          <w:sz w:val="20"/>
          <w:szCs w:val="20"/>
          <w:color w:val="auto"/>
        </w:rPr>
      </w:pPr>
    </w:p>
    <w:p>
      <w:pPr>
        <w:ind w:left="660" w:right="200"/>
        <w:spacing w:after="0"/>
        <w:rPr>
          <w:sz w:val="20"/>
          <w:szCs w:val="20"/>
          <w:color w:val="auto"/>
        </w:rPr>
      </w:pPr>
      <w:r>
        <w:rPr>
          <w:rFonts w:ascii="Arial" w:cs="Arial" w:eastAsia="Arial" w:hAnsi="Arial"/>
          <w:sz w:val="18"/>
          <w:szCs w:val="18"/>
          <w:color w:val="auto"/>
        </w:rPr>
        <w:t>For the purposes of Awards granted under this Schedule 2, if a person participates in an Award under the Plan in a Tax Year in which that person has already participated in an award of shares under one or more other plans that are ITEPA Schedule 2 SIPs and established by the Company or a Connected Company then the limits set out in:</w:t>
      </w:r>
    </w:p>
    <w:p>
      <w:pPr>
        <w:spacing w:after="0" w:line="189" w:lineRule="exact"/>
        <w:rPr>
          <w:sz w:val="20"/>
          <w:szCs w:val="20"/>
          <w:color w:val="auto"/>
        </w:rPr>
      </w:pPr>
    </w:p>
    <w:p>
      <w:pPr>
        <w:ind w:left="1300" w:hanging="644"/>
        <w:spacing w:after="0"/>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paragraph 35 of ITEPA Schedule 2 (maximum annual award of Free Shares); and</w:t>
      </w:r>
    </w:p>
    <w:p>
      <w:pPr>
        <w:spacing w:after="0" w:line="198" w:lineRule="exact"/>
        <w:rPr>
          <w:rFonts w:ascii="Arial" w:cs="Arial" w:eastAsia="Arial" w:hAnsi="Arial"/>
          <w:sz w:val="18"/>
          <w:szCs w:val="18"/>
          <w:color w:val="auto"/>
        </w:rPr>
      </w:pPr>
    </w:p>
    <w:p>
      <w:pPr>
        <w:ind w:left="660" w:right="2480" w:hanging="4"/>
        <w:spacing w:after="0" w:line="469" w:lineRule="auto"/>
        <w:tabs>
          <w:tab w:leader="none" w:pos="130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paragraph 46 of ITEPA Schedule 2 (maximum amount of Partnership Share Money deductions); will apply as if the Plan and other such plans were a single plan.</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Excluded individuals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individual is not eligible to participate in an Award where:</w:t>
      </w:r>
    </w:p>
    <w:p>
      <w:pPr>
        <w:spacing w:after="0" w:line="180" w:lineRule="exact"/>
        <w:rPr>
          <w:sz w:val="20"/>
          <w:szCs w:val="20"/>
          <w:color w:val="auto"/>
        </w:rPr>
      </w:pPr>
    </w:p>
    <w:p>
      <w:pPr>
        <w:ind w:left="1300" w:right="120" w:hanging="644"/>
        <w:spacing w:after="0" w:line="267" w:lineRule="auto"/>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their participation is excluded by paragraphs 18 or 18A of ITEPA Schedule 2 (</w:t>
      </w:r>
      <w:r>
        <w:rPr>
          <w:rFonts w:ascii="Arial" w:cs="Arial" w:eastAsia="Arial" w:hAnsi="Arial"/>
          <w:sz w:val="18"/>
          <w:szCs w:val="18"/>
          <w:i w:val="1"/>
          <w:iCs w:val="1"/>
          <w:color w:val="auto"/>
        </w:rPr>
        <w:t>maximum participation in other Schedule 2 SIPs</w:t>
      </w:r>
      <w:r>
        <w:rPr>
          <w:rFonts w:ascii="Arial" w:cs="Arial" w:eastAsia="Arial" w:hAnsi="Arial"/>
          <w:sz w:val="18"/>
          <w:szCs w:val="18"/>
          <w:color w:val="auto"/>
        </w:rPr>
        <w:t xml:space="preserve"> </w:t>
      </w:r>
      <w:r>
        <w:rPr>
          <w:rFonts w:ascii="Arial" w:cs="Arial" w:eastAsia="Arial" w:hAnsi="Arial"/>
          <w:sz w:val="18"/>
          <w:szCs w:val="18"/>
          <w:i w:val="1"/>
          <w:iCs w:val="1"/>
          <w:color w:val="auto"/>
        </w:rPr>
        <w:t>or connected Schedule 2 SIPs in a Tax Year</w:t>
      </w:r>
      <w:r>
        <w:rPr>
          <w:rFonts w:ascii="Arial" w:cs="Arial" w:eastAsia="Arial" w:hAnsi="Arial"/>
          <w:sz w:val="18"/>
          <w:szCs w:val="18"/>
          <w:color w:val="auto"/>
        </w:rPr>
        <w:t>); or</w:t>
      </w:r>
    </w:p>
    <w:p>
      <w:pPr>
        <w:spacing w:after="0" w:line="147" w:lineRule="exact"/>
        <w:rPr>
          <w:rFonts w:ascii="Arial" w:cs="Arial" w:eastAsia="Arial" w:hAnsi="Arial"/>
          <w:sz w:val="18"/>
          <w:szCs w:val="18"/>
          <w:color w:val="auto"/>
        </w:rPr>
      </w:pPr>
    </w:p>
    <w:p>
      <w:pPr>
        <w:ind w:left="1300" w:right="540" w:hanging="644"/>
        <w:spacing w:after="0" w:line="297" w:lineRule="auto"/>
        <w:tabs>
          <w:tab w:leader="none" w:pos="13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following the communication from the Administrator in accordance with section 4 (</w:t>
      </w:r>
      <w:r>
        <w:rPr>
          <w:rFonts w:ascii="Arial" w:cs="Arial" w:eastAsia="Arial" w:hAnsi="Arial"/>
          <w:sz w:val="17"/>
          <w:szCs w:val="17"/>
          <w:i w:val="1"/>
          <w:iCs w:val="1"/>
          <w:color w:val="auto"/>
        </w:rPr>
        <w:t>Form of Invitation and Application</w:t>
      </w:r>
      <w:r>
        <w:rPr>
          <w:rFonts w:ascii="Arial" w:cs="Arial" w:eastAsia="Arial" w:hAnsi="Arial"/>
          <w:sz w:val="17"/>
          <w:szCs w:val="17"/>
          <w:color w:val="auto"/>
        </w:rPr>
        <w:t>), the individual has notified the Administrator that he or she does not wish the Trustee to appropriate Shares to him or her.</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Identifying UK Eligible Employees</w:t>
      </w:r>
    </w:p>
    <w:p>
      <w:pPr>
        <w:spacing w:after="0" w:line="198" w:lineRule="exact"/>
        <w:rPr>
          <w:sz w:val="20"/>
          <w:szCs w:val="20"/>
          <w:color w:val="auto"/>
        </w:rPr>
      </w:pPr>
    </w:p>
    <w:p>
      <w:pPr>
        <w:ind w:left="660" w:right="160"/>
        <w:spacing w:after="0"/>
        <w:rPr>
          <w:sz w:val="20"/>
          <w:szCs w:val="20"/>
          <w:color w:val="auto"/>
        </w:rPr>
      </w:pPr>
      <w:r>
        <w:rPr>
          <w:rFonts w:ascii="Arial" w:cs="Arial" w:eastAsia="Arial" w:hAnsi="Arial"/>
          <w:sz w:val="18"/>
          <w:szCs w:val="18"/>
          <w:color w:val="auto"/>
        </w:rPr>
        <w:t>Whenever the Company intends to offer Plan Shares, the Administrator will identify all individuals who are not then participating in the Plan (and, if applicable, all UK Eligible Employees who have, since the Plan was last operated, revoked under paragraph 3.2(b) any notification previously sent to them) but who are expected to be</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ind w:left="11100"/>
        <w:spacing w:after="0"/>
        <w:rPr>
          <w:sz w:val="20"/>
          <w:szCs w:val="20"/>
          <w:color w:val="auto"/>
        </w:rPr>
      </w:pPr>
      <w:r>
        <w:rPr>
          <w:rFonts w:ascii="Arial" w:cs="Arial" w:eastAsia="Arial" w:hAnsi="Arial"/>
          <w:sz w:val="14"/>
          <w:szCs w:val="14"/>
          <w:color w:val="auto"/>
        </w:rPr>
        <w:t>Draft</w:t>
      </w:r>
    </w:p>
    <w:p>
      <w:pPr>
        <w:spacing w:after="0" w:line="198" w:lineRule="exact"/>
        <w:rPr>
          <w:sz w:val="20"/>
          <w:szCs w:val="20"/>
          <w:color w:val="auto"/>
        </w:rPr>
      </w:pPr>
    </w:p>
    <w:p>
      <w:pPr>
        <w:ind w:left="660" w:right="220"/>
        <w:spacing w:after="0" w:line="246" w:lineRule="auto"/>
        <w:rPr>
          <w:sz w:val="20"/>
          <w:szCs w:val="20"/>
          <w:color w:val="auto"/>
        </w:rPr>
      </w:pPr>
      <w:r>
        <w:rPr>
          <w:rFonts w:ascii="Arial" w:cs="Arial" w:eastAsia="Arial" w:hAnsi="Arial"/>
          <w:sz w:val="18"/>
          <w:szCs w:val="18"/>
          <w:color w:val="auto"/>
        </w:rPr>
        <w:t>UK Eligible Employees at the Award Date; and will communicate in writing with each of those individuals asking whether they wish to be a Participant.</w:t>
      </w:r>
    </w:p>
    <w:p>
      <w:pPr>
        <w:spacing w:after="0" w:line="161"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Allocation of funds for purchase of shares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Source of funds</w:t>
      </w:r>
    </w:p>
    <w:p>
      <w:pPr>
        <w:spacing w:after="0" w:line="198" w:lineRule="exact"/>
        <w:rPr>
          <w:sz w:val="20"/>
          <w:szCs w:val="20"/>
          <w:color w:val="auto"/>
        </w:rPr>
      </w:pPr>
    </w:p>
    <w:p>
      <w:pPr>
        <w:jc w:val="both"/>
        <w:ind w:left="660" w:right="40"/>
        <w:spacing w:after="0"/>
        <w:rPr>
          <w:sz w:val="20"/>
          <w:szCs w:val="20"/>
          <w:color w:val="auto"/>
        </w:rPr>
      </w:pPr>
      <w:r>
        <w:rPr>
          <w:rFonts w:ascii="Arial" w:cs="Arial" w:eastAsia="Arial" w:hAnsi="Arial"/>
          <w:sz w:val="18"/>
          <w:szCs w:val="18"/>
          <w:color w:val="auto"/>
        </w:rPr>
        <w:t>A Participating Company may at any time allocate funds for the purposes of the Plan in accordance with the Provisions, provided that it will only pay to the Trustee such sums as are required in connection with the acquisition of Free or Matching Shares by the Trustee for appropriation to UK Eligible Employees who are for the time being employed by that Participating Company.</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Amount of funds</w:t>
      </w:r>
    </w:p>
    <w:p>
      <w:pPr>
        <w:spacing w:after="0" w:line="198" w:lineRule="exact"/>
        <w:rPr>
          <w:sz w:val="20"/>
          <w:szCs w:val="20"/>
          <w:color w:val="auto"/>
        </w:rPr>
      </w:pPr>
    </w:p>
    <w:p>
      <w:pPr>
        <w:jc w:val="both"/>
        <w:ind w:left="660" w:right="40"/>
        <w:spacing w:after="0"/>
        <w:rPr>
          <w:sz w:val="20"/>
          <w:szCs w:val="20"/>
          <w:color w:val="auto"/>
        </w:rPr>
      </w:pPr>
      <w:r>
        <w:rPr>
          <w:rFonts w:ascii="Arial" w:cs="Arial" w:eastAsia="Arial" w:hAnsi="Arial"/>
          <w:sz w:val="18"/>
          <w:szCs w:val="18"/>
          <w:color w:val="auto"/>
        </w:rPr>
        <w:t>The amount of the funds to be allocated will be such amount (if any) as the Administrator may determine and notify to each Constituent Company save that in the case of any Subsidiary such amount (if any) will be determined by agreement between the Administrator and the directors of the Subsidiary.</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Notification of Trustee</w:t>
      </w:r>
    </w:p>
    <w:p>
      <w:pPr>
        <w:spacing w:after="0" w:line="198" w:lineRule="exact"/>
        <w:rPr>
          <w:sz w:val="20"/>
          <w:szCs w:val="20"/>
          <w:color w:val="auto"/>
        </w:rPr>
      </w:pPr>
    </w:p>
    <w:p>
      <w:pPr>
        <w:ind w:left="660" w:right="240"/>
        <w:spacing w:after="0"/>
        <w:rPr>
          <w:sz w:val="20"/>
          <w:szCs w:val="20"/>
          <w:color w:val="auto"/>
        </w:rPr>
      </w:pPr>
      <w:r>
        <w:rPr>
          <w:rFonts w:ascii="Arial" w:cs="Arial" w:eastAsia="Arial" w:hAnsi="Arial"/>
          <w:sz w:val="18"/>
          <w:szCs w:val="18"/>
          <w:color w:val="auto"/>
        </w:rPr>
        <w:t>The amount of the funds will be notified in writing to the Trustee as soon as it has been determined and will be paid to the Trustee by the Participating Companies. The Administrator will also notify the Trustee of the number of Shares (if any) that are to be made available for subscription by the Trustee and the price at which those Shares are to be offered for subscription.</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Acquisition of Shares by Trustee</w:t>
      </w:r>
    </w:p>
    <w:p>
      <w:pPr>
        <w:spacing w:after="0" w:line="198" w:lineRule="exact"/>
        <w:rPr>
          <w:sz w:val="20"/>
          <w:szCs w:val="20"/>
          <w:color w:val="auto"/>
        </w:rPr>
      </w:pPr>
    </w:p>
    <w:p>
      <w:pPr>
        <w:ind w:left="660" w:right="20"/>
        <w:spacing w:after="0" w:line="239" w:lineRule="auto"/>
        <w:rPr>
          <w:sz w:val="20"/>
          <w:szCs w:val="20"/>
          <w:color w:val="auto"/>
        </w:rPr>
      </w:pPr>
      <w:r>
        <w:rPr>
          <w:rFonts w:ascii="Arial" w:cs="Arial" w:eastAsia="Arial" w:hAnsi="Arial"/>
          <w:sz w:val="18"/>
          <w:szCs w:val="18"/>
          <w:color w:val="auto"/>
        </w:rPr>
        <w:t>The Trustee will apply the amount paid to it under paragraph 4.1 in the acquisition of Shares if and to the extent that Shares are offered to it and at the price notified to it pursuant to paragraph 4.3 and any balance will be applied in purchasing Shares from existing shareholders (and paying any stamp duty which arises as a result of that purchase, or other expenses of the Trustee incurred in operating the Plan).</w:t>
      </w:r>
    </w:p>
    <w:p>
      <w:pPr>
        <w:spacing w:after="0" w:line="166"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Determination of initial market value</w:t>
      </w:r>
    </w:p>
    <w:p>
      <w:pPr>
        <w:spacing w:after="0" w:line="220" w:lineRule="exact"/>
        <w:rPr>
          <w:sz w:val="20"/>
          <w:szCs w:val="20"/>
          <w:color w:val="auto"/>
        </w:rPr>
      </w:pPr>
    </w:p>
    <w:p>
      <w:pPr>
        <w:ind w:left="660" w:right="240"/>
        <w:spacing w:after="0" w:line="246" w:lineRule="auto"/>
        <w:rPr>
          <w:sz w:val="20"/>
          <w:szCs w:val="20"/>
          <w:color w:val="auto"/>
        </w:rPr>
      </w:pPr>
      <w:r>
        <w:rPr>
          <w:rFonts w:ascii="Arial" w:cs="Arial" w:eastAsia="Arial" w:hAnsi="Arial"/>
          <w:sz w:val="18"/>
          <w:szCs w:val="18"/>
          <w:color w:val="auto"/>
        </w:rPr>
        <w:t>Before Shares are appropriated by the Trustee on any occasion, the Trustee will determine the Initial Market Value of such Shares in accordance with these Provisions.</w:t>
      </w:r>
    </w:p>
    <w:p>
      <w:pPr>
        <w:spacing w:after="0" w:line="161"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Making of awards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Free Share Awards</w:t>
      </w:r>
    </w:p>
    <w:p>
      <w:pPr>
        <w:spacing w:after="0" w:line="198" w:lineRule="exact"/>
        <w:rPr>
          <w:sz w:val="20"/>
          <w:szCs w:val="20"/>
          <w:color w:val="auto"/>
        </w:rPr>
      </w:pPr>
    </w:p>
    <w:p>
      <w:pPr>
        <w:ind w:left="660" w:right="340"/>
        <w:spacing w:after="0" w:line="246" w:lineRule="auto"/>
        <w:rPr>
          <w:sz w:val="20"/>
          <w:szCs w:val="20"/>
          <w:color w:val="auto"/>
        </w:rPr>
      </w:pPr>
      <w:r>
        <w:rPr>
          <w:rFonts w:ascii="Arial" w:cs="Arial" w:eastAsia="Arial" w:hAnsi="Arial"/>
          <w:sz w:val="18"/>
          <w:szCs w:val="18"/>
          <w:color w:val="auto"/>
        </w:rPr>
        <w:t>The Administrator may at any time (subject always to paragraph 7) make an award of Free Shares in accordance with Part 1 of this Schedule 2.</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Partnership Share Awards</w:t>
      </w:r>
    </w:p>
    <w:p>
      <w:pPr>
        <w:spacing w:after="0" w:line="198" w:lineRule="exact"/>
        <w:rPr>
          <w:sz w:val="20"/>
          <w:szCs w:val="20"/>
          <w:color w:val="auto"/>
        </w:rPr>
      </w:pPr>
    </w:p>
    <w:p>
      <w:pPr>
        <w:ind w:left="660" w:right="120"/>
        <w:spacing w:after="0" w:line="246" w:lineRule="auto"/>
        <w:rPr>
          <w:sz w:val="20"/>
          <w:szCs w:val="20"/>
          <w:color w:val="auto"/>
        </w:rPr>
      </w:pPr>
      <w:r>
        <w:rPr>
          <w:rFonts w:ascii="Arial" w:cs="Arial" w:eastAsia="Arial" w:hAnsi="Arial"/>
          <w:sz w:val="18"/>
          <w:szCs w:val="18"/>
          <w:color w:val="auto"/>
        </w:rPr>
        <w:t>The Administrator may at any time (subject always to paragraph 7) make arrangements to put in place Partnership Share Agreements in accordance with Part 2 of this Schedule 2.</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Matching Share Awards</w:t>
      </w:r>
    </w:p>
    <w:p>
      <w:pPr>
        <w:spacing w:after="0" w:line="198" w:lineRule="exact"/>
        <w:rPr>
          <w:sz w:val="20"/>
          <w:szCs w:val="20"/>
          <w:color w:val="auto"/>
        </w:rPr>
      </w:pPr>
    </w:p>
    <w:p>
      <w:pPr>
        <w:ind w:left="660" w:right="460"/>
        <w:spacing w:after="0" w:line="246" w:lineRule="auto"/>
        <w:rPr>
          <w:sz w:val="20"/>
          <w:szCs w:val="20"/>
          <w:color w:val="auto"/>
        </w:rPr>
      </w:pPr>
      <w:r>
        <w:rPr>
          <w:rFonts w:ascii="Arial" w:cs="Arial" w:eastAsia="Arial" w:hAnsi="Arial"/>
          <w:sz w:val="18"/>
          <w:szCs w:val="18"/>
          <w:color w:val="auto"/>
        </w:rPr>
        <w:t>Where Partnership Share Agreements are to be or have been put in place, the Administrator may (subject always to paragraph 7) award Matching Shares in accordance with Part 3 of this Schedule 2.</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color w:val="auto"/>
        </w:rPr>
        <w:t>Dividends</w:t>
      </w:r>
    </w:p>
    <w:p>
      <w:pPr>
        <w:spacing w:after="0" w:line="198" w:lineRule="exact"/>
        <w:rPr>
          <w:sz w:val="20"/>
          <w:szCs w:val="20"/>
          <w:color w:val="auto"/>
        </w:rPr>
      </w:pPr>
    </w:p>
    <w:p>
      <w:pPr>
        <w:ind w:left="660" w:right="540"/>
        <w:spacing w:after="0" w:line="246" w:lineRule="auto"/>
        <w:rPr>
          <w:sz w:val="20"/>
          <w:szCs w:val="20"/>
          <w:color w:val="auto"/>
        </w:rPr>
      </w:pPr>
      <w:r>
        <w:rPr>
          <w:rFonts w:ascii="Arial" w:cs="Arial" w:eastAsia="Arial" w:hAnsi="Arial"/>
          <w:sz w:val="18"/>
          <w:szCs w:val="18"/>
          <w:color w:val="auto"/>
        </w:rPr>
        <w:t>Each Free Share Agreement and Partnership Share Agreement will make provision (subject always to paragraph 7) in relation to dividends in accordance with Part 4 of this Schedule 2.</w:t>
      </w:r>
    </w:p>
    <w:p>
      <w:pPr>
        <w:spacing w:after="0" w:line="161"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Obligations of participants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Contract for Plan Shares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4.1(e) shall not apply to Awards granted under Schedule 2.</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paragraph 7.2 each Participant is bound in contract with the Company:</w:t>
      </w:r>
    </w:p>
    <w:p>
      <w:pPr>
        <w:spacing w:after="0" w:line="198" w:lineRule="exact"/>
        <w:rPr>
          <w:sz w:val="20"/>
          <w:szCs w:val="20"/>
          <w:color w:val="auto"/>
        </w:rPr>
      </w:pPr>
    </w:p>
    <w:p>
      <w:pPr>
        <w:ind w:left="1300" w:right="660" w:hanging="644"/>
        <w:spacing w:after="0" w:line="246" w:lineRule="auto"/>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permit his Free Shares, Matching Shares and/or Dividend Shares (as the case may be) to remain in the hands of the Trustee throughout the relevant Holding Period;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not to assign, charge or otherwise dispose of the beneficial interest in his Plan Shares during the relevant Holding Period; and</w:t>
      </w:r>
    </w:p>
    <w:p>
      <w:pPr>
        <w:spacing w:after="0" w:line="198" w:lineRule="exact"/>
        <w:rPr>
          <w:rFonts w:ascii="Arial" w:cs="Arial" w:eastAsia="Arial" w:hAnsi="Arial"/>
          <w:sz w:val="18"/>
          <w:szCs w:val="18"/>
          <w:color w:val="auto"/>
        </w:rPr>
      </w:pPr>
    </w:p>
    <w:p>
      <w:pPr>
        <w:ind w:left="1300" w:right="100" w:hanging="644"/>
        <w:spacing w:after="0" w:line="239" w:lineRule="auto"/>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he directs the Trustee to transfer the ownership of his Plan Shares to him at any time during the Holding Period (or at any other time at which the Participant suffers a liability to income tax or NICs on his Plan Shares as a result of such a transfer), to pay to the Trustee before the transfer takes place a sum equal to such income tax and NICs to enable the Trustee to meet its PAYE obligations pursuant to paragraph 79 of ITEPA Schedule 2.</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Holding Period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purposes of paragraph 7.1:</w:t>
      </w:r>
    </w:p>
    <w:p>
      <w:pPr>
        <w:spacing w:after="0" w:line="198" w:lineRule="exact"/>
        <w:rPr>
          <w:sz w:val="20"/>
          <w:szCs w:val="20"/>
          <w:color w:val="auto"/>
        </w:rPr>
      </w:pPr>
    </w:p>
    <w:p>
      <w:pPr>
        <w:ind w:left="1300" w:hanging="644"/>
        <w:spacing w:after="0" w:line="239" w:lineRule="auto"/>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relation to each Award of Free Shares or Matching Shares, the Holding Period is a period specified by the Administrator, of not less than 3 years beginning with the Award Date, and will be the same for all Participants who receive an Award at the same time. The Holding Period may not be increased in respect of Free Shares or Matching Shares already awarded under the Plan; and</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98" w:lineRule="exact"/>
        <w:rPr>
          <w:sz w:val="20"/>
          <w:szCs w:val="20"/>
          <w:color w:val="auto"/>
        </w:rPr>
      </w:pPr>
    </w:p>
    <w:p>
      <w:pPr>
        <w:ind w:left="1300" w:right="400" w:hanging="644"/>
        <w:spacing w:after="0" w:line="246" w:lineRule="auto"/>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respect of Dividend Shares the Holding Period is the period of 3 years beginning with the relevant Acquisition Date. The Holding Period may not be increased in respect of Dividend Shares already awarded under the Plan.</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Plan Shares and Company events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7 (</w:t>
      </w:r>
      <w:r>
        <w:rPr>
          <w:rFonts w:ascii="Arial" w:cs="Arial" w:eastAsia="Arial" w:hAnsi="Arial"/>
          <w:sz w:val="18"/>
          <w:szCs w:val="18"/>
          <w:i w:val="1"/>
          <w:iCs w:val="1"/>
          <w:color w:val="auto"/>
        </w:rPr>
        <w:t>Events affecting Share Capital</w:t>
      </w:r>
      <w:r>
        <w:rPr>
          <w:rFonts w:ascii="Arial" w:cs="Arial" w:eastAsia="Arial" w:hAnsi="Arial"/>
          <w:sz w:val="18"/>
          <w:szCs w:val="18"/>
          <w:color w:val="auto"/>
        </w:rPr>
        <w:t>) shall not apply to Awards granted under Schedule 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Paragraph 7.1 does not prevent the Participant from directing the Trustee to:</w:t>
      </w:r>
    </w:p>
    <w:p>
      <w:pPr>
        <w:spacing w:after="0" w:line="198" w:lineRule="exact"/>
        <w:rPr>
          <w:sz w:val="20"/>
          <w:szCs w:val="20"/>
          <w:color w:val="auto"/>
        </w:rPr>
      </w:pPr>
    </w:p>
    <w:p>
      <w:pPr>
        <w:ind w:left="1300" w:right="60" w:hanging="644"/>
        <w:spacing w:after="0"/>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accept an offer for any of their Free, Matching or Dividend Shares (in this Provision referred to as ‘the Original Shares’), if such acceptance or agreement will result in a new holding, as defined in Section 126(1)(b) of the Taxation of Chargeable Gains Act 1992, being equated with the Original Shares for the purposes of capital gains tax; or</w:t>
      </w:r>
    </w:p>
    <w:p>
      <w:pPr>
        <w:spacing w:after="0" w:line="189" w:lineRule="exact"/>
        <w:rPr>
          <w:rFonts w:ascii="Arial" w:cs="Arial" w:eastAsia="Arial" w:hAnsi="Arial"/>
          <w:sz w:val="18"/>
          <w:szCs w:val="18"/>
          <w:color w:val="auto"/>
        </w:rPr>
      </w:pPr>
    </w:p>
    <w:p>
      <w:pPr>
        <w:ind w:left="1300" w:right="240" w:hanging="644"/>
        <w:spacing w:after="0" w:line="246" w:lineRule="auto"/>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agree to a transaction affecting their Original Shares or such of them as are of a particular class, if the transactions would be entered into pursuant to a compromise, arrangement or scheme applicable to or affecting:</w:t>
      </w:r>
    </w:p>
    <w:p>
      <w:pPr>
        <w:spacing w:after="0" w:line="183" w:lineRule="exact"/>
        <w:rPr>
          <w:rFonts w:ascii="Arial" w:cs="Arial" w:eastAsia="Arial" w:hAnsi="Arial"/>
          <w:sz w:val="18"/>
          <w:szCs w:val="18"/>
          <w:color w:val="auto"/>
        </w:rPr>
      </w:pPr>
    </w:p>
    <w:p>
      <w:pPr>
        <w:ind w:left="1960" w:hanging="655"/>
        <w:spacing w:after="0"/>
        <w:tabs>
          <w:tab w:leader="none" w:pos="19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all the ordinary share capital of the Company or, as the case may be, all the shares of the class in question; or</w:t>
      </w:r>
    </w:p>
    <w:p>
      <w:pPr>
        <w:spacing w:after="0" w:line="198" w:lineRule="exact"/>
        <w:rPr>
          <w:rFonts w:ascii="Arial" w:cs="Arial" w:eastAsia="Arial" w:hAnsi="Arial"/>
          <w:sz w:val="18"/>
          <w:szCs w:val="18"/>
          <w:color w:val="auto"/>
        </w:rPr>
      </w:pPr>
    </w:p>
    <w:p>
      <w:pPr>
        <w:ind w:left="1960" w:right="40" w:hanging="655"/>
        <w:spacing w:after="0" w:line="246" w:lineRule="auto"/>
        <w:tabs>
          <w:tab w:leader="none" w:pos="19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all the shares, or shares of the class in question, which are held by a class of shareholders identified otherwise than by reference to their employment or their participating in a plan that is a Schedule 2 SIP; or</w:t>
      </w:r>
    </w:p>
    <w:p>
      <w:pPr>
        <w:spacing w:after="0" w:line="183" w:lineRule="exact"/>
        <w:rPr>
          <w:rFonts w:ascii="Arial" w:cs="Arial" w:eastAsia="Arial" w:hAnsi="Arial"/>
          <w:sz w:val="18"/>
          <w:szCs w:val="18"/>
          <w:color w:val="auto"/>
        </w:rPr>
      </w:pPr>
    </w:p>
    <w:p>
      <w:pPr>
        <w:ind w:left="1300" w:right="120" w:hanging="644"/>
        <w:spacing w:after="0" w:line="239" w:lineRule="auto"/>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accept an offer of cash, with or without other assets, for their Original Shares if the offer forms part of a general offer which is made to holders of shares of common stock of the Company and which is made in the first instance on a condition such that if it is satisfied the person making the offer will have control of the Company, within the meaning of section 450 of the Corporation Tax Act 2010; or</w:t>
      </w:r>
    </w:p>
    <w:p>
      <w:pPr>
        <w:spacing w:after="0" w:line="188" w:lineRule="exact"/>
        <w:rPr>
          <w:rFonts w:ascii="Arial" w:cs="Arial" w:eastAsia="Arial" w:hAnsi="Arial"/>
          <w:sz w:val="18"/>
          <w:szCs w:val="18"/>
          <w:color w:val="auto"/>
        </w:rPr>
      </w:pPr>
    </w:p>
    <w:p>
      <w:pPr>
        <w:ind w:left="1300" w:right="160" w:hanging="644"/>
        <w:spacing w:after="0"/>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accept an offer of a qualifying corporate bond (as construed in accordance with section 117 of the Taxation of Chargeable Gains Act 1992), whether alone or with cash or other assets or both, for his Original Shares if the offer forms part of a general offer which is made as mentioned in section 7.3(c).</w:t>
      </w:r>
    </w:p>
    <w:p>
      <w:pPr>
        <w:spacing w:after="0" w:line="167"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Company reconstructions, amalgamations etc.</w:t>
      </w:r>
    </w:p>
    <w:p>
      <w:pPr>
        <w:spacing w:after="0" w:line="20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Section 7.2 (</w:t>
      </w:r>
      <w:r>
        <w:rPr>
          <w:rFonts w:ascii="Arial" w:cs="Arial" w:eastAsia="Arial" w:hAnsi="Arial"/>
          <w:sz w:val="18"/>
          <w:szCs w:val="18"/>
          <w:i w:val="1"/>
          <w:iCs w:val="1"/>
          <w:color w:val="auto"/>
        </w:rPr>
        <w:t>Change of Control and Corporate Events</w:t>
      </w:r>
      <w:r>
        <w:rPr>
          <w:rFonts w:ascii="Arial" w:cs="Arial" w:eastAsia="Arial" w:hAnsi="Arial"/>
          <w:sz w:val="18"/>
          <w:szCs w:val="18"/>
          <w:color w:val="auto"/>
        </w:rPr>
        <w:t>) shall not apply to Awards granted under Schedule 2.</w:t>
      </w:r>
    </w:p>
    <w:p>
      <w:pPr>
        <w:spacing w:after="0" w:line="216" w:lineRule="exact"/>
        <w:rPr>
          <w:sz w:val="20"/>
          <w:szCs w:val="20"/>
          <w:color w:val="auto"/>
        </w:rPr>
      </w:pPr>
    </w:p>
    <w:p>
      <w:pPr>
        <w:ind w:left="660" w:right="480"/>
        <w:spacing w:after="0" w:line="246" w:lineRule="auto"/>
        <w:rPr>
          <w:sz w:val="20"/>
          <w:szCs w:val="20"/>
          <w:color w:val="auto"/>
        </w:rPr>
      </w:pPr>
      <w:r>
        <w:rPr>
          <w:rFonts w:ascii="Arial" w:cs="Arial" w:eastAsia="Arial" w:hAnsi="Arial"/>
          <w:sz w:val="18"/>
          <w:szCs w:val="18"/>
          <w:color w:val="auto"/>
        </w:rPr>
        <w:t>In the event of a transaction relating to the Company that falls within the definition of “company reconstruction” in paragraph 86 of ITEPA Schedule 2, Plan Shares will be dealt with in accordance with paragraph 87 of ITEPA Schedule 2.</w:t>
      </w:r>
    </w:p>
    <w:p>
      <w:pPr>
        <w:spacing w:after="0" w:line="161"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Rights Issues</w:t>
      </w:r>
    </w:p>
    <w:p>
      <w:pPr>
        <w:spacing w:after="0" w:line="20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Sections 7.1 (</w:t>
      </w:r>
      <w:r>
        <w:rPr>
          <w:rFonts w:ascii="Arial" w:cs="Arial" w:eastAsia="Arial" w:hAnsi="Arial"/>
          <w:sz w:val="18"/>
          <w:szCs w:val="18"/>
          <w:i w:val="1"/>
          <w:iCs w:val="1"/>
          <w:color w:val="auto"/>
        </w:rPr>
        <w:t>Share Capital Variation</w:t>
      </w:r>
      <w:r>
        <w:rPr>
          <w:rFonts w:ascii="Arial" w:cs="Arial" w:eastAsia="Arial" w:hAnsi="Arial"/>
          <w:sz w:val="18"/>
          <w:szCs w:val="18"/>
          <w:color w:val="auto"/>
        </w:rPr>
        <w:t>) and 7.3 (</w:t>
      </w:r>
      <w:r>
        <w:rPr>
          <w:rFonts w:ascii="Arial" w:cs="Arial" w:eastAsia="Arial" w:hAnsi="Arial"/>
          <w:sz w:val="18"/>
          <w:szCs w:val="18"/>
          <w:i w:val="1"/>
          <w:iCs w:val="1"/>
          <w:color w:val="auto"/>
        </w:rPr>
        <w:t>Fractional Entitlements</w:t>
      </w:r>
      <w:r>
        <w:rPr>
          <w:rFonts w:ascii="Arial" w:cs="Arial" w:eastAsia="Arial" w:hAnsi="Arial"/>
          <w:sz w:val="18"/>
          <w:szCs w:val="18"/>
          <w:color w:val="auto"/>
        </w:rPr>
        <w:t>) shall not apply to Awards granted under Schedule 2.</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98" w:lineRule="exact"/>
        <w:rPr>
          <w:sz w:val="20"/>
          <w:szCs w:val="20"/>
          <w:color w:val="auto"/>
        </w:rPr>
      </w:pPr>
    </w:p>
    <w:p>
      <w:pPr>
        <w:ind w:left="1300" w:hanging="644"/>
        <w:spacing w:after="0"/>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Notification of Participants</w:t>
      </w:r>
    </w:p>
    <w:p>
      <w:pPr>
        <w:spacing w:after="0" w:line="198" w:lineRule="exact"/>
        <w:rPr>
          <w:sz w:val="20"/>
          <w:szCs w:val="20"/>
          <w:color w:val="auto"/>
        </w:rPr>
      </w:pPr>
    </w:p>
    <w:p>
      <w:pPr>
        <w:ind w:left="660" w:right="40"/>
        <w:spacing w:after="0" w:line="237" w:lineRule="auto"/>
        <w:rPr>
          <w:sz w:val="20"/>
          <w:szCs w:val="20"/>
          <w:color w:val="auto"/>
        </w:rPr>
      </w:pPr>
      <w:r>
        <w:rPr>
          <w:rFonts w:ascii="Arial" w:cs="Arial" w:eastAsia="Arial" w:hAnsi="Arial"/>
          <w:sz w:val="18"/>
          <w:szCs w:val="18"/>
          <w:color w:val="auto"/>
        </w:rPr>
        <w:t>In the event of the Company making an offer to its shareholders on a rights basis such offer will be extended to the Trustee in respect of the total number of Plan Shares. The Trustee will notify each Participant concerned of the rights that are attributable to his Plan Shares. A Participant will be at liberty to direct the Trustee to accept such offer in respect of all of his Plan Shares and subject to paragraph (b) any shares subscribed for by the Trustee under this Provision will be treated as Plan Shares in relation to any Participant and any cash arising from the disposal of rights (except insofar as used to accept the offer) will be accounted for to the relevant Participant (subject to deduction of any applicable income tax and NICs).</w:t>
      </w:r>
    </w:p>
    <w:p>
      <w:pPr>
        <w:spacing w:after="0" w:line="192" w:lineRule="exact"/>
        <w:rPr>
          <w:sz w:val="20"/>
          <w:szCs w:val="20"/>
          <w:color w:val="auto"/>
        </w:rPr>
      </w:pPr>
    </w:p>
    <w:p>
      <w:pPr>
        <w:ind w:left="660" w:right="8380" w:hanging="4"/>
        <w:spacing w:after="0" w:line="497" w:lineRule="auto"/>
        <w:tabs>
          <w:tab w:leader="none" w:pos="1308" w:val="left"/>
        </w:tabs>
        <w:numPr>
          <w:ilvl w:val="0"/>
          <w:numId w:val="132"/>
        </w:numPr>
        <w:rPr>
          <w:rFonts w:ascii="Arial" w:cs="Arial" w:eastAsia="Arial" w:hAnsi="Arial"/>
          <w:sz w:val="17"/>
          <w:szCs w:val="17"/>
          <w:color w:val="auto"/>
        </w:rPr>
      </w:pPr>
      <w:r>
        <w:rPr>
          <w:rFonts w:ascii="Arial" w:cs="Arial" w:eastAsia="Arial" w:hAnsi="Arial"/>
          <w:sz w:val="17"/>
          <w:szCs w:val="17"/>
          <w:color w:val="auto"/>
        </w:rPr>
        <w:t>Excluded events Paragraph (a) does not apply:</w:t>
      </w:r>
    </w:p>
    <w:p>
      <w:pPr>
        <w:ind w:left="1960" w:right="140" w:hanging="655"/>
        <w:spacing w:after="0" w:line="246" w:lineRule="auto"/>
        <w:tabs>
          <w:tab w:leader="none" w:pos="19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to shares and securities allotted as the result of taking up a rights issue where the funds to exercise those rights were obtained otherwise than by virtue of the Trustee disposing of rights in accordance with this Provision; or</w:t>
      </w:r>
    </w:p>
    <w:p>
      <w:pPr>
        <w:spacing w:after="0" w:line="183" w:lineRule="exact"/>
        <w:rPr>
          <w:rFonts w:ascii="Arial" w:cs="Arial" w:eastAsia="Arial" w:hAnsi="Arial"/>
          <w:sz w:val="18"/>
          <w:szCs w:val="18"/>
          <w:color w:val="auto"/>
        </w:rPr>
      </w:pPr>
    </w:p>
    <w:p>
      <w:pPr>
        <w:ind w:left="1960" w:right="460" w:hanging="655"/>
        <w:spacing w:after="0" w:line="246" w:lineRule="auto"/>
        <w:tabs>
          <w:tab w:leader="none" w:pos="19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where the rights to a share issue attributed to Plan Shares are different from the rights attributed to other ordinary shares of the Company.</w:t>
      </w:r>
    </w:p>
    <w:p>
      <w:pPr>
        <w:spacing w:after="0" w:line="161"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Termination of plan</w:t>
      </w:r>
    </w:p>
    <w:p>
      <w:pPr>
        <w:spacing w:after="0" w:line="202" w:lineRule="exact"/>
        <w:rPr>
          <w:sz w:val="20"/>
          <w:szCs w:val="20"/>
          <w:color w:val="auto"/>
        </w:rPr>
      </w:pPr>
    </w:p>
    <w:p>
      <w:pPr>
        <w:ind w:left="660" w:right="40" w:hanging="647"/>
        <w:spacing w:after="0" w:line="245"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If the Plan is terminated pursuant to section 13.4 (</w:t>
      </w:r>
      <w:r>
        <w:rPr>
          <w:rFonts w:ascii="Arial" w:cs="Arial" w:eastAsia="Arial" w:hAnsi="Arial"/>
          <w:sz w:val="18"/>
          <w:szCs w:val="18"/>
          <w:i w:val="1"/>
          <w:iCs w:val="1"/>
          <w:color w:val="auto"/>
        </w:rPr>
        <w:t>Termination of the Plan</w:t>
      </w:r>
      <w:r>
        <w:rPr>
          <w:rFonts w:ascii="Arial" w:cs="Arial" w:eastAsia="Arial" w:hAnsi="Arial"/>
          <w:sz w:val="18"/>
          <w:szCs w:val="18"/>
          <w:color w:val="auto"/>
        </w:rPr>
        <w:t>), the Company will without delay following execution of a Plan Termination Notice provide a copy of the notice to the Trustee, HM Revenue &amp; Customs and each individual who has Plan Shares or who has entered into a Partnership Share Agreement which was in force immediately before the Plan Termination Notice was issued.</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On the issue of a Plan Termination Notice or on the expiry of the Trust Period paragraph 90 of ITEPA Schedule 2 will have effect.</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If:</w:t>
      </w:r>
    </w:p>
    <w:p>
      <w:pPr>
        <w:spacing w:after="0" w:line="180" w:lineRule="exact"/>
        <w:rPr>
          <w:sz w:val="20"/>
          <w:szCs w:val="20"/>
          <w:color w:val="auto"/>
        </w:rPr>
      </w:pPr>
    </w:p>
    <w:p>
      <w:pPr>
        <w:ind w:left="1300" w:right="120" w:hanging="644"/>
        <w:spacing w:after="0" w:line="251" w:lineRule="auto"/>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Plan is no longer to be a Schedule 2 SIP by virtue of paragraph 81H of ITEPA Schedule 2 (</w:t>
      </w:r>
      <w:r>
        <w:rPr>
          <w:rFonts w:ascii="Arial" w:cs="Arial" w:eastAsia="Arial" w:hAnsi="Arial"/>
          <w:sz w:val="18"/>
          <w:szCs w:val="18"/>
          <w:i w:val="1"/>
          <w:iCs w:val="1"/>
          <w:color w:val="auto"/>
        </w:rPr>
        <w:t>HM Revenue &amp; Customs</w:t>
      </w:r>
      <w:r>
        <w:rPr>
          <w:rFonts w:ascii="Arial" w:cs="Arial" w:eastAsia="Arial" w:hAnsi="Arial"/>
          <w:sz w:val="18"/>
          <w:szCs w:val="18"/>
          <w:color w:val="auto"/>
        </w:rPr>
        <w:t xml:space="preserve"> </w:t>
      </w:r>
      <w:r>
        <w:rPr>
          <w:rFonts w:ascii="Arial" w:cs="Arial" w:eastAsia="Arial" w:hAnsi="Arial"/>
          <w:sz w:val="18"/>
          <w:szCs w:val="18"/>
          <w:i w:val="1"/>
          <w:iCs w:val="1"/>
          <w:color w:val="auto"/>
        </w:rPr>
        <w:t>determining that the Plan does not or has not met the requirements of Schedule 2</w:t>
      </w:r>
      <w:r>
        <w:rPr>
          <w:rFonts w:ascii="Arial" w:cs="Arial" w:eastAsia="Arial" w:hAnsi="Arial"/>
          <w:sz w:val="18"/>
          <w:szCs w:val="18"/>
          <w:color w:val="auto"/>
        </w:rPr>
        <w:t>) or paragraph 81I of ITEPA Schedule 2 (</w:t>
      </w:r>
      <w:r>
        <w:rPr>
          <w:rFonts w:ascii="Arial" w:cs="Arial" w:eastAsia="Arial" w:hAnsi="Arial"/>
          <w:sz w:val="18"/>
          <w:szCs w:val="18"/>
          <w:i w:val="1"/>
          <w:iCs w:val="1"/>
          <w:color w:val="auto"/>
        </w:rPr>
        <w:t>the Company failing to pay a fine for less serious non-compliance with ITEPA Schedule 2</w:t>
      </w:r>
      <w:r>
        <w:rPr>
          <w:rFonts w:ascii="Arial" w:cs="Arial" w:eastAsia="Arial" w:hAnsi="Arial"/>
          <w:sz w:val="18"/>
          <w:szCs w:val="18"/>
          <w:color w:val="auto"/>
        </w:rPr>
        <w:t>); or</w:t>
      </w:r>
    </w:p>
    <w:p>
      <w:pPr>
        <w:spacing w:after="0" w:line="178" w:lineRule="exact"/>
        <w:rPr>
          <w:rFonts w:ascii="Arial" w:cs="Arial" w:eastAsia="Arial" w:hAnsi="Arial"/>
          <w:sz w:val="18"/>
          <w:szCs w:val="18"/>
          <w:color w:val="auto"/>
        </w:rPr>
      </w:pPr>
    </w:p>
    <w:p>
      <w:pPr>
        <w:ind w:left="1300" w:hanging="644"/>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Plan Termination Notice is issued;</w:t>
      </w:r>
    </w:p>
    <w:p>
      <w:pPr>
        <w:spacing w:after="0" w:line="198" w:lineRule="exact"/>
        <w:rPr>
          <w:sz w:val="20"/>
          <w:szCs w:val="20"/>
          <w:color w:val="auto"/>
        </w:rPr>
      </w:pPr>
    </w:p>
    <w:p>
      <w:pPr>
        <w:jc w:val="both"/>
        <w:ind w:left="660" w:right="200"/>
        <w:spacing w:after="0"/>
        <w:rPr>
          <w:sz w:val="20"/>
          <w:szCs w:val="20"/>
          <w:color w:val="auto"/>
        </w:rPr>
      </w:pPr>
      <w:r>
        <w:rPr>
          <w:rFonts w:ascii="Arial" w:cs="Arial" w:eastAsia="Arial" w:hAnsi="Arial"/>
          <w:sz w:val="18"/>
          <w:szCs w:val="18"/>
          <w:color w:val="auto"/>
        </w:rPr>
        <w:t>any Partnership Share Money held on behalf of UK Eligible Employees will be repaid to them as soon as practicable after the closure notice or default notice is given by HM Revenue &amp; Customs to the Company or the Plan Termination Notice is notified to the Trustee, subject to deduction of income tax under PAYE and employee’s NICs.</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26</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w:t>
      </w:r>
    </w:p>
    <w:p>
      <w:pPr>
        <w:spacing w:after="0" w:line="198" w:lineRule="exact"/>
        <w:rPr>
          <w:sz w:val="20"/>
          <w:szCs w:val="20"/>
          <w:color w:val="auto"/>
        </w:rPr>
      </w:pPr>
    </w:p>
    <w:p>
      <w:pPr>
        <w:ind w:left="660" w:hanging="652"/>
        <w:spacing w:after="0"/>
        <w:tabs>
          <w:tab w:leader="none" w:pos="6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FREE SHARES</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b w:val="1"/>
          <w:bCs w:val="1"/>
          <w:color w:val="auto"/>
        </w:rPr>
        <w:t>Awarding Free Shares</w:t>
      </w:r>
    </w:p>
    <w:p>
      <w:pPr>
        <w:spacing w:after="0" w:line="220" w:lineRule="exact"/>
        <w:rPr>
          <w:sz w:val="20"/>
          <w:szCs w:val="20"/>
          <w:color w:val="auto"/>
        </w:rPr>
      </w:pPr>
    </w:p>
    <w:p>
      <w:pPr>
        <w:ind w:left="660" w:right="120"/>
        <w:spacing w:after="0" w:line="239" w:lineRule="auto"/>
        <w:rPr>
          <w:sz w:val="20"/>
          <w:szCs w:val="20"/>
          <w:color w:val="auto"/>
        </w:rPr>
      </w:pPr>
      <w:r>
        <w:rPr>
          <w:rFonts w:ascii="Arial" w:cs="Arial" w:eastAsia="Arial" w:hAnsi="Arial"/>
          <w:sz w:val="18"/>
          <w:szCs w:val="18"/>
          <w:color w:val="auto"/>
        </w:rPr>
        <w:t>Where the Administrator decides to offer Free Shares, it will notify the Trustee of the date that is to be the relevant Award Date. Those UK Eligible Employees who wish to participate in the Plan in respect of that offer will within the period of 14 days after receipt of the communication referred to in section 4 (or such further period as the Administrator may allow) enter into a Free Share Agreement in accordance with the provisions of this Part 1.</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b w:val="1"/>
          <w:bCs w:val="1"/>
          <w:color w:val="auto"/>
        </w:rPr>
        <w:t>Number of Shares in Awards</w:t>
      </w:r>
    </w:p>
    <w:p>
      <w:pPr>
        <w:spacing w:after="0" w:line="220" w:lineRule="exact"/>
        <w:rPr>
          <w:sz w:val="20"/>
          <w:szCs w:val="20"/>
          <w:color w:val="auto"/>
        </w:rPr>
      </w:pPr>
    </w:p>
    <w:p>
      <w:pPr>
        <w:ind w:left="660" w:right="260"/>
        <w:spacing w:after="0" w:line="246" w:lineRule="auto"/>
        <w:rPr>
          <w:sz w:val="20"/>
          <w:szCs w:val="20"/>
          <w:color w:val="auto"/>
        </w:rPr>
      </w:pPr>
      <w:r>
        <w:rPr>
          <w:rFonts w:ascii="Arial" w:cs="Arial" w:eastAsia="Arial" w:hAnsi="Arial"/>
          <w:sz w:val="18"/>
          <w:szCs w:val="18"/>
          <w:color w:val="auto"/>
        </w:rPr>
        <w:t>Subject to paragraph 1.3, the number of Free Shares to be appropriated by the Trustee to each UK Eligible Employee on any Award Date will be determined by the Administrator and the entitlement of each UK Eligible Employee expressed as:</w:t>
      </w:r>
    </w:p>
    <w:p>
      <w:pPr>
        <w:spacing w:after="0" w:line="183" w:lineRule="exact"/>
        <w:rPr>
          <w:sz w:val="20"/>
          <w:szCs w:val="20"/>
          <w:color w:val="auto"/>
        </w:rPr>
      </w:pPr>
    </w:p>
    <w:p>
      <w:pPr>
        <w:ind w:left="1300" w:hanging="644"/>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fixed number of Shares; and/or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fixed number of Shares determined by the Administrator by reference to a proportion of Salary; and/or</w:t>
      </w:r>
    </w:p>
    <w:p>
      <w:pPr>
        <w:spacing w:after="0" w:line="198" w:lineRule="exact"/>
        <w:rPr>
          <w:rFonts w:ascii="Arial" w:cs="Arial" w:eastAsia="Arial" w:hAnsi="Arial"/>
          <w:sz w:val="18"/>
          <w:szCs w:val="18"/>
          <w:color w:val="auto"/>
        </w:rPr>
      </w:pPr>
    </w:p>
    <w:p>
      <w:pPr>
        <w:ind w:left="1300" w:right="340" w:hanging="644"/>
        <w:spacing w:after="0" w:line="246" w:lineRule="auto"/>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fixed amount determined by the Administrator (whether by reference to a number of Shares or a number of Shares with a market value equal to a fixed sum).</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b w:val="1"/>
          <w:bCs w:val="1"/>
          <w:color w:val="auto"/>
        </w:rPr>
        <w:t>Conditions for Awards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respect of each Award of Free Shares:</w:t>
      </w:r>
    </w:p>
    <w:p>
      <w:pPr>
        <w:spacing w:after="0" w:line="198" w:lineRule="exact"/>
        <w:rPr>
          <w:sz w:val="20"/>
          <w:szCs w:val="20"/>
          <w:color w:val="auto"/>
        </w:rPr>
      </w:pPr>
    </w:p>
    <w:p>
      <w:pPr>
        <w:ind w:left="1300" w:hanging="644"/>
        <w:spacing w:after="0"/>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any year the basis of calculation of the entitlement of each UK Eligible Employee will be the same;</w:t>
      </w:r>
    </w:p>
    <w:p>
      <w:pPr>
        <w:spacing w:after="0" w:line="198" w:lineRule="exact"/>
        <w:rPr>
          <w:rFonts w:ascii="Arial" w:cs="Arial" w:eastAsia="Arial" w:hAnsi="Arial"/>
          <w:sz w:val="18"/>
          <w:szCs w:val="18"/>
          <w:color w:val="auto"/>
        </w:rPr>
      </w:pPr>
    </w:p>
    <w:p>
      <w:pPr>
        <w:ind w:left="1300" w:right="100" w:hanging="644"/>
        <w:spacing w:after="0" w:line="246" w:lineRule="auto"/>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every UK Eligible Employee will be invited to participate on the same terms and that those who do participate must actually do so on the same terms; and</w:t>
      </w:r>
    </w:p>
    <w:p>
      <w:pPr>
        <w:spacing w:after="0" w:line="183" w:lineRule="exact"/>
        <w:rPr>
          <w:rFonts w:ascii="Arial" w:cs="Arial" w:eastAsia="Arial" w:hAnsi="Arial"/>
          <w:sz w:val="18"/>
          <w:szCs w:val="18"/>
          <w:color w:val="auto"/>
        </w:rPr>
      </w:pPr>
    </w:p>
    <w:p>
      <w:pPr>
        <w:ind w:left="1300" w:right="320" w:hanging="644"/>
        <w:spacing w:after="0"/>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aggregate of the Initial Market Value of the Free Shares appropriated to a UK Eligible Employee in any Tax Year will not exceed £3,600 or such other amount as may be prescribed from time to time for the purposes of paragraph 35 of ITEPA Schedule 2.</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b w:val="1"/>
          <w:bCs w:val="1"/>
          <w:color w:val="auto"/>
        </w:rPr>
        <w:t>Free Shares to be held by Trustee</w:t>
      </w:r>
    </w:p>
    <w:p>
      <w:pPr>
        <w:spacing w:after="0" w:line="220" w:lineRule="exact"/>
        <w:rPr>
          <w:sz w:val="20"/>
          <w:szCs w:val="20"/>
          <w:color w:val="auto"/>
        </w:rPr>
      </w:pPr>
    </w:p>
    <w:p>
      <w:pPr>
        <w:ind w:left="660" w:right="80"/>
        <w:spacing w:after="0"/>
        <w:rPr>
          <w:sz w:val="20"/>
          <w:szCs w:val="20"/>
          <w:color w:val="auto"/>
        </w:rPr>
      </w:pPr>
      <w:r>
        <w:rPr>
          <w:rFonts w:ascii="Arial" w:cs="Arial" w:eastAsia="Arial" w:hAnsi="Arial"/>
          <w:sz w:val="18"/>
          <w:szCs w:val="18"/>
          <w:color w:val="auto"/>
        </w:rPr>
        <w:t>The Free Shares to which each UK Eligible Employee is entitled as a result of the determinations described above will be appropriated to the UK Eligible Employee at the aggregate of their Initial Market Values but will be registered in the name of the Trustee on their behalf.</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27</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7"/>
          <w:szCs w:val="17"/>
          <w:b w:val="1"/>
          <w:bCs w:val="1"/>
          <w:color w:val="auto"/>
        </w:rPr>
        <w:t>Pro-rating of Shares with different rights</w:t>
      </w:r>
    </w:p>
    <w:p>
      <w:pPr>
        <w:spacing w:after="0" w:line="220" w:lineRule="exact"/>
        <w:rPr>
          <w:sz w:val="20"/>
          <w:szCs w:val="20"/>
          <w:color w:val="auto"/>
        </w:rPr>
      </w:pPr>
    </w:p>
    <w:p>
      <w:pPr>
        <w:ind w:left="660" w:right="240"/>
        <w:spacing w:after="0"/>
        <w:rPr>
          <w:sz w:val="20"/>
          <w:szCs w:val="20"/>
          <w:color w:val="auto"/>
        </w:rPr>
      </w:pPr>
      <w:r>
        <w:rPr>
          <w:rFonts w:ascii="Arial" w:cs="Arial" w:eastAsia="Arial" w:hAnsi="Arial"/>
          <w:sz w:val="18"/>
          <w:szCs w:val="18"/>
          <w:color w:val="auto"/>
        </w:rPr>
        <w:t>In the event that the Trustee acquires Shares for appropriation on an Award Date and some of those Shares carry a right of any kind which is not carried by every other Share, then the Shares which carry such right will so far as practicable be appropriated pro rata according to the number of Shares appropriated to each UK Eligible Employee on the Award Date.</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b w:val="1"/>
          <w:bCs w:val="1"/>
          <w:color w:val="auto"/>
        </w:rPr>
        <w:t>Awards may be subject to Performance Allowances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“Performance Allowances” means the criteria for an Award of Free Shares where:</w:t>
      </w:r>
    </w:p>
    <w:p>
      <w:pPr>
        <w:spacing w:after="0" w:line="198" w:lineRule="exact"/>
        <w:rPr>
          <w:sz w:val="20"/>
          <w:szCs w:val="20"/>
          <w:color w:val="auto"/>
        </w:rPr>
      </w:pPr>
    </w:p>
    <w:p>
      <w:pPr>
        <w:ind w:left="1300" w:hanging="644"/>
        <w:spacing w:after="0"/>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whether Shares are awarded; or</w:t>
      </w:r>
    </w:p>
    <w:p>
      <w:pPr>
        <w:spacing w:after="0" w:line="198" w:lineRule="exact"/>
        <w:rPr>
          <w:rFonts w:ascii="Arial" w:cs="Arial" w:eastAsia="Arial" w:hAnsi="Arial"/>
          <w:sz w:val="18"/>
          <w:szCs w:val="18"/>
          <w:color w:val="auto"/>
        </w:rPr>
      </w:pPr>
    </w:p>
    <w:p>
      <w:pPr>
        <w:ind w:left="660" w:right="6720" w:hanging="4"/>
        <w:spacing w:after="0" w:line="497" w:lineRule="auto"/>
        <w:tabs>
          <w:tab w:leader="none" w:pos="1308"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number or value of Shares awarded; is conditional upon performance targets being met.</w:t>
      </w:r>
    </w:p>
    <w:p>
      <w:pPr>
        <w:spacing w:after="0" w:line="1" w:lineRule="exact"/>
        <w:rPr>
          <w:sz w:val="20"/>
          <w:szCs w:val="20"/>
          <w:color w:val="auto"/>
        </w:rPr>
      </w:pPr>
    </w:p>
    <w:p>
      <w:pPr>
        <w:ind w:left="660" w:right="180"/>
        <w:spacing w:after="0" w:line="246" w:lineRule="auto"/>
        <w:rPr>
          <w:sz w:val="20"/>
          <w:szCs w:val="20"/>
          <w:color w:val="auto"/>
        </w:rPr>
      </w:pPr>
      <w:r>
        <w:rPr>
          <w:rFonts w:ascii="Arial" w:cs="Arial" w:eastAsia="Arial" w:hAnsi="Arial"/>
          <w:sz w:val="18"/>
          <w:szCs w:val="18"/>
          <w:color w:val="auto"/>
        </w:rPr>
        <w:t>The number of Free Shares (if any) to be appropriated to each UK Eligible Employee on a given Award Date may be set by reference to such Performance Allowances as may be determined by the Administrator provided that:</w:t>
      </w:r>
    </w:p>
    <w:p>
      <w:pPr>
        <w:spacing w:after="0" w:line="183" w:lineRule="exact"/>
        <w:rPr>
          <w:sz w:val="20"/>
          <w:szCs w:val="20"/>
          <w:color w:val="auto"/>
        </w:rPr>
      </w:pPr>
    </w:p>
    <w:p>
      <w:pPr>
        <w:ind w:left="1300" w:hanging="644"/>
        <w:spacing w:after="0"/>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Administrator must adopt either Method 1 as set out in paragraph 1.8 or Method 2 as set out in paragraph 1.9 below;</w:t>
      </w:r>
    </w:p>
    <w:p>
      <w:pPr>
        <w:spacing w:after="0" w:line="198" w:lineRule="exact"/>
        <w:rPr>
          <w:sz w:val="20"/>
          <w:szCs w:val="20"/>
          <w:color w:val="auto"/>
        </w:rPr>
      </w:pPr>
    </w:p>
    <w:p>
      <w:pPr>
        <w:ind w:left="1300" w:right="20" w:hanging="644"/>
        <w:spacing w:after="0" w:line="246" w:lineRule="auto"/>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Performance Allowances will be determined by reference to such fair and objective criteria (performance targets) relating to business results as the Administrator may determine over such period as the Administrator may specify;</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performance targets must be set for performance units of one or more employees;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for the purposes of an Award of Free Shares an employee must not be a member of more than one performance unit; and</w:t>
      </w:r>
    </w:p>
    <w:p>
      <w:pPr>
        <w:spacing w:after="0" w:line="198" w:lineRule="exact"/>
        <w:rPr>
          <w:rFonts w:ascii="Arial" w:cs="Arial" w:eastAsia="Arial" w:hAnsi="Arial"/>
          <w:sz w:val="18"/>
          <w:szCs w:val="18"/>
          <w:color w:val="auto"/>
        </w:rPr>
      </w:pPr>
    </w:p>
    <w:p>
      <w:pPr>
        <w:ind w:left="1300" w:right="740" w:hanging="644"/>
        <w:spacing w:after="0" w:line="246" w:lineRule="auto"/>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all UK Eligible Employees must be subject to the same Performance Allowances determined in accordance with these Provisions.</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7"/>
          <w:szCs w:val="17"/>
          <w:b w:val="1"/>
          <w:bCs w:val="1"/>
          <w:color w:val="auto"/>
        </w:rPr>
        <w:t>Notice to Participants of Performance Allowances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 the Administrator decides to use Performance Allowances in relation to an Award it will, as soon as reasonably practicable:</w:t>
      </w:r>
    </w:p>
    <w:p>
      <w:pPr>
        <w:spacing w:after="0" w:line="198" w:lineRule="exact"/>
        <w:rPr>
          <w:sz w:val="20"/>
          <w:szCs w:val="20"/>
          <w:color w:val="auto"/>
        </w:rPr>
      </w:pPr>
    </w:p>
    <w:p>
      <w:pPr>
        <w:ind w:left="1300" w:right="220" w:hanging="644"/>
        <w:spacing w:after="0" w:line="246" w:lineRule="auto"/>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notify each UK Eligible Employee participating in the Award of the performance targets and measures which, under the Plan, will be used to determine the number or value of Free Shares awarded to him; and</w:t>
      </w:r>
    </w:p>
    <w:p>
      <w:pPr>
        <w:spacing w:after="0" w:line="183" w:lineRule="exact"/>
        <w:rPr>
          <w:rFonts w:ascii="Arial" w:cs="Arial" w:eastAsia="Arial" w:hAnsi="Arial"/>
          <w:sz w:val="18"/>
          <w:szCs w:val="18"/>
          <w:color w:val="auto"/>
        </w:rPr>
      </w:pPr>
    </w:p>
    <w:p>
      <w:pPr>
        <w:ind w:left="1300" w:right="40" w:hanging="644"/>
        <w:spacing w:after="0" w:line="246" w:lineRule="auto"/>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notify all UK Eligible Employees of any Constituent Company, in general terms, of the performance targets and measures to be used to determine the number or value of Free Shares to be awarded to each Participant in relation to the Award.</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28</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7"/>
          <w:szCs w:val="17"/>
          <w:b w:val="1"/>
          <w:bCs w:val="1"/>
          <w:color w:val="auto"/>
        </w:rPr>
        <w:t>Performance Allowances: method 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this method:</w:t>
      </w:r>
    </w:p>
    <w:p>
      <w:pPr>
        <w:spacing w:after="0" w:line="198" w:lineRule="exact"/>
        <w:rPr>
          <w:sz w:val="20"/>
          <w:szCs w:val="20"/>
          <w:color w:val="auto"/>
        </w:rPr>
      </w:pPr>
    </w:p>
    <w:p>
      <w:pPr>
        <w:ind w:left="1300" w:hanging="64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at least 20% of the Free Shares awarded in any performance period will be awarded without reference to performance;</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remaining Free Shares will be awarded by reference to performance; and</w:t>
      </w:r>
    </w:p>
    <w:p>
      <w:pPr>
        <w:spacing w:after="0" w:line="198" w:lineRule="exact"/>
        <w:rPr>
          <w:rFonts w:ascii="Arial" w:cs="Arial" w:eastAsia="Arial" w:hAnsi="Arial"/>
          <w:sz w:val="18"/>
          <w:szCs w:val="18"/>
          <w:color w:val="auto"/>
        </w:rPr>
      </w:pPr>
    </w:p>
    <w:p>
      <w:pPr>
        <w:ind w:left="1300" w:right="220" w:hanging="64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highest number of Shares awarded to an individual by reference to performance in accordance with sub-paragraph (b) in any period will be no more than four times the highest number of shares awarded to an individual without reference to performance in accordance with sub-paragraph (a).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this method 1 is used:</w:t>
      </w:r>
    </w:p>
    <w:p>
      <w:pPr>
        <w:spacing w:after="0" w:line="198" w:lineRule="exact"/>
        <w:rPr>
          <w:sz w:val="20"/>
          <w:szCs w:val="20"/>
          <w:color w:val="auto"/>
        </w:rPr>
      </w:pPr>
    </w:p>
    <w:p>
      <w:pPr>
        <w:ind w:left="1960" w:right="300" w:hanging="655"/>
        <w:spacing w:after="0" w:line="246" w:lineRule="auto"/>
        <w:tabs>
          <w:tab w:leader="none" w:pos="1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Free Shares awarded without reference to performance (sub-paragraph (a)) will be awarded on the same terms mentioned in paragraph 1.2 as qualified by paragraph 1.3; and</w:t>
      </w:r>
    </w:p>
    <w:p>
      <w:pPr>
        <w:spacing w:after="0" w:line="183" w:lineRule="exact"/>
        <w:rPr>
          <w:rFonts w:ascii="Arial" w:cs="Arial" w:eastAsia="Arial" w:hAnsi="Arial"/>
          <w:sz w:val="18"/>
          <w:szCs w:val="18"/>
          <w:color w:val="auto"/>
        </w:rPr>
      </w:pPr>
    </w:p>
    <w:p>
      <w:pPr>
        <w:ind w:left="1960" w:right="200" w:hanging="655"/>
        <w:spacing w:after="0" w:line="246" w:lineRule="auto"/>
        <w:tabs>
          <w:tab w:leader="none" w:pos="1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Free Shares awarded by reference to performance (sub-paragraph (b)) need not be allocated on the same terms mentioned in paragraph 1.2 as qualified by paragraph 1.3.</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7"/>
          <w:szCs w:val="17"/>
          <w:b w:val="1"/>
          <w:bCs w:val="1"/>
          <w:color w:val="auto"/>
        </w:rPr>
        <w:t>Performance Allowances: method 2</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this method:</w:t>
      </w:r>
    </w:p>
    <w:p>
      <w:pPr>
        <w:spacing w:after="0" w:line="198" w:lineRule="exact"/>
        <w:rPr>
          <w:sz w:val="20"/>
          <w:szCs w:val="20"/>
          <w:color w:val="auto"/>
        </w:rPr>
      </w:pPr>
    </w:p>
    <w:p>
      <w:pPr>
        <w:ind w:left="1300" w:hanging="644"/>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some or all Free Shares will be awarded by reference to performance;</w:t>
      </w:r>
    </w:p>
    <w:p>
      <w:pPr>
        <w:spacing w:after="0" w:line="198" w:lineRule="exact"/>
        <w:rPr>
          <w:rFonts w:ascii="Arial" w:cs="Arial" w:eastAsia="Arial" w:hAnsi="Arial"/>
          <w:sz w:val="18"/>
          <w:szCs w:val="18"/>
          <w:color w:val="auto"/>
        </w:rPr>
      </w:pPr>
    </w:p>
    <w:p>
      <w:pPr>
        <w:ind w:left="1300" w:right="740" w:hanging="644"/>
        <w:spacing w:after="0" w:line="246" w:lineRule="auto"/>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Award of Free Shares to UK Eligible Employees who are members of the same performance unit (as referred to in paragraph 1.6) will be made on the same terms mentioned in paragraph 1.2 as qualified by paragraph 1.3; and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Free Shares awarded to each performance unit will be treated as separate Awards.</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7"/>
          <w:szCs w:val="17"/>
          <w:b w:val="1"/>
          <w:bCs w:val="1"/>
          <w:color w:val="auto"/>
        </w:rPr>
        <w:t>Forfeiture</w:t>
      </w:r>
    </w:p>
    <w:p>
      <w:pPr>
        <w:spacing w:after="0" w:line="220" w:lineRule="exact"/>
        <w:rPr>
          <w:sz w:val="20"/>
          <w:szCs w:val="20"/>
          <w:color w:val="auto"/>
        </w:rPr>
      </w:pPr>
    </w:p>
    <w:p>
      <w:pPr>
        <w:ind w:left="660" w:right="180"/>
        <w:spacing w:after="0" w:line="246" w:lineRule="auto"/>
        <w:rPr>
          <w:sz w:val="20"/>
          <w:szCs w:val="20"/>
          <w:color w:val="auto"/>
        </w:rPr>
      </w:pPr>
      <w:r>
        <w:rPr>
          <w:rFonts w:ascii="Arial" w:cs="Arial" w:eastAsia="Arial" w:hAnsi="Arial"/>
          <w:sz w:val="18"/>
          <w:szCs w:val="18"/>
          <w:color w:val="auto"/>
        </w:rPr>
        <w:t>For the purposes of this sub-paragraph, “Forfeiture Period” means a period of no more than 3 years beginning with the date on which the relevant Free Shares are awarded to the Participant and specified in the relevant Free Share Agreement.</w:t>
      </w:r>
    </w:p>
    <w:p>
      <w:pPr>
        <w:spacing w:after="0" w:line="183" w:lineRule="exact"/>
        <w:rPr>
          <w:sz w:val="20"/>
          <w:szCs w:val="20"/>
          <w:color w:val="auto"/>
        </w:rPr>
      </w:pPr>
    </w:p>
    <w:p>
      <w:pPr>
        <w:ind w:left="660" w:right="400"/>
        <w:spacing w:after="0" w:line="246" w:lineRule="auto"/>
        <w:rPr>
          <w:sz w:val="20"/>
          <w:szCs w:val="20"/>
          <w:color w:val="auto"/>
        </w:rPr>
      </w:pPr>
      <w:r>
        <w:rPr>
          <w:rFonts w:ascii="Arial" w:cs="Arial" w:eastAsia="Arial" w:hAnsi="Arial"/>
          <w:sz w:val="18"/>
          <w:szCs w:val="18"/>
          <w:color w:val="auto"/>
        </w:rPr>
        <w:t>The Free Shares to be appropriated to each UK Eligible Employee on a given Award Date may at the Administrator’s discretion be made subject to forfeiture (meaning that a Participant will cease to be beneficially entitled to them):</w:t>
      </w:r>
    </w:p>
    <w:p>
      <w:pPr>
        <w:spacing w:after="0" w:line="183" w:lineRule="exact"/>
        <w:rPr>
          <w:sz w:val="20"/>
          <w:szCs w:val="20"/>
          <w:color w:val="auto"/>
        </w:rPr>
      </w:pPr>
    </w:p>
    <w:p>
      <w:pPr>
        <w:ind w:left="1300" w:hanging="644"/>
        <w:spacing w:after="0"/>
        <w:tabs>
          <w:tab w:leader="none" w:pos="13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on the Participant ceasing to be in Relevant Employment at any time in the Forfeiture Period; and/or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on the Participant withdrawing the Free Shares from the Plan during the Forfeiture Period,</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ind w:left="11100"/>
        <w:spacing w:after="0"/>
        <w:rPr>
          <w:sz w:val="20"/>
          <w:szCs w:val="20"/>
          <w:color w:val="auto"/>
        </w:rPr>
      </w:pPr>
      <w:r>
        <w:rPr>
          <w:rFonts w:ascii="Arial" w:cs="Arial" w:eastAsia="Arial" w:hAnsi="Arial"/>
          <w:sz w:val="14"/>
          <w:szCs w:val="14"/>
          <w:color w:val="auto"/>
        </w:rPr>
        <w:t>Draft</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otherwise than by reason of death, injury, disability, redundancy, retirement, a relevant transfer within the meaning of the Transfer of Undertakings (Protection of Employment) Regulations 2006 or the employing company of the Participant ceasing to be an Associated Company provided that the forfeiture of Free Shares will not be linked to the performance of any person or persons and the same provision for forfeiture will apply in relation to all Free Shares appropriated at the same award Date.</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30</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w:t>
      </w:r>
    </w:p>
    <w:p>
      <w:pPr>
        <w:spacing w:after="0" w:line="198" w:lineRule="exact"/>
        <w:rPr>
          <w:sz w:val="20"/>
          <w:szCs w:val="20"/>
          <w:color w:val="auto"/>
        </w:rPr>
      </w:pPr>
    </w:p>
    <w:p>
      <w:pPr>
        <w:ind w:left="660" w:hanging="652"/>
        <w:spacing w:after="0"/>
        <w:tabs>
          <w:tab w:leader="none" w:pos="6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SHARES</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b w:val="1"/>
          <w:bCs w:val="1"/>
          <w:color w:val="auto"/>
        </w:rPr>
        <w:t>Invitation to acquire Investment Shares</w:t>
      </w:r>
    </w:p>
    <w:p>
      <w:pPr>
        <w:spacing w:after="0" w:line="220" w:lineRule="exact"/>
        <w:rPr>
          <w:sz w:val="20"/>
          <w:szCs w:val="20"/>
          <w:color w:val="auto"/>
        </w:rPr>
      </w:pPr>
    </w:p>
    <w:p>
      <w:pPr>
        <w:ind w:left="660" w:right="160"/>
        <w:spacing w:after="0"/>
        <w:rPr>
          <w:sz w:val="20"/>
          <w:szCs w:val="20"/>
          <w:color w:val="auto"/>
        </w:rPr>
      </w:pPr>
      <w:r>
        <w:rPr>
          <w:rFonts w:ascii="Arial" w:cs="Arial" w:eastAsia="Arial" w:hAnsi="Arial"/>
          <w:sz w:val="18"/>
          <w:szCs w:val="18"/>
          <w:color w:val="auto"/>
        </w:rPr>
        <w:t>The Administrator may at any time invite every UK Eligible Employee to enter into a Partnership Share Agreement in accordance with the provisions of this Part 2 of Schedule 2 and will specify in the invitation (or other information issued with, or made available to UK Eligible Employees at the same time as, the invitation):</w:t>
      </w:r>
    </w:p>
    <w:p>
      <w:pPr>
        <w:spacing w:after="0" w:line="189" w:lineRule="exact"/>
        <w:rPr>
          <w:sz w:val="20"/>
          <w:szCs w:val="20"/>
          <w:color w:val="auto"/>
        </w:rPr>
      </w:pPr>
    </w:p>
    <w:p>
      <w:pPr>
        <w:ind w:left="1300" w:right="280" w:hanging="644"/>
        <w:spacing w:after="0" w:line="246" w:lineRule="auto"/>
        <w:tabs>
          <w:tab w:leader="none" w:pos="13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if the Administrator in its absolute discretion has so decided, the maximum aggregate number of Shares to be included in all Awards of Investment Shares in response to that invitation;</w:t>
      </w:r>
    </w:p>
    <w:p>
      <w:pPr>
        <w:spacing w:after="0" w:line="183" w:lineRule="exact"/>
        <w:rPr>
          <w:rFonts w:ascii="Arial" w:cs="Arial" w:eastAsia="Arial" w:hAnsi="Arial"/>
          <w:sz w:val="18"/>
          <w:szCs w:val="18"/>
          <w:color w:val="auto"/>
        </w:rPr>
      </w:pPr>
    </w:p>
    <w:p>
      <w:pPr>
        <w:ind w:left="1300" w:right="60" w:hanging="644"/>
        <w:spacing w:after="0"/>
        <w:tabs>
          <w:tab w:leader="none" w:pos="13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if the Administrator has so determined, the minimum amount to be deducted under a Partnership Share Agreement on any occasion (provided that the amount must be the same in relation to all Partnership Share Agreements entered into in response to invitations issued on that occasion and must not be greater than £10);</w:t>
      </w:r>
    </w:p>
    <w:p>
      <w:pPr>
        <w:spacing w:after="0" w:line="189" w:lineRule="exact"/>
        <w:rPr>
          <w:rFonts w:ascii="Arial" w:cs="Arial" w:eastAsia="Arial" w:hAnsi="Arial"/>
          <w:sz w:val="18"/>
          <w:szCs w:val="18"/>
          <w:color w:val="auto"/>
        </w:rPr>
      </w:pPr>
    </w:p>
    <w:p>
      <w:pPr>
        <w:ind w:left="1300" w:hanging="644"/>
        <w:spacing w:after="0"/>
        <w:tabs>
          <w:tab w:leader="none" w:pos="13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whether or not there is to be an Offering Period (which must not exceed 12 months) and if so:</w:t>
      </w:r>
    </w:p>
    <w:p>
      <w:pPr>
        <w:spacing w:after="0" w:line="198" w:lineRule="exact"/>
        <w:rPr>
          <w:rFonts w:ascii="Arial" w:cs="Arial" w:eastAsia="Arial" w:hAnsi="Arial"/>
          <w:sz w:val="18"/>
          <w:szCs w:val="18"/>
          <w:color w:val="auto"/>
        </w:rPr>
      </w:pPr>
    </w:p>
    <w:p>
      <w:pPr>
        <w:ind w:left="1960" w:hanging="655"/>
        <w:spacing w:after="0"/>
        <w:tabs>
          <w:tab w:leader="none" w:pos="19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its length; and</w:t>
      </w:r>
    </w:p>
    <w:p>
      <w:pPr>
        <w:spacing w:after="0" w:line="198" w:lineRule="exact"/>
        <w:rPr>
          <w:rFonts w:ascii="Arial" w:cs="Arial" w:eastAsia="Arial" w:hAnsi="Arial"/>
          <w:sz w:val="18"/>
          <w:szCs w:val="18"/>
          <w:color w:val="auto"/>
        </w:rPr>
      </w:pPr>
    </w:p>
    <w:p>
      <w:pPr>
        <w:ind w:left="1960" w:hanging="655"/>
        <w:spacing w:after="0"/>
        <w:tabs>
          <w:tab w:leader="none" w:pos="19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whether the number of Shares acquired on behalf of each Participant will be determined by reference to:</w:t>
      </w:r>
    </w:p>
    <w:p>
      <w:pPr>
        <w:spacing w:after="0" w:line="198" w:lineRule="exact"/>
        <w:rPr>
          <w:rFonts w:ascii="Arial" w:cs="Arial" w:eastAsia="Arial" w:hAnsi="Arial"/>
          <w:sz w:val="18"/>
          <w:szCs w:val="18"/>
          <w:color w:val="auto"/>
        </w:rPr>
      </w:pPr>
    </w:p>
    <w:p>
      <w:pPr>
        <w:ind w:left="2600" w:hanging="647"/>
        <w:spacing w:after="0"/>
        <w:tabs>
          <w:tab w:leader="none" w:pos="2600" w:val="left"/>
        </w:tabs>
        <w:numPr>
          <w:ilvl w:val="2"/>
          <w:numId w:val="147"/>
        </w:numPr>
        <w:rPr>
          <w:rFonts w:ascii="Arial" w:cs="Arial" w:eastAsia="Arial" w:hAnsi="Arial"/>
          <w:sz w:val="18"/>
          <w:szCs w:val="18"/>
          <w:color w:val="auto"/>
        </w:rPr>
      </w:pPr>
      <w:r>
        <w:rPr>
          <w:rFonts w:ascii="Arial" w:cs="Arial" w:eastAsia="Arial" w:hAnsi="Arial"/>
          <w:sz w:val="18"/>
          <w:szCs w:val="18"/>
          <w:color w:val="auto"/>
        </w:rPr>
        <w:t>the Market Value of the Shares at the beginning of the Offering Period;</w:t>
      </w:r>
    </w:p>
    <w:p>
      <w:pPr>
        <w:spacing w:after="0" w:line="198" w:lineRule="exact"/>
        <w:rPr>
          <w:rFonts w:ascii="Arial" w:cs="Arial" w:eastAsia="Arial" w:hAnsi="Arial"/>
          <w:sz w:val="18"/>
          <w:szCs w:val="18"/>
          <w:color w:val="auto"/>
        </w:rPr>
      </w:pPr>
    </w:p>
    <w:p>
      <w:pPr>
        <w:ind w:left="2600" w:hanging="647"/>
        <w:spacing w:after="0"/>
        <w:tabs>
          <w:tab w:leader="none" w:pos="2600" w:val="left"/>
        </w:tabs>
        <w:numPr>
          <w:ilvl w:val="2"/>
          <w:numId w:val="147"/>
        </w:numPr>
        <w:rPr>
          <w:rFonts w:ascii="Arial" w:cs="Arial" w:eastAsia="Arial" w:hAnsi="Arial"/>
          <w:sz w:val="18"/>
          <w:szCs w:val="18"/>
          <w:color w:val="auto"/>
        </w:rPr>
      </w:pPr>
      <w:r>
        <w:rPr>
          <w:rFonts w:ascii="Arial" w:cs="Arial" w:eastAsia="Arial" w:hAnsi="Arial"/>
          <w:sz w:val="18"/>
          <w:szCs w:val="18"/>
          <w:color w:val="auto"/>
        </w:rPr>
        <w:t>the Market Value of the Shares on the Acquisition Date; or</w:t>
      </w:r>
    </w:p>
    <w:p>
      <w:pPr>
        <w:spacing w:after="0" w:line="198" w:lineRule="exact"/>
        <w:rPr>
          <w:rFonts w:ascii="Arial" w:cs="Arial" w:eastAsia="Arial" w:hAnsi="Arial"/>
          <w:sz w:val="18"/>
          <w:szCs w:val="18"/>
          <w:color w:val="auto"/>
        </w:rPr>
      </w:pPr>
    </w:p>
    <w:p>
      <w:pPr>
        <w:ind w:left="2600" w:right="40" w:hanging="647"/>
        <w:spacing w:after="0" w:line="246" w:lineRule="auto"/>
        <w:tabs>
          <w:tab w:leader="none" w:pos="2600" w:val="left"/>
        </w:tabs>
        <w:numPr>
          <w:ilvl w:val="2"/>
          <w:numId w:val="147"/>
        </w:numPr>
        <w:rPr>
          <w:rFonts w:ascii="Arial" w:cs="Arial" w:eastAsia="Arial" w:hAnsi="Arial"/>
          <w:sz w:val="18"/>
          <w:szCs w:val="18"/>
          <w:color w:val="auto"/>
        </w:rPr>
      </w:pPr>
      <w:r>
        <w:rPr>
          <w:rFonts w:ascii="Arial" w:cs="Arial" w:eastAsia="Arial" w:hAnsi="Arial"/>
          <w:sz w:val="18"/>
          <w:szCs w:val="18"/>
          <w:color w:val="auto"/>
        </w:rPr>
        <w:t>the lower of the Market Value of the Shares at the beginning of the Offering Period and the Market Value of the Shares on the Acquisition Date.</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b w:val="1"/>
          <w:bCs w:val="1"/>
          <w:color w:val="auto"/>
        </w:rPr>
        <w:t>Forfeiture</w:t>
      </w:r>
    </w:p>
    <w:p>
      <w:pPr>
        <w:spacing w:after="0" w:line="220" w:lineRule="exact"/>
        <w:rPr>
          <w:sz w:val="20"/>
          <w:szCs w:val="20"/>
          <w:color w:val="auto"/>
        </w:rPr>
      </w:pPr>
    </w:p>
    <w:p>
      <w:pPr>
        <w:ind w:left="660" w:right="800"/>
        <w:spacing w:after="0" w:line="246" w:lineRule="auto"/>
        <w:rPr>
          <w:sz w:val="20"/>
          <w:szCs w:val="20"/>
          <w:color w:val="auto"/>
        </w:rPr>
      </w:pPr>
      <w:r>
        <w:rPr>
          <w:rFonts w:ascii="Arial" w:cs="Arial" w:eastAsia="Arial" w:hAnsi="Arial"/>
          <w:sz w:val="18"/>
          <w:szCs w:val="18"/>
          <w:color w:val="auto"/>
        </w:rPr>
        <w:t>Investment Shares must not be subject to any provision under which they may be forfeited while the Participant is in Relevant Employment.</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b w:val="1"/>
          <w:bCs w:val="1"/>
          <w:color w:val="auto"/>
        </w:rPr>
        <w:t>Contents of Partnership Share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Partnership Share Agreement must contain:</w:t>
      </w:r>
    </w:p>
    <w:p>
      <w:pPr>
        <w:spacing w:after="0" w:line="180" w:lineRule="exact"/>
        <w:rPr>
          <w:sz w:val="20"/>
          <w:szCs w:val="20"/>
          <w:color w:val="auto"/>
        </w:rPr>
      </w:pPr>
    </w:p>
    <w:p>
      <w:pPr>
        <w:ind w:left="1300" w:right="60" w:hanging="644"/>
        <w:spacing w:after="0" w:line="267" w:lineRule="auto"/>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notice as prescribed under paragraph 48 of ITEPA Schedule 2 (</w:t>
      </w:r>
      <w:r>
        <w:rPr>
          <w:rFonts w:ascii="Arial" w:cs="Arial" w:eastAsia="Arial" w:hAnsi="Arial"/>
          <w:sz w:val="18"/>
          <w:szCs w:val="18"/>
          <w:i w:val="1"/>
          <w:iCs w:val="1"/>
          <w:color w:val="auto"/>
        </w:rPr>
        <w:t>statement as to possible effect on Participant’s entitlement to</w:t>
      </w:r>
      <w:r>
        <w:rPr>
          <w:rFonts w:ascii="Arial" w:cs="Arial" w:eastAsia="Arial" w:hAnsi="Arial"/>
          <w:sz w:val="18"/>
          <w:szCs w:val="18"/>
          <w:color w:val="auto"/>
        </w:rPr>
        <w:t xml:space="preserve"> </w:t>
      </w:r>
      <w:r>
        <w:rPr>
          <w:rFonts w:ascii="Arial" w:cs="Arial" w:eastAsia="Arial" w:hAnsi="Arial"/>
          <w:sz w:val="18"/>
          <w:szCs w:val="18"/>
          <w:i w:val="1"/>
          <w:iCs w:val="1"/>
          <w:color w:val="auto"/>
        </w:rPr>
        <w:t>social security benefits, statutory sick pay and statutory maternity pay</w:t>
      </w:r>
      <w:r>
        <w:rPr>
          <w:rFonts w:ascii="Arial" w:cs="Arial" w:eastAsia="Arial" w:hAnsi="Arial"/>
          <w:sz w:val="18"/>
          <w:szCs w:val="18"/>
          <w:color w:val="auto"/>
        </w:rPr>
        <w: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98" w:lineRule="exact"/>
        <w:rPr>
          <w:sz w:val="20"/>
          <w:szCs w:val="20"/>
          <w:color w:val="auto"/>
        </w:rPr>
      </w:pPr>
    </w:p>
    <w:p>
      <w:pPr>
        <w:ind w:left="1300" w:right="200" w:hanging="644"/>
        <w:spacing w:after="0" w:line="246" w:lineRule="auto"/>
        <w:tabs>
          <w:tab w:leader="none" w:pos="13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 undertaking by the Company to notify each Eligible Employee of any restriction on the number of Shares to be included in an Award, which must be given:</w:t>
      </w:r>
    </w:p>
    <w:p>
      <w:pPr>
        <w:spacing w:after="0" w:line="183" w:lineRule="exact"/>
        <w:rPr>
          <w:rFonts w:ascii="Arial" w:cs="Arial" w:eastAsia="Arial" w:hAnsi="Arial"/>
          <w:sz w:val="18"/>
          <w:szCs w:val="18"/>
          <w:color w:val="auto"/>
        </w:rPr>
      </w:pPr>
    </w:p>
    <w:p>
      <w:pPr>
        <w:ind w:left="1960" w:hanging="655"/>
        <w:spacing w:after="0"/>
        <w:tabs>
          <w:tab w:leader="none" w:pos="19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if there is no Offering Period, before the deduction of the Contributions relating to the Award; and</w:t>
      </w:r>
    </w:p>
    <w:p>
      <w:pPr>
        <w:spacing w:after="0" w:line="198" w:lineRule="exact"/>
        <w:rPr>
          <w:rFonts w:ascii="Arial" w:cs="Arial" w:eastAsia="Arial" w:hAnsi="Arial"/>
          <w:sz w:val="18"/>
          <w:szCs w:val="18"/>
          <w:color w:val="auto"/>
        </w:rPr>
      </w:pPr>
    </w:p>
    <w:p>
      <w:pPr>
        <w:ind w:left="1960" w:hanging="655"/>
        <w:spacing w:after="0"/>
        <w:tabs>
          <w:tab w:leader="none" w:pos="19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if there is an Offering Period, before the beginning of the Offering Period relating to the Award; and</w:t>
      </w:r>
    </w:p>
    <w:p>
      <w:pPr>
        <w:spacing w:after="0" w:line="198"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there is to be an Offering Period, its length and which Market Value (from the alternatives specified in paragraph 2.1(c)(ii)) will be applied to determine the number of Investment Shares to be acquired.</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b w:val="1"/>
          <w:bCs w:val="1"/>
          <w:color w:val="auto"/>
        </w:rPr>
        <w:t>Authority for deductions from salary</w:t>
      </w:r>
    </w:p>
    <w:p>
      <w:pPr>
        <w:spacing w:after="0" w:line="220" w:lineRule="exact"/>
        <w:rPr>
          <w:sz w:val="20"/>
          <w:szCs w:val="20"/>
          <w:color w:val="auto"/>
        </w:rPr>
      </w:pPr>
    </w:p>
    <w:p>
      <w:pPr>
        <w:ind w:left="660" w:right="140"/>
        <w:spacing w:after="0" w:line="246" w:lineRule="auto"/>
        <w:rPr>
          <w:sz w:val="20"/>
          <w:szCs w:val="20"/>
          <w:color w:val="auto"/>
        </w:rPr>
      </w:pPr>
      <w:r>
        <w:rPr>
          <w:rFonts w:ascii="Arial" w:cs="Arial" w:eastAsia="Arial" w:hAnsi="Arial"/>
          <w:sz w:val="18"/>
          <w:szCs w:val="18"/>
          <w:color w:val="auto"/>
        </w:rPr>
        <w:t>Subject to the Provisions, the amount of Contributions will be the amount that an Eligible Employee specifies in the Partnership Share Agreement that they are willing to allow to be deducted from Salary (whether paid monthly or at other intervals).</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b w:val="1"/>
          <w:bCs w:val="1"/>
          <w:color w:val="auto"/>
        </w:rPr>
        <w:t>Limits on deductions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maximum permitted amount of Contributions deducted from the Participant’s Salary may not exceed the lowest of:</w:t>
      </w:r>
    </w:p>
    <w:p>
      <w:pPr>
        <w:spacing w:after="0" w:line="198" w:lineRule="exact"/>
        <w:rPr>
          <w:sz w:val="20"/>
          <w:szCs w:val="20"/>
          <w:color w:val="auto"/>
        </w:rPr>
      </w:pPr>
    </w:p>
    <w:p>
      <w:pPr>
        <w:ind w:left="1300" w:right="500" w:hanging="644"/>
        <w:spacing w:after="0" w:line="246" w:lineRule="auto"/>
        <w:tabs>
          <w:tab w:leader="none" w:pos="13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£1,800 in any Tax Year or such other amount as may be prescribed from time to time for the purposes of paragraph 46 of ITEPA Schedule 2;</w:t>
      </w:r>
    </w:p>
    <w:p>
      <w:pPr>
        <w:spacing w:after="0" w:line="183" w:lineRule="exact"/>
        <w:rPr>
          <w:rFonts w:ascii="Arial" w:cs="Arial" w:eastAsia="Arial" w:hAnsi="Arial"/>
          <w:sz w:val="18"/>
          <w:szCs w:val="18"/>
          <w:color w:val="auto"/>
        </w:rPr>
      </w:pPr>
    </w:p>
    <w:p>
      <w:pPr>
        <w:ind w:left="1300" w:right="60" w:hanging="644"/>
        <w:spacing w:after="0" w:line="246" w:lineRule="auto"/>
        <w:tabs>
          <w:tab w:leader="none" w:pos="13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where there is an Offering Period, 10% of the total of the payments of Salary made to such employee over that Offering Period or if there is no Offering Period, 10% of the Salary payment from which the deduction is made; and</w:t>
      </w:r>
    </w:p>
    <w:p>
      <w:pPr>
        <w:spacing w:after="0" w:line="183" w:lineRule="exact"/>
        <w:rPr>
          <w:rFonts w:ascii="Arial" w:cs="Arial" w:eastAsia="Arial" w:hAnsi="Arial"/>
          <w:sz w:val="18"/>
          <w:szCs w:val="18"/>
          <w:color w:val="auto"/>
        </w:rPr>
      </w:pPr>
    </w:p>
    <w:p>
      <w:pPr>
        <w:ind w:left="1300" w:right="460" w:hanging="644"/>
        <w:spacing w:after="0" w:line="246" w:lineRule="auto"/>
        <w:tabs>
          <w:tab w:leader="none" w:pos="13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such maximum amount (if any) as may have been determined by the Administrator for this purpose and specified in every invitation issued to UK Eligible Employees on that occasion.</w:t>
      </w:r>
    </w:p>
    <w:p>
      <w:pPr>
        <w:spacing w:after="0" w:line="183" w:lineRule="exact"/>
        <w:rPr>
          <w:sz w:val="20"/>
          <w:szCs w:val="20"/>
          <w:color w:val="auto"/>
        </w:rPr>
      </w:pPr>
    </w:p>
    <w:p>
      <w:pPr>
        <w:ind w:left="660" w:right="240"/>
        <w:spacing w:after="0" w:line="246" w:lineRule="auto"/>
        <w:rPr>
          <w:sz w:val="20"/>
          <w:szCs w:val="20"/>
          <w:color w:val="auto"/>
        </w:rPr>
      </w:pPr>
      <w:r>
        <w:rPr>
          <w:rFonts w:ascii="Arial" w:cs="Arial" w:eastAsia="Arial" w:hAnsi="Arial"/>
          <w:sz w:val="18"/>
          <w:szCs w:val="18"/>
          <w:color w:val="auto"/>
        </w:rPr>
        <w:t>Any amount deducted in excess of that allowed by this paragraph 2.5 must be paid over to the relevant Eligible Employee, subject to both deduction of income tax under PAYE and employee’s NICs, as soon as practicable.</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b w:val="1"/>
          <w:bCs w:val="1"/>
          <w:color w:val="auto"/>
        </w:rPr>
        <w:t>Investment of Partnership Share Money</w:t>
      </w:r>
    </w:p>
    <w:p>
      <w:pPr>
        <w:spacing w:after="0" w:line="220" w:lineRule="exact"/>
        <w:rPr>
          <w:sz w:val="20"/>
          <w:szCs w:val="20"/>
          <w:color w:val="auto"/>
        </w:rPr>
      </w:pPr>
    </w:p>
    <w:p>
      <w:pPr>
        <w:ind w:left="660" w:right="120"/>
        <w:spacing w:after="0"/>
        <w:rPr>
          <w:sz w:val="20"/>
          <w:szCs w:val="20"/>
          <w:color w:val="auto"/>
        </w:rPr>
      </w:pPr>
      <w:r>
        <w:rPr>
          <w:rFonts w:ascii="Arial" w:cs="Arial" w:eastAsia="Arial" w:hAnsi="Arial"/>
          <w:sz w:val="18"/>
          <w:szCs w:val="18"/>
          <w:color w:val="auto"/>
        </w:rPr>
        <w:t>The Company and Participating Companies will, as soon as practicable after deduction from a Participant’s Salary, pass Contributions to the Trustee who will place such Contributions into an account with any bank as defined in section 1120 of the Corporation Tax Act 2010, in particular:</w:t>
      </w:r>
    </w:p>
    <w:p>
      <w:pPr>
        <w:spacing w:after="0" w:line="189" w:lineRule="exact"/>
        <w:rPr>
          <w:sz w:val="20"/>
          <w:szCs w:val="20"/>
          <w:color w:val="auto"/>
        </w:rPr>
      </w:pPr>
    </w:p>
    <w:p>
      <w:pPr>
        <w:ind w:left="1300" w:hanging="644"/>
        <w:spacing w:after="0"/>
        <w:tabs>
          <w:tab w:leader="none" w:pos="1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person following within section 1120(2)(b) of the Corporation Tax Act 2010; or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firm falling within section 1120 (2)(c) of the Corporation Tax Act 2010;</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98" w:lineRule="exact"/>
        <w:rPr>
          <w:sz w:val="20"/>
          <w:szCs w:val="20"/>
          <w:color w:val="auto"/>
        </w:rPr>
      </w:pPr>
    </w:p>
    <w:p>
      <w:pPr>
        <w:ind w:left="660" w:right="100"/>
        <w:spacing w:after="0"/>
        <w:rPr>
          <w:sz w:val="20"/>
          <w:szCs w:val="20"/>
          <w:color w:val="auto"/>
        </w:rPr>
      </w:pPr>
      <w:r>
        <w:rPr>
          <w:rFonts w:ascii="Arial" w:cs="Arial" w:eastAsia="Arial" w:hAnsi="Arial"/>
          <w:sz w:val="18"/>
          <w:szCs w:val="18"/>
          <w:color w:val="auto"/>
        </w:rPr>
        <w:t>until such money is either used to acquire Investment Shares on the relevant Acquisition Date, or, in accordance with the Plan, returned to the Eligible Employee from whose salary such Contributions have been deducted. The Trustee will account for any interest arising on this invested money to the Eligible Employee from whose Salary the Contributions have been deducted.</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b w:val="1"/>
          <w:bCs w:val="1"/>
          <w:color w:val="auto"/>
        </w:rPr>
        <w:t>Purchasing Investment Shares</w:t>
      </w:r>
    </w:p>
    <w:p>
      <w:pPr>
        <w:spacing w:after="0" w:line="220" w:lineRule="exact"/>
        <w:rPr>
          <w:sz w:val="20"/>
          <w:szCs w:val="20"/>
          <w:color w:val="auto"/>
        </w:rPr>
      </w:pPr>
    </w:p>
    <w:p>
      <w:pPr>
        <w:ind w:left="1300" w:right="300" w:hanging="644"/>
        <w:spacing w:after="0" w:line="239" w:lineRule="auto"/>
        <w:tabs>
          <w:tab w:leader="none" w:pos="13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If there is no Offering Period the Trustee will acquire Investment Shares on behalf of an Eligible Employee using the Contributions on the Acquisition Date (which must be within 30 days of the last date on which the relevant deduction of Contributions was made, or such later date as may be allowed by paragraph 50(4) of ITEPA Schedule 2) and the number of Shares awarded to each employee will be determined in accordance with the Market Value of the Shares on that date.</w:t>
      </w:r>
    </w:p>
    <w:p>
      <w:pPr>
        <w:spacing w:after="0" w:line="188" w:lineRule="exact"/>
        <w:rPr>
          <w:rFonts w:ascii="Arial" w:cs="Arial" w:eastAsia="Arial" w:hAnsi="Arial"/>
          <w:sz w:val="18"/>
          <w:szCs w:val="18"/>
          <w:color w:val="auto"/>
        </w:rPr>
      </w:pPr>
    </w:p>
    <w:p>
      <w:pPr>
        <w:ind w:left="1300" w:right="80" w:hanging="644"/>
        <w:spacing w:after="0" w:line="238" w:lineRule="auto"/>
        <w:tabs>
          <w:tab w:leader="none" w:pos="13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If there is an Offering Period, the Trustee will acquire Shares on behalf of the Eligible Employee using the Contributions on the Acquisition Date (which must be within 30 days of the end of the Offering Period, or such later date as may be allowed by paragraph 52(5) of ITEPA Schedule 2) and the number of Shares acquired on behalf of each Participant will be determined by reference to the method for setting Market Value of the Shares specified in the relevant invitation (or related information) in accordance with paragraph 2.1(c)(ii).</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7"/>
          <w:szCs w:val="17"/>
          <w:b w:val="1"/>
          <w:bCs w:val="1"/>
          <w:color w:val="auto"/>
        </w:rPr>
        <w:t>Refund of surplus deductions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surplus Contributions remaining after the acquisition of Shares by the Trustee:</w:t>
      </w:r>
    </w:p>
    <w:p>
      <w:pPr>
        <w:spacing w:after="0" w:line="198" w:lineRule="exact"/>
        <w:rPr>
          <w:sz w:val="20"/>
          <w:szCs w:val="20"/>
          <w:color w:val="auto"/>
        </w:rPr>
      </w:pPr>
    </w:p>
    <w:p>
      <w:pPr>
        <w:ind w:left="1300" w:right="360" w:hanging="644"/>
        <w:spacing w:after="0" w:line="246" w:lineRule="auto"/>
        <w:tabs>
          <w:tab w:leader="none" w:pos="13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may, with the agreement of the Participant, be carried forward to the next Offering Period or the next deduction as the case may be; and</w:t>
      </w:r>
    </w:p>
    <w:p>
      <w:pPr>
        <w:spacing w:after="0" w:line="183" w:lineRule="exact"/>
        <w:rPr>
          <w:rFonts w:ascii="Arial" w:cs="Arial" w:eastAsia="Arial" w:hAnsi="Arial"/>
          <w:sz w:val="18"/>
          <w:szCs w:val="18"/>
          <w:color w:val="auto"/>
        </w:rPr>
      </w:pPr>
    </w:p>
    <w:p>
      <w:pPr>
        <w:ind w:left="1300" w:right="400" w:hanging="644"/>
        <w:spacing w:after="0" w:line="246" w:lineRule="auto"/>
        <w:tabs>
          <w:tab w:leader="none" w:pos="13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any other case, will be paid over to the Participant, subject to deduction of both income tax under PAYE and employee’s NICs, as soon as practicable.</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7"/>
          <w:szCs w:val="17"/>
          <w:b w:val="1"/>
          <w:bCs w:val="1"/>
          <w:color w:val="auto"/>
        </w:rPr>
        <w:t>Stopping and re-starting deductions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Participant may stop and re-start deductions as follows:</w:t>
      </w:r>
    </w:p>
    <w:p>
      <w:pPr>
        <w:spacing w:after="0" w:line="198" w:lineRule="exact"/>
        <w:rPr>
          <w:sz w:val="20"/>
          <w:szCs w:val="20"/>
          <w:color w:val="auto"/>
        </w:rPr>
      </w:pPr>
    </w:p>
    <w:p>
      <w:pPr>
        <w:ind w:left="1300" w:hanging="644"/>
        <w:spacing w:after="0"/>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Participant may at any time give notice in writing to the Company to stop deductions under a Partnership Share Agreement.</w:t>
      </w:r>
    </w:p>
    <w:p>
      <w:pPr>
        <w:spacing w:after="0" w:line="198"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Participant who has stopped deductions may subsequently give notice in writing to the Company to re-start deductions under a Partnership Share Agreement, but may not make up deductions that have been missed.</w:t>
      </w:r>
    </w:p>
    <w:p>
      <w:pPr>
        <w:spacing w:after="0" w:line="183" w:lineRule="exact"/>
        <w:rPr>
          <w:rFonts w:ascii="Arial" w:cs="Arial" w:eastAsia="Arial" w:hAnsi="Arial"/>
          <w:sz w:val="18"/>
          <w:szCs w:val="18"/>
          <w:color w:val="auto"/>
        </w:rPr>
      </w:pPr>
    </w:p>
    <w:p>
      <w:pPr>
        <w:ind w:left="1300" w:right="240" w:hanging="644"/>
        <w:spacing w:after="0" w:line="246" w:lineRule="auto"/>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the Award of Investment Shares is subject to one or more Offering Periods, a Participant may not re-start deductions more than once in any Offering Period.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Subject to a later date being specified in the notice:</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98" w:lineRule="exact"/>
        <w:rPr>
          <w:sz w:val="20"/>
          <w:szCs w:val="20"/>
          <w:color w:val="auto"/>
        </w:rPr>
      </w:pPr>
    </w:p>
    <w:p>
      <w:pPr>
        <w:ind w:left="1960" w:right="120" w:hanging="655"/>
        <w:spacing w:after="0" w:line="246" w:lineRule="auto"/>
        <w:tabs>
          <w:tab w:leader="none" w:pos="1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Company must within 30 days of receiving a notice under sub-paragraph(a), ensure that no further deductions are made by it under the Partnership Share Agreement; and</w:t>
      </w:r>
    </w:p>
    <w:p>
      <w:pPr>
        <w:spacing w:after="0" w:line="183" w:lineRule="exact"/>
        <w:rPr>
          <w:rFonts w:ascii="Arial" w:cs="Arial" w:eastAsia="Arial" w:hAnsi="Arial"/>
          <w:sz w:val="18"/>
          <w:szCs w:val="18"/>
          <w:color w:val="auto"/>
        </w:rPr>
      </w:pPr>
    </w:p>
    <w:p>
      <w:pPr>
        <w:jc w:val="both"/>
        <w:ind w:left="1960" w:right="400" w:hanging="655"/>
        <w:spacing w:after="0"/>
        <w:tabs>
          <w:tab w:leader="none" w:pos="1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Company must on receiving a notice under sub-paragraph (a) re-start deductions under the Partnership Share Agreement not later than the date of the first deduction due under the Partnership Share Agreement more than 30 days after receipt of the notice under sub-paragraph (a).</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7"/>
          <w:szCs w:val="17"/>
          <w:b w:val="1"/>
          <w:bCs w:val="1"/>
          <w:color w:val="auto"/>
        </w:rPr>
        <w:t>Withdrawing from a Partnership Share Agreement</w:t>
      </w:r>
    </w:p>
    <w:p>
      <w:pPr>
        <w:spacing w:after="0" w:line="220" w:lineRule="exact"/>
        <w:rPr>
          <w:sz w:val="20"/>
          <w:szCs w:val="20"/>
          <w:color w:val="auto"/>
        </w:rPr>
      </w:pPr>
    </w:p>
    <w:p>
      <w:pPr>
        <w:ind w:left="660" w:right="80"/>
        <w:spacing w:after="0" w:line="239" w:lineRule="auto"/>
        <w:rPr>
          <w:sz w:val="20"/>
          <w:szCs w:val="20"/>
          <w:color w:val="auto"/>
        </w:rPr>
      </w:pPr>
      <w:r>
        <w:rPr>
          <w:rFonts w:ascii="Arial" w:cs="Arial" w:eastAsia="Arial" w:hAnsi="Arial"/>
          <w:sz w:val="18"/>
          <w:szCs w:val="18"/>
          <w:color w:val="auto"/>
        </w:rPr>
        <w:t>An Eligible Employee may withdraw from a Partnership Share Agreement at any time by notice in writing to the Company. Unless a later date is specified in the notice, such a notice will take effect 30 days after the Company receives it. Any Contributions then held on behalf of an Eligible Employee will be paid over to that Eligible Employee as soon as practicable. This payment will be subject to deduction of income tax under PAYE and employee’s NICs.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b w:val="1"/>
          <w:bCs w:val="1"/>
          <w:color w:val="auto"/>
        </w:rPr>
        <w:t>Withdrawal of Investment Shares from the Plan</w:t>
      </w:r>
    </w:p>
    <w:p>
      <w:pPr>
        <w:spacing w:after="0" w:line="220" w:lineRule="exact"/>
        <w:rPr>
          <w:sz w:val="20"/>
          <w:szCs w:val="20"/>
          <w:color w:val="auto"/>
        </w:rPr>
      </w:pPr>
    </w:p>
    <w:p>
      <w:pPr>
        <w:ind w:left="660" w:right="580"/>
        <w:spacing w:after="0" w:line="246" w:lineRule="auto"/>
        <w:rPr>
          <w:sz w:val="20"/>
          <w:szCs w:val="20"/>
          <w:color w:val="auto"/>
        </w:rPr>
      </w:pPr>
      <w:r>
        <w:rPr>
          <w:rFonts w:ascii="Arial" w:cs="Arial" w:eastAsia="Arial" w:hAnsi="Arial"/>
          <w:sz w:val="18"/>
          <w:szCs w:val="18"/>
          <w:color w:val="auto"/>
        </w:rPr>
        <w:t>Once Investment Shares have been awarded to an Eligible Employee, he or she may at any time withdraw any or all Investment Shares from the Plan.</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7"/>
          <w:szCs w:val="17"/>
          <w:b w:val="1"/>
          <w:bCs w:val="1"/>
          <w:color w:val="auto"/>
        </w:rPr>
        <w:t>Participant leaving</w:t>
      </w:r>
    </w:p>
    <w:p>
      <w:pPr>
        <w:spacing w:after="0" w:line="220" w:lineRule="exact"/>
        <w:rPr>
          <w:sz w:val="20"/>
          <w:szCs w:val="20"/>
          <w:color w:val="auto"/>
        </w:rPr>
      </w:pPr>
    </w:p>
    <w:p>
      <w:pPr>
        <w:ind w:left="660" w:right="340"/>
        <w:spacing w:after="0"/>
        <w:rPr>
          <w:sz w:val="20"/>
          <w:szCs w:val="20"/>
          <w:color w:val="auto"/>
        </w:rPr>
      </w:pPr>
      <w:r>
        <w:rPr>
          <w:rFonts w:ascii="Arial" w:cs="Arial" w:eastAsia="Arial" w:hAnsi="Arial"/>
          <w:sz w:val="18"/>
          <w:szCs w:val="18"/>
          <w:color w:val="auto"/>
        </w:rPr>
        <w:t>If a Participant ceases to be in Relevant Employment for any reason Investment Shares will be withdrawn from the Plan and any Contributions held by the Trustee on his or her behalf will, subject to deduction of income tax under PAYE and employee’s NICs, be repaid to the Participant as soon as reasonably practicable.</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7"/>
          <w:szCs w:val="17"/>
          <w:b w:val="1"/>
          <w:bCs w:val="1"/>
          <w:color w:val="auto"/>
        </w:rPr>
        <w:t>Roll-over of Partnership Share Agreement</w:t>
      </w:r>
    </w:p>
    <w:p>
      <w:pPr>
        <w:spacing w:after="0" w:line="220" w:lineRule="exact"/>
        <w:rPr>
          <w:sz w:val="20"/>
          <w:szCs w:val="20"/>
          <w:color w:val="auto"/>
        </w:rPr>
      </w:pPr>
    </w:p>
    <w:p>
      <w:pPr>
        <w:ind w:left="660" w:right="80"/>
        <w:spacing w:after="0" w:line="239" w:lineRule="auto"/>
        <w:rPr>
          <w:sz w:val="20"/>
          <w:szCs w:val="20"/>
          <w:color w:val="auto"/>
        </w:rPr>
      </w:pPr>
      <w:r>
        <w:rPr>
          <w:rFonts w:ascii="Arial" w:cs="Arial" w:eastAsia="Arial" w:hAnsi="Arial"/>
          <w:sz w:val="18"/>
          <w:szCs w:val="18"/>
          <w:color w:val="auto"/>
        </w:rPr>
        <w:t>If a transaction occurs during an Offering Period which results in a new holding of shares being equated for the purposes of capital gains tax with any of the Shares to be acquired under the Partnership Share Agreement, the employee may agree that the Partnership Share Agreement will have effect after that transaction as if it were an agreement for the purchase of shares comprised in the new holding.</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34</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3</w:t>
      </w:r>
    </w:p>
    <w:p>
      <w:pPr>
        <w:spacing w:after="0" w:line="198" w:lineRule="exact"/>
        <w:rPr>
          <w:sz w:val="20"/>
          <w:szCs w:val="20"/>
          <w:color w:val="auto"/>
        </w:rPr>
      </w:pPr>
    </w:p>
    <w:p>
      <w:pPr>
        <w:ind w:left="660" w:hanging="652"/>
        <w:spacing w:after="0"/>
        <w:tabs>
          <w:tab w:leader="none" w:pos="6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MATCHING SHARES</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b w:val="1"/>
          <w:bCs w:val="1"/>
          <w:color w:val="auto"/>
        </w:rPr>
        <w:t>Requirements for Matching Shares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Matching Shares must:</w:t>
      </w:r>
    </w:p>
    <w:p>
      <w:pPr>
        <w:spacing w:after="0" w:line="198" w:lineRule="exact"/>
        <w:rPr>
          <w:sz w:val="20"/>
          <w:szCs w:val="20"/>
          <w:color w:val="auto"/>
        </w:rPr>
      </w:pPr>
    </w:p>
    <w:p>
      <w:pPr>
        <w:ind w:left="1300" w:hanging="644"/>
        <w:spacing w:after="0"/>
        <w:tabs>
          <w:tab w:leader="none" w:pos="13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be Shares of the same class and carrying the same rights as the Investment Shares to which they relate;</w:t>
      </w:r>
    </w:p>
    <w:p>
      <w:pPr>
        <w:spacing w:after="0" w:line="198" w:lineRule="exact"/>
        <w:rPr>
          <w:rFonts w:ascii="Arial" w:cs="Arial" w:eastAsia="Arial" w:hAnsi="Arial"/>
          <w:sz w:val="18"/>
          <w:szCs w:val="18"/>
          <w:color w:val="auto"/>
        </w:rPr>
      </w:pPr>
    </w:p>
    <w:p>
      <w:pPr>
        <w:ind w:left="1300" w:right="100" w:hanging="644"/>
        <w:spacing w:after="0" w:line="246" w:lineRule="auto"/>
        <w:tabs>
          <w:tab w:leader="none" w:pos="13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subject to paragraph 3.3, be awarded on the same day that the Investment Shares to which they relate are acquired on behalf of the Participant; and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 awarded to all UK Eligible Employees on exactly the same basis.</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b w:val="1"/>
          <w:bCs w:val="1"/>
          <w:color w:val="auto"/>
        </w:rPr>
        <w:t>Contents of Partnership Share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Partnership Share Agreement will:</w:t>
      </w:r>
    </w:p>
    <w:p>
      <w:pPr>
        <w:spacing w:after="0" w:line="198" w:lineRule="exact"/>
        <w:rPr>
          <w:sz w:val="20"/>
          <w:szCs w:val="20"/>
          <w:color w:val="auto"/>
        </w:rPr>
      </w:pPr>
    </w:p>
    <w:p>
      <w:pPr>
        <w:ind w:left="1300" w:hanging="644"/>
        <w:spacing w:after="0"/>
        <w:tabs>
          <w:tab w:leader="none" w:pos="1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set out the basis on which a Participant is entitled to Matching Shares in accordance with this Part 3 of Schedule 2; and</w:t>
      </w:r>
    </w:p>
    <w:p>
      <w:pPr>
        <w:spacing w:after="0" w:line="198" w:lineRule="exact"/>
        <w:rPr>
          <w:rFonts w:ascii="Arial" w:cs="Arial" w:eastAsia="Arial" w:hAnsi="Arial"/>
          <w:sz w:val="18"/>
          <w:szCs w:val="18"/>
          <w:color w:val="auto"/>
        </w:rPr>
      </w:pPr>
    </w:p>
    <w:p>
      <w:pPr>
        <w:ind w:left="1300" w:right="120" w:hanging="644"/>
        <w:spacing w:after="0" w:line="246" w:lineRule="auto"/>
        <w:tabs>
          <w:tab w:leader="none" w:pos="1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specify the ratio of Matching Shares to Investment Shares for the time being offered by the Company (provided that such ratio may not exceed 2:1) and the circumstances and manner in which the ratio may be changed by the Administrator.</w:t>
      </w:r>
    </w:p>
    <w:p>
      <w:pPr>
        <w:spacing w:after="0" w:line="183" w:lineRule="exact"/>
        <w:rPr>
          <w:sz w:val="20"/>
          <w:szCs w:val="20"/>
          <w:color w:val="auto"/>
        </w:rPr>
      </w:pPr>
    </w:p>
    <w:p>
      <w:pPr>
        <w:jc w:val="both"/>
        <w:ind w:left="660" w:right="420"/>
        <w:spacing w:after="0" w:line="246" w:lineRule="auto"/>
        <w:rPr>
          <w:sz w:val="20"/>
          <w:szCs w:val="20"/>
          <w:color w:val="auto"/>
        </w:rPr>
      </w:pPr>
      <w:r>
        <w:rPr>
          <w:rFonts w:ascii="Arial" w:cs="Arial" w:eastAsia="Arial" w:hAnsi="Arial"/>
          <w:sz w:val="18"/>
          <w:szCs w:val="18"/>
          <w:color w:val="auto"/>
        </w:rPr>
        <w:t>The Administrator may vary the ratio before Investment Shares are acquired. Each Participant must be notified of the terms of any such variation before his Investment Shares are awarded under the Partnership Share Agreement.</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b w:val="1"/>
          <w:bCs w:val="1"/>
          <w:color w:val="auto"/>
        </w:rPr>
        <w:t>No fractions of Matching Shares</w:t>
      </w:r>
    </w:p>
    <w:p>
      <w:pPr>
        <w:spacing w:after="0" w:line="220" w:lineRule="exact"/>
        <w:rPr>
          <w:sz w:val="20"/>
          <w:szCs w:val="20"/>
          <w:color w:val="auto"/>
        </w:rPr>
      </w:pPr>
    </w:p>
    <w:p>
      <w:pPr>
        <w:ind w:left="660" w:right="60"/>
        <w:spacing w:after="0" w:line="246" w:lineRule="auto"/>
        <w:rPr>
          <w:sz w:val="20"/>
          <w:szCs w:val="20"/>
          <w:color w:val="auto"/>
        </w:rPr>
      </w:pPr>
      <w:r>
        <w:rPr>
          <w:rFonts w:ascii="Arial" w:cs="Arial" w:eastAsia="Arial" w:hAnsi="Arial"/>
          <w:sz w:val="18"/>
          <w:szCs w:val="18"/>
          <w:color w:val="auto"/>
        </w:rPr>
        <w:t>If the number of Investment Shares on that day are not sufficient to allow a whole Matching Share to be appropriated, the match will be made when sufficient Investment Shares have been acquired to allow at least one Matching Share to be appropriated.</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b w:val="1"/>
          <w:bCs w:val="1"/>
          <w:color w:val="auto"/>
        </w:rPr>
        <w:t>Notification of Participants</w:t>
      </w:r>
    </w:p>
    <w:p>
      <w:pPr>
        <w:spacing w:after="0" w:line="220" w:lineRule="exact"/>
        <w:rPr>
          <w:sz w:val="20"/>
          <w:szCs w:val="20"/>
          <w:color w:val="auto"/>
        </w:rPr>
      </w:pPr>
    </w:p>
    <w:p>
      <w:pPr>
        <w:jc w:val="both"/>
        <w:ind w:left="660" w:right="420"/>
        <w:spacing w:after="0"/>
        <w:rPr>
          <w:sz w:val="20"/>
          <w:szCs w:val="20"/>
          <w:color w:val="auto"/>
        </w:rPr>
      </w:pPr>
      <w:r>
        <w:rPr>
          <w:rFonts w:ascii="Arial" w:cs="Arial" w:eastAsia="Arial" w:hAnsi="Arial"/>
          <w:sz w:val="18"/>
          <w:szCs w:val="18"/>
          <w:color w:val="auto"/>
        </w:rPr>
        <w:t>As soon as practicable after any Matching Shares have been appropriated by the Trustee to a Participant, the Trustee will give the Participant notice of the appropriation specifying the number and description of Matching Shares appropriated, their Initial Market Value, the Award Date and the applicable Holding Period.</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b w:val="1"/>
          <w:bCs w:val="1"/>
          <w:color w:val="auto"/>
        </w:rPr>
        <w:t>Forfeiture</w:t>
      </w:r>
    </w:p>
    <w:p>
      <w:pPr>
        <w:spacing w:after="0" w:line="220" w:lineRule="exact"/>
        <w:rPr>
          <w:sz w:val="20"/>
          <w:szCs w:val="20"/>
          <w:color w:val="auto"/>
        </w:rPr>
      </w:pPr>
    </w:p>
    <w:p>
      <w:pPr>
        <w:jc w:val="both"/>
        <w:ind w:left="1300" w:right="40" w:hanging="644"/>
        <w:spacing w:after="0" w:line="246" w:lineRule="auto"/>
        <w:tabs>
          <w:tab w:leader="none" w:pos="13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For the purposes of this sub-paragraph, “Forfeiture Period” means a period of no more than 3 years beginning with the date on which the relevant Matching Shares are awarded to the Participant and specified in the relevant Partnership Share Agreement.</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98" w:lineRule="exact"/>
        <w:rPr>
          <w:sz w:val="20"/>
          <w:szCs w:val="20"/>
          <w:color w:val="auto"/>
        </w:rPr>
      </w:pPr>
    </w:p>
    <w:p>
      <w:pPr>
        <w:jc w:val="both"/>
        <w:ind w:left="1300" w:right="40" w:hanging="644"/>
        <w:spacing w:after="0"/>
        <w:tabs>
          <w:tab w:leader="none" w:pos="1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Matching Shares to be appropriated to each Eligible Employee on a given Award Date may at the Administrator’s discretion be made subject to forfeiture (meaning that a Participant will cease to be beneficially entitled to them) in the circumstances set out at paragraph (c) provided that:</w:t>
      </w:r>
    </w:p>
    <w:p>
      <w:pPr>
        <w:spacing w:after="0" w:line="189" w:lineRule="exact"/>
        <w:rPr>
          <w:rFonts w:ascii="Arial" w:cs="Arial" w:eastAsia="Arial" w:hAnsi="Arial"/>
          <w:sz w:val="18"/>
          <w:szCs w:val="18"/>
          <w:color w:val="auto"/>
        </w:rPr>
      </w:pPr>
    </w:p>
    <w:p>
      <w:pPr>
        <w:ind w:left="1960" w:hanging="655"/>
        <w:spacing w:after="0"/>
        <w:tabs>
          <w:tab w:leader="none" w:pos="19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forfeiture of Matching Shares will not be linked to the performance of any person or persons; and</w:t>
      </w:r>
    </w:p>
    <w:p>
      <w:pPr>
        <w:spacing w:after="0" w:line="198" w:lineRule="exact"/>
        <w:rPr>
          <w:rFonts w:ascii="Arial" w:cs="Arial" w:eastAsia="Arial" w:hAnsi="Arial"/>
          <w:sz w:val="18"/>
          <w:szCs w:val="18"/>
          <w:color w:val="auto"/>
        </w:rPr>
      </w:pPr>
    </w:p>
    <w:p>
      <w:pPr>
        <w:ind w:left="1960" w:right="260" w:hanging="655"/>
        <w:spacing w:after="0" w:line="246" w:lineRule="auto"/>
        <w:tabs>
          <w:tab w:leader="none" w:pos="19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same provision for forfeiture will apply in relation to all Matching Shares included in the same Award of Matching Shares.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circumstances in which the Administrator may determine that Matching Shares may be subject to forfeiture are:</w:t>
      </w:r>
    </w:p>
    <w:p>
      <w:pPr>
        <w:spacing w:after="0" w:line="198" w:lineRule="exact"/>
        <w:rPr>
          <w:rFonts w:ascii="Arial" w:cs="Arial" w:eastAsia="Arial" w:hAnsi="Arial"/>
          <w:sz w:val="18"/>
          <w:szCs w:val="18"/>
          <w:color w:val="auto"/>
        </w:rPr>
      </w:pPr>
    </w:p>
    <w:p>
      <w:pPr>
        <w:ind w:left="1960" w:hanging="655"/>
        <w:spacing w:after="0"/>
        <w:tabs>
          <w:tab w:leader="none" w:pos="19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on the Participant ceasing to be in Relevant Employment at any time in the Forfeiture Period; and/or</w:t>
      </w:r>
    </w:p>
    <w:p>
      <w:pPr>
        <w:spacing w:after="0" w:line="198" w:lineRule="exact"/>
        <w:rPr>
          <w:rFonts w:ascii="Arial" w:cs="Arial" w:eastAsia="Arial" w:hAnsi="Arial"/>
          <w:sz w:val="18"/>
          <w:szCs w:val="18"/>
          <w:color w:val="auto"/>
        </w:rPr>
      </w:pPr>
    </w:p>
    <w:p>
      <w:pPr>
        <w:ind w:left="1960" w:hanging="655"/>
        <w:spacing w:after="0"/>
        <w:tabs>
          <w:tab w:leader="none" w:pos="19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on the Participant withdrawing the Matching Shares from the Plan in the Forfeiture Period; and/or</w:t>
      </w:r>
    </w:p>
    <w:p>
      <w:pPr>
        <w:spacing w:after="0" w:line="198" w:lineRule="exact"/>
        <w:rPr>
          <w:rFonts w:ascii="Arial" w:cs="Arial" w:eastAsia="Arial" w:hAnsi="Arial"/>
          <w:sz w:val="18"/>
          <w:szCs w:val="18"/>
          <w:color w:val="auto"/>
        </w:rPr>
      </w:pPr>
    </w:p>
    <w:p>
      <w:pPr>
        <w:ind w:left="1960" w:right="200" w:hanging="655"/>
        <w:spacing w:after="0" w:line="246" w:lineRule="auto"/>
        <w:tabs>
          <w:tab w:leader="none" w:pos="19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on the Participant withdrawing the Investment Shares in respect of which those Matching Shares were awarded from the Plan within the Forfeiture Period;</w:t>
      </w:r>
    </w:p>
    <w:p>
      <w:pPr>
        <w:spacing w:after="0" w:line="183" w:lineRule="exact"/>
        <w:rPr>
          <w:sz w:val="20"/>
          <w:szCs w:val="20"/>
          <w:color w:val="auto"/>
        </w:rPr>
      </w:pPr>
    </w:p>
    <w:p>
      <w:pPr>
        <w:ind w:left="660" w:right="160"/>
        <w:spacing w:after="0"/>
        <w:rPr>
          <w:sz w:val="20"/>
          <w:szCs w:val="20"/>
          <w:color w:val="auto"/>
        </w:rPr>
      </w:pPr>
      <w:r>
        <w:rPr>
          <w:rFonts w:ascii="Arial" w:cs="Arial" w:eastAsia="Arial" w:hAnsi="Arial"/>
          <w:sz w:val="18"/>
          <w:szCs w:val="18"/>
          <w:color w:val="auto"/>
        </w:rPr>
        <w:t>otherwise than by reason of death, injury, disability, redundancy, retirement, a relevant transfer within the meaning of the Transfer of Undertakings (Protection of Employment) Regulations 2006 or the employing company of the Participant ceasing to be an Associated Company.</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36</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4</w:t>
      </w:r>
    </w:p>
    <w:p>
      <w:pPr>
        <w:spacing w:after="0" w:line="198" w:lineRule="exact"/>
        <w:rPr>
          <w:sz w:val="20"/>
          <w:szCs w:val="20"/>
          <w:color w:val="auto"/>
        </w:rPr>
      </w:pPr>
    </w:p>
    <w:p>
      <w:pPr>
        <w:ind w:left="660" w:hanging="652"/>
        <w:spacing w:after="0"/>
        <w:tabs>
          <w:tab w:leader="none" w:pos="6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DIVIDEND SHARES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6 shall not apply to Awards granted under Schedule 2.</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b w:val="1"/>
          <w:bCs w:val="1"/>
          <w:color w:val="auto"/>
        </w:rPr>
        <w:t>Rights and obligations of Dividend Shares</w:t>
      </w:r>
    </w:p>
    <w:p>
      <w:pPr>
        <w:spacing w:after="0" w:line="220" w:lineRule="exact"/>
        <w:rPr>
          <w:sz w:val="20"/>
          <w:szCs w:val="20"/>
          <w:color w:val="auto"/>
        </w:rPr>
      </w:pPr>
    </w:p>
    <w:p>
      <w:pPr>
        <w:ind w:left="660" w:right="100"/>
        <w:spacing w:after="0" w:line="246" w:lineRule="auto"/>
        <w:rPr>
          <w:sz w:val="20"/>
          <w:szCs w:val="20"/>
          <w:color w:val="auto"/>
        </w:rPr>
      </w:pPr>
      <w:r>
        <w:rPr>
          <w:rFonts w:ascii="Arial" w:cs="Arial" w:eastAsia="Arial" w:hAnsi="Arial"/>
          <w:sz w:val="18"/>
          <w:szCs w:val="18"/>
          <w:color w:val="auto"/>
        </w:rPr>
        <w:t>Each Free Share Agreement or Partnership Share Agreement as appropriate will set out the rights and obligations of the Participant in respect of dividends paid on Plan Shares.</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b w:val="1"/>
          <w:bCs w:val="1"/>
          <w:color w:val="auto"/>
        </w:rPr>
        <w:t>How dividends are dealt with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Administrator may in its absolute discretion:</w:t>
      </w:r>
    </w:p>
    <w:p>
      <w:pPr>
        <w:spacing w:after="0" w:line="198" w:lineRule="exact"/>
        <w:rPr>
          <w:sz w:val="20"/>
          <w:szCs w:val="20"/>
          <w:color w:val="auto"/>
        </w:rPr>
      </w:pPr>
    </w:p>
    <w:p>
      <w:pPr>
        <w:ind w:left="1300" w:hanging="644"/>
        <w:spacing w:after="0"/>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direct that the Trustee apply all dividends attributable to Shares awarded to Participants to acquire Dividend Shares;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direct the Trustee to pay all dividends attributable to Shares awarded to Participants in cash to such Participants;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offer Participants the choice of either (a) or (b) above; or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revoke any direction for reinvestment of cash dividends.</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b w:val="1"/>
          <w:bCs w:val="1"/>
          <w:color w:val="auto"/>
        </w:rPr>
        <w:t>Requirements for Dividend Shares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Dividend Shares must be shares:</w:t>
      </w:r>
    </w:p>
    <w:p>
      <w:pPr>
        <w:spacing w:after="0" w:line="198" w:lineRule="exact"/>
        <w:rPr>
          <w:sz w:val="20"/>
          <w:szCs w:val="20"/>
          <w:color w:val="auto"/>
        </w:rPr>
      </w:pPr>
    </w:p>
    <w:p>
      <w:pPr>
        <w:ind w:left="1300" w:hanging="644"/>
        <w:spacing w:after="0"/>
        <w:tabs>
          <w:tab w:leader="none" w:pos="13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of the same class and carrying the same rights as the Shares in respect of which the dividend is paid;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which are not subject to any provision for forfeiture while the Participant is in Relevant Employment.</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b w:val="1"/>
          <w:bCs w:val="1"/>
          <w:color w:val="auto"/>
        </w:rPr>
        <w:t>Nature of Dividend Shares</w:t>
      </w:r>
    </w:p>
    <w:p>
      <w:pPr>
        <w:spacing w:after="0" w:line="220" w:lineRule="exact"/>
        <w:rPr>
          <w:sz w:val="20"/>
          <w:szCs w:val="20"/>
          <w:color w:val="auto"/>
        </w:rPr>
      </w:pPr>
    </w:p>
    <w:p>
      <w:pPr>
        <w:ind w:left="660" w:right="40"/>
        <w:spacing w:after="0"/>
        <w:rPr>
          <w:sz w:val="20"/>
          <w:szCs w:val="20"/>
          <w:color w:val="auto"/>
        </w:rPr>
      </w:pPr>
      <w:r>
        <w:rPr>
          <w:rFonts w:ascii="Arial" w:cs="Arial" w:eastAsia="Arial" w:hAnsi="Arial"/>
          <w:sz w:val="18"/>
          <w:szCs w:val="18"/>
          <w:color w:val="auto"/>
        </w:rPr>
        <w:t>For the purposes of this Part 4, Dividend Shares are those acquired under this Plan and those acquired under any other plan established by the Company or any Associated Company that is a Schedule 2 SIP. In exercising its powers in relation to the acquisition of Dividend Shares the Trustee must treat Participants fairly and equally.</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b w:val="1"/>
          <w:bCs w:val="1"/>
          <w:color w:val="auto"/>
        </w:rPr>
        <w:t>Acquisition of Dividend Shares</w:t>
      </w:r>
    </w:p>
    <w:p>
      <w:pPr>
        <w:spacing w:after="0" w:line="220" w:lineRule="exact"/>
        <w:rPr>
          <w:sz w:val="20"/>
          <w:szCs w:val="20"/>
          <w:color w:val="auto"/>
        </w:rPr>
      </w:pPr>
    </w:p>
    <w:p>
      <w:pPr>
        <w:ind w:left="660" w:right="100"/>
        <w:spacing w:after="0" w:line="239" w:lineRule="auto"/>
        <w:rPr>
          <w:sz w:val="20"/>
          <w:szCs w:val="20"/>
          <w:color w:val="auto"/>
        </w:rPr>
      </w:pPr>
      <w:r>
        <w:rPr>
          <w:rFonts w:ascii="Arial" w:cs="Arial" w:eastAsia="Arial" w:hAnsi="Arial"/>
          <w:sz w:val="18"/>
          <w:szCs w:val="18"/>
          <w:color w:val="auto"/>
        </w:rPr>
        <w:t>Where Dividend Shares are to be acquired the Trustee will apply all of the cash dividend to acquire Shares on behalf of the Participant on the Acquisition Date (which must be within 30 days of the date on which the relevant dividend was received by the Trustee, or such later date as may be allowed by paragraph 66(4) of ITEPA Schedule 2). The number of Dividend Shares acquired on behalf of each Participant will be determined by the Market Value of the Shares on the relevant Acquisition Date.</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b w:val="1"/>
          <w:bCs w:val="1"/>
          <w:color w:val="auto"/>
        </w:rPr>
        <w:t>Carry-forward of excess amounts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amount that is not reinvested:</w:t>
      </w:r>
    </w:p>
    <w:p>
      <w:pPr>
        <w:spacing w:after="0" w:line="198" w:lineRule="exact"/>
        <w:rPr>
          <w:sz w:val="20"/>
          <w:szCs w:val="20"/>
          <w:color w:val="auto"/>
        </w:rPr>
      </w:pPr>
    </w:p>
    <w:p>
      <w:pPr>
        <w:ind w:left="1300" w:hanging="644"/>
        <w:spacing w:after="0"/>
        <w:tabs>
          <w:tab w:leader="none" w:pos="13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because the amount of the cash dividend is insufficient to acquire a whole Share; or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because there is an amount remaining after acquiring the Dividend Shares;</w:t>
      </w:r>
    </w:p>
    <w:p>
      <w:pPr>
        <w:spacing w:after="0" w:line="198" w:lineRule="exact"/>
        <w:rPr>
          <w:sz w:val="20"/>
          <w:szCs w:val="20"/>
          <w:color w:val="auto"/>
        </w:rPr>
      </w:pPr>
    </w:p>
    <w:p>
      <w:pPr>
        <w:ind w:left="660" w:right="260"/>
        <w:spacing w:after="0" w:line="246" w:lineRule="auto"/>
        <w:rPr>
          <w:sz w:val="20"/>
          <w:szCs w:val="20"/>
          <w:color w:val="auto"/>
        </w:rPr>
      </w:pPr>
      <w:r>
        <w:rPr>
          <w:rFonts w:ascii="Arial" w:cs="Arial" w:eastAsia="Arial" w:hAnsi="Arial"/>
          <w:sz w:val="18"/>
          <w:szCs w:val="18"/>
          <w:color w:val="auto"/>
        </w:rPr>
        <w:t>may be retained by the Trustee and carried forward to be added to the amount of the next cash dividend to be reinvested, but will be held so as to be separately identifiable for the purposes of paragraph 4.7.</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7"/>
          <w:szCs w:val="17"/>
          <w:b w:val="1"/>
          <w:bCs w:val="1"/>
          <w:color w:val="auto"/>
        </w:rPr>
        <w:t>Repayment of amounts not reinvested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w:t>
      </w:r>
    </w:p>
    <w:p>
      <w:pPr>
        <w:spacing w:after="0" w:line="198" w:lineRule="exact"/>
        <w:rPr>
          <w:sz w:val="20"/>
          <w:szCs w:val="20"/>
          <w:color w:val="auto"/>
        </w:rPr>
      </w:pPr>
    </w:p>
    <w:p>
      <w:pPr>
        <w:ind w:left="1300" w:hanging="644"/>
        <w:spacing w:after="0"/>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Participant ceases to be in Relevant Employment; or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Plan Termination Notice is issued;</w:t>
      </w:r>
    </w:p>
    <w:p>
      <w:pPr>
        <w:spacing w:after="0" w:line="198" w:lineRule="exact"/>
        <w:rPr>
          <w:sz w:val="20"/>
          <w:szCs w:val="20"/>
          <w:color w:val="auto"/>
        </w:rPr>
      </w:pPr>
    </w:p>
    <w:p>
      <w:pPr>
        <w:ind w:left="660" w:right="200"/>
        <w:spacing w:after="0"/>
        <w:rPr>
          <w:sz w:val="20"/>
          <w:szCs w:val="20"/>
          <w:color w:val="auto"/>
        </w:rPr>
      </w:pPr>
      <w:r>
        <w:rPr>
          <w:rFonts w:ascii="Arial" w:cs="Arial" w:eastAsia="Arial" w:hAnsi="Arial"/>
          <w:sz w:val="18"/>
          <w:szCs w:val="18"/>
          <w:color w:val="auto"/>
        </w:rPr>
        <w:t>any cash dividend that has not been reinvested will be paid to the Participant as soon as practicable after the end of that period or on cessation of Relevant Employment, as applicable. On making such a payment, the Participant will be provided with the information specified in paragraph 80 of ITEPA Schedule 2.</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7"/>
          <w:szCs w:val="17"/>
          <w:b w:val="1"/>
          <w:bCs w:val="1"/>
          <w:color w:val="auto"/>
        </w:rPr>
        <w:t>Dividend Shares ceasing to be Plan Shares</w:t>
      </w:r>
    </w:p>
    <w:p>
      <w:pPr>
        <w:spacing w:after="0" w:line="220" w:lineRule="exact"/>
        <w:rPr>
          <w:sz w:val="20"/>
          <w:szCs w:val="20"/>
          <w:color w:val="auto"/>
        </w:rPr>
      </w:pPr>
    </w:p>
    <w:p>
      <w:pPr>
        <w:ind w:left="660" w:right="340"/>
        <w:spacing w:after="0" w:line="246" w:lineRule="auto"/>
        <w:rPr>
          <w:sz w:val="20"/>
          <w:szCs w:val="20"/>
          <w:color w:val="auto"/>
        </w:rPr>
      </w:pPr>
      <w:r>
        <w:rPr>
          <w:rFonts w:ascii="Arial" w:cs="Arial" w:eastAsia="Arial" w:hAnsi="Arial"/>
          <w:sz w:val="18"/>
          <w:szCs w:val="18"/>
          <w:color w:val="auto"/>
        </w:rPr>
        <w:t>Where a Participant is charged to tax in the event of Dividend Shares ceasing to be subject to the Plan, he will be provided with the information specified in paragraph 80(4) of ITEPA Schedule 2.</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7"/>
          <w:szCs w:val="17"/>
          <w:b w:val="1"/>
          <w:bCs w:val="1"/>
          <w:color w:val="auto"/>
        </w:rPr>
        <w:t>Participant leaving</w:t>
      </w:r>
    </w:p>
    <w:p>
      <w:pPr>
        <w:spacing w:after="0" w:line="220" w:lineRule="exact"/>
        <w:rPr>
          <w:sz w:val="20"/>
          <w:szCs w:val="20"/>
          <w:color w:val="auto"/>
        </w:rPr>
      </w:pPr>
    </w:p>
    <w:p>
      <w:pPr>
        <w:ind w:left="660" w:right="80"/>
        <w:spacing w:after="0" w:line="246" w:lineRule="auto"/>
        <w:rPr>
          <w:sz w:val="20"/>
          <w:szCs w:val="20"/>
          <w:color w:val="auto"/>
        </w:rPr>
      </w:pPr>
      <w:r>
        <w:rPr>
          <w:rFonts w:ascii="Arial" w:cs="Arial" w:eastAsia="Arial" w:hAnsi="Arial"/>
          <w:sz w:val="18"/>
          <w:szCs w:val="18"/>
          <w:color w:val="auto"/>
        </w:rPr>
        <w:t>If a Participant ceases to be in Relevant Employment for any reason any cash dividend that has not been reinvested will be paid to the Participant as soon as practicable.</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38</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3</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 of World Employees</w:t>
      </w:r>
    </w:p>
    <w:p>
      <w:pPr>
        <w:spacing w:after="0" w:line="379" w:lineRule="exact"/>
        <w:rPr>
          <w:sz w:val="20"/>
          <w:szCs w:val="20"/>
          <w:color w:val="auto"/>
        </w:rPr>
      </w:pPr>
    </w:p>
    <w:p>
      <w:pPr>
        <w:ind w:left="660" w:hanging="652"/>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Purpose of this Schedule</w:t>
      </w:r>
    </w:p>
    <w:p>
      <w:pPr>
        <w:spacing w:after="0" w:line="220" w:lineRule="exact"/>
        <w:rPr>
          <w:sz w:val="20"/>
          <w:szCs w:val="20"/>
          <w:color w:val="auto"/>
        </w:rPr>
      </w:pPr>
    </w:p>
    <w:p>
      <w:pPr>
        <w:ind w:left="660" w:right="120"/>
        <w:spacing w:after="0" w:line="246" w:lineRule="auto"/>
        <w:rPr>
          <w:sz w:val="20"/>
          <w:szCs w:val="20"/>
          <w:color w:val="auto"/>
        </w:rPr>
      </w:pPr>
      <w:r>
        <w:rPr>
          <w:rFonts w:ascii="Arial" w:cs="Arial" w:eastAsia="Arial" w:hAnsi="Arial"/>
          <w:sz w:val="18"/>
          <w:szCs w:val="18"/>
          <w:color w:val="auto"/>
        </w:rPr>
        <w:t>The provisions of this Schedule 3 shall govern invitations made to join the Plan and awards of Free Shares and/or Matching Shares to ROW Eligible Employees who are not resident in either the United States of America or the United Kingdom.</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Defined terms used in this Schedule shall have the meaning in Section 1.</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Non-transferability of Awards</w:t>
      </w:r>
    </w:p>
    <w:p>
      <w:pPr>
        <w:spacing w:after="0" w:line="198" w:lineRule="exact"/>
        <w:rPr>
          <w:sz w:val="20"/>
          <w:szCs w:val="20"/>
          <w:color w:val="auto"/>
        </w:rPr>
      </w:pPr>
    </w:p>
    <w:p>
      <w:pPr>
        <w:ind w:left="660" w:right="520"/>
        <w:spacing w:after="0"/>
        <w:rPr>
          <w:sz w:val="20"/>
          <w:szCs w:val="20"/>
          <w:color w:val="auto"/>
        </w:rPr>
      </w:pPr>
      <w:r>
        <w:rPr>
          <w:rFonts w:ascii="Arial" w:cs="Arial" w:eastAsia="Arial" w:hAnsi="Arial"/>
          <w:sz w:val="18"/>
          <w:szCs w:val="18"/>
          <w:color w:val="auto"/>
        </w:rPr>
        <w:t>Every Award granted pursuant to this Schedule 3 is personal to the Participant to whom it is granted and must not be transferred, assigned, charged or mortgaged (except on death). If a Participant does or attempts to do any of these things, voluntarily or involuntarily, the Award will lapse.</w:t>
      </w:r>
    </w:p>
    <w:p>
      <w:pPr>
        <w:spacing w:after="0" w:line="167" w:lineRule="exact"/>
        <w:rPr>
          <w:sz w:val="20"/>
          <w:szCs w:val="20"/>
          <w:color w:val="auto"/>
        </w:rPr>
      </w:pPr>
    </w:p>
    <w:p>
      <w:pPr>
        <w:ind w:left="660" w:hanging="652"/>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Free Shares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Awards of Free Shares</w:t>
      </w:r>
    </w:p>
    <w:p>
      <w:pPr>
        <w:spacing w:after="0" w:line="198" w:lineRule="exact"/>
        <w:rPr>
          <w:sz w:val="20"/>
          <w:szCs w:val="20"/>
          <w:color w:val="auto"/>
        </w:rPr>
      </w:pPr>
    </w:p>
    <w:p>
      <w:pPr>
        <w:ind w:left="660" w:right="480"/>
        <w:spacing w:after="0" w:line="246" w:lineRule="auto"/>
        <w:rPr>
          <w:sz w:val="20"/>
          <w:szCs w:val="20"/>
          <w:color w:val="auto"/>
        </w:rPr>
      </w:pPr>
      <w:r>
        <w:rPr>
          <w:rFonts w:ascii="Arial" w:cs="Arial" w:eastAsia="Arial" w:hAnsi="Arial"/>
          <w:sz w:val="18"/>
          <w:szCs w:val="18"/>
          <w:color w:val="auto"/>
        </w:rPr>
        <w:t>The Administrator will award Free Shares to each Participant who is an Eligible Employee on the Award Date on the basis set out paragraph 2.3.</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Limit</w:t>
      </w:r>
    </w:p>
    <w:p>
      <w:pPr>
        <w:spacing w:after="0" w:line="198" w:lineRule="exact"/>
        <w:rPr>
          <w:sz w:val="20"/>
          <w:szCs w:val="20"/>
          <w:color w:val="auto"/>
        </w:rPr>
      </w:pPr>
    </w:p>
    <w:p>
      <w:pPr>
        <w:ind w:left="660" w:right="20"/>
        <w:spacing w:after="0" w:line="246" w:lineRule="auto"/>
        <w:rPr>
          <w:sz w:val="20"/>
          <w:szCs w:val="20"/>
          <w:color w:val="auto"/>
        </w:rPr>
      </w:pPr>
      <w:r>
        <w:rPr>
          <w:rFonts w:ascii="Arial" w:cs="Arial" w:eastAsia="Arial" w:hAnsi="Arial"/>
          <w:sz w:val="18"/>
          <w:szCs w:val="18"/>
          <w:color w:val="auto"/>
        </w:rPr>
        <w:t>If the Plan is operated to provide Free Shares each Participant may be awarded, in any 12-month period, Free Shares with a maximum Initial Market Value of $10,000, or such other amount as determined by the Administrator in respect of that award of Free Shares.</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Terms relating to Free Shares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Before the award of Free Shares, the Administrator will determine the following:</w:t>
      </w:r>
    </w:p>
    <w:p>
      <w:pPr>
        <w:spacing w:after="0" w:line="198" w:lineRule="exact"/>
        <w:rPr>
          <w:sz w:val="20"/>
          <w:szCs w:val="20"/>
          <w:color w:val="auto"/>
        </w:rPr>
      </w:pPr>
    </w:p>
    <w:p>
      <w:pPr>
        <w:ind w:left="1300" w:right="100" w:hanging="644"/>
        <w:spacing w:after="0" w:line="246" w:lineRule="auto"/>
        <w:tabs>
          <w:tab w:leader="none" w:pos="13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method for calculating the number of Free Shares to be awarded for that operation of the Plan, including any Performance Measures which apply;</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Holding Period;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forfeiture provisions under paragraph 2.5.</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Notification by the Company</w:t>
      </w:r>
    </w:p>
    <w:p>
      <w:pPr>
        <w:spacing w:after="0" w:line="198" w:lineRule="exact"/>
        <w:rPr>
          <w:sz w:val="20"/>
          <w:szCs w:val="20"/>
          <w:color w:val="auto"/>
        </w:rPr>
      </w:pPr>
    </w:p>
    <w:p>
      <w:pPr>
        <w:ind w:left="1300" w:right="40" w:hanging="644"/>
        <w:spacing w:after="0" w:line="246" w:lineRule="auto"/>
        <w:tabs>
          <w:tab w:leader="none" w:pos="13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At the time of, or as soon as practicable after, the award of Free Shares, the Company will notify each Participant of the award. The Company will include in the notification:</w:t>
      </w:r>
    </w:p>
    <w:p>
      <w:pPr>
        <w:spacing w:after="0" w:line="183" w:lineRule="exact"/>
        <w:rPr>
          <w:rFonts w:ascii="Arial" w:cs="Arial" w:eastAsia="Arial" w:hAnsi="Arial"/>
          <w:sz w:val="18"/>
          <w:szCs w:val="18"/>
          <w:color w:val="auto"/>
        </w:rPr>
      </w:pPr>
    </w:p>
    <w:p>
      <w:pPr>
        <w:ind w:left="1960" w:hanging="655"/>
        <w:spacing w:after="0"/>
        <w:tabs>
          <w:tab w:leader="none" w:pos="196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number of Free Shares subject to the award; and</w:t>
      </w:r>
    </w:p>
    <w:p>
      <w:pPr>
        <w:spacing w:after="0" w:line="198" w:lineRule="exact"/>
        <w:rPr>
          <w:rFonts w:ascii="Arial" w:cs="Arial" w:eastAsia="Arial" w:hAnsi="Arial"/>
          <w:sz w:val="18"/>
          <w:szCs w:val="18"/>
          <w:color w:val="auto"/>
        </w:rPr>
      </w:pPr>
    </w:p>
    <w:p>
      <w:pPr>
        <w:ind w:left="1960" w:hanging="655"/>
        <w:spacing w:after="0"/>
        <w:tabs>
          <w:tab w:leader="none" w:pos="196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applicable Holding Period.</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98" w:lineRule="exact"/>
        <w:rPr>
          <w:sz w:val="20"/>
          <w:szCs w:val="20"/>
          <w:color w:val="auto"/>
        </w:rPr>
      </w:pPr>
    </w:p>
    <w:p>
      <w:pPr>
        <w:ind w:left="1300" w:right="160" w:hanging="644"/>
        <w:spacing w:after="0" w:line="246" w:lineRule="auto"/>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If Performance Measures apply to the availability, number or value of Free Shares, the Company will notify Participants of the Performance Measures.</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Forfeiture of Free Shares</w:t>
      </w:r>
    </w:p>
    <w:p>
      <w:pPr>
        <w:spacing w:after="0" w:line="198" w:lineRule="exact"/>
        <w:rPr>
          <w:sz w:val="20"/>
          <w:szCs w:val="20"/>
          <w:color w:val="auto"/>
        </w:rPr>
      </w:pPr>
    </w:p>
    <w:p>
      <w:pPr>
        <w:ind w:left="660" w:right="160"/>
        <w:spacing w:after="0"/>
        <w:rPr>
          <w:sz w:val="20"/>
          <w:szCs w:val="20"/>
          <w:color w:val="auto"/>
        </w:rPr>
      </w:pPr>
      <w:r>
        <w:rPr>
          <w:rFonts w:ascii="Arial" w:cs="Arial" w:eastAsia="Arial" w:hAnsi="Arial"/>
          <w:sz w:val="18"/>
          <w:szCs w:val="18"/>
          <w:color w:val="auto"/>
        </w:rPr>
        <w:t>Subject to paragraph 5.2(a), the Administrator may decide that an award of Free Shares will be made on the basis that, if Participants cease to be employed by a Group Company for any reason during the Holding Period (other than by reason of paragraph 5.2 or a Change of Control), they will forfeit the award.</w:t>
      </w:r>
    </w:p>
    <w:p>
      <w:pPr>
        <w:spacing w:after="0" w:line="167" w:lineRule="exact"/>
        <w:rPr>
          <w:sz w:val="20"/>
          <w:szCs w:val="20"/>
          <w:color w:val="auto"/>
        </w:rPr>
      </w:pPr>
    </w:p>
    <w:p>
      <w:pPr>
        <w:ind w:left="660" w:hanging="652"/>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Investment Shares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Amount of Contributions</w:t>
      </w:r>
    </w:p>
    <w:p>
      <w:pPr>
        <w:spacing w:after="0" w:line="198" w:lineRule="exact"/>
        <w:rPr>
          <w:sz w:val="20"/>
          <w:szCs w:val="20"/>
          <w:color w:val="auto"/>
        </w:rPr>
      </w:pPr>
    </w:p>
    <w:p>
      <w:pPr>
        <w:ind w:left="1300" w:right="60" w:hanging="644"/>
        <w:spacing w:after="0"/>
        <w:tabs>
          <w:tab w:leader="none" w:pos="13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Administrator will determine the maximum Contribution which will apply in relation to the operation of the Plan from time to time and any such maximum will be set out in the application or otherwise notified to the Participant. If Contributions exceed these limits, the excess amount will be repaid to the Participant as soon as practicable.</w:t>
      </w:r>
    </w:p>
    <w:p>
      <w:pPr>
        <w:spacing w:after="0" w:line="189" w:lineRule="exact"/>
        <w:rPr>
          <w:rFonts w:ascii="Arial" w:cs="Arial" w:eastAsia="Arial" w:hAnsi="Arial"/>
          <w:sz w:val="18"/>
          <w:szCs w:val="18"/>
          <w:color w:val="auto"/>
        </w:rPr>
      </w:pPr>
    </w:p>
    <w:p>
      <w:pPr>
        <w:ind w:left="1300" w:right="80" w:hanging="644"/>
        <w:spacing w:after="0"/>
        <w:tabs>
          <w:tab w:leader="none" w:pos="13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Administrator may from time to time set a minimum amount for Contributions on any occasion, irrespective of the intervals at which Contributions are to be made. If there is such a minimum amount, it will be set out in the application or otherwise notified to the Participant.</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Making Contributions</w:t>
      </w:r>
    </w:p>
    <w:p>
      <w:pPr>
        <w:spacing w:after="0" w:line="198" w:lineRule="exact"/>
        <w:rPr>
          <w:sz w:val="20"/>
          <w:szCs w:val="20"/>
          <w:color w:val="auto"/>
        </w:rPr>
      </w:pPr>
    </w:p>
    <w:p>
      <w:pPr>
        <w:ind w:left="1300" w:right="140" w:hanging="644"/>
        <w:spacing w:after="0" w:line="246" w:lineRule="auto"/>
        <w:tabs>
          <w:tab w:leader="none" w:pos="13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Contributions will be deducted from the Participant’s Salary on each pay date after the Participant’s application has taken effect pursuant to paragraph 3.2(d) or on such other date(s) as the Administrator may decide.</w:t>
      </w:r>
    </w:p>
    <w:p>
      <w:pPr>
        <w:spacing w:after="0" w:line="183" w:lineRule="exact"/>
        <w:rPr>
          <w:rFonts w:ascii="Arial" w:cs="Arial" w:eastAsia="Arial" w:hAnsi="Arial"/>
          <w:sz w:val="18"/>
          <w:szCs w:val="18"/>
          <w:color w:val="auto"/>
        </w:rPr>
      </w:pPr>
    </w:p>
    <w:p>
      <w:pPr>
        <w:ind w:left="1300" w:right="40" w:hanging="644"/>
        <w:spacing w:after="0" w:line="246" w:lineRule="auto"/>
        <w:tabs>
          <w:tab w:leader="none" w:pos="13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Where local rules prohibit deductions from Salary, the Participant may be permitted to make regular cash or other payments on such terms as the Administrator determine.</w:t>
      </w:r>
    </w:p>
    <w:p>
      <w:pPr>
        <w:spacing w:after="0" w:line="183" w:lineRule="exact"/>
        <w:rPr>
          <w:rFonts w:ascii="Arial" w:cs="Arial" w:eastAsia="Arial" w:hAnsi="Arial"/>
          <w:sz w:val="18"/>
          <w:szCs w:val="18"/>
          <w:color w:val="auto"/>
        </w:rPr>
      </w:pPr>
    </w:p>
    <w:p>
      <w:pPr>
        <w:ind w:left="1300" w:right="340" w:hanging="644"/>
        <w:spacing w:after="0" w:line="239" w:lineRule="auto"/>
        <w:tabs>
          <w:tab w:leader="none" w:pos="13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If the Administrator so decide from time to time, the Participant may be permitted to make a lump sum Contribution on such terms as the Administrator determine. Any lump sum Contribution permitted by the Administrator, when added to the Contributions made under paragraph 3.2(a) or 3.2(b) must not exceed the limits set for the relevant operation of the Plan pursuant to paragraph 3.1(a).</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Contributions are made after any deductions for tax and social security contributions.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If a Participant ceases to be a Participating Employee, no further Contributions will be made.</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Holding Contributions</w:t>
      </w:r>
    </w:p>
    <w:p>
      <w:pPr>
        <w:spacing w:after="0" w:line="198" w:lineRule="exact"/>
        <w:rPr>
          <w:sz w:val="20"/>
          <w:szCs w:val="20"/>
          <w:color w:val="auto"/>
        </w:rPr>
      </w:pPr>
    </w:p>
    <w:p>
      <w:pPr>
        <w:ind w:left="660" w:right="140"/>
        <w:spacing w:after="0" w:line="246" w:lineRule="auto"/>
        <w:rPr>
          <w:sz w:val="20"/>
          <w:szCs w:val="20"/>
          <w:color w:val="auto"/>
        </w:rPr>
      </w:pPr>
      <w:r>
        <w:rPr>
          <w:rFonts w:ascii="Arial" w:cs="Arial" w:eastAsia="Arial" w:hAnsi="Arial"/>
          <w:sz w:val="18"/>
          <w:szCs w:val="18"/>
          <w:color w:val="auto"/>
        </w:rPr>
        <w:t>The Contributions will be held by the Nominee, the Company or any relevant Participating Company in a non-interest bearing account until they are used to</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40</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acquire Investment Shares on the Participant’s behalf or returned to the Participant pursuant to the Provisions.</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Use of Contributions on leaving the Plan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 a Participant:</w:t>
      </w:r>
    </w:p>
    <w:p>
      <w:pPr>
        <w:spacing w:after="0" w:line="198" w:lineRule="exact"/>
        <w:rPr>
          <w:sz w:val="20"/>
          <w:szCs w:val="20"/>
          <w:color w:val="auto"/>
        </w:rPr>
      </w:pPr>
    </w:p>
    <w:p>
      <w:pPr>
        <w:ind w:left="1300" w:hanging="644"/>
        <w:spacing w:after="0"/>
        <w:tabs>
          <w:tab w:leader="none" w:pos="13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gives notice to withdraw from the Plan under paragraph 3.8; or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ceases to be a Participating Employee,</w:t>
      </w:r>
    </w:p>
    <w:p>
      <w:pPr>
        <w:spacing w:after="0" w:line="198" w:lineRule="exact"/>
        <w:rPr>
          <w:sz w:val="20"/>
          <w:szCs w:val="20"/>
          <w:color w:val="auto"/>
        </w:rPr>
      </w:pPr>
    </w:p>
    <w:p>
      <w:pPr>
        <w:ind w:left="660" w:right="500"/>
        <w:spacing w:after="0" w:line="246" w:lineRule="auto"/>
        <w:rPr>
          <w:sz w:val="20"/>
          <w:szCs w:val="20"/>
          <w:color w:val="auto"/>
        </w:rPr>
      </w:pPr>
      <w:r>
        <w:rPr>
          <w:rFonts w:ascii="Arial" w:cs="Arial" w:eastAsia="Arial" w:hAnsi="Arial"/>
          <w:sz w:val="18"/>
          <w:szCs w:val="18"/>
          <w:color w:val="auto"/>
        </w:rPr>
        <w:t>any Contributions held for the Participant will be used to acquire Investment Shares on the next allocation date, unless local rules require such Contributions to be returned to the Participant.</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Excess Contributions</w:t>
      </w:r>
    </w:p>
    <w:p>
      <w:pPr>
        <w:spacing w:after="0" w:line="198" w:lineRule="exact"/>
        <w:rPr>
          <w:sz w:val="20"/>
          <w:szCs w:val="20"/>
          <w:color w:val="auto"/>
        </w:rPr>
      </w:pPr>
    </w:p>
    <w:p>
      <w:pPr>
        <w:ind w:left="660" w:right="120"/>
        <w:spacing w:after="0"/>
        <w:rPr>
          <w:sz w:val="20"/>
          <w:szCs w:val="20"/>
          <w:color w:val="auto"/>
        </w:rPr>
      </w:pPr>
      <w:r>
        <w:rPr>
          <w:rFonts w:ascii="Arial" w:cs="Arial" w:eastAsia="Arial" w:hAnsi="Arial"/>
          <w:sz w:val="18"/>
          <w:szCs w:val="18"/>
          <w:color w:val="auto"/>
        </w:rPr>
        <w:t>If so specified in the application, the Company may carry forward and add to the amount of the next Contribution any Contributions, or part thereof, not used to acquire Investment Shares. Alternatively, the Company may pay the excess to the Participant as soon as practicable.</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Stopping and re-starting Contributions</w:t>
      </w:r>
    </w:p>
    <w:p>
      <w:pPr>
        <w:spacing w:after="0" w:line="198" w:lineRule="exact"/>
        <w:rPr>
          <w:sz w:val="20"/>
          <w:szCs w:val="20"/>
          <w:color w:val="auto"/>
        </w:rPr>
      </w:pPr>
    </w:p>
    <w:p>
      <w:pPr>
        <w:ind w:left="660" w:right="180"/>
        <w:spacing w:after="0" w:line="239" w:lineRule="auto"/>
        <w:rPr>
          <w:sz w:val="20"/>
          <w:szCs w:val="20"/>
          <w:color w:val="auto"/>
        </w:rPr>
      </w:pPr>
      <w:r>
        <w:rPr>
          <w:rFonts w:ascii="Arial" w:cs="Arial" w:eastAsia="Arial" w:hAnsi="Arial"/>
          <w:sz w:val="18"/>
          <w:szCs w:val="18"/>
          <w:color w:val="auto"/>
        </w:rPr>
        <w:t>A Participant may give notice to the Company to stop making Contributions. He may also give notice to the Company at any time that he wishes Contributions to re-start. If the Plan is operated with an Offering Period, the Administrator may determine whether Participants can re-start their Contributions more than once in an Offering Period. If such a determination is made, it will be set out in the application form or otherwise notified to the Participant.</w:t>
      </w:r>
    </w:p>
    <w:p>
      <w:pPr>
        <w:spacing w:after="0" w:line="188" w:lineRule="exact"/>
        <w:rPr>
          <w:sz w:val="20"/>
          <w:szCs w:val="20"/>
          <w:color w:val="auto"/>
        </w:rPr>
      </w:pPr>
    </w:p>
    <w:p>
      <w:pPr>
        <w:ind w:left="660" w:right="40"/>
        <w:spacing w:after="0"/>
        <w:rPr>
          <w:sz w:val="20"/>
          <w:szCs w:val="20"/>
          <w:color w:val="auto"/>
        </w:rPr>
      </w:pPr>
      <w:r>
        <w:rPr>
          <w:rFonts w:ascii="Arial" w:cs="Arial" w:eastAsia="Arial" w:hAnsi="Arial"/>
          <w:sz w:val="18"/>
          <w:szCs w:val="18"/>
          <w:color w:val="auto"/>
        </w:rPr>
        <w:t>The Company will arrange for Contributions to stop within 30 days of receiving the notice, unless a later date is specified. The Company will arrange for Contributions to re-start by the next due date for Contributions which is more than 30 days after receipt of the notice to re-start, unless a later date is specified.</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7"/>
          <w:szCs w:val="17"/>
          <w:color w:val="auto"/>
        </w:rPr>
        <w:t>Varying Contributions</w:t>
      </w:r>
    </w:p>
    <w:p>
      <w:pPr>
        <w:spacing w:after="0" w:line="198" w:lineRule="exact"/>
        <w:rPr>
          <w:sz w:val="20"/>
          <w:szCs w:val="20"/>
          <w:color w:val="auto"/>
        </w:rPr>
      </w:pPr>
    </w:p>
    <w:p>
      <w:pPr>
        <w:ind w:left="660" w:right="40"/>
        <w:spacing w:after="0" w:line="239" w:lineRule="auto"/>
        <w:rPr>
          <w:sz w:val="20"/>
          <w:szCs w:val="20"/>
          <w:color w:val="auto"/>
        </w:rPr>
      </w:pPr>
      <w:r>
        <w:rPr>
          <w:rFonts w:ascii="Arial" w:cs="Arial" w:eastAsia="Arial" w:hAnsi="Arial"/>
          <w:sz w:val="18"/>
          <w:szCs w:val="18"/>
          <w:color w:val="auto"/>
        </w:rPr>
        <w:t>A Participant may vary his rate of Contributions with the agreement of the Administrator on such terms as set by the Administrator from time to time. The new rate of Contributions will take effect no later than the first pay date following 30 days after receiving the notice, unless a later date is specified. The Administrator may set a limit on the number of times a Participant is permitted to vary his rate of Contributions.</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7"/>
          <w:szCs w:val="17"/>
          <w:color w:val="auto"/>
        </w:rPr>
        <w:t>Withdrawal from agreement to make Contributions</w:t>
      </w:r>
    </w:p>
    <w:p>
      <w:pPr>
        <w:spacing w:after="0" w:line="198" w:lineRule="exact"/>
        <w:rPr>
          <w:sz w:val="20"/>
          <w:szCs w:val="20"/>
          <w:color w:val="auto"/>
        </w:rPr>
      </w:pPr>
    </w:p>
    <w:p>
      <w:pPr>
        <w:ind w:left="660" w:right="60"/>
        <w:spacing w:after="0" w:line="239" w:lineRule="auto"/>
        <w:rPr>
          <w:sz w:val="20"/>
          <w:szCs w:val="20"/>
          <w:color w:val="auto"/>
        </w:rPr>
      </w:pPr>
      <w:r>
        <w:rPr>
          <w:rFonts w:ascii="Arial" w:cs="Arial" w:eastAsia="Arial" w:hAnsi="Arial"/>
          <w:sz w:val="18"/>
          <w:szCs w:val="18"/>
          <w:color w:val="auto"/>
        </w:rPr>
        <w:t>A Participant may at any time withdraw from the agreement to make Contributions made at the time of joining the Plan. The Participant will be treated as having stopped Contributions 30 days after the receipt of the notice, unless a later date is specified. Any Contributions held at the time of withdrawal will be used as set out in paragraph 3.4. Any Investment Shares already allocated will not cease to be subject to the Plan as a result of such a withdrawal.</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7"/>
          <w:szCs w:val="17"/>
          <w:color w:val="auto"/>
        </w:rPr>
        <w:t>Currency conversion</w:t>
      </w:r>
    </w:p>
    <w:p>
      <w:pPr>
        <w:spacing w:after="0" w:line="198" w:lineRule="exact"/>
        <w:rPr>
          <w:sz w:val="20"/>
          <w:szCs w:val="20"/>
          <w:color w:val="auto"/>
        </w:rPr>
      </w:pPr>
    </w:p>
    <w:p>
      <w:pPr>
        <w:jc w:val="both"/>
        <w:ind w:left="660" w:right="180"/>
        <w:spacing w:after="0" w:line="239" w:lineRule="auto"/>
        <w:rPr>
          <w:sz w:val="20"/>
          <w:szCs w:val="20"/>
          <w:color w:val="auto"/>
        </w:rPr>
      </w:pPr>
      <w:r>
        <w:rPr>
          <w:rFonts w:ascii="Arial" w:cs="Arial" w:eastAsia="Arial" w:hAnsi="Arial"/>
          <w:sz w:val="18"/>
          <w:szCs w:val="18"/>
          <w:color w:val="auto"/>
        </w:rPr>
        <w:t>Contributions made in a currency other than US dollars (including any limits which apply to Contributions pursuant to paragraph 3.1) will be converted into US dollars on such date or dates as determined by the Administrator and at the average of the spot buying and selling rates with the relevant currency in comparable amounts by any clearing bank chosen by the Administrator on any date chosen by the Administrator.</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7"/>
          <w:szCs w:val="17"/>
          <w:color w:val="auto"/>
        </w:rPr>
        <w:t>Limit on Investment Shares</w:t>
      </w:r>
    </w:p>
    <w:p>
      <w:pPr>
        <w:spacing w:after="0" w:line="198" w:lineRule="exact"/>
        <w:rPr>
          <w:sz w:val="20"/>
          <w:szCs w:val="20"/>
          <w:color w:val="auto"/>
        </w:rPr>
      </w:pPr>
    </w:p>
    <w:p>
      <w:pPr>
        <w:ind w:left="660" w:right="80"/>
        <w:spacing w:after="0" w:line="246" w:lineRule="auto"/>
        <w:rPr>
          <w:sz w:val="20"/>
          <w:szCs w:val="20"/>
          <w:color w:val="auto"/>
        </w:rPr>
      </w:pPr>
      <w:r>
        <w:rPr>
          <w:rFonts w:ascii="Arial" w:cs="Arial" w:eastAsia="Arial" w:hAnsi="Arial"/>
          <w:sz w:val="18"/>
          <w:szCs w:val="18"/>
          <w:color w:val="auto"/>
        </w:rPr>
        <w:t>The Administration may from time to time set a limit on the number of Shares which may be allocated as Investment Shares. If there is such a limit, it will be set out in the application or otherwise notified to the Participant.</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Offering Periods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Administrator may determine in relation to any operation of the Plan whether there will be an Offering Period.</w:t>
      </w:r>
    </w:p>
    <w:p>
      <w:pPr>
        <w:spacing w:after="0" w:line="198"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The start and end of any Offering Period must be set out in the application or notified to the Participant before the start of the operation of the Plan. The Offering Period must start on or before the date of the first Contribution.</w:t>
      </w:r>
    </w:p>
    <w:p>
      <w:pPr>
        <w:spacing w:after="0" w:line="183" w:lineRule="exact"/>
        <w:rPr>
          <w:sz w:val="20"/>
          <w:szCs w:val="20"/>
          <w:color w:val="auto"/>
        </w:rPr>
      </w:pPr>
    </w:p>
    <w:p>
      <w:pPr>
        <w:jc w:val="both"/>
        <w:ind w:left="660" w:right="60"/>
        <w:spacing w:after="0"/>
        <w:rPr>
          <w:sz w:val="20"/>
          <w:szCs w:val="20"/>
          <w:color w:val="auto"/>
        </w:rPr>
      </w:pPr>
      <w:r>
        <w:rPr>
          <w:rFonts w:ascii="Arial" w:cs="Arial" w:eastAsia="Arial" w:hAnsi="Arial"/>
          <w:sz w:val="18"/>
          <w:szCs w:val="18"/>
          <w:color w:val="auto"/>
        </w:rPr>
        <w:t>If, during the Offering Period, a transaction occurs in relation to the Shares which results in a new holding of shares being equated with the Shares, the Contributions held may, with the agreement of the Participant, be used at the end of the Offering Period to acquire new shares. By submitting the application form, the Participant agrees to the acquisition of new shares.</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Allocating Investment Shares – Offering Period</w:t>
      </w:r>
    </w:p>
    <w:p>
      <w:pPr>
        <w:spacing w:after="0" w:line="198" w:lineRule="exact"/>
        <w:rPr>
          <w:sz w:val="20"/>
          <w:szCs w:val="20"/>
          <w:color w:val="auto"/>
        </w:rPr>
      </w:pPr>
    </w:p>
    <w:p>
      <w:pPr>
        <w:ind w:left="1300" w:right="260" w:hanging="644"/>
        <w:spacing w:after="0" w:line="246" w:lineRule="auto"/>
        <w:tabs>
          <w:tab w:leader="none" w:pos="13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there is an Offering Period, the Company must allocate Investment Shares to each Participant within 30 days of the end of that period.</w:t>
      </w:r>
    </w:p>
    <w:p>
      <w:pPr>
        <w:spacing w:after="0" w:line="183" w:lineRule="exact"/>
        <w:rPr>
          <w:rFonts w:ascii="Arial" w:cs="Arial" w:eastAsia="Arial" w:hAnsi="Arial"/>
          <w:sz w:val="18"/>
          <w:szCs w:val="18"/>
          <w:color w:val="auto"/>
        </w:rPr>
      </w:pPr>
    </w:p>
    <w:p>
      <w:pPr>
        <w:ind w:left="1300" w:right="220" w:hanging="644"/>
        <w:spacing w:after="0" w:line="246" w:lineRule="auto"/>
        <w:tabs>
          <w:tab w:leader="none" w:pos="13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Where Shares are issued for the allocation, the number of Investment Shares allocated to each Participant will be calculated using the Market Value of the Shares on the date of allocation.</w:t>
      </w:r>
    </w:p>
    <w:p>
      <w:pPr>
        <w:spacing w:after="0" w:line="183" w:lineRule="exact"/>
        <w:rPr>
          <w:rFonts w:ascii="Arial" w:cs="Arial" w:eastAsia="Arial" w:hAnsi="Arial"/>
          <w:sz w:val="18"/>
          <w:szCs w:val="18"/>
          <w:color w:val="auto"/>
        </w:rPr>
      </w:pPr>
    </w:p>
    <w:p>
      <w:pPr>
        <w:ind w:left="1300" w:right="320" w:hanging="644"/>
        <w:spacing w:after="0" w:line="246" w:lineRule="auto"/>
        <w:tabs>
          <w:tab w:leader="none" w:pos="13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Where the Nominee purchases Shares for allocation, the number of Investment Shares allocated to each Participant will be calculated using the average price actually paid by the Nominee for the Shares.</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color w:val="auto"/>
        </w:rPr>
        <w:t>Allocating Investment Shares – no Offering Period</w:t>
      </w:r>
    </w:p>
    <w:p>
      <w:pPr>
        <w:spacing w:after="0" w:line="198" w:lineRule="exact"/>
        <w:rPr>
          <w:sz w:val="20"/>
          <w:szCs w:val="20"/>
          <w:color w:val="auto"/>
        </w:rPr>
      </w:pPr>
    </w:p>
    <w:p>
      <w:pPr>
        <w:ind w:left="1300" w:hanging="644"/>
        <w:spacing w:after="0"/>
        <w:tabs>
          <w:tab w:leader="none" w:pos="13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If there is no Offering Period, the Company must allocate Investment Shares to the Participants by a date set by the Company.</w:t>
      </w:r>
    </w:p>
    <w:p>
      <w:pPr>
        <w:spacing w:after="0" w:line="198" w:lineRule="exact"/>
        <w:rPr>
          <w:rFonts w:ascii="Arial" w:cs="Arial" w:eastAsia="Arial" w:hAnsi="Arial"/>
          <w:sz w:val="18"/>
          <w:szCs w:val="18"/>
          <w:color w:val="auto"/>
        </w:rPr>
      </w:pPr>
    </w:p>
    <w:p>
      <w:pPr>
        <w:ind w:left="1300" w:right="220" w:hanging="644"/>
        <w:spacing w:after="0" w:line="246" w:lineRule="auto"/>
        <w:tabs>
          <w:tab w:leader="none" w:pos="13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Where Shares are issued for the allocation, the number of Investment Shares allocated to each Participant will be calculated using the Market Value of the Shares on the date of allocation.</w:t>
      </w:r>
    </w:p>
    <w:p>
      <w:pPr>
        <w:spacing w:after="0" w:line="189"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42</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89" w:lineRule="exact"/>
        <w:rPr>
          <w:sz w:val="20"/>
          <w:szCs w:val="20"/>
          <w:color w:val="auto"/>
        </w:rPr>
      </w:pPr>
    </w:p>
    <w:p>
      <w:pPr>
        <w:ind w:left="1300" w:right="320" w:hanging="644"/>
        <w:spacing w:after="0" w:line="246" w:lineRule="auto"/>
        <w:tabs>
          <w:tab w:leader="none" w:pos="13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Where the Nominee purchases Shares for allocation, the number of Investment Shares allocated to each Participant will be calculated using the average price actually paid by the Nominee for the Shares.</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7"/>
          <w:szCs w:val="17"/>
          <w:color w:val="auto"/>
        </w:rPr>
        <w:t>Allocation eligibility requirement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not allocate Investment Shares to an individual who is not a Participating Employee at the following times:</w:t>
      </w:r>
    </w:p>
    <w:p>
      <w:pPr>
        <w:spacing w:after="0" w:line="198" w:lineRule="exact"/>
        <w:rPr>
          <w:sz w:val="20"/>
          <w:szCs w:val="20"/>
          <w:color w:val="auto"/>
        </w:rPr>
      </w:pPr>
    </w:p>
    <w:p>
      <w:pPr>
        <w:ind w:left="1300" w:hanging="644"/>
        <w:spacing w:after="0"/>
        <w:tabs>
          <w:tab w:leader="none" w:pos="1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where there is no Offering Period, at the time the related Contributions are made;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where there is an Offering Period, at the time the related first Contribution is made.</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7"/>
          <w:szCs w:val="17"/>
          <w:color w:val="auto"/>
        </w:rPr>
        <w:t>Notification by the Company</w:t>
      </w:r>
    </w:p>
    <w:p>
      <w:pPr>
        <w:spacing w:after="0" w:line="198" w:lineRule="exact"/>
        <w:rPr>
          <w:sz w:val="20"/>
          <w:szCs w:val="20"/>
          <w:color w:val="auto"/>
        </w:rPr>
      </w:pPr>
    </w:p>
    <w:p>
      <w:pPr>
        <w:ind w:left="660" w:right="480"/>
        <w:spacing w:after="0" w:line="275" w:lineRule="auto"/>
        <w:rPr>
          <w:sz w:val="20"/>
          <w:szCs w:val="20"/>
          <w:color w:val="auto"/>
        </w:rPr>
      </w:pPr>
      <w:r>
        <w:rPr>
          <w:rFonts w:ascii="Arial" w:cs="Arial" w:eastAsia="Arial" w:hAnsi="Arial"/>
          <w:sz w:val="17"/>
          <w:szCs w:val="17"/>
          <w:color w:val="auto"/>
        </w:rPr>
        <w:t>As soon as practicable after the allocation of Investment Shares to a Participant, the Company will notify that Participant. The notification will include the number of Investment Shares and the amount of Contributions used to acquire the Investment Shares.</w:t>
      </w:r>
    </w:p>
    <w:p>
      <w:pPr>
        <w:spacing w:after="0" w:line="16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7"/>
          <w:szCs w:val="17"/>
          <w:color w:val="auto"/>
        </w:rPr>
        <w:t>Holding Investment Shares</w:t>
      </w:r>
    </w:p>
    <w:p>
      <w:pPr>
        <w:spacing w:after="0" w:line="198" w:lineRule="exact"/>
        <w:rPr>
          <w:sz w:val="20"/>
          <w:szCs w:val="20"/>
          <w:color w:val="auto"/>
        </w:rPr>
      </w:pPr>
    </w:p>
    <w:p>
      <w:pPr>
        <w:ind w:left="660" w:right="140"/>
        <w:spacing w:after="0" w:line="239" w:lineRule="auto"/>
        <w:rPr>
          <w:sz w:val="20"/>
          <w:szCs w:val="20"/>
          <w:color w:val="auto"/>
        </w:rPr>
      </w:pPr>
      <w:r>
        <w:rPr>
          <w:rFonts w:ascii="Arial" w:cs="Arial" w:eastAsia="Arial" w:hAnsi="Arial"/>
          <w:sz w:val="18"/>
          <w:szCs w:val="18"/>
          <w:color w:val="auto"/>
        </w:rPr>
        <w:t>The Administrator will determine the basis upon which the Investment Shares will be held on behalf of the Participant and whether the legal ownership of the Investment Shares will be transferred to the Nominee, or whether the share certificate (or other documents of title) of the Investment Shares will be lodged with the Nominee without the need for a change in the registered owner of the Shares. The basis upon which the Investment Shares are held may vary from country to country.</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7"/>
          <w:szCs w:val="17"/>
          <w:color w:val="auto"/>
        </w:rPr>
        <w:t>Access to Investment Shares</w:t>
      </w:r>
    </w:p>
    <w:p>
      <w:pPr>
        <w:spacing w:after="0" w:line="180" w:lineRule="exact"/>
        <w:rPr>
          <w:sz w:val="20"/>
          <w:szCs w:val="20"/>
          <w:color w:val="auto"/>
        </w:rPr>
      </w:pPr>
    </w:p>
    <w:p>
      <w:pPr>
        <w:ind w:left="660" w:right="240"/>
        <w:spacing w:after="0" w:line="267" w:lineRule="auto"/>
        <w:rPr>
          <w:sz w:val="20"/>
          <w:szCs w:val="20"/>
          <w:color w:val="auto"/>
        </w:rPr>
      </w:pPr>
      <w:r>
        <w:rPr>
          <w:rFonts w:ascii="Arial" w:cs="Arial" w:eastAsia="Arial" w:hAnsi="Arial"/>
          <w:sz w:val="18"/>
          <w:szCs w:val="18"/>
          <w:color w:val="auto"/>
        </w:rPr>
        <w:t>Subject to section 11.2 (</w:t>
      </w:r>
      <w:r>
        <w:rPr>
          <w:rFonts w:ascii="Arial" w:cs="Arial" w:eastAsia="Arial" w:hAnsi="Arial"/>
          <w:sz w:val="18"/>
          <w:szCs w:val="18"/>
          <w:i w:val="1"/>
          <w:iCs w:val="1"/>
          <w:color w:val="auto"/>
        </w:rPr>
        <w:t>Withholding</w:t>
      </w:r>
      <w:r>
        <w:rPr>
          <w:rFonts w:ascii="Arial" w:cs="Arial" w:eastAsia="Arial" w:hAnsi="Arial"/>
          <w:sz w:val="18"/>
          <w:szCs w:val="18"/>
          <w:color w:val="auto"/>
        </w:rPr>
        <w:t>) and with regard to paragraph 4.4, a Participant may, at any time, direct the Nominee to transfer legal title of Investment Shares to him or as he may direct.</w:t>
      </w:r>
    </w:p>
    <w:p>
      <w:pPr>
        <w:spacing w:after="0" w:line="143" w:lineRule="exact"/>
        <w:rPr>
          <w:sz w:val="20"/>
          <w:szCs w:val="20"/>
          <w:color w:val="auto"/>
        </w:rPr>
      </w:pPr>
    </w:p>
    <w:p>
      <w:pPr>
        <w:ind w:left="660" w:hanging="652"/>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b w:val="1"/>
          <w:bCs w:val="1"/>
          <w:color w:val="auto"/>
        </w:rPr>
        <w:t>Matching Shares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Ratio of Matching Shares to Investment Shares</w:t>
      </w:r>
    </w:p>
    <w:p>
      <w:pPr>
        <w:spacing w:after="0" w:line="198" w:lineRule="exact"/>
        <w:rPr>
          <w:sz w:val="20"/>
          <w:szCs w:val="20"/>
          <w:color w:val="auto"/>
        </w:rPr>
      </w:pPr>
    </w:p>
    <w:p>
      <w:pPr>
        <w:ind w:left="660" w:right="20"/>
        <w:spacing w:after="0"/>
        <w:rPr>
          <w:sz w:val="20"/>
          <w:szCs w:val="20"/>
          <w:color w:val="auto"/>
        </w:rPr>
      </w:pPr>
      <w:r>
        <w:rPr>
          <w:rFonts w:ascii="Arial" w:cs="Arial" w:eastAsia="Arial" w:hAnsi="Arial"/>
          <w:sz w:val="18"/>
          <w:szCs w:val="18"/>
          <w:color w:val="auto"/>
        </w:rPr>
        <w:t>The Administrator may determine that a Participant who is allocated Investment Shares will be granted an award of Matching Shares. The Administrator will set the ratio of Matching Shares to Investment Shares from time to time and the applicable ratio will be notified to the Participant. If the Administrator decide to change the ratio, the Participants will be notified.</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Awards of Matching Shares</w:t>
      </w:r>
    </w:p>
    <w:p>
      <w:pPr>
        <w:spacing w:after="0" w:line="198" w:lineRule="exact"/>
        <w:rPr>
          <w:sz w:val="20"/>
          <w:szCs w:val="20"/>
          <w:color w:val="auto"/>
        </w:rPr>
      </w:pPr>
    </w:p>
    <w:p>
      <w:pPr>
        <w:ind w:left="660" w:right="440"/>
        <w:spacing w:after="0" w:line="246" w:lineRule="auto"/>
        <w:rPr>
          <w:sz w:val="20"/>
          <w:szCs w:val="20"/>
          <w:color w:val="auto"/>
        </w:rPr>
      </w:pPr>
      <w:r>
        <w:rPr>
          <w:rFonts w:ascii="Arial" w:cs="Arial" w:eastAsia="Arial" w:hAnsi="Arial"/>
          <w:sz w:val="18"/>
          <w:szCs w:val="18"/>
          <w:color w:val="auto"/>
        </w:rPr>
        <w:t>The Company will award Matching Shares to each Participant on the basis set out in the application or as otherwise notified to the Participant and will award Matching Shares on the same day as the related Investment Shares are allocated to</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Draft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Participants unless the Administrator determine that Matching Shares will be awarded on another day.</w:t>
      </w:r>
    </w:p>
    <w:p>
      <w:pPr>
        <w:spacing w:after="0" w:line="198" w:lineRule="exact"/>
        <w:rPr>
          <w:sz w:val="20"/>
          <w:szCs w:val="20"/>
          <w:color w:val="auto"/>
        </w:rPr>
      </w:pPr>
    </w:p>
    <w:p>
      <w:pPr>
        <w:ind w:left="660" w:right="280"/>
        <w:spacing w:after="0"/>
        <w:rPr>
          <w:sz w:val="20"/>
          <w:szCs w:val="20"/>
          <w:color w:val="auto"/>
        </w:rPr>
      </w:pPr>
      <w:r>
        <w:rPr>
          <w:rFonts w:ascii="Arial" w:cs="Arial" w:eastAsia="Arial" w:hAnsi="Arial"/>
          <w:sz w:val="18"/>
          <w:szCs w:val="18"/>
          <w:color w:val="auto"/>
        </w:rPr>
        <w:t>However, the Administrator may decide to operate the Plan on the basis that, if any Investment Shares allocated are not sufficient to result in the award of a Matching Share on the same day, the match will be made when sufficient Investment Shares have been allocated.</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Notification by the Company</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time of, or as soon as practicable after, the award of Matching Shares, the Company will notify each Participant of the award.</w:t>
      </w:r>
    </w:p>
    <w:p>
      <w:pPr>
        <w:ind w:left="660"/>
        <w:spacing w:after="0"/>
        <w:rPr>
          <w:sz w:val="20"/>
          <w:szCs w:val="20"/>
          <w:color w:val="auto"/>
        </w:rPr>
      </w:pPr>
      <w:r>
        <w:rPr>
          <w:rFonts w:ascii="Arial" w:cs="Arial" w:eastAsia="Arial" w:hAnsi="Arial"/>
          <w:sz w:val="18"/>
          <w:szCs w:val="18"/>
          <w:color w:val="auto"/>
        </w:rPr>
        <w:t>The Company will include in the notification:</w:t>
      </w:r>
    </w:p>
    <w:p>
      <w:pPr>
        <w:spacing w:after="0" w:line="198" w:lineRule="exact"/>
        <w:rPr>
          <w:sz w:val="20"/>
          <w:szCs w:val="20"/>
          <w:color w:val="auto"/>
        </w:rPr>
      </w:pPr>
    </w:p>
    <w:p>
      <w:pPr>
        <w:ind w:left="1300" w:hanging="644"/>
        <w:spacing w:after="0"/>
        <w:tabs>
          <w:tab w:leader="none" w:pos="13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number of Matching Shares subject to the award;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applicable Holding Period.</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Forfeiture of Matching Shares</w:t>
      </w:r>
    </w:p>
    <w:p>
      <w:pPr>
        <w:spacing w:after="0" w:line="198" w:lineRule="exact"/>
        <w:rPr>
          <w:sz w:val="20"/>
          <w:szCs w:val="20"/>
          <w:color w:val="auto"/>
        </w:rPr>
      </w:pPr>
    </w:p>
    <w:p>
      <w:pPr>
        <w:ind w:left="1300" w:right="60" w:hanging="644"/>
        <w:spacing w:after="0"/>
        <w:tabs>
          <w:tab w:leader="none" w:pos="1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Subject to paragraph 5.2, the Administrator may decide that an award of Matching Shares will be made on the basis that, if a Participant ceases to be an employee of a Group Company for any reason during the Holding Period applicable to an award of Matching Shares, they will forfeit that Matching Share award.</w:t>
      </w:r>
    </w:p>
    <w:p>
      <w:pPr>
        <w:spacing w:after="0" w:line="189" w:lineRule="exact"/>
        <w:rPr>
          <w:rFonts w:ascii="Arial" w:cs="Arial" w:eastAsia="Arial" w:hAnsi="Arial"/>
          <w:sz w:val="18"/>
          <w:szCs w:val="18"/>
          <w:color w:val="auto"/>
        </w:rPr>
      </w:pPr>
    </w:p>
    <w:p>
      <w:pPr>
        <w:ind w:left="1300" w:right="220" w:hanging="644"/>
        <w:spacing w:after="0" w:line="239" w:lineRule="auto"/>
        <w:tabs>
          <w:tab w:leader="none" w:pos="1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Administrator may also decide that an award of Matching Shares will be made on the basis that a Participant who takes out of the Plan the Investment Shares in respect of which the Matching Shares were awarded (other than by reason of paragraph 5.2(a) or on a Change of Control) during the Holding Period will forfeit the Matching Share award relating to those Investment Shares.</w:t>
      </w:r>
    </w:p>
    <w:p>
      <w:pPr>
        <w:spacing w:after="0" w:line="166" w:lineRule="exact"/>
        <w:rPr>
          <w:sz w:val="20"/>
          <w:szCs w:val="20"/>
          <w:color w:val="auto"/>
        </w:rPr>
      </w:pPr>
    </w:p>
    <w:p>
      <w:pPr>
        <w:ind w:left="660" w:hanging="652"/>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Transfer of Shares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End of Holding Period</w:t>
      </w:r>
    </w:p>
    <w:p>
      <w:pPr>
        <w:spacing w:after="0" w:line="198" w:lineRule="exact"/>
        <w:rPr>
          <w:sz w:val="20"/>
          <w:szCs w:val="20"/>
          <w:color w:val="auto"/>
        </w:rPr>
      </w:pPr>
    </w:p>
    <w:p>
      <w:pPr>
        <w:ind w:left="660" w:right="140"/>
        <w:spacing w:after="0" w:line="246" w:lineRule="auto"/>
        <w:rPr>
          <w:sz w:val="20"/>
          <w:szCs w:val="20"/>
          <w:color w:val="auto"/>
        </w:rPr>
      </w:pPr>
      <w:r>
        <w:rPr>
          <w:rFonts w:ascii="Arial" w:cs="Arial" w:eastAsia="Arial" w:hAnsi="Arial"/>
          <w:sz w:val="18"/>
          <w:szCs w:val="18"/>
          <w:color w:val="auto"/>
        </w:rPr>
        <w:t>Free Shares and/or Matching Shares will, subject to section 5.2 Vest at the end of the Holding Period and the Shares will be issued or transferred to the Participant or his nominee within 30 days of Vesting.</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Leaving Employment</w:t>
      </w:r>
    </w:p>
    <w:p>
      <w:pPr>
        <w:spacing w:after="0" w:line="198" w:lineRule="exact"/>
        <w:rPr>
          <w:sz w:val="20"/>
          <w:szCs w:val="20"/>
          <w:color w:val="auto"/>
        </w:rPr>
      </w:pPr>
    </w:p>
    <w:p>
      <w:pPr>
        <w:ind w:left="1300" w:hanging="644"/>
        <w:spacing w:after="0"/>
        <w:tabs>
          <w:tab w:leader="none" w:pos="13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If a Participant ceases Employment for any of the reasons set out in paragraph 5.2(b) the following will apply:</w:t>
      </w:r>
    </w:p>
    <w:p>
      <w:pPr>
        <w:spacing w:after="0" w:line="198" w:lineRule="exact"/>
        <w:rPr>
          <w:rFonts w:ascii="Arial" w:cs="Arial" w:eastAsia="Arial" w:hAnsi="Arial"/>
          <w:sz w:val="18"/>
          <w:szCs w:val="18"/>
          <w:color w:val="auto"/>
        </w:rPr>
      </w:pPr>
    </w:p>
    <w:p>
      <w:pPr>
        <w:ind w:left="1960" w:hanging="655"/>
        <w:spacing w:after="0" w:line="246" w:lineRule="auto"/>
        <w:tabs>
          <w:tab w:leader="none" w:pos="196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all the Participant’s Plan Shares will cease to be subject to the Plan and will be transferred to him or her (or, in the case of death, to the Participant’s personal representative) or his or her nominee as soon as practicable: and</w:t>
      </w:r>
    </w:p>
    <w:p>
      <w:pPr>
        <w:spacing w:after="0" w:line="183" w:lineRule="exact"/>
        <w:rPr>
          <w:rFonts w:ascii="Arial" w:cs="Arial" w:eastAsia="Arial" w:hAnsi="Arial"/>
          <w:sz w:val="18"/>
          <w:szCs w:val="18"/>
          <w:color w:val="auto"/>
        </w:rPr>
      </w:pPr>
    </w:p>
    <w:p>
      <w:pPr>
        <w:ind w:left="1960" w:right="320" w:hanging="655"/>
        <w:spacing w:after="0" w:line="246" w:lineRule="auto"/>
        <w:tabs>
          <w:tab w:leader="none" w:pos="196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Free Shares and/or Matching Shares will Vest and the Shares will be transferred to the Participant or their nominee within 60 days of</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44</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ind w:left="11100"/>
        <w:spacing w:after="0"/>
        <w:rPr>
          <w:sz w:val="20"/>
          <w:szCs w:val="20"/>
          <w:color w:val="auto"/>
        </w:rPr>
      </w:pPr>
      <w:r>
        <w:rPr>
          <w:rFonts w:ascii="Arial" w:cs="Arial" w:eastAsia="Arial" w:hAnsi="Arial"/>
          <w:sz w:val="14"/>
          <w:szCs w:val="14"/>
          <w:color w:val="auto"/>
        </w:rPr>
        <w:t>Draft</w:t>
      </w:r>
    </w:p>
    <w:p>
      <w:pPr>
        <w:spacing w:after="0" w:line="198" w:lineRule="exact"/>
        <w:rPr>
          <w:sz w:val="20"/>
          <w:szCs w:val="20"/>
          <w:color w:val="auto"/>
        </w:rPr>
      </w:pPr>
    </w:p>
    <w:p>
      <w:pPr>
        <w:ind w:left="1960" w:right="20"/>
        <w:spacing w:after="0" w:line="246" w:lineRule="auto"/>
        <w:rPr>
          <w:sz w:val="20"/>
          <w:szCs w:val="20"/>
          <w:color w:val="auto"/>
        </w:rPr>
      </w:pPr>
      <w:r>
        <w:rPr>
          <w:rFonts w:ascii="Arial" w:cs="Arial" w:eastAsia="Arial" w:hAnsi="Arial"/>
          <w:sz w:val="18"/>
          <w:szCs w:val="18"/>
          <w:color w:val="auto"/>
        </w:rPr>
        <w:t>leaving Employment. In the case of death, the Shares will be transferred to the Participant’s personal representative as soon as practicable.</w:t>
      </w:r>
    </w:p>
    <w:p>
      <w:pPr>
        <w:spacing w:after="0" w:line="183" w:lineRule="exact"/>
        <w:rPr>
          <w:sz w:val="20"/>
          <w:szCs w:val="20"/>
          <w:color w:val="auto"/>
        </w:rPr>
      </w:pPr>
    </w:p>
    <w:p>
      <w:pPr>
        <w:ind w:left="1300" w:hanging="644"/>
        <w:spacing w:after="0"/>
        <w:tabs>
          <w:tab w:leader="none" w:pos="13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reasons are:</w:t>
      </w:r>
    </w:p>
    <w:p>
      <w:pPr>
        <w:spacing w:after="0" w:line="198" w:lineRule="exact"/>
        <w:rPr>
          <w:rFonts w:ascii="Arial" w:cs="Arial" w:eastAsia="Arial" w:hAnsi="Arial"/>
          <w:sz w:val="18"/>
          <w:szCs w:val="18"/>
          <w:color w:val="auto"/>
        </w:rPr>
      </w:pPr>
    </w:p>
    <w:p>
      <w:pPr>
        <w:ind w:left="1960" w:hanging="655"/>
        <w:spacing w:after="0"/>
        <w:tabs>
          <w:tab w:leader="none" w:pos="196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ill-health, injury or disability (established to the satisfaction of the Participant’s employer);</w:t>
      </w:r>
    </w:p>
    <w:p>
      <w:pPr>
        <w:spacing w:after="0" w:line="198" w:lineRule="exact"/>
        <w:rPr>
          <w:rFonts w:ascii="Arial" w:cs="Arial" w:eastAsia="Arial" w:hAnsi="Arial"/>
          <w:sz w:val="18"/>
          <w:szCs w:val="18"/>
          <w:color w:val="auto"/>
        </w:rPr>
      </w:pPr>
    </w:p>
    <w:p>
      <w:pPr>
        <w:ind w:left="1960" w:hanging="655"/>
        <w:spacing w:after="0"/>
        <w:tabs>
          <w:tab w:leader="none" w:pos="196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retirement with the agreement of the Participant’s employer;</w:t>
      </w:r>
    </w:p>
    <w:p>
      <w:pPr>
        <w:spacing w:after="0" w:line="198" w:lineRule="exact"/>
        <w:rPr>
          <w:rFonts w:ascii="Arial" w:cs="Arial" w:eastAsia="Arial" w:hAnsi="Arial"/>
          <w:sz w:val="18"/>
          <w:szCs w:val="18"/>
          <w:color w:val="auto"/>
        </w:rPr>
      </w:pPr>
    </w:p>
    <w:p>
      <w:pPr>
        <w:ind w:left="1960" w:hanging="655"/>
        <w:spacing w:after="0"/>
        <w:tabs>
          <w:tab w:leader="none" w:pos="196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Participant’s employing company ceasing to be a Group Company;</w:t>
      </w:r>
    </w:p>
    <w:p>
      <w:pPr>
        <w:spacing w:after="0" w:line="198" w:lineRule="exact"/>
        <w:rPr>
          <w:rFonts w:ascii="Arial" w:cs="Arial" w:eastAsia="Arial" w:hAnsi="Arial"/>
          <w:sz w:val="18"/>
          <w:szCs w:val="18"/>
          <w:color w:val="auto"/>
        </w:rPr>
      </w:pPr>
    </w:p>
    <w:p>
      <w:pPr>
        <w:ind w:left="1960" w:right="540" w:hanging="655"/>
        <w:spacing w:after="0" w:line="246" w:lineRule="auto"/>
        <w:tabs>
          <w:tab w:leader="none" w:pos="196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 transfer of the undertaking, or part of the undertaking, in which the Participant works to a person which is not a Group Company;</w:t>
      </w:r>
    </w:p>
    <w:p>
      <w:pPr>
        <w:spacing w:after="0" w:line="183" w:lineRule="exact"/>
        <w:rPr>
          <w:rFonts w:ascii="Arial" w:cs="Arial" w:eastAsia="Arial" w:hAnsi="Arial"/>
          <w:sz w:val="18"/>
          <w:szCs w:val="18"/>
          <w:color w:val="auto"/>
        </w:rPr>
      </w:pPr>
    </w:p>
    <w:p>
      <w:pPr>
        <w:ind w:left="1960" w:hanging="655"/>
        <w:spacing w:after="0"/>
        <w:tabs>
          <w:tab w:leader="none" w:pos="196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redundancy;</w:t>
      </w:r>
    </w:p>
    <w:p>
      <w:pPr>
        <w:spacing w:after="0" w:line="198" w:lineRule="exact"/>
        <w:rPr>
          <w:rFonts w:ascii="Arial" w:cs="Arial" w:eastAsia="Arial" w:hAnsi="Arial"/>
          <w:sz w:val="18"/>
          <w:szCs w:val="18"/>
          <w:color w:val="auto"/>
        </w:rPr>
      </w:pPr>
    </w:p>
    <w:p>
      <w:pPr>
        <w:ind w:left="1960" w:hanging="655"/>
        <w:spacing w:after="0"/>
        <w:tabs>
          <w:tab w:leader="none" w:pos="196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death; and</w:t>
      </w:r>
    </w:p>
    <w:p>
      <w:pPr>
        <w:spacing w:after="0" w:line="198" w:lineRule="exact"/>
        <w:rPr>
          <w:rFonts w:ascii="Arial" w:cs="Arial" w:eastAsia="Arial" w:hAnsi="Arial"/>
          <w:sz w:val="18"/>
          <w:szCs w:val="18"/>
          <w:color w:val="auto"/>
        </w:rPr>
      </w:pPr>
    </w:p>
    <w:p>
      <w:pPr>
        <w:ind w:left="1960" w:hanging="655"/>
        <w:spacing w:after="0"/>
        <w:tabs>
          <w:tab w:leader="none" w:pos="196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any other reason, if the Board so decides in any particular case.</w:t>
      </w:r>
    </w:p>
    <w:p>
      <w:pPr>
        <w:spacing w:after="0" w:line="198" w:lineRule="exact"/>
        <w:rPr>
          <w:rFonts w:ascii="Arial" w:cs="Arial" w:eastAsia="Arial" w:hAnsi="Arial"/>
          <w:sz w:val="18"/>
          <w:szCs w:val="18"/>
          <w:color w:val="auto"/>
        </w:rPr>
      </w:pPr>
    </w:p>
    <w:p>
      <w:pPr>
        <w:ind w:left="1300" w:right="60" w:hanging="644"/>
        <w:spacing w:after="0"/>
        <w:tabs>
          <w:tab w:leader="none" w:pos="13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If a Participant ceases Employment for any other reason paragraph 4.2(a) will apply unless the Participant’s Free Share and/or Matching Shares are subject to forfeiture in which case the provisions imposed by the Administrator pursuant to paragraphs 2.4 and 4.4 shall apply.</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45</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014-3956-4410/13/EUROPE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90214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9021445"/>
                    </a:xfrm>
                    <a:prstGeom prst="rect">
                      <a:avLst/>
                    </a:prstGeom>
                    <a:noFill/>
                  </pic:spPr>
                </pic:pic>
              </a:graphicData>
            </a:graphic>
          </wp:anchor>
        </w:drawing>
      </w:r>
    </w:p>
    <w:p>
      <w:pPr>
        <w:sectPr>
          <w:pgSz w:w="11900" w:h="16838" w:orient="portrait"/>
          <w:cols w:equalWidth="0" w:num="1">
            <w:col w:w="10219"/>
          </w:cols>
          <w:pgMar w:left="240" w:top="234" w:right="1440"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8970645</wp:posOffset>
            </wp:positionV>
            <wp:extent cx="7246620" cy="342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0219"/>
      </w:cols>
      <w:pgMar w:left="240" w:top="2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FC4FBB"/>
    <w:multiLevelType w:val="hybridMultilevel"/>
    <w:lvl w:ilvl="0">
      <w:lvlJc w:val="left"/>
      <w:lvlText w:val="(%1)"/>
      <w:numFmt w:val="decimal"/>
      <w:start w:val="1"/>
    </w:lvl>
  </w:abstractNum>
  <w:abstractNum w:abstractNumId="1">
    <w:nsid w:val="CC1016F"/>
    <w:multiLevelType w:val="hybridMultilevel"/>
    <w:lvl w:ilvl="0">
      <w:lvlJc w:val="left"/>
      <w:lvlText w:val="(%1)"/>
      <w:numFmt w:val="decimal"/>
      <w:start w:val="1"/>
    </w:lvl>
  </w:abstractNum>
  <w:abstractNum w:abstractNumId="2">
    <w:nsid w:val="43F18422"/>
    <w:multiLevelType w:val="hybridMultilevel"/>
    <w:lvl w:ilvl="0">
      <w:lvlJc w:val="left"/>
      <w:lvlText w:val="%1."/>
      <w:numFmt w:val="decimal"/>
      <w:start w:val="1"/>
    </w:lvl>
    <w:lvl w:ilvl="1">
      <w:lvlJc w:val="left"/>
      <w:lvlText w:val="%2."/>
      <w:numFmt w:val="lowerLetter"/>
      <w:start w:val="1"/>
    </w:lvl>
  </w:abstractNum>
  <w:abstractNum w:abstractNumId="3">
    <w:nsid w:val="60EF0119"/>
    <w:multiLevelType w:val="hybridMultilevel"/>
    <w:lvl w:ilvl="0">
      <w:lvlJc w:val="left"/>
      <w:lvlText w:val="•"/>
      <w:numFmt w:val="bullet"/>
      <w:start w:val="1"/>
    </w:lvl>
  </w:abstractNum>
  <w:abstractNum w:abstractNumId="4">
    <w:nsid w:val="26F324BA"/>
    <w:multiLevelType w:val="hybridMultilevel"/>
    <w:lvl w:ilvl="0">
      <w:lvlJc w:val="left"/>
      <w:lvlText w:val="•"/>
      <w:numFmt w:val="bullet"/>
      <w:start w:val="1"/>
    </w:lvl>
  </w:abstractNum>
  <w:abstractNum w:abstractNumId="5">
    <w:nsid w:val="7F01579B"/>
    <w:multiLevelType w:val="hybridMultilevel"/>
    <w:lvl w:ilvl="0">
      <w:lvlJc w:val="left"/>
      <w:lvlText w:val="•"/>
      <w:numFmt w:val="bullet"/>
      <w:start w:val="1"/>
    </w:lvl>
  </w:abstractNum>
  <w:abstractNum w:abstractNumId="6">
    <w:nsid w:val="49DA307D"/>
    <w:multiLevelType w:val="hybridMultilevel"/>
    <w:lvl w:ilvl="0">
      <w:lvlJc w:val="left"/>
      <w:lvlText w:val="•"/>
      <w:numFmt w:val="bullet"/>
      <w:start w:val="1"/>
    </w:lvl>
  </w:abstractNum>
  <w:abstractNum w:abstractNumId="7">
    <w:nsid w:val="7055A5F5"/>
    <w:multiLevelType w:val="hybridMultilevel"/>
    <w:lvl w:ilvl="0">
      <w:lvlJc w:val="left"/>
      <w:lvlText w:val="•"/>
      <w:numFmt w:val="bullet"/>
      <w:start w:val="1"/>
    </w:lvl>
  </w:abstractNum>
  <w:abstractNum w:abstractNumId="8">
    <w:nsid w:val="5FB8370B"/>
    <w:multiLevelType w:val="hybridMultilevel"/>
    <w:lvl w:ilvl="0">
      <w:lvlJc w:val="left"/>
      <w:lvlText w:val="•"/>
      <w:numFmt w:val="bullet"/>
      <w:start w:val="1"/>
    </w:lvl>
  </w:abstractNum>
  <w:abstractNum w:abstractNumId="9">
    <w:nsid w:val="50801EE1"/>
    <w:multiLevelType w:val="hybridMultilevel"/>
    <w:lvl w:ilvl="0">
      <w:lvlJc w:val="left"/>
      <w:lvlText w:val="•"/>
      <w:numFmt w:val="bullet"/>
      <w:start w:val="1"/>
    </w:lvl>
  </w:abstractNum>
  <w:abstractNum w:abstractNumId="10">
    <w:nsid w:val="488AC1A"/>
    <w:multiLevelType w:val="hybridMultilevel"/>
    <w:lvl w:ilvl="0">
      <w:lvlJc w:val="left"/>
      <w:lvlText w:val="•"/>
      <w:numFmt w:val="bullet"/>
      <w:start w:val="1"/>
    </w:lvl>
  </w:abstractNum>
  <w:abstractNum w:abstractNumId="11">
    <w:nsid w:val="5FB8011C"/>
    <w:multiLevelType w:val="hybridMultilevel"/>
    <w:lvl w:ilvl="0">
      <w:lvlJc w:val="left"/>
      <w:lvlText w:val="•"/>
      <w:numFmt w:val="bullet"/>
      <w:start w:val="1"/>
    </w:lvl>
  </w:abstractNum>
  <w:abstractNum w:abstractNumId="12">
    <w:nsid w:val="6AA78F7F"/>
    <w:multiLevelType w:val="hybridMultilevel"/>
    <w:lvl w:ilvl="0">
      <w:lvlJc w:val="left"/>
      <w:lvlText w:val="•"/>
      <w:numFmt w:val="bullet"/>
      <w:start w:val="1"/>
    </w:lvl>
  </w:abstractNum>
  <w:abstractNum w:abstractNumId="13">
    <w:nsid w:val="7672BD23"/>
    <w:multiLevelType w:val="hybridMultilevel"/>
    <w:lvl w:ilvl="0">
      <w:lvlJc w:val="left"/>
      <w:lvlText w:val="•"/>
      <w:numFmt w:val="bullet"/>
      <w:start w:val="1"/>
    </w:lvl>
    <w:lvl w:ilvl="1">
      <w:lvlJc w:val="left"/>
      <w:lvlText w:val="•"/>
      <w:numFmt w:val="bullet"/>
      <w:start w:val="1"/>
    </w:lvl>
  </w:abstractNum>
  <w:abstractNum w:abstractNumId="14">
    <w:nsid w:val="6FC75AF8"/>
    <w:multiLevelType w:val="hybridMultilevel"/>
    <w:lvl w:ilvl="0">
      <w:lvlJc w:val="left"/>
      <w:lvlText w:val="•"/>
      <w:numFmt w:val="bullet"/>
      <w:start w:val="1"/>
    </w:lvl>
  </w:abstractNum>
  <w:abstractNum w:abstractNumId="15">
    <w:nsid w:val="6A5F7029"/>
    <w:multiLevelType w:val="hybridMultilevel"/>
    <w:lvl w:ilvl="0">
      <w:lvlJc w:val="left"/>
      <w:lvlText w:val="•"/>
      <w:numFmt w:val="bullet"/>
      <w:start w:val="1"/>
    </w:lvl>
  </w:abstractNum>
  <w:abstractNum w:abstractNumId="16">
    <w:nsid w:val="7D5E18F8"/>
    <w:multiLevelType w:val="hybridMultilevel"/>
    <w:lvl w:ilvl="0">
      <w:lvlJc w:val="left"/>
      <w:lvlText w:val="•"/>
      <w:numFmt w:val="bullet"/>
      <w:start w:val="1"/>
    </w:lvl>
  </w:abstractNum>
  <w:abstractNum w:abstractNumId="17">
    <w:nsid w:val="5F3534A4"/>
    <w:multiLevelType w:val="hybridMultilevel"/>
    <w:lvl w:ilvl="0">
      <w:lvlJc w:val="left"/>
      <w:lvlText w:val="•"/>
      <w:numFmt w:val="bullet"/>
      <w:start w:val="1"/>
    </w:lvl>
  </w:abstractNum>
  <w:abstractNum w:abstractNumId="18">
    <w:nsid w:val="73A1821B"/>
    <w:multiLevelType w:val="hybridMultilevel"/>
    <w:lvl w:ilvl="0">
      <w:lvlJc w:val="left"/>
      <w:lvlText w:val="•"/>
      <w:numFmt w:val="bullet"/>
      <w:start w:val="1"/>
    </w:lvl>
  </w:abstractNum>
  <w:abstractNum w:abstractNumId="19">
    <w:nsid w:val="7DE67713"/>
    <w:multiLevelType w:val="hybridMultilevel"/>
    <w:lvl w:ilvl="0">
      <w:lvlJc w:val="left"/>
      <w:lvlText w:val="•"/>
      <w:numFmt w:val="bullet"/>
      <w:start w:val="1"/>
    </w:lvl>
  </w:abstractNum>
  <w:abstractNum w:abstractNumId="20">
    <w:nsid w:val="555C55B5"/>
    <w:multiLevelType w:val="hybridMultilevel"/>
    <w:lvl w:ilvl="0">
      <w:lvlJc w:val="left"/>
      <w:lvlText w:val="•"/>
      <w:numFmt w:val="bullet"/>
      <w:start w:val="1"/>
    </w:lvl>
  </w:abstractNum>
  <w:abstractNum w:abstractNumId="21">
    <w:nsid w:val="3FA62ACA"/>
    <w:multiLevelType w:val="hybridMultilevel"/>
    <w:lvl w:ilvl="0">
      <w:lvlJc w:val="left"/>
      <w:lvlText w:val="•"/>
      <w:numFmt w:val="bullet"/>
      <w:start w:val="1"/>
    </w:lvl>
  </w:abstractNum>
  <w:abstractNum w:abstractNumId="22">
    <w:nsid w:val="14FCE74E"/>
    <w:multiLevelType w:val="hybridMultilevel"/>
    <w:lvl w:ilvl="0">
      <w:lvlJc w:val="left"/>
      <w:lvlText w:val="•"/>
      <w:numFmt w:val="bullet"/>
      <w:start w:val="1"/>
    </w:lvl>
  </w:abstractNum>
  <w:abstractNum w:abstractNumId="23">
    <w:nsid w:val="6A3DD3E8"/>
    <w:multiLevelType w:val="hybridMultilevel"/>
    <w:lvl w:ilvl="0">
      <w:lvlJc w:val="left"/>
      <w:lvlText w:val="•"/>
      <w:numFmt w:val="bullet"/>
      <w:start w:val="1"/>
    </w:lvl>
  </w:abstractNum>
  <w:abstractNum w:abstractNumId="24">
    <w:nsid w:val="71C91298"/>
    <w:multiLevelType w:val="hybridMultilevel"/>
    <w:lvl w:ilvl="0">
      <w:lvlJc w:val="left"/>
      <w:lvlText w:val="•"/>
      <w:numFmt w:val="bullet"/>
      <w:start w:val="1"/>
    </w:lvl>
  </w:abstractNum>
  <w:abstractNum w:abstractNumId="25">
    <w:nsid w:val="9DAF632"/>
    <w:multiLevelType w:val="hybridMultilevel"/>
    <w:lvl w:ilvl="0">
      <w:lvlJc w:val="left"/>
      <w:lvlText w:val="•"/>
      <w:numFmt w:val="bullet"/>
      <w:start w:val="1"/>
    </w:lvl>
  </w:abstractNum>
  <w:abstractNum w:abstractNumId="26">
    <w:nsid w:val="53299938"/>
    <w:multiLevelType w:val="hybridMultilevel"/>
    <w:lvl w:ilvl="0">
      <w:lvlJc w:val="left"/>
      <w:lvlText w:val="•"/>
      <w:numFmt w:val="bullet"/>
      <w:start w:val="1"/>
    </w:lvl>
  </w:abstractNum>
  <w:abstractNum w:abstractNumId="27">
    <w:nsid w:val="1FBFE8E0"/>
    <w:multiLevelType w:val="hybridMultilevel"/>
    <w:lvl w:ilvl="0">
      <w:lvlJc w:val="left"/>
      <w:lvlText w:val="(%1)"/>
      <w:numFmt w:val="decimal"/>
      <w:start w:val="1"/>
    </w:lvl>
  </w:abstractNum>
  <w:abstractNum w:abstractNumId="28">
    <w:nsid w:val="5092CA79"/>
    <w:multiLevelType w:val="hybridMultilevel"/>
    <w:lvl w:ilvl="0">
      <w:lvlJc w:val="left"/>
      <w:lvlText w:val="•"/>
      <w:numFmt w:val="bullet"/>
      <w:start w:val="1"/>
    </w:lvl>
  </w:abstractNum>
  <w:abstractNum w:abstractNumId="29">
    <w:nsid w:val="1D545C4D"/>
    <w:multiLevelType w:val="hybridMultilevel"/>
    <w:lvl w:ilvl="0">
      <w:lvlJc w:val="left"/>
      <w:lvlText w:val="(%1)"/>
      <w:numFmt w:val="decimal"/>
      <w:start w:val="1"/>
    </w:lvl>
  </w:abstractNum>
  <w:abstractNum w:abstractNumId="30">
    <w:nsid w:val="59ADEA3D"/>
    <w:multiLevelType w:val="hybridMultilevel"/>
    <w:lvl w:ilvl="0">
      <w:lvlJc w:val="left"/>
      <w:lvlText w:val="(%1)"/>
      <w:numFmt w:val="decimal"/>
      <w:start w:val="5"/>
    </w:lvl>
  </w:abstractNum>
  <w:abstractNum w:abstractNumId="31">
    <w:nsid w:val="288F1A34"/>
    <w:multiLevelType w:val="hybridMultilevel"/>
    <w:lvl w:ilvl="0">
      <w:lvlJc w:val="left"/>
      <w:lvlText w:val="(%1)"/>
      <w:numFmt w:val="lowerLetter"/>
      <w:start w:val="1"/>
    </w:lvl>
  </w:abstractNum>
  <w:abstractNum w:abstractNumId="32">
    <w:nsid w:val="2A155DBC"/>
    <w:multiLevelType w:val="hybridMultilevel"/>
    <w:lvl w:ilvl="0">
      <w:lvlJc w:val="left"/>
      <w:lvlText w:val="(%1)"/>
      <w:numFmt w:val="decimal"/>
      <w:start w:val="1"/>
    </w:lvl>
  </w:abstractNum>
  <w:abstractNum w:abstractNumId="33">
    <w:nsid w:val="1D9F6E5F"/>
    <w:multiLevelType w:val="hybridMultilevel"/>
    <w:lvl w:ilvl="0">
      <w:lvlJc w:val="left"/>
      <w:lvlText w:val="(%1)"/>
      <w:numFmt w:val="decimal"/>
      <w:start w:val="1"/>
    </w:lvl>
  </w:abstractNum>
  <w:abstractNum w:abstractNumId="34">
    <w:nsid w:val="97E1B4E"/>
    <w:multiLevelType w:val="hybridMultilevel"/>
    <w:lvl w:ilvl="0">
      <w:lvlJc w:val="left"/>
      <w:lvlText w:val="(%1)"/>
      <w:numFmt w:val="decimal"/>
      <w:start w:val="1"/>
    </w:lvl>
  </w:abstractNum>
  <w:abstractNum w:abstractNumId="35">
    <w:nsid w:val="51088277"/>
    <w:multiLevelType w:val="hybridMultilevel"/>
    <w:lvl w:ilvl="0">
      <w:lvlJc w:val="left"/>
      <w:lvlText w:val="(%1)"/>
      <w:numFmt w:val="decimal"/>
      <w:start w:val="1"/>
    </w:lvl>
  </w:abstractNum>
  <w:abstractNum w:abstractNumId="36">
    <w:nsid w:val="1CA0C5FA"/>
    <w:multiLevelType w:val="hybridMultilevel"/>
    <w:lvl w:ilvl="0">
      <w:lvlJc w:val="left"/>
      <w:lvlText w:val="(%1)"/>
      <w:numFmt w:val="decimal"/>
      <w:start w:val="1"/>
    </w:lvl>
  </w:abstractNum>
  <w:abstractNum w:abstractNumId="37">
    <w:nsid w:val="53584BCB"/>
    <w:multiLevelType w:val="hybridMultilevel"/>
    <w:lvl w:ilvl="0">
      <w:lvlJc w:val="left"/>
      <w:lvlText w:val="(%1)"/>
      <w:numFmt w:val="decimal"/>
      <w:start w:val="1"/>
    </w:lvl>
  </w:abstractNum>
  <w:abstractNum w:abstractNumId="38">
    <w:nsid w:val="415E286C"/>
    <w:multiLevelType w:val="hybridMultilevel"/>
    <w:lvl w:ilvl="0">
      <w:lvlJc w:val="left"/>
      <w:lvlText w:val="(%1)"/>
      <w:numFmt w:val="decimal"/>
      <w:start w:val="1"/>
    </w:lvl>
  </w:abstractNum>
  <w:abstractNum w:abstractNumId="39">
    <w:nsid w:val="7C58FD05"/>
    <w:multiLevelType w:val="hybridMultilevel"/>
    <w:lvl w:ilvl="0">
      <w:lvlJc w:val="left"/>
      <w:lvlText w:val="(%1)"/>
      <w:numFmt w:val="decimal"/>
      <w:start w:val="1"/>
    </w:lvl>
  </w:abstractNum>
  <w:abstractNum w:abstractNumId="40">
    <w:nsid w:val="23D86AAC"/>
    <w:multiLevelType w:val="hybridMultilevel"/>
    <w:lvl w:ilvl="0">
      <w:lvlJc w:val="left"/>
      <w:lvlText w:val="(%1)"/>
      <w:numFmt w:val="decimal"/>
      <w:start w:val="1"/>
    </w:lvl>
  </w:abstractNum>
  <w:abstractNum w:abstractNumId="41">
    <w:nsid w:val="45E6D486"/>
    <w:multiLevelType w:val="hybridMultilevel"/>
    <w:lvl w:ilvl="0">
      <w:lvlJc w:val="left"/>
      <w:lvlText w:val="(%1)"/>
      <w:numFmt w:val="decimal"/>
      <w:start w:val="1"/>
    </w:lvl>
  </w:abstractNum>
  <w:abstractNum w:abstractNumId="42">
    <w:nsid w:val="5C10FE21"/>
    <w:multiLevelType w:val="hybridMultilevel"/>
    <w:lvl w:ilvl="0">
      <w:lvlJc w:val="left"/>
      <w:lvlText w:val="(%1)"/>
      <w:numFmt w:val="lowerRoman"/>
      <w:start w:val="1"/>
    </w:lvl>
  </w:abstractNum>
  <w:abstractNum w:abstractNumId="43">
    <w:nsid w:val="E7FFA2B"/>
    <w:multiLevelType w:val="hybridMultilevel"/>
    <w:lvl w:ilvl="0">
      <w:lvlJc w:val="left"/>
      <w:lvlText w:val="%1"/>
      <w:numFmt w:val="decimal"/>
      <w:start w:val="1"/>
    </w:lvl>
    <w:lvl w:ilvl="1">
      <w:lvlJc w:val="left"/>
      <w:lvlText w:val="(%2)"/>
      <w:numFmt w:val="decimal"/>
      <w:start w:val="1"/>
    </w:lvl>
  </w:abstractNum>
  <w:abstractNum w:abstractNumId="44">
    <w:nsid w:val="3C5991AA"/>
    <w:multiLevelType w:val="hybridMultilevel"/>
    <w:lvl w:ilvl="0">
      <w:lvlJc w:val="left"/>
      <w:lvlText w:val="(%1)"/>
      <w:numFmt w:val="decimal"/>
      <w:start w:val="2"/>
    </w:lvl>
    <w:lvl w:ilvl="1">
      <w:lvlJc w:val="left"/>
      <w:lvlText w:val="%2"/>
      <w:numFmt w:val="decimal"/>
      <w:start w:val="1"/>
    </w:lvl>
  </w:abstractNum>
  <w:abstractNum w:abstractNumId="45">
    <w:nsid w:val="4BD8591A"/>
    <w:multiLevelType w:val="hybridMultilevel"/>
    <w:lvl w:ilvl="0">
      <w:lvlJc w:val="left"/>
      <w:lvlText w:val="•"/>
      <w:numFmt w:val="bullet"/>
      <w:start w:val="1"/>
    </w:lvl>
  </w:abstractNum>
  <w:abstractNum w:abstractNumId="46">
    <w:nsid w:val="78DF6A55"/>
    <w:multiLevelType w:val="hybridMultilevel"/>
    <w:lvl w:ilvl="0">
      <w:lvlJc w:val="left"/>
      <w:lvlText w:val="%1."/>
      <w:numFmt w:val="decimal"/>
      <w:start w:val="1"/>
    </w:lvl>
    <w:lvl w:ilvl="1">
      <w:lvlJc w:val="left"/>
      <w:lvlText w:val="%2."/>
      <w:numFmt w:val="lowerLetter"/>
      <w:start w:val="1"/>
    </w:lvl>
  </w:abstractNum>
  <w:abstractNum w:abstractNumId="47">
    <w:nsid w:val="39B7AAA2"/>
    <w:multiLevelType w:val="hybridMultilevel"/>
    <w:lvl w:ilvl="0">
      <w:lvlJc w:val="left"/>
      <w:lvlText w:val="(%1)"/>
      <w:numFmt w:val="decimal"/>
      <w:start w:val="1"/>
    </w:lvl>
  </w:abstractNum>
  <w:abstractNum w:abstractNumId="48">
    <w:nsid w:val="2B0D8DBE"/>
    <w:multiLevelType w:val="hybridMultilevel"/>
    <w:lvl w:ilvl="0">
      <w:lvlJc w:val="left"/>
      <w:lvlText w:val="•"/>
      <w:numFmt w:val="bullet"/>
      <w:start w:val="1"/>
    </w:lvl>
  </w:abstractNum>
  <w:abstractNum w:abstractNumId="49">
    <w:nsid w:val="6C80EC70"/>
    <w:multiLevelType w:val="hybridMultilevel"/>
    <w:lvl w:ilvl="0">
      <w:lvlJc w:val="left"/>
      <w:lvlText w:val="•"/>
      <w:numFmt w:val="bullet"/>
      <w:start w:val="1"/>
    </w:lvl>
  </w:abstractNum>
  <w:abstractNum w:abstractNumId="50">
    <w:nsid w:val="379E21B5"/>
    <w:multiLevelType w:val="hybridMultilevel"/>
    <w:lvl w:ilvl="0">
      <w:lvlJc w:val="left"/>
      <w:lvlText w:val="•"/>
      <w:numFmt w:val="bullet"/>
      <w:start w:val="1"/>
    </w:lvl>
  </w:abstractNum>
  <w:abstractNum w:abstractNumId="51">
    <w:nsid w:val="69E373"/>
    <w:multiLevelType w:val="hybridMultilevel"/>
    <w:lvl w:ilvl="0">
      <w:lvlJc w:val="left"/>
      <w:lvlText w:val="•"/>
      <w:numFmt w:val="bullet"/>
      <w:start w:val="1"/>
    </w:lvl>
  </w:abstractNum>
  <w:abstractNum w:abstractNumId="52">
    <w:nsid w:val="2C27173B"/>
    <w:multiLevelType w:val="hybridMultilevel"/>
    <w:lvl w:ilvl="0">
      <w:lvlJc w:val="left"/>
      <w:lvlText w:val="(%1)"/>
      <w:numFmt w:val="lowerRoman"/>
      <w:start w:val="4"/>
    </w:lvl>
  </w:abstractNum>
  <w:abstractNum w:abstractNumId="53">
    <w:nsid w:val="4C9B0904"/>
    <w:multiLevelType w:val="hybridMultilevel"/>
    <w:lvl w:ilvl="0">
      <w:lvlJc w:val="left"/>
      <w:lvlText w:val="(%1)"/>
      <w:numFmt w:val="decimal"/>
      <w:start w:val="1"/>
    </w:lvl>
  </w:abstractNum>
  <w:abstractNum w:abstractNumId="54">
    <w:nsid w:val="6AA7B75C"/>
    <w:multiLevelType w:val="hybridMultilevel"/>
    <w:lvl w:ilvl="0">
      <w:lvlJc w:val="left"/>
      <w:lvlText w:val="•"/>
      <w:numFmt w:val="bullet"/>
      <w:start w:val="1"/>
    </w:lvl>
  </w:abstractNum>
  <w:abstractNum w:abstractNumId="55">
    <w:nsid w:val="1DF029D3"/>
    <w:multiLevelType w:val="hybridMultilevel"/>
    <w:lvl w:ilvl="0">
      <w:lvlJc w:val="left"/>
      <w:lvlText w:val="*"/>
      <w:numFmt w:val="bullet"/>
      <w:start w:val="1"/>
    </w:lvl>
  </w:abstractNum>
  <w:abstractNum w:abstractNumId="56">
    <w:nsid w:val="5675FF36"/>
    <w:multiLevelType w:val="hybridMultilevel"/>
    <w:lvl w:ilvl="0">
      <w:lvlJc w:val="left"/>
      <w:lvlText w:val="(%1)"/>
      <w:numFmt w:val="decimal"/>
      <w:start w:val="1"/>
    </w:lvl>
  </w:abstractNum>
  <w:abstractNum w:abstractNumId="57">
    <w:nsid w:val="3DD15094"/>
    <w:multiLevelType w:val="hybridMultilevel"/>
    <w:lvl w:ilvl="0">
      <w:lvlJc w:val="left"/>
      <w:lvlText w:val="(%1)"/>
      <w:numFmt w:val="decimal"/>
      <w:start w:val="2"/>
    </w:lvl>
  </w:abstractNum>
  <w:abstractNum w:abstractNumId="58">
    <w:nsid w:val="3DB012B3"/>
    <w:multiLevelType w:val="hybridMultilevel"/>
    <w:lvl w:ilvl="0">
      <w:lvlJc w:val="left"/>
      <w:lvlText w:val="•"/>
      <w:numFmt w:val="bullet"/>
      <w:start w:val="1"/>
    </w:lvl>
  </w:abstractNum>
  <w:abstractNum w:abstractNumId="59">
    <w:nsid w:val="2708C9AF"/>
    <w:multiLevelType w:val="hybridMultilevel"/>
    <w:lvl w:ilvl="0">
      <w:lvlJc w:val="left"/>
      <w:lvlText w:val="•"/>
      <w:numFmt w:val="bullet"/>
      <w:start w:val="1"/>
    </w:lvl>
  </w:abstractNum>
  <w:abstractNum w:abstractNumId="60">
    <w:nsid w:val="5B25ACE2"/>
    <w:multiLevelType w:val="hybridMultilevel"/>
    <w:lvl w:ilvl="0">
      <w:lvlJc w:val="left"/>
      <w:lvlText w:val="•"/>
      <w:numFmt w:val="bullet"/>
      <w:start w:val="1"/>
    </w:lvl>
  </w:abstractNum>
  <w:abstractNum w:abstractNumId="61">
    <w:nsid w:val="175DFCF0"/>
    <w:multiLevelType w:val="hybridMultilevel"/>
    <w:lvl w:ilvl="0">
      <w:lvlJc w:val="left"/>
      <w:lvlText w:val="•"/>
      <w:numFmt w:val="bullet"/>
      <w:start w:val="1"/>
    </w:lvl>
  </w:abstractNum>
  <w:abstractNum w:abstractNumId="62">
    <w:nsid w:val="4F97E3E4"/>
    <w:multiLevelType w:val="hybridMultilevel"/>
    <w:lvl w:ilvl="0">
      <w:lvlJc w:val="left"/>
      <w:lvlText w:val="•"/>
      <w:numFmt w:val="bullet"/>
      <w:start w:val="1"/>
    </w:lvl>
  </w:abstractNum>
  <w:abstractNum w:abstractNumId="63">
    <w:nsid w:val="53B0A9E"/>
    <w:multiLevelType w:val="hybridMultilevel"/>
    <w:lvl w:ilvl="0">
      <w:lvlJc w:val="left"/>
      <w:lvlText w:val="•"/>
      <w:numFmt w:val="bullet"/>
      <w:start w:val="1"/>
    </w:lvl>
  </w:abstractNum>
  <w:abstractNum w:abstractNumId="64">
    <w:nsid w:val="34FD6B4F"/>
    <w:multiLevelType w:val="hybridMultilevel"/>
    <w:lvl w:ilvl="0">
      <w:lvlJc w:val="left"/>
      <w:lvlText w:val="(%1)"/>
      <w:numFmt w:val="upperLetter"/>
      <w:start w:val="1"/>
    </w:lvl>
  </w:abstractNum>
  <w:abstractNum w:abstractNumId="65">
    <w:nsid w:val="5915FF32"/>
    <w:multiLevelType w:val="hybridMultilevel"/>
    <w:lvl w:ilvl="0">
      <w:lvlJc w:val="left"/>
      <w:lvlText w:val="*"/>
      <w:numFmt w:val="bullet"/>
      <w:start w:val="1"/>
    </w:lvl>
  </w:abstractNum>
  <w:abstractNum w:abstractNumId="66">
    <w:nsid w:val="56438D15"/>
    <w:multiLevelType w:val="hybridMultilevel"/>
    <w:lvl w:ilvl="0">
      <w:lvlJc w:val="left"/>
      <w:lvlText w:val="$"/>
      <w:numFmt w:val="bullet"/>
      <w:start w:val="1"/>
    </w:lvl>
  </w:abstractNum>
  <w:abstractNum w:abstractNumId="67">
    <w:nsid w:val="519E3149"/>
    <w:multiLevelType w:val="hybridMultilevel"/>
    <w:lvl w:ilvl="0">
      <w:lvlJc w:val="left"/>
      <w:lvlText w:val="$"/>
      <w:numFmt w:val="bullet"/>
      <w:start w:val="1"/>
    </w:lvl>
  </w:abstractNum>
  <w:abstractNum w:abstractNumId="68">
    <w:nsid w:val="2C6E4AFD"/>
    <w:multiLevelType w:val="hybridMultilevel"/>
    <w:lvl w:ilvl="0">
      <w:lvlJc w:val="left"/>
      <w:lvlText w:val="(%1)"/>
      <w:numFmt w:val="upperLetter"/>
      <w:start w:val="1"/>
    </w:lvl>
  </w:abstractNum>
  <w:abstractNum w:abstractNumId="69">
    <w:nsid w:val="17A1B582"/>
    <w:multiLevelType w:val="hybridMultilevel"/>
    <w:lvl w:ilvl="0">
      <w:lvlJc w:val="left"/>
      <w:lvlText w:val="*"/>
      <w:numFmt w:val="bullet"/>
      <w:start w:val="1"/>
    </w:lvl>
  </w:abstractNum>
  <w:abstractNum w:abstractNumId="70">
    <w:nsid w:val="4DF72E4E"/>
    <w:multiLevelType w:val="hybridMultilevel"/>
    <w:lvl w:ilvl="0">
      <w:lvlJc w:val="left"/>
      <w:lvlText w:val="1"/>
      <w:numFmt w:val="bullet"/>
      <w:start w:val="1"/>
    </w:lvl>
    <w:lvl w:ilvl="1">
      <w:lvlJc w:val="left"/>
      <w:lvlText w:val="(%2)"/>
      <w:numFmt w:val="lowerLetter"/>
      <w:start w:val="1"/>
    </w:lvl>
  </w:abstractNum>
  <w:abstractNum w:abstractNumId="71">
    <w:nsid w:val="5046B5A9"/>
    <w:multiLevelType w:val="hybridMultilevel"/>
    <w:lvl w:ilvl="0">
      <w:lvlJc w:val="left"/>
      <w:lvlText w:val="(%1)"/>
      <w:numFmt w:val="lowerLetter"/>
      <w:start w:val="1"/>
    </w:lvl>
  </w:abstractNum>
  <w:abstractNum w:abstractNumId="72">
    <w:nsid w:val="5D888A08"/>
    <w:multiLevelType w:val="hybridMultilevel"/>
    <w:lvl w:ilvl="0">
      <w:lvlJc w:val="left"/>
      <w:lvlText w:val="(%1)"/>
      <w:numFmt w:val="lowerLetter"/>
      <w:start w:val="1"/>
    </w:lvl>
  </w:abstractNum>
  <w:abstractNum w:abstractNumId="73">
    <w:nsid w:val="2A082C70"/>
    <w:multiLevelType w:val="hybridMultilevel"/>
    <w:lvl w:ilvl="0">
      <w:lvlJc w:val="left"/>
      <w:lvlText w:val="(%1)"/>
      <w:numFmt w:val="lowerLetter"/>
      <w:start w:val="1"/>
    </w:lvl>
  </w:abstractNum>
  <w:abstractNum w:abstractNumId="74">
    <w:nsid w:val="5EC6AFD4"/>
    <w:multiLevelType w:val="hybridMultilevel"/>
    <w:lvl w:ilvl="0">
      <w:lvlJc w:val="left"/>
      <w:lvlText w:val="(%1)"/>
      <w:numFmt w:val="lowerLetter"/>
      <w:start w:val="1"/>
    </w:lvl>
  </w:abstractNum>
  <w:abstractNum w:abstractNumId="75">
    <w:nsid w:val="19E21BB2"/>
    <w:multiLevelType w:val="hybridMultilevel"/>
    <w:lvl w:ilvl="0">
      <w:lvlJc w:val="left"/>
      <w:lvlText w:val="(%1)"/>
      <w:numFmt w:val="lowerLetter"/>
      <w:start w:val="1"/>
    </w:lvl>
  </w:abstractNum>
  <w:abstractNum w:abstractNumId="76">
    <w:nsid w:val="75E0858A"/>
    <w:multiLevelType w:val="hybridMultilevel"/>
    <w:lvl w:ilvl="0">
      <w:lvlJc w:val="left"/>
      <w:lvlText w:val="(%1)"/>
      <w:numFmt w:val="lowerLetter"/>
      <w:start w:val="1"/>
    </w:lvl>
  </w:abstractNum>
  <w:abstractNum w:abstractNumId="77">
    <w:nsid w:val="57A61A29"/>
    <w:multiLevelType w:val="hybridMultilevel"/>
    <w:lvl w:ilvl="0">
      <w:lvlJc w:val="left"/>
      <w:lvlText w:val="(%1)"/>
      <w:numFmt w:val="lowerLetter"/>
      <w:start w:val="1"/>
    </w:lvl>
  </w:abstractNum>
  <w:abstractNum w:abstractNumId="78">
    <w:nsid w:val="5399C654"/>
    <w:multiLevelType w:val="hybridMultilevel"/>
    <w:lvl w:ilvl="0">
      <w:lvlJc w:val="left"/>
      <w:lvlText w:val="(%1)"/>
      <w:numFmt w:val="lowerLetter"/>
      <w:start w:val="1"/>
    </w:lvl>
  </w:abstractNum>
  <w:abstractNum w:abstractNumId="79">
    <w:nsid w:val="20EE1348"/>
    <w:multiLevelType w:val="hybridMultilevel"/>
    <w:lvl w:ilvl="0">
      <w:lvlJc w:val="left"/>
      <w:lvlText w:val="(%1)"/>
      <w:numFmt w:val="lowerLetter"/>
      <w:start w:val="1"/>
    </w:lvl>
    <w:lvl w:ilvl="1">
      <w:lvlJc w:val="left"/>
      <w:lvlText w:val="(%2)"/>
      <w:numFmt w:val="lowerRoman"/>
      <w:start w:val="1"/>
    </w:lvl>
  </w:abstractNum>
  <w:abstractNum w:abstractNumId="80">
    <w:nsid w:val="4427069A"/>
    <w:multiLevelType w:val="hybridMultilevel"/>
    <w:lvl w:ilvl="0">
      <w:lvlJc w:val="left"/>
      <w:lvlText w:val="2"/>
      <w:numFmt w:val="bullet"/>
      <w:start w:val="1"/>
    </w:lvl>
  </w:abstractNum>
  <w:abstractNum w:abstractNumId="81">
    <w:nsid w:val="B37E80A"/>
    <w:multiLevelType w:val="hybridMultilevel"/>
    <w:lvl w:ilvl="0">
      <w:lvlJc w:val="left"/>
      <w:lvlText w:val="3"/>
      <w:numFmt w:val="bullet"/>
      <w:start w:val="1"/>
    </w:lvl>
  </w:abstractNum>
  <w:abstractNum w:abstractNumId="82">
    <w:nsid w:val="2157F6BC"/>
    <w:multiLevelType w:val="hybridMultilevel"/>
    <w:lvl w:ilvl="0">
      <w:lvlJc w:val="left"/>
      <w:lvlText w:val="(%1)"/>
      <w:numFmt w:val="lowerLetter"/>
      <w:start w:val="1"/>
    </w:lvl>
  </w:abstractNum>
  <w:abstractNum w:abstractNumId="83">
    <w:nsid w:val="704E1DD5"/>
    <w:multiLevelType w:val="hybridMultilevel"/>
    <w:lvl w:ilvl="0">
      <w:lvlJc w:val="left"/>
      <w:lvlText w:val="4"/>
      <w:numFmt w:val="bullet"/>
      <w:start w:val="1"/>
    </w:lvl>
  </w:abstractNum>
  <w:abstractNum w:abstractNumId="84">
    <w:nsid w:val="57D2F10E"/>
    <w:multiLevelType w:val="hybridMultilevel"/>
    <w:lvl w:ilvl="0">
      <w:lvlJc w:val="left"/>
      <w:lvlText w:val="(%1)"/>
      <w:numFmt w:val="lowerLetter"/>
      <w:start w:val="1"/>
    </w:lvl>
  </w:abstractNum>
  <w:abstractNum w:abstractNumId="85">
    <w:nsid w:val="BFFAE18"/>
    <w:multiLevelType w:val="hybridMultilevel"/>
    <w:lvl w:ilvl="0">
      <w:lvlJc w:val="left"/>
      <w:lvlText w:val="5"/>
      <w:numFmt w:val="bullet"/>
      <w:start w:val="1"/>
    </w:lvl>
    <w:lvl w:ilvl="1">
      <w:lvlJc w:val="left"/>
      <w:lvlText w:val="(%2)"/>
      <w:numFmt w:val="lowerLetter"/>
      <w:start w:val="1"/>
    </w:lvl>
  </w:abstractNum>
  <w:abstractNum w:abstractNumId="86">
    <w:nsid w:val="E3E47A8"/>
    <w:multiLevelType w:val="hybridMultilevel"/>
    <w:lvl w:ilvl="0">
      <w:lvlJc w:val="left"/>
      <w:lvlText w:val="(%1)"/>
      <w:numFmt w:val="lowerLetter"/>
      <w:start w:val="2"/>
    </w:lvl>
  </w:abstractNum>
  <w:abstractNum w:abstractNumId="87">
    <w:nsid w:val="2E48F044"/>
    <w:multiLevelType w:val="hybridMultilevel"/>
    <w:lvl w:ilvl="0">
      <w:lvlJc w:val="left"/>
      <w:lvlText w:val="6"/>
      <w:numFmt w:val="bullet"/>
      <w:start w:val="1"/>
    </w:lvl>
  </w:abstractNum>
  <w:abstractNum w:abstractNumId="88">
    <w:nsid w:val="49D0FEAC"/>
    <w:multiLevelType w:val="hybridMultilevel"/>
    <w:lvl w:ilvl="0">
      <w:lvlJc w:val="left"/>
      <w:lvlText w:val="7"/>
      <w:numFmt w:val="bullet"/>
      <w:start w:val="1"/>
    </w:lvl>
  </w:abstractNum>
  <w:abstractNum w:abstractNumId="89">
    <w:nsid w:val="4BEE5A5B"/>
    <w:multiLevelType w:val="hybridMultilevel"/>
    <w:lvl w:ilvl="0">
      <w:lvlJc w:val="left"/>
      <w:lvlText w:val="(%1)"/>
      <w:numFmt w:val="lowerLetter"/>
      <w:start w:val="1"/>
    </w:lvl>
  </w:abstractNum>
  <w:abstractNum w:abstractNumId="90">
    <w:nsid w:val="5551B9F3"/>
    <w:multiLevelType w:val="hybridMultilevel"/>
    <w:lvl w:ilvl="0">
      <w:lvlJc w:val="left"/>
      <w:lvlText w:val="(%1)"/>
      <w:numFmt w:val="lowerLetter"/>
      <w:start w:val="1"/>
    </w:lvl>
  </w:abstractNum>
  <w:abstractNum w:abstractNumId="91">
    <w:nsid w:val="24F6AB8E"/>
    <w:multiLevelType w:val="hybridMultilevel"/>
    <w:lvl w:ilvl="0">
      <w:lvlJc w:val="left"/>
      <w:lvlText w:val="8"/>
      <w:numFmt w:val="bullet"/>
      <w:start w:val="1"/>
    </w:lvl>
  </w:abstractNum>
  <w:abstractNum w:abstractNumId="92">
    <w:nsid w:val="634C574C"/>
    <w:multiLevelType w:val="hybridMultilevel"/>
    <w:lvl w:ilvl="0">
      <w:lvlJc w:val="left"/>
      <w:lvlText w:val="(%1)"/>
      <w:numFmt w:val="lowerLetter"/>
      <w:start w:val="1"/>
    </w:lvl>
  </w:abstractNum>
  <w:abstractNum w:abstractNumId="93">
    <w:nsid w:val="24E99DD7"/>
    <w:multiLevelType w:val="hybridMultilevel"/>
    <w:lvl w:ilvl="0">
      <w:lvlJc w:val="left"/>
      <w:lvlText w:val="(%1)"/>
      <w:numFmt w:val="lowerLetter"/>
      <w:start w:val="1"/>
    </w:lvl>
  </w:abstractNum>
  <w:abstractNum w:abstractNumId="94">
    <w:nsid w:val="2A31B62D"/>
    <w:multiLevelType w:val="hybridMultilevel"/>
    <w:lvl w:ilvl="0">
      <w:lvlJc w:val="left"/>
      <w:lvlText w:val="9"/>
      <w:numFmt w:val="bullet"/>
      <w:start w:val="1"/>
    </w:lvl>
  </w:abstractNum>
  <w:abstractNum w:abstractNumId="95">
    <w:nsid w:val="1849C29B"/>
    <w:multiLevelType w:val="hybridMultilevel"/>
    <w:lvl w:ilvl="0">
      <w:lvlJc w:val="left"/>
      <w:lvlText w:val="(%1)"/>
      <w:numFmt w:val="lowerLetter"/>
      <w:start w:val="1"/>
    </w:lvl>
  </w:abstractNum>
  <w:abstractNum w:abstractNumId="96">
    <w:nsid w:val="7DFF9D09"/>
    <w:multiLevelType w:val="hybridMultilevel"/>
    <w:lvl w:ilvl="0">
      <w:lvlJc w:val="left"/>
      <w:lvlText w:val="(%1)"/>
      <w:numFmt w:val="lowerRoman"/>
      <w:start w:val="1"/>
    </w:lvl>
  </w:abstractNum>
  <w:abstractNum w:abstractNumId="97">
    <w:nsid w:val="754342"/>
    <w:multiLevelType w:val="hybridMultilevel"/>
    <w:lvl w:ilvl="0">
      <w:lvlJc w:val="left"/>
      <w:lvlText w:val="(%1)"/>
      <w:numFmt w:val="lowerLetter"/>
      <w:start w:val="1"/>
    </w:lvl>
  </w:abstractNum>
  <w:abstractNum w:abstractNumId="98">
    <w:nsid w:val="69E7F3E5"/>
    <w:multiLevelType w:val="hybridMultilevel"/>
    <w:lvl w:ilvl="0">
      <w:lvlJc w:val="left"/>
      <w:lvlText w:val="1"/>
      <w:numFmt w:val="bullet"/>
      <w:start w:val="1"/>
    </w:lvl>
  </w:abstractNum>
  <w:abstractNum w:abstractNumId="99">
    <w:nsid w:val="2A6DE806"/>
    <w:multiLevelType w:val="hybridMultilevel"/>
    <w:lvl w:ilvl="0">
      <w:lvlJc w:val="left"/>
      <w:lvlText w:val="2"/>
      <w:numFmt w:val="bullet"/>
      <w:start w:val="1"/>
    </w:lvl>
  </w:abstractNum>
  <w:abstractNum w:abstractNumId="100">
    <w:nsid w:val="1816F8C4"/>
    <w:multiLevelType w:val="hybridMultilevel"/>
    <w:lvl w:ilvl="0">
      <w:lvlJc w:val="left"/>
      <w:lvlText w:val="3"/>
      <w:numFmt w:val="bullet"/>
      <w:start w:val="1"/>
    </w:lvl>
  </w:abstractNum>
  <w:abstractNum w:abstractNumId="101">
    <w:nsid w:val="37DF2233"/>
    <w:multiLevelType w:val="hybridMultilevel"/>
    <w:lvl w:ilvl="0">
      <w:lvlJc w:val="left"/>
      <w:lvlText w:val="4"/>
      <w:numFmt w:val="bullet"/>
      <w:start w:val="1"/>
    </w:lvl>
  </w:abstractNum>
  <w:abstractNum w:abstractNumId="102">
    <w:nsid w:val="7AB49DAF"/>
    <w:multiLevelType w:val="hybridMultilevel"/>
    <w:lvl w:ilvl="0">
      <w:lvlJc w:val="left"/>
      <w:lvlText w:val="(%1)"/>
      <w:numFmt w:val="lowerLetter"/>
      <w:start w:val="1"/>
    </w:lvl>
  </w:abstractNum>
  <w:abstractNum w:abstractNumId="103">
    <w:nsid w:val="759F82CD"/>
    <w:multiLevelType w:val="hybridMultilevel"/>
    <w:lvl w:ilvl="0">
      <w:lvlJc w:val="left"/>
      <w:lvlText w:val="5"/>
      <w:numFmt w:val="bullet"/>
      <w:start w:val="1"/>
    </w:lvl>
  </w:abstractNum>
  <w:abstractNum w:abstractNumId="104">
    <w:nsid w:val="61E74EA3"/>
    <w:multiLevelType w:val="hybridMultilevel"/>
    <w:lvl w:ilvl="0">
      <w:lvlJc w:val="left"/>
      <w:lvlText w:val="6"/>
      <w:numFmt w:val="bullet"/>
      <w:start w:val="1"/>
    </w:lvl>
  </w:abstractNum>
  <w:abstractNum w:abstractNumId="105">
    <w:nsid w:val="597B4D84"/>
    <w:multiLevelType w:val="hybridMultilevel"/>
    <w:lvl w:ilvl="0">
      <w:lvlJc w:val="left"/>
      <w:lvlText w:val="7"/>
      <w:numFmt w:val="bullet"/>
      <w:start w:val="1"/>
    </w:lvl>
  </w:abstractNum>
  <w:abstractNum w:abstractNumId="106">
    <w:nsid w:val="F819E7F"/>
    <w:multiLevelType w:val="hybridMultilevel"/>
    <w:lvl w:ilvl="0">
      <w:lvlJc w:val="left"/>
      <w:lvlText w:val="8"/>
      <w:numFmt w:val="bullet"/>
      <w:start w:val="1"/>
    </w:lvl>
  </w:abstractNum>
  <w:abstractNum w:abstractNumId="107">
    <w:nsid w:val="57C7D42D"/>
    <w:multiLevelType w:val="hybridMultilevel"/>
    <w:lvl w:ilvl="0">
      <w:lvlJc w:val="left"/>
      <w:lvlText w:val="(%1)"/>
      <w:numFmt w:val="lowerRoman"/>
      <w:start w:val="2"/>
    </w:lvl>
  </w:abstractNum>
  <w:abstractNum w:abstractNumId="108">
    <w:nsid w:val="312167AD"/>
    <w:multiLevelType w:val="hybridMultilevel"/>
    <w:lvl w:ilvl="0">
      <w:lvlJc w:val="left"/>
      <w:lvlText w:val="%1"/>
      <w:numFmt w:val="decimal"/>
      <w:start w:val="10"/>
    </w:lvl>
  </w:abstractNum>
  <w:abstractNum w:abstractNumId="109">
    <w:nsid w:val="631B64D4"/>
    <w:multiLevelType w:val="hybridMultilevel"/>
    <w:lvl w:ilvl="0">
      <w:lvlJc w:val="left"/>
      <w:lvlText w:val="%1"/>
      <w:numFmt w:val="decimal"/>
      <w:start w:val="11"/>
    </w:lvl>
  </w:abstractNum>
  <w:abstractNum w:abstractNumId="110">
    <w:nsid w:val="78B5E776"/>
    <w:multiLevelType w:val="hybridMultilevel"/>
    <w:lvl w:ilvl="0">
      <w:lvlJc w:val="left"/>
      <w:lvlText w:val="%1"/>
      <w:numFmt w:val="decimal"/>
      <w:start w:val="12"/>
    </w:lvl>
  </w:abstractNum>
  <w:abstractNum w:abstractNumId="111">
    <w:nsid w:val="75486E47"/>
    <w:multiLevelType w:val="hybridMultilevel"/>
    <w:lvl w:ilvl="0">
      <w:lvlJc w:val="left"/>
      <w:lvlText w:val="%1"/>
      <w:numFmt w:val="decimal"/>
      <w:start w:val="15"/>
    </w:lvl>
  </w:abstractNum>
  <w:abstractNum w:abstractNumId="112">
    <w:nsid w:val="6E534CDE"/>
    <w:multiLevelType w:val="hybridMultilevel"/>
    <w:lvl w:ilvl="0">
      <w:lvlJc w:val="left"/>
      <w:lvlText w:val="1"/>
      <w:numFmt w:val="bullet"/>
      <w:start w:val="1"/>
    </w:lvl>
  </w:abstractNum>
  <w:abstractNum w:abstractNumId="113">
    <w:nsid w:val="1A0DDE32"/>
    <w:multiLevelType w:val="hybridMultilevel"/>
    <w:lvl w:ilvl="0">
      <w:lvlJc w:val="left"/>
      <w:lvlText w:val="2"/>
      <w:numFmt w:val="bullet"/>
      <w:start w:val="1"/>
    </w:lvl>
  </w:abstractNum>
  <w:abstractNum w:abstractNumId="114">
    <w:nsid w:val="65968C1C"/>
    <w:multiLevelType w:val="hybridMultilevel"/>
    <w:lvl w:ilvl="0">
      <w:lvlJc w:val="left"/>
      <w:lvlText w:val="(%1)"/>
      <w:numFmt w:val="lowerLetter"/>
      <w:start w:val="1"/>
    </w:lvl>
    <w:lvl w:ilvl="1">
      <w:lvlJc w:val="left"/>
      <w:lvlText w:val="(%2)"/>
      <w:numFmt w:val="lowerRoman"/>
      <w:start w:val="1"/>
    </w:lvl>
  </w:abstractNum>
  <w:abstractNum w:abstractNumId="115">
    <w:nsid w:val="46263DEC"/>
    <w:multiLevelType w:val="hybridMultilevel"/>
    <w:lvl w:ilvl="0">
      <w:lvlJc w:val="left"/>
      <w:lvlText w:val="%1"/>
      <w:numFmt w:val="lowerLetter"/>
      <w:start w:val="1"/>
    </w:lvl>
    <w:lvl w:ilvl="1">
      <w:lvlJc w:val="left"/>
      <w:lvlText w:val="(%2)"/>
      <w:numFmt w:val="lowerLetter"/>
      <w:start w:val="61"/>
    </w:lvl>
  </w:abstractNum>
  <w:abstractNum w:abstractNumId="116">
    <w:nsid w:val="260D8C4A"/>
    <w:multiLevelType w:val="hybridMultilevel"/>
    <w:lvl w:ilvl="0">
      <w:lvlJc w:val="left"/>
      <w:lvlText w:val="(%1)"/>
      <w:numFmt w:val="lowerLetter"/>
      <w:start w:val="3"/>
    </w:lvl>
    <w:lvl w:ilvl="1">
      <w:lvlJc w:val="left"/>
      <w:lvlText w:val="%2"/>
      <w:numFmt w:val="lowerLetter"/>
      <w:start w:val="1"/>
    </w:lvl>
  </w:abstractNum>
  <w:abstractNum w:abstractNumId="117">
    <w:nsid w:val="73D4D3C4"/>
    <w:multiLevelType w:val="hybridMultilevel"/>
    <w:lvl w:ilvl="0">
      <w:lvlJc w:val="left"/>
      <w:lvlText w:val="3"/>
      <w:numFmt w:val="bullet"/>
      <w:start w:val="1"/>
    </w:lvl>
  </w:abstractNum>
  <w:abstractNum w:abstractNumId="118">
    <w:nsid w:val="746F2E30"/>
    <w:multiLevelType w:val="hybridMultilevel"/>
    <w:lvl w:ilvl="0">
      <w:lvlJc w:val="left"/>
      <w:lvlText w:val="(%1)"/>
      <w:numFmt w:val="lowerLetter"/>
      <w:start w:val="1"/>
    </w:lvl>
  </w:abstractNum>
  <w:abstractNum w:abstractNumId="119">
    <w:nsid w:val="6FDE8AF6"/>
    <w:multiLevelType w:val="hybridMultilevel"/>
    <w:lvl w:ilvl="0">
      <w:lvlJc w:val="left"/>
      <w:lvlText w:val="(%1)"/>
      <w:numFmt w:val="lowerLetter"/>
      <w:start w:val="1"/>
    </w:lvl>
  </w:abstractNum>
  <w:abstractNum w:abstractNumId="120">
    <w:nsid w:val="3FC32E20"/>
    <w:multiLevelType w:val="hybridMultilevel"/>
    <w:lvl w:ilvl="0">
      <w:lvlJc w:val="left"/>
      <w:lvlText w:val="4"/>
      <w:numFmt w:val="bullet"/>
      <w:start w:val="1"/>
    </w:lvl>
  </w:abstractNum>
  <w:abstractNum w:abstractNumId="121">
    <w:nsid w:val="49C0E823"/>
    <w:multiLevelType w:val="hybridMultilevel"/>
    <w:lvl w:ilvl="0">
      <w:lvlJc w:val="left"/>
      <w:lvlText w:val="5"/>
      <w:numFmt w:val="bullet"/>
      <w:start w:val="1"/>
    </w:lvl>
  </w:abstractNum>
  <w:abstractNum w:abstractNumId="122">
    <w:nsid w:val="14D53685"/>
    <w:multiLevelType w:val="hybridMultilevel"/>
    <w:lvl w:ilvl="0">
      <w:lvlJc w:val="left"/>
      <w:lvlText w:val="6"/>
      <w:numFmt w:val="bullet"/>
      <w:start w:val="1"/>
    </w:lvl>
  </w:abstractNum>
  <w:abstractNum w:abstractNumId="123">
    <w:nsid w:val="230F856C"/>
    <w:multiLevelType w:val="hybridMultilevel"/>
    <w:lvl w:ilvl="0">
      <w:lvlJc w:val="left"/>
      <w:lvlText w:val="7"/>
      <w:numFmt w:val="bullet"/>
      <w:start w:val="1"/>
    </w:lvl>
  </w:abstractNum>
  <w:abstractNum w:abstractNumId="124">
    <w:nsid w:val="6EAA85FB"/>
    <w:multiLevelType w:val="hybridMultilevel"/>
    <w:lvl w:ilvl="0">
      <w:lvlJc w:val="left"/>
      <w:lvlText w:val="(%1)"/>
      <w:numFmt w:val="lowerLetter"/>
      <w:start w:val="1"/>
    </w:lvl>
  </w:abstractNum>
  <w:abstractNum w:abstractNumId="125">
    <w:nsid w:val="3F06ECB2"/>
    <w:multiLevelType w:val="hybridMultilevel"/>
    <w:lvl w:ilvl="0">
      <w:lvlJc w:val="left"/>
      <w:lvlText w:val="(%1)"/>
      <w:numFmt w:val="lowerLetter"/>
      <w:start w:val="1"/>
    </w:lvl>
  </w:abstractNum>
  <w:abstractNum w:abstractNumId="126">
    <w:nsid w:val="3B594807"/>
    <w:multiLevelType w:val="hybridMultilevel"/>
    <w:lvl w:ilvl="0">
      <w:lvlJc w:val="left"/>
      <w:lvlText w:val="(%1)"/>
      <w:numFmt w:val="lowerLetter"/>
      <w:start w:val="2"/>
    </w:lvl>
  </w:abstractNum>
  <w:abstractNum w:abstractNumId="127">
    <w:nsid w:val="6CAA2304"/>
    <w:multiLevelType w:val="hybridMultilevel"/>
    <w:lvl w:ilvl="0">
      <w:lvlJc w:val="left"/>
      <w:lvlText w:val="(%1)"/>
      <w:numFmt w:val="lowerLetter"/>
      <w:start w:val="1"/>
    </w:lvl>
    <w:lvl w:ilvl="1">
      <w:lvlJc w:val="left"/>
      <w:lvlText w:val="(%2)"/>
      <w:numFmt w:val="lowerRoman"/>
      <w:start w:val="1"/>
    </w:lvl>
  </w:abstractNum>
  <w:abstractNum w:abstractNumId="128">
    <w:nsid w:val="3F7C2FF4"/>
    <w:multiLevelType w:val="hybridMultilevel"/>
    <w:lvl w:ilvl="0">
      <w:lvlJc w:val="left"/>
      <w:lvlText w:val="8"/>
      <w:numFmt w:val="bullet"/>
      <w:start w:val="1"/>
    </w:lvl>
  </w:abstractNum>
  <w:abstractNum w:abstractNumId="129">
    <w:nsid w:val="25413BEC"/>
    <w:multiLevelType w:val="hybridMultilevel"/>
    <w:lvl w:ilvl="0">
      <w:lvlJc w:val="left"/>
      <w:lvlText w:val="9"/>
      <w:numFmt w:val="bullet"/>
      <w:start w:val="1"/>
    </w:lvl>
  </w:abstractNum>
  <w:abstractNum w:abstractNumId="130">
    <w:nsid w:val="17180B0B"/>
    <w:multiLevelType w:val="hybridMultilevel"/>
    <w:lvl w:ilvl="0">
      <w:lvlJc w:val="left"/>
      <w:lvlText w:val="(%1)"/>
      <w:numFmt w:val="lowerLetter"/>
      <w:start w:val="1"/>
    </w:lvl>
  </w:abstractNum>
  <w:abstractNum w:abstractNumId="131">
    <w:nsid w:val="579328B9"/>
    <w:multiLevelType w:val="hybridMultilevel"/>
    <w:lvl w:ilvl="0">
      <w:lvlJc w:val="left"/>
      <w:lvlText w:val="(%1)"/>
      <w:numFmt w:val="lowerLetter"/>
      <w:start w:val="2"/>
    </w:lvl>
    <w:lvl w:ilvl="1">
      <w:lvlJc w:val="left"/>
      <w:lvlText w:val="(%2)"/>
      <w:numFmt w:val="lowerRoman"/>
      <w:start w:val="1"/>
    </w:lvl>
  </w:abstractNum>
  <w:abstractNum w:abstractNumId="132">
    <w:nsid w:val="5D205E20"/>
    <w:multiLevelType w:val="hybridMultilevel"/>
    <w:lvl w:ilvl="0">
      <w:lvlJc w:val="left"/>
      <w:lvlText w:val="%1"/>
      <w:numFmt w:val="decimal"/>
      <w:start w:val="10"/>
    </w:lvl>
  </w:abstractNum>
  <w:abstractNum w:abstractNumId="133">
    <w:nsid w:val="11CCA8BA"/>
    <w:multiLevelType w:val="hybridMultilevel"/>
    <w:lvl w:ilvl="0">
      <w:lvlJc w:val="left"/>
      <w:lvlText w:val="(%1)"/>
      <w:numFmt w:val="lowerLetter"/>
      <w:start w:val="1"/>
    </w:lvl>
  </w:abstractNum>
  <w:abstractNum w:abstractNumId="134">
    <w:nsid w:val="4D32AB86"/>
    <w:multiLevelType w:val="hybridMultilevel"/>
    <w:lvl w:ilvl="0">
      <w:lvlJc w:val="left"/>
      <w:lvlText w:val="1"/>
      <w:numFmt w:val="bullet"/>
      <w:start w:val="1"/>
    </w:lvl>
  </w:abstractNum>
  <w:abstractNum w:abstractNumId="135">
    <w:nsid w:val="3F07ACC3"/>
    <w:multiLevelType w:val="hybridMultilevel"/>
    <w:lvl w:ilvl="0">
      <w:lvlJc w:val="left"/>
      <w:lvlText w:val="(%1)"/>
      <w:numFmt w:val="lowerLetter"/>
      <w:start w:val="1"/>
    </w:lvl>
  </w:abstractNum>
  <w:abstractNum w:abstractNumId="136">
    <w:nsid w:val="6B47F63E"/>
    <w:multiLevelType w:val="hybridMultilevel"/>
    <w:lvl w:ilvl="0">
      <w:lvlJc w:val="left"/>
      <w:lvlText w:val="(%1)"/>
      <w:numFmt w:val="lowerLetter"/>
      <w:start w:val="1"/>
    </w:lvl>
  </w:abstractNum>
  <w:abstractNum w:abstractNumId="137">
    <w:nsid w:val="5CB44A05"/>
    <w:multiLevelType w:val="hybridMultilevel"/>
    <w:lvl w:ilvl="0">
      <w:lvlJc w:val="left"/>
      <w:lvlText w:val="(%1)"/>
      <w:numFmt w:val="lowerLetter"/>
      <w:start w:val="1"/>
    </w:lvl>
  </w:abstractNum>
  <w:abstractNum w:abstractNumId="138">
    <w:nsid w:val="16CF80F1"/>
    <w:multiLevelType w:val="hybridMultilevel"/>
    <w:lvl w:ilvl="0">
      <w:lvlJc w:val="left"/>
      <w:lvlText w:val="(%1)"/>
      <w:numFmt w:val="lowerLetter"/>
      <w:start w:val="1"/>
    </w:lvl>
  </w:abstractNum>
  <w:abstractNum w:abstractNumId="139">
    <w:nsid w:val="1C695DEC"/>
    <w:multiLevelType w:val="hybridMultilevel"/>
    <w:lvl w:ilvl="0">
      <w:lvlJc w:val="left"/>
      <w:lvlText w:val="(%1)"/>
      <w:numFmt w:val="lowerLetter"/>
      <w:start w:val="3"/>
    </w:lvl>
  </w:abstractNum>
  <w:abstractNum w:abstractNumId="140">
    <w:nsid w:val="3FCFAED9"/>
    <w:multiLevelType w:val="hybridMultilevel"/>
    <w:lvl w:ilvl="0">
      <w:lvlJc w:val="left"/>
      <w:lvlText w:val="(%1)"/>
      <w:numFmt w:val="lowerLetter"/>
      <w:start w:val="1"/>
    </w:lvl>
  </w:abstractNum>
  <w:abstractNum w:abstractNumId="141">
    <w:nsid w:val="F856867"/>
    <w:multiLevelType w:val="hybridMultilevel"/>
    <w:lvl w:ilvl="0">
      <w:lvlJc w:val="left"/>
      <w:lvlText w:val="(%1)"/>
      <w:numFmt w:val="lowerLetter"/>
      <w:start w:val="1"/>
    </w:lvl>
  </w:abstractNum>
  <w:abstractNum w:abstractNumId="142">
    <w:nsid w:val="11B1CC33"/>
    <w:multiLevelType w:val="hybridMultilevel"/>
    <w:lvl w:ilvl="0">
      <w:lvlJc w:val="left"/>
      <w:lvlText w:val="(%1)"/>
      <w:numFmt w:val="lowerRoman"/>
      <w:start w:val="1"/>
    </w:lvl>
  </w:abstractNum>
  <w:abstractNum w:abstractNumId="143">
    <w:nsid w:val="2E22FBB7"/>
    <w:multiLevelType w:val="hybridMultilevel"/>
    <w:lvl w:ilvl="0">
      <w:lvlJc w:val="left"/>
      <w:lvlText w:val="(%1)"/>
      <w:numFmt w:val="lowerLetter"/>
      <w:start w:val="1"/>
    </w:lvl>
  </w:abstractNum>
  <w:abstractNum w:abstractNumId="144">
    <w:nsid w:val="29934699"/>
    <w:multiLevelType w:val="hybridMultilevel"/>
    <w:lvl w:ilvl="0">
      <w:lvlJc w:val="left"/>
      <w:lvlText w:val="(%1)"/>
      <w:numFmt w:val="lowerLetter"/>
      <w:start w:val="1"/>
    </w:lvl>
  </w:abstractNum>
  <w:abstractNum w:abstractNumId="145">
    <w:nsid w:val="77485850"/>
    <w:multiLevelType w:val="hybridMultilevel"/>
    <w:lvl w:ilvl="0">
      <w:lvlJc w:val="left"/>
      <w:lvlText w:val="2"/>
      <w:numFmt w:val="bullet"/>
      <w:start w:val="1"/>
    </w:lvl>
  </w:abstractNum>
  <w:abstractNum w:abstractNumId="146">
    <w:nsid w:val="744939A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7">
    <w:nsid w:val="4FA0D2E3"/>
    <w:multiLevelType w:val="hybridMultilevel"/>
    <w:lvl w:ilvl="0">
      <w:lvlJc w:val="left"/>
      <w:lvlText w:val="(%1)"/>
      <w:numFmt w:val="lowerLetter"/>
      <w:start w:val="1"/>
    </w:lvl>
  </w:abstractNum>
  <w:abstractNum w:abstractNumId="148">
    <w:nsid w:val="6B1D2C14"/>
    <w:multiLevelType w:val="hybridMultilevel"/>
    <w:lvl w:ilvl="0">
      <w:lvlJc w:val="left"/>
      <w:lvlText w:val="(%1)"/>
      <w:numFmt w:val="lowerLetter"/>
      <w:start w:val="2"/>
    </w:lvl>
    <w:lvl w:ilvl="1">
      <w:lvlJc w:val="left"/>
      <w:lvlText w:val="(%2)"/>
      <w:numFmt w:val="lowerRoman"/>
      <w:start w:val="1"/>
    </w:lvl>
  </w:abstractNum>
  <w:abstractNum w:abstractNumId="149">
    <w:nsid w:val="68B867D3"/>
    <w:multiLevelType w:val="hybridMultilevel"/>
    <w:lvl w:ilvl="0">
      <w:lvlJc w:val="left"/>
      <w:lvlText w:val="(%1)"/>
      <w:numFmt w:val="lowerLetter"/>
      <w:start w:val="1"/>
    </w:lvl>
  </w:abstractNum>
  <w:abstractNum w:abstractNumId="150">
    <w:nsid w:val="3F7F5DD9"/>
    <w:multiLevelType w:val="hybridMultilevel"/>
    <w:lvl w:ilvl="0">
      <w:lvlJc w:val="left"/>
      <w:lvlText w:val="(%1)"/>
      <w:numFmt w:val="lowerLetter"/>
      <w:start w:val="1"/>
    </w:lvl>
  </w:abstractNum>
  <w:abstractNum w:abstractNumId="151">
    <w:nsid w:val="2AE05A34"/>
    <w:multiLevelType w:val="hybridMultilevel"/>
    <w:lvl w:ilvl="0">
      <w:lvlJc w:val="left"/>
      <w:lvlText w:val="(%1)"/>
      <w:numFmt w:val="lowerLetter"/>
      <w:start w:val="1"/>
    </w:lvl>
  </w:abstractNum>
  <w:abstractNum w:abstractNumId="152">
    <w:nsid w:val="32794FF7"/>
    <w:multiLevelType w:val="hybridMultilevel"/>
    <w:lvl w:ilvl="0">
      <w:lvlJc w:val="left"/>
      <w:lvlText w:val="(%1)"/>
      <w:numFmt w:val="lowerLetter"/>
      <w:start w:val="1"/>
    </w:lvl>
  </w:abstractNum>
  <w:abstractNum w:abstractNumId="153">
    <w:nsid w:val="5454945E"/>
    <w:multiLevelType w:val="hybridMultilevel"/>
    <w:lvl w:ilvl="0">
      <w:lvlJc w:val="left"/>
      <w:lvlText w:val="(%1)"/>
      <w:numFmt w:val="lowerLetter"/>
      <w:start w:val="1"/>
    </w:lvl>
  </w:abstractNum>
  <w:abstractNum w:abstractNumId="154">
    <w:nsid w:val="4DEFDFA0"/>
    <w:multiLevelType w:val="hybridMultilevel"/>
    <w:lvl w:ilvl="0">
      <w:lvlJc w:val="left"/>
      <w:lvlText w:val="(%1)"/>
      <w:numFmt w:val="lowerRoman"/>
      <w:start w:val="1"/>
    </w:lvl>
  </w:abstractNum>
  <w:abstractNum w:abstractNumId="155">
    <w:nsid w:val="2123D5F2"/>
    <w:multiLevelType w:val="hybridMultilevel"/>
    <w:lvl w:ilvl="0">
      <w:lvlJc w:val="left"/>
      <w:lvlText w:val="3"/>
      <w:numFmt w:val="bullet"/>
      <w:start w:val="1"/>
    </w:lvl>
  </w:abstractNum>
  <w:abstractNum w:abstractNumId="156">
    <w:nsid w:val="135B8110"/>
    <w:multiLevelType w:val="hybridMultilevel"/>
    <w:lvl w:ilvl="0">
      <w:lvlJc w:val="left"/>
      <w:lvlText w:val="(%1)"/>
      <w:numFmt w:val="lowerLetter"/>
      <w:start w:val="1"/>
    </w:lvl>
  </w:abstractNum>
  <w:abstractNum w:abstractNumId="157">
    <w:nsid w:val="94927A8"/>
    <w:multiLevelType w:val="hybridMultilevel"/>
    <w:lvl w:ilvl="0">
      <w:lvlJc w:val="left"/>
      <w:lvlText w:val="(%1)"/>
      <w:numFmt w:val="lowerLetter"/>
      <w:start w:val="1"/>
    </w:lvl>
  </w:abstractNum>
  <w:abstractNum w:abstractNumId="158">
    <w:nsid w:val="DCDF8F6"/>
    <w:multiLevelType w:val="hybridMultilevel"/>
    <w:lvl w:ilvl="0">
      <w:lvlJc w:val="left"/>
      <w:lvlText w:val="(%1)"/>
      <w:numFmt w:val="lowerLetter"/>
      <w:start w:val="1"/>
    </w:lvl>
  </w:abstractNum>
  <w:abstractNum w:abstractNumId="159">
    <w:nsid w:val="52D7B105"/>
    <w:multiLevelType w:val="hybridMultilevel"/>
    <w:lvl w:ilvl="0">
      <w:lvlJc w:val="left"/>
      <w:lvlText w:val="(%1)"/>
      <w:numFmt w:val="lowerLetter"/>
      <w:start w:val="2"/>
    </w:lvl>
    <w:lvl w:ilvl="1">
      <w:lvlJc w:val="left"/>
      <w:lvlText w:val="(%2)"/>
      <w:numFmt w:val="lowerRoman"/>
      <w:start w:val="1"/>
    </w:lvl>
  </w:abstractNum>
  <w:abstractNum w:abstractNumId="160">
    <w:nsid w:val="2E8A6394"/>
    <w:multiLevelType w:val="hybridMultilevel"/>
    <w:lvl w:ilvl="0">
      <w:lvlJc w:val="left"/>
      <w:lvlText w:val="4"/>
      <w:numFmt w:val="bullet"/>
      <w:start w:val="1"/>
    </w:lvl>
  </w:abstractNum>
  <w:abstractNum w:abstractNumId="161">
    <w:nsid w:val="24E60401"/>
    <w:multiLevelType w:val="hybridMultilevel"/>
    <w:lvl w:ilvl="0">
      <w:lvlJc w:val="left"/>
      <w:lvlText w:val="(%1)"/>
      <w:numFmt w:val="lowerLetter"/>
      <w:start w:val="1"/>
    </w:lvl>
  </w:abstractNum>
  <w:abstractNum w:abstractNumId="162">
    <w:nsid w:val="2A6AD9BE"/>
    <w:multiLevelType w:val="hybridMultilevel"/>
    <w:lvl w:ilvl="0">
      <w:lvlJc w:val="left"/>
      <w:lvlText w:val="(%1)"/>
      <w:numFmt w:val="lowerLetter"/>
      <w:start w:val="1"/>
    </w:lvl>
  </w:abstractNum>
  <w:abstractNum w:abstractNumId="163">
    <w:nsid w:val="BAAC1B4"/>
    <w:multiLevelType w:val="hybridMultilevel"/>
    <w:lvl w:ilvl="0">
      <w:lvlJc w:val="left"/>
      <w:lvlText w:val="(%1)"/>
      <w:numFmt w:val="lowerLetter"/>
      <w:start w:val="1"/>
    </w:lvl>
  </w:abstractNum>
  <w:abstractNum w:abstractNumId="164">
    <w:nsid w:val="36B2ACBC"/>
    <w:multiLevelType w:val="hybridMultilevel"/>
    <w:lvl w:ilvl="0">
      <w:lvlJc w:val="left"/>
      <w:lvlText w:val="(%1)"/>
      <w:numFmt w:val="lowerLetter"/>
      <w:start w:val="1"/>
    </w:lvl>
  </w:abstractNum>
  <w:abstractNum w:abstractNumId="165">
    <w:nsid w:val="779D8544"/>
    <w:multiLevelType w:val="hybridMultilevel"/>
    <w:lvl w:ilvl="0">
      <w:lvlJc w:val="left"/>
      <w:lvlText w:val="1"/>
      <w:numFmt w:val="bullet"/>
      <w:start w:val="1"/>
    </w:lvl>
  </w:abstractNum>
  <w:abstractNum w:abstractNumId="166">
    <w:nsid w:val="4AB26E78"/>
    <w:multiLevelType w:val="hybridMultilevel"/>
    <w:lvl w:ilvl="0">
      <w:lvlJc w:val="left"/>
      <w:lvlText w:val="2"/>
      <w:numFmt w:val="bullet"/>
      <w:start w:val="1"/>
    </w:lvl>
  </w:abstractNum>
  <w:abstractNum w:abstractNumId="167">
    <w:nsid w:val="21FAA2FA"/>
    <w:multiLevelType w:val="hybridMultilevel"/>
    <w:lvl w:ilvl="0">
      <w:lvlJc w:val="left"/>
      <w:lvlText w:val="(%1)"/>
      <w:numFmt w:val="lowerLetter"/>
      <w:start w:val="1"/>
    </w:lvl>
  </w:abstractNum>
  <w:abstractNum w:abstractNumId="168">
    <w:nsid w:val="5451CF49"/>
    <w:multiLevelType w:val="hybridMultilevel"/>
    <w:lvl w:ilvl="0">
      <w:lvlJc w:val="left"/>
      <w:lvlText w:val="(%1)"/>
      <w:numFmt w:val="lowerLetter"/>
      <w:start w:val="1"/>
    </w:lvl>
    <w:lvl w:ilvl="1">
      <w:lvlJc w:val="left"/>
      <w:lvlText w:val="(%2)"/>
      <w:numFmt w:val="lowerRoman"/>
      <w:start w:val="1"/>
    </w:lvl>
  </w:abstractNum>
  <w:abstractNum w:abstractNumId="169">
    <w:nsid w:val="6181EF69"/>
    <w:multiLevelType w:val="hybridMultilevel"/>
    <w:lvl w:ilvl="0">
      <w:lvlJc w:val="left"/>
      <w:lvlText w:val="(%1)"/>
      <w:numFmt w:val="lowerLetter"/>
      <w:start w:val="2"/>
    </w:lvl>
  </w:abstractNum>
  <w:abstractNum w:abstractNumId="170">
    <w:nsid w:val="3E6400E6"/>
    <w:multiLevelType w:val="hybridMultilevel"/>
    <w:lvl w:ilvl="0">
      <w:lvlJc w:val="left"/>
      <w:lvlText w:val="3"/>
      <w:numFmt w:val="bullet"/>
      <w:start w:val="1"/>
    </w:lvl>
  </w:abstractNum>
  <w:abstractNum w:abstractNumId="171">
    <w:nsid w:val="14217E23"/>
    <w:multiLevelType w:val="hybridMultilevel"/>
    <w:lvl w:ilvl="0">
      <w:lvlJc w:val="left"/>
      <w:lvlText w:val="(%1)"/>
      <w:numFmt w:val="lowerLetter"/>
      <w:start w:val="1"/>
    </w:lvl>
  </w:abstractNum>
  <w:abstractNum w:abstractNumId="172">
    <w:nsid w:val="710757D0"/>
    <w:multiLevelType w:val="hybridMultilevel"/>
    <w:lvl w:ilvl="0">
      <w:lvlJc w:val="left"/>
      <w:lvlText w:val="(%1)"/>
      <w:numFmt w:val="lowerLetter"/>
      <w:start w:val="1"/>
    </w:lvl>
  </w:abstractNum>
  <w:abstractNum w:abstractNumId="173">
    <w:nsid w:val="5015CD1A"/>
    <w:multiLevelType w:val="hybridMultilevel"/>
    <w:lvl w:ilvl="0">
      <w:lvlJc w:val="left"/>
      <w:lvlText w:val="(%1)"/>
      <w:numFmt w:val="lowerLetter"/>
      <w:start w:val="1"/>
    </w:lvl>
  </w:abstractNum>
  <w:abstractNum w:abstractNumId="174">
    <w:nsid w:val="424479DA"/>
    <w:multiLevelType w:val="hybridMultilevel"/>
    <w:lvl w:ilvl="0">
      <w:lvlJc w:val="left"/>
      <w:lvlText w:val="(%1)"/>
      <w:numFmt w:val="lowerLetter"/>
      <w:start w:val="1"/>
    </w:lvl>
  </w:abstractNum>
  <w:abstractNum w:abstractNumId="175">
    <w:nsid w:val="1A9A9E69"/>
    <w:multiLevelType w:val="hybridMultilevel"/>
    <w:lvl w:ilvl="0">
      <w:lvlJc w:val="left"/>
      <w:lvlText w:val="(%1)"/>
      <w:numFmt w:val="lowerLetter"/>
      <w:start w:val="1"/>
    </w:lvl>
  </w:abstractNum>
  <w:abstractNum w:abstractNumId="176">
    <w:nsid w:val="475E256A"/>
    <w:multiLevelType w:val="hybridMultilevel"/>
    <w:lvl w:ilvl="0">
      <w:lvlJc w:val="left"/>
      <w:lvlText w:val="(%1)"/>
      <w:numFmt w:val="lowerLetter"/>
      <w:start w:val="3"/>
    </w:lvl>
  </w:abstractNum>
  <w:abstractNum w:abstractNumId="177">
    <w:nsid w:val="368DB37E"/>
    <w:multiLevelType w:val="hybridMultilevel"/>
    <w:lvl w:ilvl="0">
      <w:lvlJc w:val="left"/>
      <w:lvlText w:val="(%1)"/>
      <w:numFmt w:val="lowerLetter"/>
      <w:start w:val="1"/>
    </w:lvl>
  </w:abstractNum>
  <w:abstractNum w:abstractNumId="178">
    <w:nsid w:val="6A3B714C"/>
    <w:multiLevelType w:val="hybridMultilevel"/>
    <w:lvl w:ilvl="0">
      <w:lvlJc w:val="left"/>
      <w:lvlText w:val="4"/>
      <w:numFmt w:val="bullet"/>
      <w:start w:val="1"/>
    </w:lvl>
  </w:abstractNum>
  <w:abstractNum w:abstractNumId="179">
    <w:nsid w:val="327B517E"/>
    <w:multiLevelType w:val="hybridMultilevel"/>
    <w:lvl w:ilvl="0">
      <w:lvlJc w:val="left"/>
      <w:lvlText w:val="(%1)"/>
      <w:numFmt w:val="lowerLetter"/>
      <w:start w:val="1"/>
    </w:lvl>
  </w:abstractNum>
  <w:abstractNum w:abstractNumId="180">
    <w:nsid w:val="1F461B51"/>
    <w:multiLevelType w:val="hybridMultilevel"/>
    <w:lvl w:ilvl="0">
      <w:lvlJc w:val="left"/>
      <w:lvlText w:val="(%1)"/>
      <w:numFmt w:val="lowerLetter"/>
      <w:start w:val="1"/>
    </w:lvl>
  </w:abstractNum>
  <w:abstractNum w:abstractNumId="181">
    <w:nsid w:val="29BACF25"/>
    <w:multiLevelType w:val="hybridMultilevel"/>
    <w:lvl w:ilvl="0">
      <w:lvlJc w:val="left"/>
      <w:lvlText w:val="5"/>
      <w:numFmt w:val="bullet"/>
      <w:start w:val="1"/>
    </w:lvl>
  </w:abstractNum>
  <w:abstractNum w:abstractNumId="182">
    <w:nsid w:val="5D5BABB3"/>
    <w:multiLevelType w:val="hybridMultilevel"/>
    <w:lvl w:ilvl="0">
      <w:lvlJc w:val="left"/>
      <w:lvlText w:val="(%1)"/>
      <w:numFmt w:val="lowerLetter"/>
      <w:start w:val="1"/>
    </w:lvl>
    <w:lvl w:ilvl="1">
      <w:lvlJc w:val="left"/>
      <w:lvlText w:val="(%2)"/>
      <w:numFmt w:val="lowerRoman"/>
      <w:start w:val="1"/>
    </w:lvl>
  </w:abstractNum>
  <w:abstractNum w:abstractNumId="183">
    <w:nsid w:val="51BF6B48"/>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2019-12-08T13:38:44Z</dcterms:created>
  <dcterms:modified xsi:type="dcterms:W3CDTF">2019-12-08T13:38:44Z</dcterms:modified>
</cp:coreProperties>
</file>