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Daniel Jeffrey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82.4015</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31,630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Rule 10b5-1 Plan adopted by reporting person on May 18, 2021.</w:t>
      </w:r>
    </w:p>
    <w:p>
      <w:pPr>
        <w:spacing w:after="0" w:line="50" w:lineRule="exact"/>
        <w:rPr>
          <w:rFonts w:ascii="Arial" w:cs="Arial" w:eastAsia="Arial" w:hAnsi="Arial"/>
          <w:sz w:val="13"/>
          <w:szCs w:val="13"/>
          <w:color w:val="008000"/>
        </w:rPr>
      </w:pPr>
    </w:p>
    <w:p>
      <w:pPr>
        <w:ind w:left="40" w:right="2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10 separate sales on the transaction date at prices ranging from $82.04 to $83.00. The reporting person hereby undertakes to provide upon request to the SEC, the issuer or any stockholder of the issuer, the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Daniel J. Moore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09/03/2021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2021-09-03T10:06:23Z</dcterms:created>
  <dcterms:modified xsi:type="dcterms:W3CDTF">2021-09-03T10:06:23Z</dcterms:modified>
</cp:coreProperties>
</file>