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6488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48843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Poletti Franco</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03/30/2026</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Cardiopulmonary</w:t>
      </w:r>
    </w:p>
    <w:p>
      <w:pPr>
        <w:spacing w:after="0" w:line="319"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9"/>
            <w:vMerge w:val="restart"/>
          </w:tcPr>
          <w:p>
            <w:pPr>
              <w:jc w:val="center"/>
              <w:ind w:right="12"/>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w w:val="96"/>
              </w:rPr>
              <w:t>X0</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W2 6LA</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03/30/2026</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3,184</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12,125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03/30/2026</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1,370</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61.27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10,755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219</w:t>
            </w:r>
          </w:p>
        </w:tc>
        <w:tc>
          <w:tcPr>
            <w:tcW w:w="28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jc w:val="center"/>
              <w:ind w:left="75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3"/>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jc w:val="center"/>
              <w:ind w:right="16"/>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jc w:val="center"/>
              <w:ind w:right="16"/>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03/30/2026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60" w:type="dxa"/>
            <w:vAlign w:val="bottom"/>
            <w:vMerge w:val="restart"/>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rPr>
              <w:t>171</w:t>
            </w: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center"/>
              <w:ind w:right="176"/>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03/30/2026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60" w:type="dxa"/>
            <w:vAlign w:val="bottom"/>
            <w:vMerge w:val="restart"/>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rPr>
              <w:t>325</w:t>
            </w: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center"/>
              <w:ind w:right="176"/>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rPr>
              <w:t>325</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558</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03/30/2026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60" w:type="dxa"/>
            <w:vAlign w:val="bottom"/>
            <w:vMerge w:val="restart"/>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rPr>
              <w:t>558</w:t>
            </w: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center"/>
              <w:ind w:right="176"/>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w w:val="95"/>
              </w:rPr>
              <w:t>1,117</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2,130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7"/>
              </w:rPr>
              <w:t>03/30/2026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760" w:type="dxa"/>
            <w:vAlign w:val="bottom"/>
          </w:tcPr>
          <w:p>
            <w:pPr>
              <w:jc w:val="center"/>
              <w:ind w:left="220"/>
              <w:spacing w:after="0" w:line="130" w:lineRule="exact"/>
              <w:rPr>
                <w:sz w:val="20"/>
                <w:szCs w:val="20"/>
                <w:color w:val="auto"/>
              </w:rPr>
            </w:pPr>
            <w:r>
              <w:rPr>
                <w:rFonts w:ascii="Times New Roman" w:cs="Times New Roman" w:eastAsia="Times New Roman" w:hAnsi="Times New Roman"/>
                <w:sz w:val="13"/>
                <w:szCs w:val="13"/>
                <w:color w:val="0000FF"/>
                <w:w w:val="95"/>
              </w:rPr>
              <w:t>2,130</w:t>
            </w: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ind w:right="176"/>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center"/>
              <w:ind w:left="159"/>
              <w:spacing w:after="0" w:line="130" w:lineRule="exact"/>
              <w:rPr>
                <w:sz w:val="20"/>
                <w:szCs w:val="20"/>
                <w:color w:val="auto"/>
              </w:rPr>
            </w:pPr>
            <w:r>
              <w:rPr>
                <w:rFonts w:ascii="Times New Roman" w:cs="Times New Roman" w:eastAsia="Times New Roman" w:hAnsi="Times New Roman"/>
                <w:sz w:val="13"/>
                <w:szCs w:val="13"/>
                <w:color w:val="0000FF"/>
              </w:rPr>
              <w:t>4,258</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-3177540</wp:posOffset>
            </wp:positionV>
            <wp:extent cx="29210" cy="3182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1826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applicable Company incentive award plan identified in the footnote for such grant and the award agreement.</w:t>
      </w:r>
    </w:p>
    <w:p>
      <w:pPr>
        <w:spacing w:after="0" w:line="1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in equal annual installments, the first vesting having occurred on March 30, 2023. The RSUs are subject to forfeiture prior to vesting in accordance with the terms of the Company's 2015 Incentive Award Plan (the 2015 Plan) and the award agreement.</w:t>
      </w:r>
    </w:p>
    <w:p>
      <w:pPr>
        <w:spacing w:after="0" w:line="1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in equal annual installments, the first vesting having occurred on March 30, 2024. The RSUs are subject to forfeiture prior to vesting in accordance with the terms of the Company's 2022 Incentive Award Plan (the 2022 Plan) and the award agreement.</w:t>
      </w:r>
    </w:p>
    <w:p>
      <w:pPr>
        <w:spacing w:after="0" w:line="1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four-year vesting in equal annual installments, the first vesting having occurred on March 30, 2025. The RSUs are subject to forfeiture prior to vesting in accordance with the terms of the 2022 Plan and the award agreement.</w:t>
      </w:r>
    </w:p>
    <w:p>
      <w:pPr>
        <w:spacing w:after="0" w:line="1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RSUs subject to a three-year vesting in equal annual installments, the first vesting occurring on March 30, 2026. The RSUs are subject to forfeiture prior to vesting in accordance with the terms of the First Amended and Restated LivaNova PLC 2022 Incentive Award Plan (the First A&amp;R 2022 Plan)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04/01/2026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p>
      <w:pPr>
        <w:spacing w:after="0" w:line="4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1281"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2026-04-01T16:30:24Z</dcterms:created>
  <dcterms:modified xsi:type="dcterms:W3CDTF">2026-04-01T16:30:24Z</dcterms:modified>
</cp:coreProperties>
</file>