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253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2532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EQUINOX TWO S.C.A.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RIVA ALBERTONI,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LUGANO</w:t>
            </w:r>
          </w:p>
        </w:tc>
        <w:tc>
          <w:tcPr>
            <w:tcW w:w="1100" w:type="dxa"/>
            <w:vAlign w:val="bottom"/>
          </w:tcPr>
          <w:p>
            <w:pPr>
              <w:ind w:left="260"/>
              <w:spacing w:after="0"/>
              <w:rPr>
                <w:sz w:val="20"/>
                <w:szCs w:val="20"/>
                <w:color w:val="auto"/>
              </w:rPr>
            </w:pPr>
            <w:r>
              <w:rPr>
                <w:rFonts w:ascii="Arial" w:cs="Arial" w:eastAsia="Arial" w:hAnsi="Arial"/>
                <w:sz w:val="18"/>
                <w:szCs w:val="18"/>
                <w:color w:val="0000FF"/>
              </w:rPr>
              <w:t>V8</w:t>
            </w:r>
          </w:p>
        </w:tc>
        <w:tc>
          <w:tcPr>
            <w:tcW w:w="1680" w:type="dxa"/>
            <w:vAlign w:val="bottom"/>
          </w:tcPr>
          <w:p>
            <w:pPr>
              <w:ind w:left="420"/>
              <w:spacing w:after="0"/>
              <w:rPr>
                <w:sz w:val="20"/>
                <w:szCs w:val="20"/>
                <w:color w:val="auto"/>
              </w:rPr>
            </w:pPr>
            <w:r>
              <w:rPr>
                <w:rFonts w:ascii="Arial" w:cs="Arial" w:eastAsia="Arial" w:hAnsi="Arial"/>
                <w:sz w:val="18"/>
                <w:szCs w:val="18"/>
                <w:color w:val="0000FF"/>
              </w:rPr>
              <w:t>6900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2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6"/>
          </w:tcPr>
          <w:p>
            <w:pPr>
              <w:ind w:left="26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vMerge w:val="restart"/>
          </w:tcPr>
          <w:p>
            <w:pPr>
              <w:ind w:left="360"/>
              <w:spacing w:after="0"/>
              <w:rPr>
                <w:sz w:val="20"/>
                <w:szCs w:val="20"/>
                <w:color w:val="auto"/>
              </w:rPr>
            </w:pPr>
            <w:r>
              <w:rPr>
                <w:rFonts w:ascii="Arial" w:cs="Arial" w:eastAsia="Arial" w:hAnsi="Arial"/>
                <w:sz w:val="18"/>
                <w:szCs w:val="18"/>
                <w:color w:val="0000FF"/>
                <w:w w:val="86"/>
              </w:rPr>
              <w:t>09/06/2016</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Pr>
          <w:p>
            <w:pPr>
              <w:spacing w:after="0"/>
              <w:rPr>
                <w:sz w:val="22"/>
                <w:szCs w:val="22"/>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100,000</w:t>
            </w:r>
          </w:p>
        </w:tc>
        <w:tc>
          <w:tcPr>
            <w:tcW w:w="20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60.5318</w:t>
            </w:r>
            <w:r>
              <w:rPr>
                <w:rFonts w:ascii="Arial" w:cs="Arial" w:eastAsia="Arial" w:hAnsi="Arial"/>
                <w:sz w:val="22"/>
                <w:szCs w:val="22"/>
                <w:color w:val="008000"/>
                <w:w w:val="85"/>
                <w:vertAlign w:val="superscript"/>
              </w:rPr>
              <w:t>(1)</w:t>
            </w:r>
          </w:p>
        </w:tc>
        <w:tc>
          <w:tcPr>
            <w:tcW w:w="1280" w:type="dxa"/>
            <w:vAlign w:val="bottom"/>
            <w:gridSpan w:val="3"/>
            <w:vMerge w:val="restart"/>
          </w:tcPr>
          <w:p>
            <w:pPr>
              <w:jc w:val="right"/>
              <w:ind w:right="219"/>
              <w:spacing w:after="0"/>
              <w:rPr>
                <w:sz w:val="20"/>
                <w:szCs w:val="20"/>
                <w:color w:val="auto"/>
              </w:rPr>
            </w:pPr>
            <w:r>
              <w:rPr>
                <w:rFonts w:ascii="Arial" w:cs="Arial" w:eastAsia="Arial" w:hAnsi="Arial"/>
                <w:sz w:val="18"/>
                <w:szCs w:val="18"/>
                <w:color w:val="0000FF"/>
              </w:rPr>
              <w:t>5,648,369</w:t>
            </w:r>
          </w:p>
        </w:tc>
        <w:tc>
          <w:tcPr>
            <w:tcW w:w="34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(5)(6)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8"/>
                <w:szCs w:val="18"/>
                <w:color w:val="0000FF"/>
                <w:w w:val="86"/>
              </w:rPr>
              <w:t>09/07/2016</w:t>
            </w: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61,800</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60.4294</w:t>
            </w:r>
            <w:r>
              <w:rPr>
                <w:rFonts w:ascii="Arial" w:cs="Arial" w:eastAsia="Arial" w:hAnsi="Arial"/>
                <w:sz w:val="22"/>
                <w:szCs w:val="22"/>
                <w:color w:val="008000"/>
                <w:w w:val="85"/>
                <w:vertAlign w:val="superscript"/>
              </w:rPr>
              <w:t>(2)</w:t>
            </w:r>
          </w:p>
        </w:tc>
        <w:tc>
          <w:tcPr>
            <w:tcW w:w="1280" w:type="dxa"/>
            <w:vAlign w:val="bottom"/>
            <w:tcBorders>
              <w:top w:val="single" w:sz="8" w:color="2C2C2C"/>
            </w:tcBorders>
            <w:gridSpan w:val="3"/>
            <w:vMerge w:val="restart"/>
          </w:tcPr>
          <w:p>
            <w:pPr>
              <w:jc w:val="right"/>
              <w:ind w:right="219"/>
              <w:spacing w:after="0"/>
              <w:rPr>
                <w:sz w:val="20"/>
                <w:szCs w:val="20"/>
                <w:color w:val="auto"/>
              </w:rPr>
            </w:pPr>
            <w:r>
              <w:rPr>
                <w:rFonts w:ascii="Arial" w:cs="Arial" w:eastAsia="Arial" w:hAnsi="Arial"/>
                <w:sz w:val="18"/>
                <w:szCs w:val="18"/>
                <w:color w:val="0000FF"/>
              </w:rPr>
              <w:t>5,586,569</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(5)(6)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8"/>
                <w:szCs w:val="18"/>
                <w:color w:val="0000FF"/>
                <w:w w:val="86"/>
              </w:rPr>
              <w:t>09/07/2016</w:t>
            </w: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8"/>
              </w:rPr>
              <w:t>3,200</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61.148</w:t>
            </w:r>
            <w:r>
              <w:rPr>
                <w:rFonts w:ascii="Arial" w:cs="Arial" w:eastAsia="Arial" w:hAnsi="Arial"/>
                <w:sz w:val="22"/>
                <w:szCs w:val="22"/>
                <w:color w:val="008000"/>
                <w:w w:val="86"/>
                <w:vertAlign w:val="superscript"/>
              </w:rPr>
              <w:t>(3)</w:t>
            </w:r>
          </w:p>
        </w:tc>
        <w:tc>
          <w:tcPr>
            <w:tcW w:w="1280" w:type="dxa"/>
            <w:vAlign w:val="bottom"/>
            <w:tcBorders>
              <w:top w:val="single" w:sz="8" w:color="2C2C2C"/>
            </w:tcBorders>
            <w:gridSpan w:val="3"/>
            <w:vMerge w:val="restart"/>
          </w:tcPr>
          <w:p>
            <w:pPr>
              <w:jc w:val="right"/>
              <w:ind w:right="219"/>
              <w:spacing w:after="0"/>
              <w:rPr>
                <w:sz w:val="20"/>
                <w:szCs w:val="20"/>
                <w:color w:val="auto"/>
              </w:rPr>
            </w:pPr>
            <w:r>
              <w:rPr>
                <w:rFonts w:ascii="Arial" w:cs="Arial" w:eastAsia="Arial" w:hAnsi="Arial"/>
                <w:sz w:val="18"/>
                <w:szCs w:val="18"/>
                <w:color w:val="0000FF"/>
              </w:rPr>
              <w:t>5,583,369</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(5)(6)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8"/>
                <w:szCs w:val="18"/>
                <w:color w:val="0000FF"/>
                <w:w w:val="86"/>
              </w:rPr>
              <w:t>09/08/2016</w:t>
            </w: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43,000</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60.5834</w:t>
            </w:r>
            <w:r>
              <w:rPr>
                <w:rFonts w:ascii="Arial" w:cs="Arial" w:eastAsia="Arial" w:hAnsi="Arial"/>
                <w:sz w:val="22"/>
                <w:szCs w:val="22"/>
                <w:color w:val="008000"/>
                <w:w w:val="85"/>
                <w:vertAlign w:val="superscript"/>
              </w:rPr>
              <w:t>(4)</w:t>
            </w:r>
          </w:p>
        </w:tc>
        <w:tc>
          <w:tcPr>
            <w:tcW w:w="1280" w:type="dxa"/>
            <w:vAlign w:val="bottom"/>
            <w:tcBorders>
              <w:top w:val="single" w:sz="8" w:color="2C2C2C"/>
            </w:tcBorders>
            <w:gridSpan w:val="3"/>
            <w:vMerge w:val="restart"/>
          </w:tcPr>
          <w:p>
            <w:pPr>
              <w:jc w:val="right"/>
              <w:ind w:right="219"/>
              <w:spacing w:after="0"/>
              <w:rPr>
                <w:sz w:val="20"/>
                <w:szCs w:val="20"/>
                <w:color w:val="auto"/>
              </w:rPr>
            </w:pPr>
            <w:r>
              <w:rPr>
                <w:rFonts w:ascii="Arial" w:cs="Arial" w:eastAsia="Arial" w:hAnsi="Arial"/>
                <w:sz w:val="18"/>
                <w:szCs w:val="18"/>
                <w:color w:val="0000FF"/>
              </w:rPr>
              <w:t>5,540,369</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(5)(6)</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8"/>
          </w:tcPr>
          <w:p>
            <w:pPr>
              <w:ind w:left="2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gridSpan w:val="15"/>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EQUINOX TWO S.C.A.</w:t>
              </w:r>
            </w:hyperlink>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RIVA ALBERTONI, 1</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LUGANO</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V8</w:t>
            </w:r>
          </w:p>
        </w:tc>
        <w:tc>
          <w:tcPr>
            <w:tcW w:w="1120" w:type="dxa"/>
            <w:vAlign w:val="bottom"/>
          </w:tcPr>
          <w:p>
            <w:pPr>
              <w:ind w:left="300"/>
              <w:spacing w:after="0"/>
              <w:rPr>
                <w:sz w:val="20"/>
                <w:szCs w:val="20"/>
                <w:color w:val="auto"/>
              </w:rPr>
            </w:pPr>
            <w:r>
              <w:rPr>
                <w:rFonts w:ascii="Arial" w:cs="Arial" w:eastAsia="Arial" w:hAnsi="Arial"/>
                <w:sz w:val="18"/>
                <w:szCs w:val="18"/>
                <w:color w:val="0000FF"/>
              </w:rPr>
              <w:t>6900</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1"/>
              </w:rPr>
            </w:pPr>
            <w:hyperlink r:id="rId14">
              <w:r>
                <w:rPr>
                  <w:rFonts w:ascii="Arial" w:cs="Arial" w:eastAsia="Arial" w:hAnsi="Arial"/>
                  <w:sz w:val="22"/>
                  <w:szCs w:val="22"/>
                  <w:color w:val="0000EE"/>
                  <w:w w:val="91"/>
                </w:rPr>
                <w:t>Tower 6 S. a r.l.</w:t>
              </w:r>
            </w:hyperlink>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5, PLACE DU THEATRE</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LUXEMBOURG</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N4</w:t>
            </w:r>
          </w:p>
        </w:tc>
        <w:tc>
          <w:tcPr>
            <w:tcW w:w="1120" w:type="dxa"/>
            <w:vAlign w:val="bottom"/>
          </w:tcPr>
          <w:p>
            <w:pPr>
              <w:ind w:left="300"/>
              <w:spacing w:after="0"/>
              <w:rPr>
                <w:sz w:val="20"/>
                <w:szCs w:val="20"/>
                <w:color w:val="auto"/>
              </w:rPr>
            </w:pPr>
            <w:r>
              <w:rPr>
                <w:rFonts w:ascii="Arial" w:cs="Arial" w:eastAsia="Arial" w:hAnsi="Arial"/>
                <w:sz w:val="18"/>
                <w:szCs w:val="18"/>
                <w:color w:val="0000FF"/>
              </w:rPr>
              <w:t>2613</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20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$60.00 to $60.98, inclusive. Upon request, the Reporting Persons (defined below) undertake to provide the Issuer, any security holder of the Issuer, or the Securities and Exchange Commission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$60.00 to $60.97,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$61.01 to $61.42,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$60.00 to $60.84,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jc w:val="both"/>
        <w:ind w:firstLine="9"/>
        <w:spacing w:after="0" w:line="27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Ordinary Shares sold in connection with the transactions reported on this Form 4 were held by Bios S.p.A. Following the transactions reported on this Form 4, Bios S.p.A. and Tower 6 Bis S. a r.l. are the record holders of 4,054,285 and 1,486,084 Ordinary Shares, respectively. Mittel S.p.A. ("Mittel") and Equinox Two S.c.a. ("Equinox") are the 50:50 beneficial owners of the special purpose vehicle Bios S.p.A, in which each of Mittel and Equinox owns 50% of the outstanding voting shares and holds two board of director seats. Equinox is the owner of 100% of the membership interests in Tower 6 S. a r.l. ("Tower 6" and, together with Equinox, the "Reporting Persons"). Tower 6 (and Equinox indirectly through Tower 6) owns 51%, and Mittel owns 49%, of the membership interests in Tower 6 Bis S. a r.l.</w:t>
      </w:r>
    </w:p>
    <w:p>
      <w:pPr>
        <w:spacing w:after="0" w:line="8" w:lineRule="exact"/>
        <w:rPr>
          <w:rFonts w:ascii="Arial" w:cs="Arial" w:eastAsia="Arial" w:hAnsi="Arial"/>
          <w:sz w:val="12"/>
          <w:szCs w:val="12"/>
          <w:color w:val="008000"/>
        </w:rPr>
      </w:pPr>
    </w:p>
    <w:p>
      <w:pPr>
        <w:ind w:right="22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report on Form 4 is filed jointly by Equinox and Tower 6. Each of the Reporting Persons disclaims beneficial ownership of the securities reported herein for purposes of Rule 16a-1(a) under the Securities Exchange Act of 1934, as amended (the "Exchange Act"), except to the extent of its pecuniary interest therein. This report on Form 4 shall not be deemed an admission that either of the Reporting Persons is a beneficial owner of such securities for the purpose of Section 16 of the Exchange Act, or for any other purpose.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008000"/>
        </w:rPr>
        <w:t>1. Exhibit 24.1 - Power of Attorney for Salvatore Mancuso and Giorgio Mancuso (ATTACHED) 2. Exhibit 24.2 - Power of Attorney for Giorgio Mercogliano and Vania Baravini (ATTACHED)</w:t>
      </w:r>
    </w:p>
    <w:p>
      <w:pPr>
        <w:sectPr>
          <w:pgSz w:w="11900" w:h="16838" w:orient="portrait"/>
          <w:cols w:equalWidth="0" w:num="1">
            <w:col w:w="11340"/>
          </w:cols>
          <w:pgMar w:left="280" w:top="124" w:right="279" w:bottom="1440" w:gutter="0" w:footer="0" w:header="0"/>
        </w:sectPr>
      </w:pPr>
    </w:p>
    <w:p>
      <w:pPr>
        <w:spacing w:after="0" w:line="9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Equinox Two S.c.a,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Giorgio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3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Mancuso,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Equinox Two S.c.a,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65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Salvatore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9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Mancuso,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Tower 6 S. 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26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2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Baravini,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Tower 6 S. 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26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Giorgio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3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Mercogliano,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17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color w:val="0000FF"/>
        </w:rPr>
        <w:t>09/08/2016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09/08/2016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09/08/2016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09/08/2016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880" w:space="240"/>
            <w:col w:w="2220"/>
          </w:cols>
          <w:pgMar w:left="280" w:top="124"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40"/>
          </w:cols>
          <w:pgMar w:left="280" w:top="124"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color w:val="auto"/>
        </w:rPr>
        <w:t>Exhibit 24.1</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Know all by these presents, that the undersigned, being a director of Equinox Two S.c.a (the “Company”) hereby constitutes and appoints each of Mr. Massimiliano SELIZIATO and/or Mr. Federico FRANZINA, or either of them signing singly, and with full power of substitution, the undersigned's true and lawful attorney-in-fact to:</w:t>
      </w:r>
    </w:p>
    <w:p>
      <w:pPr>
        <w:spacing w:after="0" w:line="235" w:lineRule="exact"/>
        <w:rPr>
          <w:sz w:val="20"/>
          <w:szCs w:val="20"/>
          <w:color w:val="auto"/>
        </w:rPr>
      </w:pPr>
    </w:p>
    <w:p>
      <w:pPr>
        <w:jc w:val="both"/>
        <w:ind w:left="130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prepare, execute for and on behalf of the undersigned, in the undersigned's capacity as a director of the Company, Forms 3, 4, and 5 with respect to the Company’s holdings of and transactions in securities of LivaNova PLC (“LivaNova”) in accordance with Section 16(a) of the Securities Exchange Act of 1934 and the rules thereunder;</w:t>
      </w:r>
    </w:p>
    <w:p>
      <w:pPr>
        <w:spacing w:after="0" w:line="235" w:lineRule="exact"/>
        <w:rPr>
          <w:sz w:val="20"/>
          <w:szCs w:val="20"/>
          <w:color w:val="auto"/>
        </w:rPr>
      </w:pPr>
    </w:p>
    <w:p>
      <w:pPr>
        <w:jc w:val="both"/>
        <w:ind w:left="1300" w:right="20" w:hanging="644"/>
        <w:spacing w:after="0" w:line="286"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stock exchange or similar authority on behalf of the Company; and</w:t>
      </w:r>
    </w:p>
    <w:p>
      <w:pPr>
        <w:spacing w:after="0" w:line="219"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Company’s responsibilities to comply with Section 16 of the Securities Exchange Act of 1934.</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Power of Attorney shall remain in full force and effect until either (i) the Company is no longer required to file Forms 3, 4 and 5 with respect to the Company’s holdings of and transactions in securities issued by LivaNova or (ii) the undersigned is no longer serving as a director of the Company (or equivalent position), unless earlier revoked by the undersigned in a signed writing delivered to the foregoing attorneys-in-fact.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2016.</w:t>
      </w:r>
    </w:p>
    <w:p>
      <w:pPr>
        <w:spacing w:after="0" w:line="200" w:lineRule="exact"/>
        <w:rPr>
          <w:sz w:val="20"/>
          <w:szCs w:val="20"/>
          <w:color w:val="auto"/>
        </w:rPr>
      </w:pPr>
    </w:p>
    <w:p>
      <w:pPr>
        <w:spacing w:after="0" w:line="26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Salvatore MANCUSO – /s/ Giorgio MANCUSO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25387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Signatures</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Salvatore MANCUSO – Giorgio MANCUSO</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Exhibit 24.2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Know all by these presents, that the undersigned, being a manager of Tower 6 S. à.r.l. (the “Company”) hereby constitutes and appoints each of Mr. Massimiliano SELIZIATO and/or Mr. Federico FRANZINA, or either of them signing singly, and with full power of substitution, the undersigned's true and lawful attorney-in-fact to:</w:t>
      </w:r>
    </w:p>
    <w:p>
      <w:pPr>
        <w:spacing w:after="0" w:line="235" w:lineRule="exact"/>
        <w:rPr>
          <w:sz w:val="20"/>
          <w:szCs w:val="20"/>
          <w:color w:val="auto"/>
        </w:rPr>
      </w:pPr>
    </w:p>
    <w:p>
      <w:pPr>
        <w:jc w:val="both"/>
        <w:ind w:left="130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execute for and on behalf of the undersigned, in the undersigned's capacity as a manager of the Company, Forms 3, 4, and 5 with respect to the Company’s holdings of and transactions in securities of LivaNova PLC (“LivaNova”) in accordance with Section 16(a) of the Securities Exchange Act of 1934 and the rules thereunder;</w:t>
      </w:r>
    </w:p>
    <w:p>
      <w:pPr>
        <w:spacing w:after="0" w:line="235" w:lineRule="exact"/>
        <w:rPr>
          <w:sz w:val="20"/>
          <w:szCs w:val="20"/>
          <w:color w:val="auto"/>
        </w:rPr>
      </w:pPr>
    </w:p>
    <w:p>
      <w:pPr>
        <w:jc w:val="both"/>
        <w:ind w:left="1300" w:right="20" w:hanging="644"/>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stock exchange or similar authority on behalf of the Company; and</w:t>
      </w:r>
    </w:p>
    <w:p>
      <w:pPr>
        <w:spacing w:after="0" w:line="219"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Company’s responsibilities to comply with Section 16 of the Securities Exchange Act of 1934.</w:t>
      </w:r>
    </w:p>
    <w:p>
      <w:pPr>
        <w:spacing w:after="0" w:line="23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Power of Attorney shall remain in full force and effect until either (i) the Company is no longer required to file Forms 3, 4 and 5 with respect to the Company’s holdings of and transactions in securities issued by LivaNova or (ii) the undersigned is no longer serving as a manager of the Company (or equivalent position), unless earlier revoked by the undersigned in a signed writing delivered to the foregoing attorneys-in-fact.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2016.</w:t>
      </w:r>
    </w:p>
    <w:p>
      <w:pPr>
        <w:spacing w:after="0" w:line="200" w:lineRule="exact"/>
        <w:rPr>
          <w:sz w:val="20"/>
          <w:szCs w:val="20"/>
          <w:color w:val="auto"/>
        </w:rPr>
      </w:pPr>
    </w:p>
    <w:p>
      <w:pPr>
        <w:spacing w:after="0" w:line="26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Giorgio Mercogliano – /s/ Vania Baravini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25387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Signatures</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Giorgio Mercogliano – Vania Baravini</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5"/>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12" Type="http://schemas.openxmlformats.org/officeDocument/2006/relationships/hyperlink" Target="http://www.sec.govhttp//www.sec.gov/cgi-bin/browse-edgar?action=getcompany&amp;CIK=0001667696" TargetMode="External"/><Relationship Id="rId13" Type="http://schemas.openxmlformats.org/officeDocument/2006/relationships/hyperlink" Target="http://www.sec.gov/cgi-bin/browse-edgar?action=getcompany&amp;CIK=0001639691" TargetMode="External"/><Relationship Id="rId14" Type="http://schemas.openxmlformats.org/officeDocument/2006/relationships/hyperlink" Target="http://www.sec.gov/cgi-bin/browse-edgar?action=getcompany&amp;CIK=0001673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2019-12-09T02:25:49Z</dcterms:created>
  <dcterms:modified xsi:type="dcterms:W3CDTF">2019-12-09T02:25:49Z</dcterms:modified>
</cp:coreProperties>
</file>