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7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Andrle Edward</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03/29/2019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5"/>
        <w:spacing w:after="0"/>
        <w:rPr>
          <w:sz w:val="20"/>
          <w:szCs w:val="20"/>
          <w:color w:val="auto"/>
        </w:rPr>
      </w:pPr>
      <w:r>
        <w:rPr>
          <w:rFonts w:ascii="Arial" w:cs="Arial" w:eastAsia="Arial" w:hAnsi="Arial"/>
          <w:sz w:val="17"/>
          <w:szCs w:val="17"/>
          <w:color w:val="0000FF"/>
        </w:rPr>
        <w:t>General Manager, NM</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93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9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1,928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24,366</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1,928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26,294</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1,928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28,222</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5,903</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Appreciation</w:t>
            </w:r>
          </w:p>
        </w:tc>
        <w:tc>
          <w:tcPr>
            <w:tcW w:w="800" w:type="dxa"/>
            <w:vAlign w:val="bottom"/>
            <w:vMerge w:val="continue"/>
          </w:tcPr>
          <w:p>
            <w:pPr>
              <w:spacing w:after="0"/>
              <w:rPr>
                <w:sz w:val="5"/>
                <w:szCs w:val="5"/>
                <w:color w:val="auto"/>
              </w:rPr>
            </w:pP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5"/>
                <w:szCs w:val="5"/>
                <w:color w:val="auto"/>
              </w:rPr>
            </w:pPr>
          </w:p>
        </w:tc>
        <w:tc>
          <w:tcPr>
            <w:tcW w:w="8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5,903</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300"/>
              <w:spacing w:after="0" w:line="148" w:lineRule="exact"/>
              <w:rPr>
                <w:sz w:val="20"/>
                <w:szCs w:val="20"/>
                <w:color w:val="auto"/>
              </w:rPr>
            </w:pPr>
            <w:r>
              <w:rPr>
                <w:rFonts w:ascii="Arial" w:cs="Arial" w:eastAsia="Arial" w:hAnsi="Arial"/>
                <w:sz w:val="13"/>
                <w:szCs w:val="13"/>
                <w:color w:val="0000FF"/>
              </w:rPr>
              <w:t>72,231</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10" w:lineRule="exact"/>
        <w:rPr>
          <w:rFonts w:ascii="Arial" w:cs="Arial" w:eastAsia="Arial" w:hAnsi="Arial"/>
          <w:sz w:val="13"/>
          <w:szCs w:val="13"/>
          <w:color w:val="008000"/>
        </w:rPr>
      </w:pPr>
    </w:p>
    <w:p>
      <w:pPr>
        <w:ind w:left="40" w:right="3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29, 2019, subject to continued service during the vesting period and the RSU Agreement.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51" w:lineRule="exact"/>
        <w:rPr>
          <w:rFonts w:ascii="Arial" w:cs="Arial" w:eastAsia="Arial" w:hAnsi="Arial"/>
          <w:sz w:val="13"/>
          <w:szCs w:val="13"/>
          <w:color w:val="008000"/>
        </w:rPr>
      </w:pPr>
    </w:p>
    <w:p>
      <w:pPr>
        <w:ind w:left="40" w:right="280" w:firstLine="7"/>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1,928 PSUs to vest or lapse on the filing of the Company's Annual Report on Form 10-K for the fiscal year ending December 31, 2021 ("2021 Form 10-K") based on the rank of the Company's total shareholder return for the three-year period ending December 31, 2021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25" w:lineRule="exact"/>
        <w:rPr>
          <w:rFonts w:ascii="Arial" w:cs="Arial" w:eastAsia="Arial" w:hAnsi="Arial"/>
          <w:sz w:val="13"/>
          <w:szCs w:val="13"/>
          <w:color w:val="008000"/>
        </w:rPr>
      </w:pPr>
    </w:p>
    <w:p>
      <w:pPr>
        <w:ind w:left="40" w:right="180" w:firstLine="7"/>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1,928 PSUs to vest or lapse on the filing of the Company's Annual Report on Form 10-K for the fiscal year ending December 31, 2021 based on how the Company's cumulative adjusted free cash flow for fiscal years 2019, 2020 and 2021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2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93.25 Conversion or Exercise Price of Derivative Security.</w:t>
      </w:r>
    </w:p>
    <w:p>
      <w:pPr>
        <w:spacing w:after="0" w:line="51" w:lineRule="exact"/>
        <w:rPr>
          <w:rFonts w:ascii="Arial" w:cs="Arial" w:eastAsia="Arial" w:hAnsi="Arial"/>
          <w:sz w:val="13"/>
          <w:szCs w:val="13"/>
          <w:color w:val="008000"/>
        </w:rPr>
      </w:pPr>
    </w:p>
    <w:p>
      <w:pPr>
        <w:ind w:left="40" w:right="4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29, 2019.</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04/02/2019</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2019-12-24T09:13:20Z</dcterms:created>
  <dcterms:modified xsi:type="dcterms:W3CDTF">2019-12-24T09:13:20Z</dcterms:modified>
</cp:coreProperties>
</file>