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2654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26542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80"/>
          </w:cols>
          <w:pgMar w:left="240" w:top="226" w:right="15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Huston Thad Allen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20 EASTBOURNE TERRACE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LivaNova PLC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LIVN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03/01/2019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0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23"/>
        <w:spacing w:after="0"/>
        <w:rPr>
          <w:sz w:val="20"/>
          <w:szCs w:val="20"/>
          <w:color w:val="auto"/>
        </w:rPr>
      </w:pPr>
      <w:r>
        <w:rPr>
          <w:rFonts w:ascii="Arial" w:cs="Arial" w:eastAsia="Arial" w:hAnsi="Arial"/>
          <w:sz w:val="18"/>
          <w:szCs w:val="18"/>
          <w:color w:val="0000FF"/>
        </w:rPr>
        <w:t>Chief Financial Officer</w:t>
      </w:r>
    </w:p>
    <w:p>
      <w:pPr>
        <w:spacing w:after="0" w:line="315" w:lineRule="exact"/>
        <w:rPr>
          <w:sz w:val="24"/>
          <w:szCs w:val="24"/>
          <w:color w:val="auto"/>
        </w:rPr>
      </w:pPr>
    </w:p>
    <w:p>
      <w:pPr>
        <w:sectPr>
          <w:pgSz w:w="11900" w:h="16838" w:orient="portrait"/>
          <w:cols w:equalWidth="0" w:num="3">
            <w:col w:w="3360" w:space="720"/>
            <w:col w:w="3257" w:space="720"/>
            <w:col w:w="3443"/>
          </w:cols>
          <w:pgMar w:left="240" w:top="226" w:right="15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20" w:type="dxa"/>
            <w:vAlign w:val="bottom"/>
          </w:tcPr>
          <w:p>
            <w:pPr>
              <w:spacing w:after="0"/>
              <w:rPr>
                <w:sz w:val="20"/>
                <w:szCs w:val="20"/>
                <w:color w:val="auto"/>
              </w:rPr>
            </w:pPr>
            <w:r>
              <w:rPr>
                <w:rFonts w:ascii="Arial" w:cs="Arial" w:eastAsia="Arial" w:hAnsi="Arial"/>
                <w:sz w:val="18"/>
                <w:szCs w:val="18"/>
                <w:color w:val="0000FF"/>
              </w:rPr>
              <w:t>LONDON</w:t>
            </w:r>
          </w:p>
        </w:tc>
        <w:tc>
          <w:tcPr>
            <w:tcW w:w="1100" w:type="dxa"/>
            <w:vAlign w:val="bottom"/>
          </w:tcPr>
          <w:p>
            <w:pPr>
              <w:ind w:left="260"/>
              <w:spacing w:after="0"/>
              <w:rPr>
                <w:sz w:val="20"/>
                <w:szCs w:val="20"/>
                <w:color w:val="auto"/>
              </w:rPr>
            </w:pPr>
            <w:r>
              <w:rPr>
                <w:rFonts w:ascii="Arial" w:cs="Arial" w:eastAsia="Arial" w:hAnsi="Arial"/>
                <w:sz w:val="18"/>
                <w:szCs w:val="18"/>
                <w:color w:val="0000FF"/>
              </w:rPr>
              <w:t>X0</w:t>
            </w:r>
          </w:p>
        </w:tc>
        <w:tc>
          <w:tcPr>
            <w:tcW w:w="1680" w:type="dxa"/>
            <w:vAlign w:val="bottom"/>
          </w:tcPr>
          <w:p>
            <w:pPr>
              <w:ind w:left="420"/>
              <w:spacing w:after="0"/>
              <w:rPr>
                <w:sz w:val="20"/>
                <w:szCs w:val="20"/>
                <w:color w:val="auto"/>
              </w:rPr>
            </w:pPr>
            <w:r>
              <w:rPr>
                <w:rFonts w:ascii="Arial" w:cs="Arial" w:eastAsia="Arial" w:hAnsi="Arial"/>
                <w:sz w:val="18"/>
                <w:szCs w:val="18"/>
                <w:color w:val="0000FF"/>
              </w:rPr>
              <w:t>W2 6LG</w:t>
            </w:r>
          </w:p>
        </w:tc>
      </w:tr>
      <w:tr>
        <w:trPr>
          <w:trHeight w:val="158"/>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4"/>
                <w:szCs w:val="14"/>
                <w:color w:val="auto"/>
              </w:rPr>
              <w:t>(City)</w:t>
            </w:r>
          </w:p>
        </w:tc>
        <w:tc>
          <w:tcPr>
            <w:tcW w:w="1100" w:type="dxa"/>
            <w:vAlign w:val="bottom"/>
          </w:tcPr>
          <w:p>
            <w:pPr>
              <w:ind w:left="2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20"/>
          </w:cols>
          <w:pgMar w:left="240" w:top="226" w:right="159" w:bottom="1440" w:gutter="0" w:footer="0" w:header="0"/>
          <w:type w:val="continuous"/>
        </w:sectPr>
      </w:pPr>
    </w:p>
    <w:p>
      <w:pPr>
        <w:jc w:val="center"/>
        <w:ind w:right="8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6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4"/>
                <w:szCs w:val="14"/>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6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2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58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Ordinary Shares</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20"/>
              <w:spacing w:after="0"/>
              <w:rPr>
                <w:sz w:val="20"/>
                <w:szCs w:val="20"/>
                <w:color w:val="auto"/>
              </w:rPr>
            </w:pPr>
            <w:r>
              <w:rPr>
                <w:rFonts w:ascii="Arial" w:cs="Arial" w:eastAsia="Arial" w:hAnsi="Arial"/>
                <w:sz w:val="18"/>
                <w:szCs w:val="18"/>
                <w:color w:val="0000FF"/>
              </w:rPr>
              <w:t>03/01/2019</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157"/>
              <w:spacing w:after="0"/>
              <w:rPr>
                <w:sz w:val="20"/>
                <w:szCs w:val="20"/>
                <w:color w:val="auto"/>
              </w:rPr>
            </w:pPr>
            <w:r>
              <w:rPr>
                <w:rFonts w:ascii="Arial" w:cs="Arial" w:eastAsia="Arial" w:hAnsi="Arial"/>
                <w:sz w:val="14"/>
                <w:szCs w:val="14"/>
                <w:color w:val="0000FF"/>
              </w:rPr>
              <w:t>M</w:t>
            </w:r>
          </w:p>
        </w:tc>
        <w:tc>
          <w:tcPr>
            <w:tcW w:w="1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4,784</w:t>
            </w:r>
          </w:p>
        </w:tc>
        <w:tc>
          <w:tcPr>
            <w:tcW w:w="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A</w:t>
            </w:r>
          </w:p>
        </w:tc>
        <w:tc>
          <w:tcPr>
            <w:tcW w:w="600" w:type="dxa"/>
            <w:vAlign w:val="bottom"/>
            <w:tcBorders>
              <w:bottom w:val="single" w:sz="8" w:color="2C2C2C"/>
            </w:tcBorders>
            <w:gridSpan w:val="2"/>
          </w:tcPr>
          <w:p>
            <w:pPr>
              <w:jc w:val="center"/>
              <w:spacing w:after="0" w:line="324" w:lineRule="exact"/>
              <w:rPr>
                <w:sz w:val="20"/>
                <w:szCs w:val="20"/>
                <w:color w:val="auto"/>
              </w:rPr>
            </w:pPr>
            <w:r>
              <w:rPr>
                <w:rFonts w:ascii="Arial" w:cs="Arial" w:eastAsia="Arial" w:hAnsi="Arial"/>
                <w:sz w:val="35"/>
                <w:szCs w:val="35"/>
                <w:color w:val="000000"/>
                <w:vertAlign w:val="subscript"/>
              </w:rPr>
              <w:t>$</w:t>
            </w:r>
            <w:r>
              <w:rPr>
                <w:rFonts w:ascii="Arial" w:cs="Arial" w:eastAsia="Arial" w:hAnsi="Arial"/>
                <w:sz w:val="35"/>
                <w:szCs w:val="35"/>
                <w:color w:val="0000FF"/>
                <w:vertAlign w:val="subscript"/>
              </w:rPr>
              <w:t>0</w:t>
            </w:r>
            <w:r>
              <w:rPr>
                <w:rFonts w:ascii="Arial" w:cs="Arial" w:eastAsia="Arial" w:hAnsi="Arial"/>
                <w:sz w:val="11"/>
                <w:szCs w:val="11"/>
                <w:color w:val="008000"/>
              </w:rPr>
              <w:t>(1)</w:t>
            </w:r>
          </w:p>
        </w:tc>
        <w:tc>
          <w:tcPr>
            <w:tcW w:w="16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2"/>
          </w:tcPr>
          <w:p>
            <w:pPr>
              <w:ind w:left="360"/>
              <w:spacing w:after="0"/>
              <w:rPr>
                <w:sz w:val="20"/>
                <w:szCs w:val="20"/>
                <w:color w:val="auto"/>
              </w:rPr>
            </w:pPr>
            <w:r>
              <w:rPr>
                <w:rFonts w:ascii="Arial" w:cs="Arial" w:eastAsia="Arial" w:hAnsi="Arial"/>
                <w:sz w:val="18"/>
                <w:szCs w:val="18"/>
                <w:color w:val="0000FF"/>
              </w:rPr>
              <w:t>13,417</w:t>
            </w:r>
          </w:p>
        </w:tc>
        <w:tc>
          <w:tcPr>
            <w:tcW w:w="9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Ordinary Shares</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20"/>
              <w:spacing w:after="0"/>
              <w:rPr>
                <w:sz w:val="20"/>
                <w:szCs w:val="20"/>
                <w:color w:val="auto"/>
              </w:rPr>
            </w:pPr>
            <w:r>
              <w:rPr>
                <w:rFonts w:ascii="Arial" w:cs="Arial" w:eastAsia="Arial" w:hAnsi="Arial"/>
                <w:sz w:val="18"/>
                <w:szCs w:val="18"/>
                <w:color w:val="0000FF"/>
              </w:rPr>
              <w:t>03/01/2019</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157"/>
              <w:spacing w:after="0"/>
              <w:rPr>
                <w:sz w:val="20"/>
                <w:szCs w:val="20"/>
                <w:color w:val="auto"/>
              </w:rPr>
            </w:pPr>
            <w:r>
              <w:rPr>
                <w:rFonts w:ascii="Arial" w:cs="Arial" w:eastAsia="Arial" w:hAnsi="Arial"/>
                <w:sz w:val="14"/>
                <w:szCs w:val="14"/>
                <w:color w:val="0000FF"/>
                <w:w w:val="92"/>
              </w:rPr>
              <w:t>F</w:t>
            </w:r>
          </w:p>
        </w:tc>
        <w:tc>
          <w:tcPr>
            <w:tcW w:w="1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rPr>
              <w:t>1,602</w:t>
            </w:r>
            <w:r>
              <w:rPr>
                <w:rFonts w:ascii="Arial" w:cs="Arial" w:eastAsia="Arial" w:hAnsi="Arial"/>
                <w:sz w:val="22"/>
                <w:szCs w:val="22"/>
                <w:color w:val="008000"/>
                <w:vertAlign w:val="superscript"/>
              </w:rPr>
              <w:t>(2)</w:t>
            </w:r>
          </w:p>
        </w:tc>
        <w:tc>
          <w:tcPr>
            <w:tcW w:w="58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96.02</w:t>
            </w:r>
          </w:p>
        </w:tc>
        <w:tc>
          <w:tcPr>
            <w:tcW w:w="1260" w:type="dxa"/>
            <w:vAlign w:val="bottom"/>
            <w:tcBorders>
              <w:bottom w:val="single" w:sz="8" w:color="2C2C2C"/>
            </w:tcBorders>
            <w:gridSpan w:val="2"/>
          </w:tcPr>
          <w:p>
            <w:pPr>
              <w:ind w:left="360"/>
              <w:spacing w:after="0"/>
              <w:rPr>
                <w:sz w:val="20"/>
                <w:szCs w:val="20"/>
                <w:color w:val="auto"/>
              </w:rPr>
            </w:pPr>
            <w:r>
              <w:rPr>
                <w:rFonts w:ascii="Arial" w:cs="Arial" w:eastAsia="Arial" w:hAnsi="Arial"/>
                <w:sz w:val="18"/>
                <w:szCs w:val="18"/>
                <w:color w:val="0000FF"/>
              </w:rPr>
              <w:t>11,815</w:t>
            </w:r>
          </w:p>
        </w:tc>
        <w:tc>
          <w:tcPr>
            <w:tcW w:w="9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20" w:type="dxa"/>
            <w:vAlign w:val="bottom"/>
            <w:tcBorders>
              <w:top w:val="single" w:sz="8" w:color="2C2C2C"/>
            </w:tcBorders>
            <w:gridSpan w:val="15"/>
          </w:tcPr>
          <w:p>
            <w:pPr>
              <w:ind w:left="104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4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00" w:type="dxa"/>
            <w:vAlign w:val="bottom"/>
            <w:gridSpan w:val="12"/>
          </w:tcPr>
          <w:p>
            <w:pPr>
              <w:ind w:left="64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    10.</w:t>
            </w:r>
          </w:p>
        </w:tc>
        <w:tc>
          <w:tcPr>
            <w:tcW w:w="76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tcPr>
          <w:p>
            <w:pPr>
              <w:spacing w:after="0"/>
              <w:rPr>
                <w:sz w:val="11"/>
                <w:szCs w:val="11"/>
                <w:color w:val="auto"/>
              </w:rPr>
            </w:pPr>
          </w:p>
        </w:tc>
        <w:tc>
          <w:tcPr>
            <w:tcW w:w="6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w w:val="99"/>
              </w:rPr>
              <w:t>Ownership</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Beneficially</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w w:val="99"/>
              </w:rPr>
              <w:t>Ownership</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4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4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(3)</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0" w:type="dxa"/>
            <w:vAlign w:val="bottom"/>
            <w:gridSpan w:val="2"/>
            <w:vMerge w:val="restart"/>
          </w:tcPr>
          <w:p>
            <w:pPr>
              <w:jc w:val="center"/>
              <w:spacing w:after="0"/>
              <w:rPr>
                <w:sz w:val="20"/>
                <w:szCs w:val="20"/>
                <w:color w:val="auto"/>
              </w:rPr>
            </w:pPr>
            <w:r>
              <w:rPr>
                <w:rFonts w:ascii="Arial" w:cs="Arial" w:eastAsia="Arial" w:hAnsi="Arial"/>
                <w:sz w:val="11"/>
                <w:szCs w:val="11"/>
                <w:color w:val="008000"/>
              </w:rPr>
              <w:t>(4)</w:t>
            </w:r>
          </w:p>
        </w:tc>
        <w:tc>
          <w:tcPr>
            <w:tcW w:w="160" w:type="dxa"/>
            <w:vAlign w:val="bottom"/>
          </w:tcPr>
          <w:p>
            <w:pPr>
              <w:spacing w:after="0"/>
              <w:rPr>
                <w:sz w:val="16"/>
                <w:szCs w:val="16"/>
                <w:color w:val="auto"/>
              </w:rPr>
            </w:pPr>
          </w:p>
        </w:tc>
        <w:tc>
          <w:tcPr>
            <w:tcW w:w="620" w:type="dxa"/>
            <w:vAlign w:val="bottom"/>
            <w:vMerge w:val="restart"/>
          </w:tcPr>
          <w:p>
            <w:pPr>
              <w:ind w:left="120"/>
              <w:spacing w:after="0"/>
              <w:rPr>
                <w:sz w:val="20"/>
                <w:szCs w:val="20"/>
                <w:color w:val="auto"/>
              </w:rPr>
            </w:pPr>
            <w:r>
              <w:rPr>
                <w:rFonts w:ascii="Arial" w:cs="Arial" w:eastAsia="Arial" w:hAnsi="Arial"/>
                <w:sz w:val="11"/>
                <w:szCs w:val="11"/>
                <w:color w:val="008000"/>
              </w:rPr>
              <w:t>(4)</w:t>
            </w:r>
          </w:p>
        </w:tc>
        <w:tc>
          <w:tcPr>
            <w:tcW w:w="640" w:type="dxa"/>
            <w:vAlign w:val="bottom"/>
            <w:gridSpan w:val="2"/>
            <w:vMerge w:val="restart"/>
          </w:tcPr>
          <w:p>
            <w:pPr>
              <w:ind w:left="20"/>
              <w:spacing w:after="0"/>
              <w:rPr>
                <w:sz w:val="20"/>
                <w:szCs w:val="20"/>
                <w:color w:val="auto"/>
              </w:rPr>
            </w:pPr>
            <w:r>
              <w:rPr>
                <w:rFonts w:ascii="Arial" w:cs="Arial" w:eastAsia="Arial" w:hAnsi="Arial"/>
                <w:sz w:val="14"/>
                <w:szCs w:val="14"/>
                <w:color w:val="0000FF"/>
              </w:rPr>
              <w:t>Ordinary</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4,784</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1"/>
                <w:szCs w:val="11"/>
                <w:color w:val="auto"/>
              </w:rPr>
            </w:pPr>
          </w:p>
        </w:tc>
        <w:tc>
          <w:tcPr>
            <w:tcW w:w="1140" w:type="dxa"/>
            <w:vAlign w:val="bottom"/>
          </w:tcPr>
          <w:p>
            <w:pPr>
              <w:ind w:left="260"/>
              <w:spacing w:after="0" w:line="133" w:lineRule="exact"/>
              <w:rPr>
                <w:sz w:val="20"/>
                <w:szCs w:val="20"/>
                <w:color w:val="auto"/>
              </w:rPr>
            </w:pPr>
            <w:r>
              <w:rPr>
                <w:rFonts w:ascii="Arial" w:cs="Arial" w:eastAsia="Arial" w:hAnsi="Arial"/>
                <w:sz w:val="14"/>
                <w:szCs w:val="14"/>
                <w:color w:val="0000FF"/>
              </w:rPr>
              <w:t>03/01/2019</w:t>
            </w:r>
          </w:p>
        </w:tc>
        <w:tc>
          <w:tcPr>
            <w:tcW w:w="1140" w:type="dxa"/>
            <w:vAlign w:val="bottom"/>
          </w:tcPr>
          <w:p>
            <w:pPr>
              <w:spacing w:after="0"/>
              <w:rPr>
                <w:sz w:val="11"/>
                <w:szCs w:val="11"/>
                <w:color w:val="auto"/>
              </w:rPr>
            </w:pPr>
          </w:p>
        </w:tc>
        <w:tc>
          <w:tcPr>
            <w:tcW w:w="640" w:type="dxa"/>
            <w:vAlign w:val="bottom"/>
          </w:tcPr>
          <w:p>
            <w:pPr>
              <w:ind w:left="160"/>
              <w:spacing w:after="0" w:line="133" w:lineRule="exact"/>
              <w:rPr>
                <w:sz w:val="20"/>
                <w:szCs w:val="20"/>
                <w:color w:val="auto"/>
              </w:rPr>
            </w:pPr>
            <w:r>
              <w:rPr>
                <w:rFonts w:ascii="Arial" w:cs="Arial" w:eastAsia="Arial" w:hAnsi="Arial"/>
                <w:sz w:val="14"/>
                <w:szCs w:val="14"/>
                <w:color w:val="0000FF"/>
              </w:rPr>
              <w:t>M</w:t>
            </w:r>
          </w:p>
        </w:tc>
        <w:tc>
          <w:tcPr>
            <w:tcW w:w="180" w:type="dxa"/>
            <w:vAlign w:val="bottom"/>
          </w:tcPr>
          <w:p>
            <w:pPr>
              <w:spacing w:after="0"/>
              <w:rPr>
                <w:sz w:val="11"/>
                <w:szCs w:val="11"/>
                <w:color w:val="auto"/>
              </w:rPr>
            </w:pPr>
          </w:p>
        </w:tc>
        <w:tc>
          <w:tcPr>
            <w:tcW w:w="820" w:type="dxa"/>
            <w:vAlign w:val="bottom"/>
          </w:tcPr>
          <w:p>
            <w:pPr>
              <w:ind w:left="400"/>
              <w:spacing w:after="0" w:line="133" w:lineRule="exact"/>
              <w:rPr>
                <w:sz w:val="20"/>
                <w:szCs w:val="20"/>
                <w:color w:val="auto"/>
              </w:rPr>
            </w:pPr>
            <w:r>
              <w:rPr>
                <w:rFonts w:ascii="Arial" w:cs="Arial" w:eastAsia="Arial" w:hAnsi="Arial"/>
                <w:sz w:val="14"/>
                <w:szCs w:val="14"/>
                <w:color w:val="0000FF"/>
              </w:rPr>
              <w:t>4,784</w:t>
            </w:r>
          </w:p>
        </w:tc>
        <w:tc>
          <w:tcPr>
            <w:tcW w:w="80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ind w:left="80"/>
              <w:spacing w:after="0" w:line="133"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40" w:type="dxa"/>
            <w:vAlign w:val="bottom"/>
          </w:tcPr>
          <w:p>
            <w:pPr>
              <w:ind w:left="300"/>
              <w:spacing w:after="0" w:line="133" w:lineRule="exact"/>
              <w:rPr>
                <w:sz w:val="20"/>
                <w:szCs w:val="20"/>
                <w:color w:val="auto"/>
              </w:rPr>
            </w:pPr>
            <w:r>
              <w:rPr>
                <w:rFonts w:ascii="Arial" w:cs="Arial" w:eastAsia="Arial" w:hAnsi="Arial"/>
                <w:sz w:val="14"/>
                <w:szCs w:val="14"/>
                <w:color w:val="0000FF"/>
                <w:w w:val="97"/>
              </w:rPr>
              <w:t>56,799</w:t>
            </w:r>
          </w:p>
        </w:tc>
        <w:tc>
          <w:tcPr>
            <w:tcW w:w="940" w:type="dxa"/>
            <w:vAlign w:val="bottom"/>
          </w:tcPr>
          <w:p>
            <w:pPr>
              <w:ind w:left="560"/>
              <w:spacing w:after="0" w:line="133"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ind w:left="20"/>
              <w:spacing w:after="0" w:line="149" w:lineRule="exact"/>
              <w:rPr>
                <w:sz w:val="20"/>
                <w:szCs w:val="20"/>
                <w:color w:val="auto"/>
              </w:rPr>
            </w:pPr>
            <w:r>
              <w:rPr>
                <w:rFonts w:ascii="Arial" w:cs="Arial" w:eastAsia="Arial" w:hAnsi="Arial"/>
                <w:sz w:val="14"/>
                <w:szCs w:val="14"/>
                <w:color w:val="0000FF"/>
              </w:rPr>
              <w:t>Shares</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Reporting person had vested restricted stock units (RSUs) settled in ordinary shares of LivaNova PLC (the Company), GBP 1.00 par value.</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referenced shares were withheld from distribution at the request of reporting person to satisfy tax liability.</w:t>
      </w:r>
    </w:p>
    <w:p>
      <w:pPr>
        <w:spacing w:after="0" w:line="41" w:lineRule="exact"/>
        <w:rPr>
          <w:rFonts w:ascii="Arial" w:cs="Arial" w:eastAsia="Arial" w:hAnsi="Arial"/>
          <w:sz w:val="14"/>
          <w:szCs w:val="14"/>
          <w:color w:val="008000"/>
        </w:rPr>
      </w:pPr>
    </w:p>
    <w:p>
      <w:pPr>
        <w:ind w:left="40" w:right="2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Each RSU represents a contingent right to receive one ordinary share (Ordinary Share) of the Company, GBP 1.00 par value, in accordance with the terms of the LivaNova PLC 2015 Incentive Award Plan (the Plan) and the award agreement.</w:t>
      </w:r>
    </w:p>
    <w:p>
      <w:pPr>
        <w:spacing w:after="0" w:line="30" w:lineRule="exact"/>
        <w:rPr>
          <w:rFonts w:ascii="Arial" w:cs="Arial" w:eastAsia="Arial" w:hAnsi="Arial"/>
          <w:sz w:val="14"/>
          <w:szCs w:val="14"/>
          <w:color w:val="008000"/>
        </w:rPr>
      </w:pPr>
    </w:p>
    <w:p>
      <w:pPr>
        <w:jc w:val="both"/>
        <w:ind w:left="40" w:right="160" w:firstLine="9"/>
        <w:spacing w:after="0" w:line="230"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May 20, 2017, reporting person was granted RSUs that vest 25% on the second day after release of LivaNova's full-year 2018 financial results, February 27, 2019 (Measure Date), provided and to the extent that a market condition is achieved on the Measure Date. The market condition is a stock price that ranges between a threshold price, at which one-third of the RSUs become eligible for vesting and a target price, at which all of the RSUs become eligible for vesting, with the number of RSUs eligible for vesting at a price between the threshold price and the target price determined by linear interpolation. The number included in column 5 of Table II reflects the RSUs eligible for vesting at the target price.</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000" w:type="dxa"/>
            <w:vAlign w:val="bottom"/>
          </w:tcPr>
          <w:p>
            <w:pPr>
              <w:spacing w:after="0"/>
              <w:rPr>
                <w:sz w:val="20"/>
                <w:szCs w:val="20"/>
                <w:color w:val="auto"/>
              </w:rPr>
            </w:pPr>
            <w:r>
              <w:rPr>
                <w:rFonts w:ascii="Arial" w:cs="Arial" w:eastAsia="Arial" w:hAnsi="Arial"/>
                <w:sz w:val="18"/>
                <w:szCs w:val="18"/>
                <w:color w:val="0000FF"/>
                <w:w w:val="88"/>
              </w:rPr>
              <w:t>/s/ Catherine Moroz as POA</w:t>
            </w:r>
          </w:p>
        </w:tc>
        <w:tc>
          <w:tcPr>
            <w:tcW w:w="140" w:type="dxa"/>
            <w:vAlign w:val="bottom"/>
          </w:tcPr>
          <w:p>
            <w:pPr>
              <w:spacing w:after="0"/>
              <w:rPr>
                <w:sz w:val="18"/>
                <w:szCs w:val="18"/>
                <w:color w:val="auto"/>
              </w:rPr>
            </w:pPr>
          </w:p>
        </w:tc>
        <w:tc>
          <w:tcPr>
            <w:tcW w:w="960" w:type="dxa"/>
            <w:vAlign w:val="bottom"/>
            <w:gridSpan w:val="2"/>
          </w:tcPr>
          <w:p>
            <w:pPr>
              <w:ind w:left="160"/>
              <w:spacing w:after="0"/>
              <w:rPr>
                <w:sz w:val="20"/>
                <w:szCs w:val="20"/>
                <w:color w:val="auto"/>
              </w:rPr>
            </w:pPr>
            <w:r>
              <w:rPr>
                <w:rFonts w:ascii="Arial" w:cs="Arial" w:eastAsia="Arial" w:hAnsi="Arial"/>
                <w:sz w:val="18"/>
                <w:szCs w:val="18"/>
                <w:color w:val="0000FF"/>
                <w:w w:val="86"/>
              </w:rPr>
              <w:t>03/05/2019</w:t>
            </w:r>
          </w:p>
        </w:tc>
      </w:tr>
      <w:tr>
        <w:trPr>
          <w:trHeight w:val="20"/>
        </w:trPr>
        <w:tc>
          <w:tcPr>
            <w:tcW w:w="2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000" w:type="dxa"/>
            <w:vAlign w:val="bottom"/>
          </w:tcPr>
          <w:p>
            <w:pPr>
              <w:spacing w:after="0"/>
              <w:rPr>
                <w:sz w:val="20"/>
                <w:szCs w:val="20"/>
                <w:color w:val="auto"/>
              </w:rPr>
            </w:pPr>
            <w:r>
              <w:rPr>
                <w:rFonts w:ascii="Arial" w:cs="Arial" w:eastAsia="Arial" w:hAnsi="Arial"/>
                <w:sz w:val="14"/>
                <w:szCs w:val="14"/>
                <w:color w:val="auto"/>
                <w:w w:val="97"/>
              </w:rPr>
              <w:t>** Signature of Reporting Person</w:t>
            </w:r>
          </w:p>
        </w:tc>
        <w:tc>
          <w:tcPr>
            <w:tcW w:w="140" w:type="dxa"/>
            <w:vAlign w:val="bottom"/>
          </w:tcPr>
          <w:p>
            <w:pPr>
              <w:spacing w:after="0"/>
              <w:rPr>
                <w:sz w:val="20"/>
                <w:szCs w:val="20"/>
                <w:color w:val="auto"/>
              </w:rPr>
            </w:pP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6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00"/>
      </w:cols>
      <w:pgMar w:left="240" w:top="226" w:right="1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06052" TargetMode="External"/><Relationship Id="rId13"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2019-12-24T09:01:08Z</dcterms:created>
  <dcterms:modified xsi:type="dcterms:W3CDTF">2019-12-24T09:01:08Z</dcterms:modified>
</cp:coreProperties>
</file>