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Novak Alfred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5"/>
          </w:tcPr>
          <w:p>
            <w:pPr>
              <w:ind w:left="160"/>
              <w:spacing w:after="0"/>
              <w:rPr>
                <w:sz w:val="20"/>
                <w:szCs w:val="20"/>
                <w:color w:val="auto"/>
              </w:rPr>
            </w:pPr>
            <w:r>
              <w:rPr>
                <w:rFonts w:ascii="Arial" w:cs="Arial" w:eastAsia="Arial" w:hAnsi="Arial"/>
                <w:sz w:val="18"/>
                <w:szCs w:val="18"/>
                <w:color w:val="0000FF"/>
              </w:rPr>
              <w:t>05/06/2016</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NOIRTH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05/06/2016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4,000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51.1227</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13,020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33 separate sales on the transaction date at prices ranging from $50.83 to $51.41. The reporting person hereby undertakes to provide upon request to the SEC, the issuer or any stockholder of the issuer, the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Alfred J. Novak</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05/10/2016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2019-12-23T21:38:13Z</dcterms:created>
  <dcterms:modified xsi:type="dcterms:W3CDTF">2019-12-23T21:38:13Z</dcterms:modified>
</cp:coreProperties>
</file>