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Shinmar Pritpal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SR VP Global Market Access</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1,474</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16,422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692</w:t>
            </w:r>
            <w:r>
              <w:rPr>
                <w:rFonts w:ascii="Arial" w:cs="Arial" w:eastAsia="Arial" w:hAnsi="Arial"/>
                <w:sz w:val="22"/>
                <w:szCs w:val="22"/>
                <w:color w:val="008000"/>
                <w:w w:val="79"/>
                <w:vertAlign w:val="superscript"/>
              </w:rPr>
              <w:t>(3)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57.09</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15,740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1"/>
                <w:szCs w:val="21"/>
                <w:color w:val="auto"/>
              </w:rPr>
            </w:pPr>
          </w:p>
        </w:tc>
        <w:tc>
          <w:tcPr>
            <w:tcW w:w="1020" w:type="dxa"/>
            <w:vAlign w:val="bottom"/>
          </w:tcPr>
          <w:p>
            <w:pPr>
              <w:ind w:left="200"/>
              <w:spacing w:after="0"/>
              <w:rPr>
                <w:sz w:val="20"/>
                <w:szCs w:val="20"/>
                <w:color w:val="auto"/>
              </w:rPr>
            </w:pPr>
            <w:r>
              <w:rPr>
                <w:rFonts w:ascii="Arial" w:cs="Arial" w:eastAsia="Arial" w:hAnsi="Arial"/>
                <w:sz w:val="14"/>
                <w:szCs w:val="14"/>
                <w:color w:val="0000FF"/>
              </w:rPr>
              <w:t>02/26/2016</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1"/>
                <w:szCs w:val="21"/>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1,474</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8"/>
                <w:szCs w:val="18"/>
                <w:color w:val="0000FF"/>
                <w:w w:val="93"/>
              </w:rPr>
              <w:t>1,474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ind w:left="3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w w:val="96"/>
              </w:rPr>
              <w:t>stock units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?1.00 par value.</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19, 2015, reporting person was granted 1,474 RSUs to be issued under the Sorin LTI Award pursuant to the Sorin Plans (as defined below). Each RSU represents a contingent right to receive one ordinary share of the Company. All of such RSUs vested and all restrictions thereon lapsed on February 26, 2016.</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number of ordinary shares otherwise issuable to Reporting Person have been withheld in order to satisfy the tax withholding obligations of LivaNova and its subsidiaries pursuant to the vesting of existing Sorin equity award plans (the "Sorin Plans").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Taylor Pollock, as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03/01/2016</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1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2019-12-09T01:24:11Z</dcterms:created>
  <dcterms:modified xsi:type="dcterms:W3CDTF">2019-12-09T01:24:11Z</dcterms:modified>
</cp:coreProperties>
</file>