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483870</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161925</wp:posOffset>
            </wp:positionV>
            <wp:extent cx="1445260" cy="454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526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0" w:lineRule="exact"/>
        <w:rPr>
          <w:sz w:val="24"/>
          <w:szCs w:val="24"/>
          <w:color w:val="auto"/>
        </w:rPr>
      </w:pPr>
    </w:p>
    <w:tbl>
      <w:tblPr>
        <w:tblLayout w:type="fixed"/>
        <w:tblInd w:w="1340" w:type="dxa"/>
        <w:tblCellMar>
          <w:top w:w="0" w:type="dxa"/>
          <w:left w:w="0" w:type="dxa"/>
          <w:bottom w:w="0" w:type="dxa"/>
          <w:right w:w="0" w:type="dxa"/>
        </w:tblCellMar>
      </w:tblPr>
      <w:tr>
        <w:trPr>
          <w:trHeight w:val="229"/>
        </w:trPr>
        <w:tc>
          <w:tcPr>
            <w:tcW w:w="212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England and Wales</w:t>
            </w:r>
          </w:p>
        </w:tc>
        <w:tc>
          <w:tcPr>
            <w:tcW w:w="448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001-37599</w:t>
            </w:r>
          </w:p>
        </w:tc>
        <w:tc>
          <w:tcPr>
            <w:tcW w:w="1640" w:type="dxa"/>
            <w:vAlign w:val="bottom"/>
          </w:tcPr>
          <w:p>
            <w:pPr>
              <w:jc w:val="center"/>
              <w:ind w:left="252"/>
              <w:spacing w:after="0"/>
              <w:rPr>
                <w:sz w:val="20"/>
                <w:szCs w:val="20"/>
                <w:color w:val="auto"/>
              </w:rPr>
            </w:pPr>
            <w:r>
              <w:rPr>
                <w:rFonts w:ascii="Arial" w:cs="Arial" w:eastAsia="Arial" w:hAnsi="Arial"/>
                <w:sz w:val="18"/>
                <w:szCs w:val="18"/>
                <w:b w:val="1"/>
                <w:bCs w:val="1"/>
                <w:color w:val="auto"/>
                <w:w w:val="89"/>
              </w:rPr>
              <w:t>98-1268150</w:t>
            </w:r>
          </w:p>
        </w:tc>
      </w:tr>
      <w:tr>
        <w:trPr>
          <w:trHeight w:val="253"/>
        </w:trPr>
        <w:tc>
          <w:tcPr>
            <w:tcW w:w="2120" w:type="dxa"/>
            <w:vAlign w:val="bottom"/>
          </w:tcPr>
          <w:p>
            <w:pPr>
              <w:jc w:val="center"/>
              <w:ind w:right="112"/>
              <w:spacing w:after="0"/>
              <w:rPr>
                <w:sz w:val="20"/>
                <w:szCs w:val="20"/>
                <w:color w:val="auto"/>
              </w:rPr>
            </w:pPr>
            <w:r>
              <w:rPr>
                <w:rFonts w:ascii="Arial" w:cs="Arial" w:eastAsia="Arial" w:hAnsi="Arial"/>
                <w:sz w:val="18"/>
                <w:szCs w:val="18"/>
                <w:color w:val="auto"/>
                <w:w w:val="89"/>
              </w:rPr>
              <w:t>(State or Other Jurisdiction</w:t>
            </w:r>
          </w:p>
        </w:tc>
        <w:tc>
          <w:tcPr>
            <w:tcW w:w="4480" w:type="dxa"/>
            <w:vAlign w:val="bottom"/>
          </w:tcPr>
          <w:p>
            <w:pPr>
              <w:ind w:left="1640"/>
              <w:spacing w:after="0"/>
              <w:rPr>
                <w:sz w:val="20"/>
                <w:szCs w:val="20"/>
                <w:color w:val="auto"/>
              </w:rPr>
            </w:pPr>
            <w:r>
              <w:rPr>
                <w:rFonts w:ascii="Arial" w:cs="Arial" w:eastAsia="Arial" w:hAnsi="Arial"/>
                <w:sz w:val="18"/>
                <w:szCs w:val="18"/>
                <w:color w:val="auto"/>
              </w:rPr>
              <w:t>(Commission</w:t>
            </w:r>
          </w:p>
        </w:tc>
        <w:tc>
          <w:tcPr>
            <w:tcW w:w="164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23"/>
        </w:trPr>
        <w:tc>
          <w:tcPr>
            <w:tcW w:w="2120" w:type="dxa"/>
            <w:vAlign w:val="bottom"/>
          </w:tcPr>
          <w:p>
            <w:pPr>
              <w:jc w:val="center"/>
              <w:ind w:right="112"/>
              <w:spacing w:after="0"/>
              <w:rPr>
                <w:sz w:val="20"/>
                <w:szCs w:val="20"/>
                <w:color w:val="auto"/>
              </w:rPr>
            </w:pPr>
            <w:r>
              <w:rPr>
                <w:rFonts w:ascii="Arial" w:cs="Arial" w:eastAsia="Arial" w:hAnsi="Arial"/>
                <w:sz w:val="18"/>
                <w:szCs w:val="18"/>
                <w:color w:val="auto"/>
                <w:w w:val="91"/>
              </w:rPr>
              <w:t>of Incorporation)</w:t>
            </w:r>
          </w:p>
        </w:tc>
        <w:tc>
          <w:tcPr>
            <w:tcW w:w="448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1640" w:type="dxa"/>
            <w:vAlign w:val="bottom"/>
          </w:tcPr>
          <w:p>
            <w:pPr>
              <w:jc w:val="center"/>
              <w:ind w:left="25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2120" w:type="dxa"/>
            <w:vAlign w:val="bottom"/>
          </w:tcPr>
          <w:p>
            <w:pPr>
              <w:spacing w:after="0"/>
              <w:rPr>
                <w:sz w:val="24"/>
                <w:szCs w:val="24"/>
                <w:color w:val="auto"/>
              </w:rPr>
            </w:pPr>
          </w:p>
        </w:tc>
        <w:tc>
          <w:tcPr>
            <w:tcW w:w="44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20 Eastbourne Terrace</w:t>
            </w:r>
          </w:p>
        </w:tc>
        <w:tc>
          <w:tcPr>
            <w:tcW w:w="1640" w:type="dxa"/>
            <w:vAlign w:val="bottom"/>
          </w:tcPr>
          <w:p>
            <w:pPr>
              <w:spacing w:after="0"/>
              <w:rPr>
                <w:sz w:val="24"/>
                <w:szCs w:val="24"/>
                <w:color w:val="auto"/>
              </w:rPr>
            </w:pPr>
          </w:p>
        </w:tc>
      </w:tr>
      <w:tr>
        <w:trPr>
          <w:trHeight w:val="212"/>
        </w:trPr>
        <w:tc>
          <w:tcPr>
            <w:tcW w:w="2120" w:type="dxa"/>
            <w:vAlign w:val="bottom"/>
          </w:tcPr>
          <w:p>
            <w:pPr>
              <w:spacing w:after="0"/>
              <w:rPr>
                <w:sz w:val="18"/>
                <w:szCs w:val="18"/>
                <w:color w:val="auto"/>
              </w:rPr>
            </w:pPr>
          </w:p>
        </w:tc>
        <w:tc>
          <w:tcPr>
            <w:tcW w:w="4480" w:type="dxa"/>
            <w:vAlign w:val="bottom"/>
          </w:tcPr>
          <w:p>
            <w:pPr>
              <w:jc w:val="center"/>
              <w:ind w:right="72"/>
              <w:spacing w:after="0"/>
              <w:rPr>
                <w:sz w:val="20"/>
                <w:szCs w:val="20"/>
                <w:color w:val="auto"/>
              </w:rPr>
            </w:pPr>
            <w:r>
              <w:rPr>
                <w:rFonts w:ascii="Arial" w:cs="Arial" w:eastAsia="Arial" w:hAnsi="Arial"/>
                <w:sz w:val="18"/>
                <w:szCs w:val="18"/>
                <w:b w:val="1"/>
                <w:bCs w:val="1"/>
                <w:color w:val="auto"/>
                <w:w w:val="92"/>
              </w:rPr>
              <w:t>London, W2 6LG</w:t>
            </w:r>
          </w:p>
        </w:tc>
        <w:tc>
          <w:tcPr>
            <w:tcW w:w="1640" w:type="dxa"/>
            <w:vAlign w:val="bottom"/>
          </w:tcPr>
          <w:p>
            <w:pPr>
              <w:spacing w:after="0"/>
              <w:rPr>
                <w:sz w:val="18"/>
                <w:szCs w:val="18"/>
                <w:color w:val="auto"/>
              </w:rPr>
            </w:pPr>
          </w:p>
        </w:tc>
      </w:tr>
      <w:tr>
        <w:trPr>
          <w:trHeight w:val="218"/>
        </w:trPr>
        <w:tc>
          <w:tcPr>
            <w:tcW w:w="2120" w:type="dxa"/>
            <w:vAlign w:val="bottom"/>
          </w:tcPr>
          <w:p>
            <w:pPr>
              <w:spacing w:after="0"/>
              <w:rPr>
                <w:sz w:val="18"/>
                <w:szCs w:val="18"/>
                <w:color w:val="auto"/>
              </w:rPr>
            </w:pPr>
          </w:p>
        </w:tc>
        <w:tc>
          <w:tcPr>
            <w:tcW w:w="44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United Kingdom</w:t>
            </w:r>
          </w:p>
        </w:tc>
        <w:tc>
          <w:tcPr>
            <w:tcW w:w="1640" w:type="dxa"/>
            <w:vAlign w:val="bottom"/>
          </w:tcPr>
          <w:p>
            <w:pPr>
              <w:spacing w:after="0"/>
              <w:rPr>
                <w:sz w:val="18"/>
                <w:szCs w:val="18"/>
                <w:color w:val="auto"/>
              </w:rPr>
            </w:pPr>
          </w:p>
        </w:tc>
      </w:tr>
      <w:tr>
        <w:trPr>
          <w:trHeight w:val="223"/>
        </w:trPr>
        <w:tc>
          <w:tcPr>
            <w:tcW w:w="2120" w:type="dxa"/>
            <w:vAlign w:val="bottom"/>
          </w:tcPr>
          <w:p>
            <w:pPr>
              <w:spacing w:after="0"/>
              <w:rPr>
                <w:sz w:val="19"/>
                <w:szCs w:val="19"/>
                <w:color w:val="auto"/>
              </w:rPr>
            </w:pPr>
          </w:p>
        </w:tc>
        <w:tc>
          <w:tcPr>
            <w:tcW w:w="4480" w:type="dxa"/>
            <w:vAlign w:val="bottom"/>
          </w:tcPr>
          <w:p>
            <w:pPr>
              <w:jc w:val="center"/>
              <w:ind w:right="72"/>
              <w:spacing w:after="0"/>
              <w:rPr>
                <w:sz w:val="20"/>
                <w:szCs w:val="20"/>
                <w:color w:val="auto"/>
              </w:rPr>
            </w:pPr>
            <w:r>
              <w:rPr>
                <w:rFonts w:ascii="Arial" w:cs="Arial" w:eastAsia="Arial" w:hAnsi="Arial"/>
                <w:sz w:val="18"/>
                <w:szCs w:val="18"/>
                <w:color w:val="auto"/>
                <w:w w:val="91"/>
              </w:rPr>
              <w:t>(Address of Principal Executive Offices)</w:t>
            </w:r>
          </w:p>
        </w:tc>
        <w:tc>
          <w:tcPr>
            <w:tcW w:w="1640" w:type="dxa"/>
            <w:vAlign w:val="bottom"/>
          </w:tcPr>
          <w:p>
            <w:pPr>
              <w:spacing w:after="0"/>
              <w:rPr>
                <w:sz w:val="19"/>
                <w:szCs w:val="19"/>
                <w:color w:val="auto"/>
              </w:rPr>
            </w:pPr>
          </w:p>
        </w:tc>
      </w:tr>
      <w:tr>
        <w:trPr>
          <w:trHeight w:val="439"/>
        </w:trPr>
        <w:tc>
          <w:tcPr>
            <w:tcW w:w="2120" w:type="dxa"/>
            <w:vAlign w:val="bottom"/>
          </w:tcPr>
          <w:p>
            <w:pPr>
              <w:spacing w:after="0"/>
              <w:rPr>
                <w:sz w:val="24"/>
                <w:szCs w:val="24"/>
                <w:color w:val="auto"/>
              </w:rPr>
            </w:pPr>
          </w:p>
        </w:tc>
        <w:tc>
          <w:tcPr>
            <w:tcW w:w="44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+44 20 33250660</w:t>
            </w:r>
          </w:p>
        </w:tc>
        <w:tc>
          <w:tcPr>
            <w:tcW w:w="1640" w:type="dxa"/>
            <w:vAlign w:val="bottom"/>
          </w:tcPr>
          <w:p>
            <w:pPr>
              <w:spacing w:after="0"/>
              <w:rPr>
                <w:sz w:val="24"/>
                <w:szCs w:val="24"/>
                <w:color w:val="auto"/>
              </w:rPr>
            </w:pPr>
          </w:p>
        </w:tc>
      </w:tr>
      <w:tr>
        <w:trPr>
          <w:trHeight w:val="223"/>
        </w:trPr>
        <w:tc>
          <w:tcPr>
            <w:tcW w:w="2120" w:type="dxa"/>
            <w:vAlign w:val="bottom"/>
          </w:tcPr>
          <w:p>
            <w:pPr>
              <w:spacing w:after="0"/>
              <w:rPr>
                <w:sz w:val="19"/>
                <w:szCs w:val="19"/>
                <w:color w:val="auto"/>
              </w:rPr>
            </w:pPr>
          </w:p>
        </w:tc>
        <w:tc>
          <w:tcPr>
            <w:tcW w:w="4480" w:type="dxa"/>
            <w:vAlign w:val="bottom"/>
          </w:tcPr>
          <w:p>
            <w:pPr>
              <w:jc w:val="center"/>
              <w:ind w:right="72"/>
              <w:spacing w:after="0"/>
              <w:rPr>
                <w:sz w:val="20"/>
                <w:szCs w:val="20"/>
                <w:color w:val="auto"/>
              </w:rPr>
            </w:pPr>
            <w:r>
              <w:rPr>
                <w:rFonts w:ascii="Arial" w:cs="Arial" w:eastAsia="Arial" w:hAnsi="Arial"/>
                <w:sz w:val="18"/>
                <w:szCs w:val="18"/>
                <w:color w:val="auto"/>
                <w:w w:val="89"/>
              </w:rPr>
              <w:t>(Registrant’s Telephone Number, Including Area Code)</w:t>
            </w:r>
          </w:p>
        </w:tc>
        <w:tc>
          <w:tcPr>
            <w:tcW w:w="1640" w:type="dxa"/>
            <w:vAlign w:val="bottom"/>
          </w:tcPr>
          <w:p>
            <w:pPr>
              <w:spacing w:after="0"/>
              <w:rPr>
                <w:sz w:val="19"/>
                <w:szCs w:val="19"/>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ind w:right="600"/>
        <w:spacing w:after="0" w:line="264"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46" w:lineRule="exact"/>
        <w:rPr>
          <w:sz w:val="24"/>
          <w:szCs w:val="24"/>
          <w:color w:val="auto"/>
        </w:rPr>
      </w:pPr>
    </w:p>
    <w:p>
      <w:pPr>
        <w:ind w:left="240" w:hanging="234"/>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240" w:hanging="234"/>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240" w:hanging="234"/>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right="3120" w:firstLine="6"/>
        <w:spacing w:after="0" w:line="527" w:lineRule="auto"/>
        <w:tabs>
          <w:tab w:leader="none" w:pos="229"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77"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 on each exchange on which registered</w:t>
            </w:r>
          </w:p>
        </w:tc>
      </w:tr>
      <w:tr>
        <w:trPr>
          <w:trHeight w:val="218"/>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Market</w:t>
            </w:r>
          </w:p>
        </w:tc>
      </w:tr>
    </w:tbl>
    <w:p>
      <w:pPr>
        <w:spacing w:after="0" w:line="226"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780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0" w:right="339" w:bottom="1440" w:gutter="0" w:footer="0" w:header="0"/>
        </w:sectPr>
      </w:pPr>
    </w:p>
    <w:p>
      <w:pPr>
        <w:spacing w:after="0" w:line="38"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386715</wp:posOffset>
            </wp:positionV>
            <wp:extent cx="713486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151765</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On October 29, 2020, LivaNova PLC (the "Company") issued a press release announcing financial results for the third quarter ended September 30, 2020. The Company will host a business update conference call and webcast today, October 29, 2020, at 12 p.m. London time (8 a.m. Eastern Time), during which the Company will discuss the financial results. The conference call will be available to interested parties through a live audio webcast and accessible through the Investor Relations section of the LivaNova corporate website at </w:t>
      </w:r>
      <w:r>
        <w:rPr>
          <w:rFonts w:ascii="Arial" w:cs="Arial" w:eastAsia="Arial" w:hAnsi="Arial"/>
          <w:sz w:val="18"/>
          <w:szCs w:val="18"/>
          <w:color w:val="0563C1"/>
        </w:rPr>
        <w:t>www.livanova.com</w:t>
      </w:r>
      <w:r>
        <w:rPr>
          <w:rFonts w:ascii="Arial" w:cs="Arial" w:eastAsia="Arial" w:hAnsi="Arial"/>
          <w:sz w:val="18"/>
          <w:szCs w:val="18"/>
          <w:color w:val="auto"/>
        </w:rPr>
        <w:t>. A copy of the Company’s press release is furnished as Exhibit 99.1 on this Current Report on Form 8-K.</w:t>
      </w:r>
    </w:p>
    <w:p>
      <w:pPr>
        <w:spacing w:after="0" w:line="200" w:lineRule="exact"/>
        <w:rPr>
          <w:sz w:val="20"/>
          <w:szCs w:val="20"/>
          <w:color w:val="auto"/>
        </w:rPr>
      </w:pPr>
    </w:p>
    <w:p>
      <w:pPr>
        <w:spacing w:after="0" w:line="250"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On October 29, 2020, the Company announced that Chief Financial Officer (“CFO”) Thad Huston will leave his position by October 31, 2020 and will depart from the Company at the end of his contractual notice period. Mr. Huston’s departure is not related to any disagreement with the Board or management team and is not connected to the Company’s financial reporting or controls. Alex Shvartsburg, 50, Corporate Vice President of Financial Planning and Analysis and the International Region, has been appointed interim CFO, effective upon the departure of Mr. Huston. The Company has retained an external search firm and has commenced the search for a new CFO.</w:t>
      </w:r>
    </w:p>
    <w:p>
      <w:pPr>
        <w:spacing w:after="0" w:line="217"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During his time at LivaNova, Mr. Shvartsburg has led several key initiatives, including the acquisition and integration of TandemLife and most recently, spearheading cost reduction efforts. Prior to joining LivaNova in 2017, Mr. Shvartsburg was CFO and COO of Caligor, a private equity-backed clinical services organization, where he held responsibility for Finance, Operations, Human Resources and Information Technology functions. Previously, he held finance leadership roles including CFO of the Genetic Sciences division at Thermo Fisher Scientific and Senior Finance Director at Life Technologies, and for over twenty years, Mr. Shvartsburg held a series of finance roles of increasing responsibility within Johnson &amp; Johnson. In connection with his assumption of the interim CFO role, Mr. Shvartsburg will receive an additional monthly stipend of £5,000 per month to continue until the last day of the month in which a permanent CFO commences employment with the Company and effective December 15, 2020 (the “Grant Date”), a restricted stock unit award with a value of $150,000 with the number of units determined by dividing $150,000 by the Closing Price (as defined in the Plan) and rounding down to the nearest full unit, with twenty-five (25%) of the units to vest on each of the first four anniversaries of the Grant Date.</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Shvartsburg does not have any family relationships with any executive officer or director of the Company or its affiliates. There are no arrangements or understandings with the Company, or any other persons, under which Mr. Shvartsburg was elected to serve as an officer of the Company. He is not party to any transaction requiring disclosure under Item 404(a) of Regulation S-K.</w:t>
      </w:r>
    </w:p>
    <w:p>
      <w:pPr>
        <w:spacing w:after="0" w:line="215"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During Mr. Huston’s contractual notice period of 12 months, he will receive normal remuneration and benefits as required under his Service Agreement, including his annual bonus for fiscal year 2020 in accordance with the terms of the Short-Term Incentive Plan. He will not qualify for any bonus for fiscal year 2021. All outstanding equity awards previously granted to Mr. Huston will continue to vest during the notice period, and no further equity awards will be awarded. In addition, Mr. Huston will receive a severance payment in the amount of £250,000, relocation assistance up to a maximum of £100,000, and professional tax assistance for the preparation and filing of his returns for the 2021 US tax year and 2020/2021 and 2021/2022 UK tax years.</w:t>
      </w:r>
    </w:p>
    <w:p>
      <w:pPr>
        <w:spacing w:after="0" w:line="178"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A copy of the Company’s press release related to the foregoing matters is attached hereto as Exhibit 99.1 The information in Exhibit 99.1 is being furnished and shall not be deemed “filed” for the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5"/>
          <w:szCs w:val="15"/>
          <w:color w:val="auto"/>
        </w:rPr>
        <w:t>Exhibits.</w:t>
      </w:r>
    </w:p>
    <w:p>
      <w:pPr>
        <w:spacing w:after="0" w:line="369"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75" w:lineRule="exact"/>
        <w:rPr>
          <w:sz w:val="20"/>
          <w:szCs w:val="20"/>
          <w:color w:val="auto"/>
        </w:rPr>
      </w:pPr>
    </w:p>
    <w:p>
      <w:pPr>
        <w:ind w:left="920"/>
        <w:spacing w:after="0"/>
        <w:tabs>
          <w:tab w:leader="none" w:pos="15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FF"/>
          </w:rPr>
          <w:t>LivaNova Press Release dated October 29,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71348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139"/>
          </w:cols>
          <w:pgMar w:left="320" w:top="1239" w:right="1440" w:bottom="1440" w:gutter="0" w:footer="0" w:header="0"/>
        </w:sectPr>
      </w:pPr>
    </w:p>
    <w:bookmarkStart w:id="3" w:name="page4"/>
    <w:bookmarkEnd w:id="3"/>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249" w:lineRule="exact"/>
        <w:rPr>
          <w:sz w:val="20"/>
          <w:szCs w:val="20"/>
          <w:color w:val="auto"/>
        </w:rPr>
      </w:pPr>
    </w:p>
    <w:p>
      <w:pPr>
        <w:ind w:firstLine="635"/>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21" w:lineRule="exact"/>
        <w:rPr>
          <w:sz w:val="20"/>
          <w:szCs w:val="20"/>
          <w:color w:val="auto"/>
        </w:rPr>
      </w:pPr>
    </w:p>
    <w:p>
      <w:pPr>
        <w:jc w:val="right"/>
        <w:ind w:right="3300"/>
        <w:spacing w:after="0"/>
        <w:tabs>
          <w:tab w:leader="none" w:pos="508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5"/>
          <w:szCs w:val="15"/>
          <w:color w:val="auto"/>
        </w:rPr>
        <w:t>By:</w:t>
      </w:r>
      <w:r>
        <w:rPr>
          <w:rFonts w:ascii="Arial" w:cs="Arial" w:eastAsia="Arial" w:hAnsi="Arial"/>
          <w:sz w:val="15"/>
          <w:szCs w:val="15"/>
          <w:u w:val="single" w:color="auto"/>
          <w:color w:val="auto"/>
        </w:rPr>
        <w:t>/s/ Keyna Skeffington</w:t>
      </w:r>
    </w:p>
    <w:p>
      <w:pPr>
        <w:spacing w:after="0" w:line="58"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Name: Keyna Skeffington</w:t>
      </w:r>
    </w:p>
    <w:p>
      <w:pPr>
        <w:spacing w:after="0" w:line="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320" w:top="995" w:right="7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1198245</wp:posOffset>
            </wp:positionV>
            <wp:extent cx="1647190" cy="470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47190"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9"/>
          <w:szCs w:val="19"/>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348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FF5C39"/>
        </w:rPr>
        <w:t>LivaNova Reports Third Quarter 2020 Results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FF5C39"/>
        </w:rPr>
        <w:t>Company announces Chief Financial Officer transition</w:t>
      </w:r>
    </w:p>
    <w:p>
      <w:pPr>
        <w:spacing w:after="0" w:line="287" w:lineRule="exact"/>
        <w:rPr>
          <w:sz w:val="20"/>
          <w:szCs w:val="20"/>
          <w:color w:val="auto"/>
        </w:rPr>
      </w:pPr>
    </w:p>
    <w:p>
      <w:pPr>
        <w:jc w:val="both"/>
        <w:spacing w:after="0" w:line="420" w:lineRule="auto"/>
        <w:rPr>
          <w:sz w:val="20"/>
          <w:szCs w:val="20"/>
          <w:color w:val="auto"/>
        </w:rPr>
      </w:pPr>
      <w:r>
        <w:rPr>
          <w:rFonts w:ascii="Arial" w:cs="Arial" w:eastAsia="Arial" w:hAnsi="Arial"/>
          <w:sz w:val="19"/>
          <w:szCs w:val="19"/>
          <w:b w:val="1"/>
          <w:bCs w:val="1"/>
          <w:color w:val="auto"/>
        </w:rPr>
        <w:t xml:space="preserve">London, October 29, 2020 – </w:t>
      </w:r>
      <w:r>
        <w:rPr>
          <w:rFonts w:ascii="Arial" w:cs="Arial" w:eastAsia="Arial" w:hAnsi="Arial"/>
          <w:sz w:val="19"/>
          <w:szCs w:val="19"/>
          <w:color w:val="auto"/>
        </w:rPr>
        <w:t>LivaNova PLC (NASDAQ: LIVN), a market-leading medical technology and innovation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today reported results for the quarter ended September 30, 2020.</w:t>
      </w:r>
    </w:p>
    <w:p>
      <w:pPr>
        <w:spacing w:after="0" w:line="186"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For the third quarter of 2020, worldwide sales from continuing operations were $240.1 million, a decrease of 10.6 percent on a reported basis and a decline of 11.2 percent on a constant-currency</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basis, as compared to the same quarter of the previous year. On the basis of U.S. Generally Accepted Accounting Principles (GAAP), third quarter 2020 diluted loss per share from continuing operations was $0.30. Third quarter 2020 adjusted diluted earnings per share from continuing operations was $0.38.</w:t>
      </w:r>
    </w:p>
    <w:p>
      <w:pPr>
        <w:spacing w:after="0" w:line="255"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"During the third quarter, we remained focused on execution. The sequential improvement in all business segments was led by our growth drivers, U.S. Epilepsy and Advanced Circulatory Support (ACS)," said Damien McDonald, Chief Executive Officer of LivaNova. "We recognize there is more work to be done, and the team is operating with urgency to deliver on our growth drivers and strategic priorities, including advancing our pipeline and improving profitability and cash generation. We believe these efforts will enable us to most effectively serve the needs of our customers and patients. The team is committed to realizing the full value of LivaNova."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7"/>
          <w:szCs w:val="7"/>
          <w:color w:val="auto"/>
        </w:rPr>
        <w:t>1</w:t>
      </w:r>
      <w:r>
        <w:rPr>
          <w:rFonts w:ascii="Arial" w:cs="Arial" w:eastAsia="Arial" w:hAnsi="Arial"/>
          <w:sz w:val="10"/>
          <w:szCs w:val="10"/>
          <w:color w:val="auto"/>
        </w:rPr>
        <w:t>Constant-currency percent change is considered a non-GAAP metric.</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Third Quarter 2020 Results</w:t>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worldwide sales for the third quarter of 2020 by business: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 in millions</w:t>
            </w:r>
          </w:p>
        </w:tc>
        <w:tc>
          <w:tcPr>
            <w:tcW w:w="3780" w:type="dxa"/>
            <w:vAlign w:val="bottom"/>
            <w:tcBorders>
              <w:top w:val="single" w:sz="8" w:color="auto"/>
              <w:right w:val="single" w:sz="8" w:color="auto"/>
            </w:tcBorders>
            <w:gridSpan w:val="2"/>
            <w:vMerge w:val="restart"/>
          </w:tcPr>
          <w:p>
            <w:pPr>
              <w:jc w:val="right"/>
              <w:ind w:right="312"/>
              <w:spacing w:after="0"/>
              <w:rPr>
                <w:sz w:val="20"/>
                <w:szCs w:val="20"/>
                <w:color w:val="auto"/>
              </w:rPr>
            </w:pPr>
            <w:r>
              <w:rPr>
                <w:rFonts w:ascii="Arial" w:cs="Arial" w:eastAsia="Arial" w:hAnsi="Arial"/>
                <w:sz w:val="18"/>
                <w:szCs w:val="18"/>
                <w:b w:val="1"/>
                <w:bCs w:val="1"/>
                <w:color w:val="auto"/>
              </w:rPr>
              <w:t>Three Months Ended September 30,</w:t>
            </w:r>
          </w:p>
        </w:tc>
        <w:tc>
          <w:tcPr>
            <w:tcW w:w="180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9"/>
                <w:szCs w:val="19"/>
                <w:b w:val="1"/>
                <w:bCs w:val="1"/>
                <w:color w:val="auto"/>
              </w:rPr>
              <w:t>Constant-</w:t>
            </w:r>
          </w:p>
        </w:tc>
        <w:tc>
          <w:tcPr>
            <w:tcW w:w="0" w:type="dxa"/>
            <w:vAlign w:val="bottom"/>
          </w:tcPr>
          <w:p>
            <w:pPr>
              <w:spacing w:after="0"/>
              <w:rPr>
                <w:sz w:val="1"/>
                <w:szCs w:val="1"/>
                <w:color w:val="auto"/>
              </w:rPr>
            </w:pPr>
          </w:p>
        </w:tc>
      </w:tr>
      <w:tr>
        <w:trPr>
          <w:trHeight w:val="170"/>
        </w:trPr>
        <w:tc>
          <w:tcPr>
            <w:tcW w:w="3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9"/>
                <w:szCs w:val="19"/>
                <w:b w:val="1"/>
                <w:bCs w:val="1"/>
                <w:color w:val="auto"/>
              </w:rPr>
              <w:t>Business / Product Line:</w:t>
            </w:r>
          </w:p>
        </w:tc>
        <w:tc>
          <w:tcPr>
            <w:tcW w:w="3780" w:type="dxa"/>
            <w:vAlign w:val="bottom"/>
            <w:tcBorders>
              <w:bottom w:val="single" w:sz="8" w:color="auto"/>
              <w:right w:val="single" w:sz="8" w:color="auto"/>
            </w:tcBorders>
            <w:gridSpan w:val="2"/>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ind w:left="440"/>
              <w:spacing w:after="0" w:line="165" w:lineRule="exact"/>
              <w:rPr>
                <w:sz w:val="20"/>
                <w:szCs w:val="20"/>
                <w:color w:val="auto"/>
              </w:rPr>
            </w:pPr>
            <w:r>
              <w:rPr>
                <w:rFonts w:ascii="Arial" w:cs="Arial" w:eastAsia="Arial" w:hAnsi="Arial"/>
                <w:sz w:val="19"/>
                <w:szCs w:val="19"/>
                <w:b w:val="1"/>
                <w:bCs w:val="1"/>
                <w:color w:val="auto"/>
              </w:rPr>
              <w:t>Currency</w:t>
            </w:r>
          </w:p>
        </w:tc>
        <w:tc>
          <w:tcPr>
            <w:tcW w:w="0" w:type="dxa"/>
            <w:vAlign w:val="bottom"/>
          </w:tcPr>
          <w:p>
            <w:pPr>
              <w:spacing w:after="0"/>
              <w:rPr>
                <w:sz w:val="1"/>
                <w:szCs w:val="1"/>
                <w:color w:val="auto"/>
              </w:rPr>
            </w:pPr>
          </w:p>
        </w:tc>
      </w:tr>
      <w:tr>
        <w:trPr>
          <w:trHeight w:val="245"/>
        </w:trPr>
        <w:tc>
          <w:tcPr>
            <w:tcW w:w="38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880" w:type="dxa"/>
            <w:vAlign w:val="bottom"/>
            <w:tcBorders>
              <w:bottom w:val="single" w:sz="8" w:color="auto"/>
              <w:right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2020</w:t>
            </w:r>
          </w:p>
        </w:tc>
        <w:tc>
          <w:tcPr>
            <w:tcW w:w="1900" w:type="dxa"/>
            <w:vAlign w:val="bottom"/>
            <w:tcBorders>
              <w:bottom w:val="single" w:sz="8" w:color="auto"/>
              <w:right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2019</w:t>
            </w:r>
          </w:p>
        </w:tc>
        <w:tc>
          <w:tcPr>
            <w:tcW w:w="180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9"/>
                <w:szCs w:val="19"/>
                <w:b w:val="1"/>
                <w:bCs w:val="1"/>
                <w:color w:val="auto"/>
              </w:rPr>
              <w:t>% Change</w:t>
            </w:r>
          </w:p>
        </w:tc>
        <w:tc>
          <w:tcPr>
            <w:tcW w:w="18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9"/>
                <w:szCs w:val="19"/>
                <w:b w:val="1"/>
                <w:bCs w:val="1"/>
                <w:color w:val="auto"/>
              </w:rPr>
              <w:t>% Change</w:t>
            </w:r>
          </w:p>
        </w:tc>
        <w:tc>
          <w:tcPr>
            <w:tcW w:w="0" w:type="dxa"/>
            <w:vAlign w:val="bottom"/>
          </w:tcPr>
          <w:p>
            <w:pPr>
              <w:spacing w:after="0"/>
              <w:rPr>
                <w:sz w:val="1"/>
                <w:szCs w:val="1"/>
                <w:color w:val="auto"/>
              </w:rPr>
            </w:pPr>
          </w:p>
        </w:tc>
      </w:tr>
      <w:tr>
        <w:trPr>
          <w:trHeight w:val="225"/>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Cardiopulmonary</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$107.2</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$120.0</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8"/>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Heart Valves</w:t>
            </w:r>
          </w:p>
        </w:tc>
        <w:tc>
          <w:tcPr>
            <w:tcW w:w="18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21.1</w:t>
            </w:r>
          </w:p>
        </w:tc>
        <w:tc>
          <w:tcPr>
            <w:tcW w:w="19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28.9</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(26.8 %)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18"/>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Advanced Circulatory Support</w:t>
            </w:r>
          </w:p>
        </w:tc>
        <w:tc>
          <w:tcPr>
            <w:tcW w:w="18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12.5</w:t>
            </w:r>
          </w:p>
        </w:tc>
        <w:tc>
          <w:tcPr>
            <w:tcW w:w="19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6.5</w:t>
            </w:r>
          </w:p>
        </w:tc>
        <w:tc>
          <w:tcPr>
            <w:tcW w:w="18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91.9 %</w:t>
            </w:r>
          </w:p>
        </w:tc>
        <w:tc>
          <w:tcPr>
            <w:tcW w:w="182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91.9 %</w:t>
            </w:r>
          </w:p>
        </w:tc>
        <w:tc>
          <w:tcPr>
            <w:tcW w:w="0" w:type="dxa"/>
            <w:vAlign w:val="bottom"/>
          </w:tcPr>
          <w:p>
            <w:pPr>
              <w:spacing w:after="0"/>
              <w:rPr>
                <w:sz w:val="1"/>
                <w:szCs w:val="1"/>
                <w:color w:val="auto"/>
              </w:rPr>
            </w:pPr>
          </w:p>
        </w:tc>
      </w:tr>
      <w:tr>
        <w:trPr>
          <w:trHeight w:val="218"/>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w:t>
            </w:r>
          </w:p>
        </w:tc>
        <w:tc>
          <w:tcPr>
            <w:tcW w:w="18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140.9</w:t>
            </w:r>
          </w:p>
        </w:tc>
        <w:tc>
          <w:tcPr>
            <w:tcW w:w="19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155.4</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18"/>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8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98.4</w:t>
            </w:r>
          </w:p>
        </w:tc>
        <w:tc>
          <w:tcPr>
            <w:tcW w:w="19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112.5</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18"/>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0.8</w:t>
            </w:r>
          </w:p>
        </w:tc>
        <w:tc>
          <w:tcPr>
            <w:tcW w:w="19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0.6</w:t>
            </w:r>
          </w:p>
        </w:tc>
        <w:tc>
          <w:tcPr>
            <w:tcW w:w="18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24.3 %</w:t>
            </w:r>
          </w:p>
        </w:tc>
        <w:tc>
          <w:tcPr>
            <w:tcW w:w="182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18"/>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40" w:hanging="234"/>
        <w:spacing w:after="0"/>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Constant-currency percent change is considered a non-GAAP metric.</w:t>
      </w:r>
    </w:p>
    <w:p>
      <w:pPr>
        <w:spacing w:after="0" w:line="300" w:lineRule="exact"/>
        <w:rPr>
          <w:sz w:val="20"/>
          <w:szCs w:val="20"/>
          <w:color w:val="auto"/>
        </w:rPr>
      </w:pPr>
    </w:p>
    <w:p>
      <w:pPr>
        <w:jc w:val="both"/>
        <w:ind w:right="20"/>
        <w:spacing w:after="0" w:line="394" w:lineRule="auto"/>
        <w:rPr>
          <w:sz w:val="20"/>
          <w:szCs w:val="20"/>
          <w:color w:val="auto"/>
        </w:rPr>
      </w:pPr>
      <w:r>
        <w:rPr>
          <w:rFonts w:ascii="Arial" w:cs="Arial" w:eastAsia="Arial" w:hAnsi="Arial"/>
          <w:sz w:val="19"/>
          <w:szCs w:val="19"/>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Cardiovascular</w:t>
      </w:r>
    </w:p>
    <w:p>
      <w:pPr>
        <w:spacing w:after="0" w:line="150" w:lineRule="exact"/>
        <w:rPr>
          <w:sz w:val="20"/>
          <w:szCs w:val="20"/>
          <w:color w:val="auto"/>
        </w:rPr>
      </w:pPr>
    </w:p>
    <w:p>
      <w:pPr>
        <w:jc w:val="both"/>
        <w:ind w:right="20"/>
        <w:spacing w:after="0" w:line="394" w:lineRule="auto"/>
        <w:rPr>
          <w:sz w:val="20"/>
          <w:szCs w:val="20"/>
          <w:color w:val="auto"/>
        </w:rPr>
      </w:pPr>
      <w:r>
        <w:rPr>
          <w:rFonts w:ascii="Arial" w:cs="Arial" w:eastAsia="Arial" w:hAnsi="Arial"/>
          <w:sz w:val="19"/>
          <w:szCs w:val="19"/>
          <w:color w:val="auto"/>
        </w:rPr>
        <w:t>Cardiovascular sales, which include Cardiopulmonary, Heart Valves and ACS products, were $140.9 million, representing a 10.3 percent decrease versus the third quarter of 2019.</w:t>
      </w:r>
    </w:p>
    <w:p>
      <w:pPr>
        <w:spacing w:after="0" w:line="209" w:lineRule="exact"/>
        <w:rPr>
          <w:sz w:val="20"/>
          <w:szCs w:val="20"/>
          <w:color w:val="auto"/>
        </w:rPr>
      </w:pPr>
    </w:p>
    <w:p>
      <w:pPr>
        <w:jc w:val="both"/>
        <w:ind w:right="20"/>
        <w:spacing w:after="0" w:line="377" w:lineRule="auto"/>
        <w:rPr>
          <w:sz w:val="20"/>
          <w:szCs w:val="20"/>
          <w:color w:val="auto"/>
        </w:rPr>
      </w:pPr>
      <w:r>
        <w:rPr>
          <w:rFonts w:ascii="Arial" w:cs="Arial" w:eastAsia="Arial" w:hAnsi="Arial"/>
          <w:sz w:val="19"/>
          <w:szCs w:val="19"/>
          <w:color w:val="auto"/>
        </w:rPr>
        <w:t>Sales in Cardiopulmonary products were $107.2 million, representing an 11.9 percent decline versus the third quarter of 2019. For the third quarter of 2020, the sales decline was related to the impact of COVID-19 on cardiac surgery procedure volumes and a slow-down in capital equipment purchases.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Heart Valve sales were $21.1 million, a decrease of 26.9 percent compared to the third quarter of 2019.</w:t>
      </w:r>
    </w:p>
    <w:p>
      <w:pPr>
        <w:spacing w:after="0" w:line="364" w:lineRule="exact"/>
        <w:rPr>
          <w:sz w:val="20"/>
          <w:szCs w:val="20"/>
          <w:color w:val="auto"/>
        </w:rPr>
      </w:pPr>
    </w:p>
    <w:p>
      <w:pPr>
        <w:jc w:val="both"/>
        <w:ind w:right="20"/>
        <w:spacing w:after="0" w:line="370" w:lineRule="auto"/>
        <w:rPr>
          <w:sz w:val="20"/>
          <w:szCs w:val="20"/>
          <w:color w:val="auto"/>
        </w:rPr>
      </w:pPr>
      <w:r>
        <w:rPr>
          <w:rFonts w:ascii="Arial" w:cs="Arial" w:eastAsia="Arial" w:hAnsi="Arial"/>
          <w:sz w:val="19"/>
          <w:szCs w:val="19"/>
          <w:color w:val="auto"/>
        </w:rPr>
        <w:t>ACS sales were $12.5 million in the quarter, an increase of 91.9 percent compared to the third quarter of 2019, primarily due to the U.S. launch of LifeSPARC</w:t>
      </w:r>
      <w:r>
        <w:rPr>
          <w:rFonts w:ascii="Arial" w:cs="Arial" w:eastAsia="Arial" w:hAnsi="Arial"/>
          <w:sz w:val="25"/>
          <w:szCs w:val="25"/>
          <w:color w:val="auto"/>
          <w:vertAlign w:val="superscript"/>
        </w:rPr>
        <w:t>TM</w:t>
      </w:r>
      <w:r>
        <w:rPr>
          <w:rFonts w:ascii="Arial" w:cs="Arial" w:eastAsia="Arial" w:hAnsi="Arial"/>
          <w:sz w:val="19"/>
          <w:szCs w:val="19"/>
          <w:color w:val="auto"/>
        </w:rPr>
        <w:t>.</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60"/>
          </w:cols>
          <w:pgMar w:left="320" w:top="1440" w:right="319" w:bottom="1440" w:gutter="0" w:footer="0" w:header="0"/>
        </w:sectPr>
      </w:pPr>
    </w:p>
    <w:bookmarkStart w:id="6" w:name="page7"/>
    <w:bookmarkEnd w:id="6"/>
    <w:p>
      <w:pPr>
        <w:spacing w:after="0" w:line="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Neuromodulation</w:t>
      </w:r>
    </w:p>
    <w:p>
      <w:pPr>
        <w:spacing w:after="0" w:line="150" w:lineRule="exact"/>
        <w:rPr>
          <w:sz w:val="20"/>
          <w:szCs w:val="20"/>
          <w:color w:val="auto"/>
        </w:rPr>
      </w:pPr>
    </w:p>
    <w:p>
      <w:pPr>
        <w:jc w:val="both"/>
        <w:spacing w:after="0" w:line="394" w:lineRule="auto"/>
        <w:rPr>
          <w:sz w:val="20"/>
          <w:szCs w:val="20"/>
          <w:color w:val="auto"/>
        </w:rPr>
      </w:pPr>
      <w:r>
        <w:rPr>
          <w:rFonts w:ascii="Arial" w:cs="Arial" w:eastAsia="Arial" w:hAnsi="Arial"/>
          <w:sz w:val="19"/>
          <w:szCs w:val="19"/>
          <w:color w:val="auto"/>
        </w:rPr>
        <w:t>Neuromodulation sales were $98.4 million in the third quarter, representing a 12.6 percent decrease versus the third quarter of 2019. This decline was primarily related to the impact of COVID-19 on procedure volumes globally.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Performance</w:t>
      </w:r>
    </w:p>
    <w:p>
      <w:pPr>
        <w:spacing w:after="0" w:line="150" w:lineRule="exact"/>
        <w:rPr>
          <w:sz w:val="20"/>
          <w:szCs w:val="20"/>
          <w:color w:val="auto"/>
        </w:rPr>
      </w:pPr>
    </w:p>
    <w:p>
      <w:pPr>
        <w:jc w:val="both"/>
        <w:spacing w:after="0" w:line="386" w:lineRule="auto"/>
        <w:rPr>
          <w:sz w:val="20"/>
          <w:szCs w:val="20"/>
          <w:color w:val="auto"/>
        </w:rPr>
      </w:pPr>
      <w:r>
        <w:rPr>
          <w:rFonts w:ascii="Arial" w:cs="Arial" w:eastAsia="Arial" w:hAnsi="Arial"/>
          <w:sz w:val="19"/>
          <w:szCs w:val="19"/>
          <w:color w:val="auto"/>
        </w:rPr>
        <w:t>On a U.S. GAAP basis, third quarter 2020 operating loss from continuing operations was $7.5 million. Adjusted operating income from continuing operations for the third quarter of 2020 was $32.1 million, a decrease of 32.8 percent as compared to the third quarter of 2019, related to the revenue impact from COVID-19, partially offset by a reduction in expenses.</w:t>
      </w:r>
    </w:p>
    <w:p>
      <w:pPr>
        <w:spacing w:after="0" w:line="216" w:lineRule="exact"/>
        <w:rPr>
          <w:sz w:val="20"/>
          <w:szCs w:val="20"/>
          <w:color w:val="auto"/>
        </w:rPr>
      </w:pPr>
    </w:p>
    <w:p>
      <w:pPr>
        <w:jc w:val="both"/>
        <w:spacing w:after="0" w:line="394" w:lineRule="auto"/>
        <w:rPr>
          <w:sz w:val="20"/>
          <w:szCs w:val="20"/>
          <w:color w:val="auto"/>
        </w:rPr>
      </w:pPr>
      <w:r>
        <w:rPr>
          <w:rFonts w:ascii="Arial" w:cs="Arial" w:eastAsia="Arial" w:hAnsi="Arial"/>
          <w:sz w:val="19"/>
          <w:szCs w:val="19"/>
          <w:color w:val="auto"/>
        </w:rPr>
        <w:t>The adjusted effective tax rate in the quarter was 4.5 percent, as compared to 11.2 percent in the third quarter of 2019, related to changes in the geographic income mix and a partial valuation allowance in the U.S.</w:t>
      </w:r>
    </w:p>
    <w:p>
      <w:pPr>
        <w:spacing w:after="0" w:line="209" w:lineRule="exact"/>
        <w:rPr>
          <w:sz w:val="20"/>
          <w:szCs w:val="20"/>
          <w:color w:val="auto"/>
        </w:rPr>
      </w:pPr>
    </w:p>
    <w:p>
      <w:pPr>
        <w:jc w:val="both"/>
        <w:spacing w:after="0" w:line="435" w:lineRule="auto"/>
        <w:rPr>
          <w:sz w:val="20"/>
          <w:szCs w:val="20"/>
          <w:color w:val="auto"/>
        </w:rPr>
      </w:pPr>
      <w:r>
        <w:rPr>
          <w:rFonts w:ascii="Arial" w:cs="Arial" w:eastAsia="Arial" w:hAnsi="Arial"/>
          <w:sz w:val="19"/>
          <w:szCs w:val="19"/>
          <w:color w:val="auto"/>
        </w:rPr>
        <w:t>On a U.S. GAAP basis, third quarter 2020 diluted loss per share from continuing operations was $0.30. Third quarter 2020 adjusted diluted earnings per share from continuing operations was $0.38, as compared to $0.84 per share in the third quarter of 2019.</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2020 Guidance</w:t>
      </w:r>
    </w:p>
    <w:p>
      <w:pPr>
        <w:spacing w:after="0" w:line="150" w:lineRule="exact"/>
        <w:rPr>
          <w:sz w:val="20"/>
          <w:szCs w:val="20"/>
          <w:color w:val="auto"/>
        </w:rPr>
      </w:pPr>
    </w:p>
    <w:p>
      <w:pPr>
        <w:ind w:right="220"/>
        <w:spacing w:after="0" w:line="383" w:lineRule="auto"/>
        <w:rPr>
          <w:sz w:val="20"/>
          <w:szCs w:val="20"/>
          <w:color w:val="auto"/>
        </w:rPr>
      </w:pPr>
      <w:r>
        <w:rPr>
          <w:rFonts w:ascii="Arial" w:cs="Arial" w:eastAsia="Arial" w:hAnsi="Arial"/>
          <w:sz w:val="19"/>
          <w:szCs w:val="19"/>
          <w:color w:val="auto"/>
        </w:rPr>
        <w:t>LivaNova worldwide net sales for full-year 2020 are still expected to decline between 7 and 17 percent on a constant-currency basis. Adjusted diluted earnings per share from continuing operations for 2020 are expected to be in the range of $1.15 to $1.35. Free Cash Flow excluding extraordinary items, is now expected to be in the range of $10 million to $30 million for the full year, compared to the previous range of $80 million to $100 million.</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Chief Financial Officer Transition</w:t>
      </w:r>
    </w:p>
    <w:p>
      <w:pPr>
        <w:spacing w:after="0" w:line="150" w:lineRule="exact"/>
        <w:rPr>
          <w:sz w:val="20"/>
          <w:szCs w:val="20"/>
          <w:color w:val="auto"/>
        </w:rPr>
      </w:pPr>
    </w:p>
    <w:p>
      <w:pPr>
        <w:jc w:val="both"/>
        <w:spacing w:after="0" w:line="383" w:lineRule="auto"/>
        <w:rPr>
          <w:sz w:val="20"/>
          <w:szCs w:val="20"/>
          <w:color w:val="auto"/>
        </w:rPr>
      </w:pPr>
      <w:r>
        <w:rPr>
          <w:rFonts w:ascii="Arial" w:cs="Arial" w:eastAsia="Arial" w:hAnsi="Arial"/>
          <w:sz w:val="19"/>
          <w:szCs w:val="19"/>
          <w:color w:val="auto"/>
        </w:rPr>
        <w:t>LivaNova announced today that Chief Financial Officer Thad Huston will leave his position by October 31, 2020. In connection with this announcement, Alex Shvartsburg, LivaNova's Corporate Vice President of Financial Planning &amp; Analysis and the International Region, will become interim Chief Financial Officer. The Company has retained a search firm and has commenced the search for a new Chief Financial Officer.</w:t>
      </w:r>
    </w:p>
    <w:p>
      <w:pPr>
        <w:spacing w:after="0" w:line="220" w:lineRule="exact"/>
        <w:rPr>
          <w:sz w:val="20"/>
          <w:szCs w:val="20"/>
          <w:color w:val="auto"/>
        </w:rPr>
      </w:pPr>
    </w:p>
    <w:p>
      <w:pPr>
        <w:ind w:right="300"/>
        <w:spacing w:after="0" w:line="394" w:lineRule="auto"/>
        <w:rPr>
          <w:sz w:val="20"/>
          <w:szCs w:val="20"/>
          <w:color w:val="auto"/>
        </w:rPr>
      </w:pPr>
      <w:r>
        <w:rPr>
          <w:rFonts w:ascii="Arial" w:cs="Arial" w:eastAsia="Arial" w:hAnsi="Arial"/>
          <w:sz w:val="19"/>
          <w:szCs w:val="19"/>
          <w:color w:val="auto"/>
        </w:rPr>
        <w:t>“On behalf of the Board of Directors and management team at LivaNova, I thank Thad for his contributions to LivaNova over the past three and a half years. We wish Thad all the best in his future endeavors,” said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33" w:lineRule="exact"/>
        <w:rPr>
          <w:sz w:val="20"/>
          <w:szCs w:val="20"/>
          <w:color w:val="auto"/>
        </w:rPr>
      </w:pPr>
    </w:p>
    <w:p>
      <w:pPr>
        <w:ind w:right="20"/>
        <w:spacing w:after="0" w:line="386" w:lineRule="auto"/>
        <w:rPr>
          <w:sz w:val="20"/>
          <w:szCs w:val="20"/>
          <w:color w:val="auto"/>
        </w:rPr>
      </w:pPr>
      <w:r>
        <w:rPr>
          <w:rFonts w:ascii="Arial" w:cs="Arial" w:eastAsia="Arial" w:hAnsi="Arial"/>
          <w:sz w:val="19"/>
          <w:szCs w:val="19"/>
          <w:color w:val="auto"/>
        </w:rPr>
        <w:t>McDonald. “We are pleased to name Alex as the interim CFO as he is deeply familiar with our company’s strategy and businesses, having worked with LivaNova since 2017. We expect that he will be an important contributor as we continue to deliver on our strategic priorities.”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Webcast and Conference Call Instructions</w:t>
      </w:r>
    </w:p>
    <w:p>
      <w:pPr>
        <w:spacing w:after="0" w:line="136"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 xml:space="preserve">The Company will host a live audio webcast for interested parties commencing at 12 p.m. London time (8 a.m. Eastern Time) on Thursday, October 29 that will be accessible through the Investor Relations section of the LivaNova corporate website at </w:t>
      </w:r>
      <w:r>
        <w:rPr>
          <w:rFonts w:ascii="Arial" w:cs="Arial" w:eastAsia="Arial" w:hAnsi="Arial"/>
          <w:sz w:val="19"/>
          <w:szCs w:val="19"/>
          <w:u w:val="single" w:color="auto"/>
          <w:color w:val="0E32E1"/>
        </w:rPr>
        <w:t>www.livanova.com</w:t>
      </w:r>
      <w:r>
        <w:rPr>
          <w:rFonts w:ascii="Arial" w:cs="Arial" w:eastAsia="Arial" w:hAnsi="Arial"/>
          <w:sz w:val="19"/>
          <w:szCs w:val="19"/>
          <w:color w:val="0E32E1"/>
        </w:rPr>
        <w:t xml:space="preserve">. </w:t>
      </w:r>
      <w:r>
        <w:rPr>
          <w:rFonts w:ascii="Arial" w:cs="Arial" w:eastAsia="Arial" w:hAnsi="Arial"/>
          <w:sz w:val="19"/>
          <w:szCs w:val="19"/>
          <w:color w:val="000000"/>
        </w:rPr>
        <w:t>Listeners should log on approximately 10 minutes in advance to ensure proper setup to receive the webcast.</w:t>
      </w:r>
      <w:r>
        <w:rPr>
          <w:rFonts w:ascii="Arial" w:cs="Arial" w:eastAsia="Arial" w:hAnsi="Arial"/>
          <w:sz w:val="19"/>
          <w:szCs w:val="19"/>
          <w:color w:val="0E32E1"/>
        </w:rPr>
        <w:t xml:space="preserve"> </w:t>
      </w:r>
      <w:r>
        <w:rPr>
          <w:rFonts w:ascii="Arial" w:cs="Arial" w:eastAsia="Arial" w:hAnsi="Arial"/>
          <w:sz w:val="19"/>
          <w:szCs w:val="19"/>
          <w:color w:val="000000"/>
        </w:rPr>
        <w:t xml:space="preserve">To listen to the conference call by telephone, dial 844-239-5285 (if dialing from within the U.S. or Canada) or 512-961-6524 (if dialing from outside the U.S. or Canada). The conference ID is 1897870. Within 24 hours of the webcast, a replay will be available under the </w:t>
      </w:r>
      <w:r>
        <w:rPr>
          <w:rFonts w:ascii="Arial" w:cs="Arial" w:eastAsia="Arial" w:hAnsi="Arial"/>
          <w:sz w:val="19"/>
          <w:szCs w:val="19"/>
          <w:b w:val="1"/>
          <w:bCs w:val="1"/>
          <w:color w:val="000000"/>
        </w:rPr>
        <w:t>"News &amp; Events / Presentations"</w:t>
      </w:r>
      <w:r>
        <w:rPr>
          <w:rFonts w:ascii="Arial" w:cs="Arial" w:eastAsia="Arial" w:hAnsi="Arial"/>
          <w:sz w:val="19"/>
          <w:szCs w:val="19"/>
          <w:color w:val="000000"/>
        </w:rPr>
        <w:t xml:space="preserve"> section of the Investor Relations portion of the LivaNova website, where it will be archived and accessible for approximately 90 days.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FF5C39"/>
        </w:rPr>
        <w:t>About LivaNova</w:t>
      </w:r>
    </w:p>
    <w:p>
      <w:pPr>
        <w:spacing w:after="0" w:line="112"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4,000 employees and has a presence in more than 100 countries for the benefit of patients, healthcare professionals and healthcare systems worldwide. LivaNova operates as two businesses: Cardiovascular and Neuromodulation, with operating headquarters in Mirandola (Italy) and Houston (U.S.),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 more information, please visit </w:t>
      </w:r>
      <w:r>
        <w:rPr>
          <w:rFonts w:ascii="Arial" w:cs="Arial" w:eastAsia="Arial" w:hAnsi="Arial"/>
          <w:sz w:val="19"/>
          <w:szCs w:val="19"/>
          <w:b w:val="1"/>
          <w:bCs w:val="1"/>
          <w:u w:val="single" w:color="auto"/>
          <w:color w:val="0E32E1"/>
        </w:rPr>
        <w:t>www.livanova.com</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FF5C39"/>
        </w:rPr>
        <w:t>Use of Non-GAAP Financial Measures</w:t>
      </w:r>
    </w:p>
    <w:p>
      <w:pPr>
        <w:spacing w:after="0" w:line="112"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98" w:lineRule="exact"/>
        <w:rPr>
          <w:sz w:val="20"/>
          <w:szCs w:val="20"/>
          <w:color w:val="auto"/>
        </w:rPr>
      </w:pPr>
    </w:p>
    <w:p>
      <w:pPr>
        <w:jc w:val="both"/>
        <w:spacing w:after="0" w:line="367" w:lineRule="auto"/>
        <w:rPr>
          <w:sz w:val="20"/>
          <w:szCs w:val="20"/>
          <w:color w:val="auto"/>
        </w:rPr>
      </w:pPr>
      <w:r>
        <w:rPr>
          <w:rFonts w:ascii="Arial" w:cs="Arial" w:eastAsia="Arial" w:hAnsi="Arial"/>
          <w:sz w:val="19"/>
          <w:szCs w:val="19"/>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196"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232" w:lineRule="exact"/>
        <w:rPr>
          <w:sz w:val="20"/>
          <w:szCs w:val="20"/>
          <w:color w:val="auto"/>
        </w:rPr>
      </w:pPr>
    </w:p>
    <w:p>
      <w:pPr>
        <w:jc w:val="both"/>
        <w:spacing w:after="0" w:line="380" w:lineRule="auto"/>
        <w:rPr>
          <w:sz w:val="20"/>
          <w:szCs w:val="20"/>
          <w:color w:val="auto"/>
        </w:rPr>
      </w:pPr>
      <w:r>
        <w:rPr>
          <w:rFonts w:ascii="Arial" w:cs="Arial" w:eastAsia="Arial" w:hAnsi="Arial"/>
          <w:sz w:val="19"/>
          <w:szCs w:val="19"/>
          <w:color w:val="auto"/>
        </w:rPr>
        <w:t>The Company also believes adjusted financial measures such as adjusted gross profit percentage; adjusted selling, general and administrative expense; adjusted research and development expense; adjusted other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operating expenses; adjusted operating income from continuing operations; adjusted income tax expense; adjusted net income from continuing operations; and adjusted diluted earnings per share from continuing operations,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FF5C39"/>
        </w:rPr>
        <w:t>Safe Harbor Statement</w:t>
      </w:r>
    </w:p>
    <w:p>
      <w:pPr>
        <w:spacing w:after="0" w:line="112"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2020,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the severity and duration of the COVID-19 pandemic and its impact on our business, financial condition and results of operations; (ii) reductions in customer spending, a slowdown in customer payments and changes in customer demand for products and services; (iii) unanticipated changes relating to competitive factors in the industries in which LivaNova operates; (iv)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ability to hire and retain key personnel; (v) the ability to attract new customers and retain existing customers in the manner anticipated; (vi) changes in legislation or governmental regulations affecting LivaNova; (vii) international, national or local economic, social or political conditions that could adversely affect LivaNova, its partners or its customers; (viii) conditions in the credit markets; (ix) business and other financial risks inherent to the industries in which LivaNova operates; (x) risks associated with assumptions made in connection with critical accounting estimates and legal proceedings; (xi) LivaNova’s international operations, which are subject to the risks of currency fluctuations and foreign exchange controls; (xii) the potential for international unrest, economic downturn or effects of currencies, tax assessments, tax adjustments, anticipated tax rates, raw material costs or availability, benefit or retirement plan costs, or other regulatory compliance costs; (xiii) the inability of LivaNova to meet expectations regarding the timing, completion and accounting of tax treatments; (xiv) and organizational and governance structure.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32" w:lineRule="exact"/>
        <w:rPr>
          <w:sz w:val="20"/>
          <w:szCs w:val="20"/>
          <w:color w:val="auto"/>
        </w:rPr>
      </w:pPr>
    </w:p>
    <w:p>
      <w:pPr>
        <w:jc w:val="both"/>
        <w:spacing w:after="0" w:line="372" w:lineRule="auto"/>
        <w:rPr>
          <w:sz w:val="20"/>
          <w:szCs w:val="20"/>
          <w:color w:val="auto"/>
        </w:rPr>
      </w:pPr>
      <w:r>
        <w:rPr>
          <w:rFonts w:ascii="Arial" w:cs="Arial" w:eastAsia="Arial" w:hAnsi="Arial"/>
          <w:sz w:val="19"/>
          <w:szCs w:val="19"/>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Melissa Farina</w:t>
      </w:r>
    </w:p>
    <w:p>
      <w:pPr>
        <w:ind w:left="60"/>
        <w:spacing w:after="0" w:line="203" w:lineRule="auto"/>
        <w:rPr>
          <w:sz w:val="20"/>
          <w:szCs w:val="20"/>
          <w:color w:val="auto"/>
        </w:rPr>
      </w:pPr>
      <w:r>
        <w:rPr>
          <w:rFonts w:ascii="Arial" w:cs="Arial" w:eastAsia="Arial" w:hAnsi="Arial"/>
          <w:sz w:val="19"/>
          <w:szCs w:val="19"/>
          <w:color w:val="auto"/>
        </w:rPr>
        <w:t>Vice President, Investor Relations</w:t>
      </w:r>
    </w:p>
    <w:p>
      <w:pPr>
        <w:ind w:left="60"/>
        <w:spacing w:after="0" w:line="204" w:lineRule="auto"/>
        <w:rPr>
          <w:sz w:val="20"/>
          <w:szCs w:val="20"/>
          <w:color w:val="auto"/>
        </w:rPr>
      </w:pPr>
      <w:r>
        <w:rPr>
          <w:rFonts w:ascii="Arial" w:cs="Arial" w:eastAsia="Arial" w:hAnsi="Arial"/>
          <w:sz w:val="19"/>
          <w:szCs w:val="19"/>
          <w:color w:val="auto"/>
        </w:rPr>
        <w:t>Phone: +1 (281) 228 7262</w:t>
      </w:r>
    </w:p>
    <w:p>
      <w:pPr>
        <w:ind w:left="60"/>
        <w:spacing w:after="0"/>
        <w:rPr>
          <w:sz w:val="20"/>
          <w:szCs w:val="20"/>
          <w:color w:val="auto"/>
        </w:rPr>
      </w:pPr>
      <w:r>
        <w:rPr>
          <w:rFonts w:ascii="Arial" w:cs="Arial" w:eastAsia="Arial" w:hAnsi="Arial"/>
          <w:sz w:val="19"/>
          <w:szCs w:val="19"/>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8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LIVANOVA PLC</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NET SALES</w:t>
      </w:r>
    </w:p>
    <w:p>
      <w:pPr>
        <w:spacing w:after="0" w:line="2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(U.S. dollars in millions)</w:t>
      </w:r>
    </w:p>
    <w:p>
      <w:pPr>
        <w:spacing w:after="0" w:line="26" w:lineRule="exact"/>
        <w:rPr>
          <w:sz w:val="20"/>
          <w:szCs w:val="20"/>
          <w:color w:val="auto"/>
        </w:rPr>
      </w:pPr>
    </w:p>
    <w:tbl>
      <w:tblPr>
        <w:tblLayout w:type="fixed"/>
        <w:tblInd w:w="3" w:type="dxa"/>
        <w:tblCellMar>
          <w:top w:w="0" w:type="dxa"/>
          <w:left w:w="0" w:type="dxa"/>
          <w:bottom w:w="0" w:type="dxa"/>
          <w:right w:w="0" w:type="dxa"/>
        </w:tblCellMar>
      </w:tblPr>
      <w:tr>
        <w:trPr>
          <w:trHeight w:val="232"/>
        </w:trPr>
        <w:tc>
          <w:tcPr>
            <w:tcW w:w="45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w w:val="98"/>
              </w:rPr>
              <w:t>Three Months Ended September 30,</w:t>
            </w: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320" w:type="dxa"/>
            <w:vAlign w:val="bottom"/>
            <w:vMerge w:val="restart"/>
          </w:tcPr>
          <w:p>
            <w:pPr>
              <w:jc w:val="right"/>
              <w:ind w:right="373"/>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1340" w:type="dxa"/>
            <w:vAlign w:val="bottom"/>
            <w:vMerge w:val="restart"/>
          </w:tcPr>
          <w:p>
            <w:pPr>
              <w:jc w:val="right"/>
              <w:ind w:right="393"/>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3"/>
                <w:szCs w:val="13"/>
                <w:color w:val="auto"/>
              </w:rPr>
            </w:pPr>
          </w:p>
        </w:tc>
        <w:tc>
          <w:tcPr>
            <w:tcW w:w="2000" w:type="dxa"/>
            <w:vAlign w:val="bottom"/>
            <w:gridSpan w:val="3"/>
          </w:tcPr>
          <w:p>
            <w:pPr>
              <w:ind w:left="180"/>
              <w:spacing w:after="0" w:line="152" w:lineRule="exact"/>
              <w:rPr>
                <w:sz w:val="20"/>
                <w:szCs w:val="20"/>
                <w:color w:val="auto"/>
              </w:rPr>
            </w:pPr>
            <w:r>
              <w:rPr>
                <w:rFonts w:ascii="Arial" w:cs="Arial" w:eastAsia="Arial" w:hAnsi="Arial"/>
                <w:sz w:val="16"/>
                <w:szCs w:val="16"/>
                <w:b w:val="1"/>
                <w:bCs w:val="1"/>
                <w:color w:val="auto"/>
              </w:rPr>
              <w:t>% Change at Actual</w:t>
            </w:r>
          </w:p>
        </w:tc>
        <w:tc>
          <w:tcPr>
            <w:tcW w:w="1800" w:type="dxa"/>
            <w:vAlign w:val="bottom"/>
          </w:tcPr>
          <w:p>
            <w:pPr>
              <w:jc w:val="right"/>
              <w:spacing w:after="0" w:line="152" w:lineRule="exact"/>
              <w:rPr>
                <w:sz w:val="20"/>
                <w:szCs w:val="20"/>
                <w:color w:val="auto"/>
              </w:rPr>
            </w:pPr>
            <w:r>
              <w:rPr>
                <w:rFonts w:ascii="Arial" w:cs="Arial" w:eastAsia="Arial" w:hAnsi="Arial"/>
                <w:sz w:val="16"/>
                <w:szCs w:val="16"/>
                <w:b w:val="1"/>
                <w:bCs w:val="1"/>
                <w:color w:val="auto"/>
                <w:w w:val="99"/>
              </w:rPr>
              <w:t>% Change at Constant-</w:t>
            </w:r>
          </w:p>
        </w:tc>
        <w:tc>
          <w:tcPr>
            <w:tcW w:w="0" w:type="dxa"/>
            <w:vAlign w:val="bottom"/>
          </w:tcPr>
          <w:p>
            <w:pPr>
              <w:spacing w:after="0"/>
              <w:rPr>
                <w:sz w:val="1"/>
                <w:szCs w:val="1"/>
                <w:color w:val="auto"/>
              </w:rPr>
            </w:pPr>
          </w:p>
        </w:tc>
      </w:tr>
      <w:tr>
        <w:trPr>
          <w:trHeight w:val="212"/>
        </w:trPr>
        <w:tc>
          <w:tcPr>
            <w:tcW w:w="45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Cardiopulmonary</w:t>
            </w: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Currency Rates</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74"/>
              <w:spacing w:after="0" w:line="211" w:lineRule="exact"/>
              <w:rPr>
                <w:sz w:val="20"/>
                <w:szCs w:val="20"/>
                <w:color w:val="auto"/>
              </w:rPr>
            </w:pPr>
            <w:r>
              <w:rPr>
                <w:rFonts w:ascii="Arial" w:cs="Arial" w:eastAsia="Arial" w:hAnsi="Arial"/>
                <w:sz w:val="16"/>
                <w:szCs w:val="16"/>
                <w:b w:val="1"/>
                <w:bCs w:val="1"/>
                <w:color w:val="auto"/>
              </w:rPr>
              <w:t>Currency Rates</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85"/>
        </w:trPr>
        <w:tc>
          <w:tcPr>
            <w:tcW w:w="4520" w:type="dxa"/>
            <w:vAlign w:val="bottom"/>
            <w:vMerge w:val="continue"/>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$39.1</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1"/>
        </w:trPr>
        <w:tc>
          <w:tcPr>
            <w:tcW w:w="452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5"/>
        </w:trPr>
        <w:tc>
          <w:tcPr>
            <w:tcW w:w="452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8"/>
        </w:trPr>
        <w:tc>
          <w:tcPr>
            <w:tcW w:w="4520" w:type="dxa"/>
            <w:vAlign w:val="bottom"/>
          </w:tcPr>
          <w:p>
            <w:pPr>
              <w:ind w:left="3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0"/>
        </w:trPr>
        <w:tc>
          <w:tcPr>
            <w:tcW w:w="4520" w:type="dxa"/>
            <w:vAlign w:val="bottom"/>
          </w:tcPr>
          <w:p>
            <w:pPr>
              <w:ind w:left="80"/>
              <w:spacing w:after="0"/>
              <w:rPr>
                <w:sz w:val="20"/>
                <w:szCs w:val="20"/>
                <w:color w:val="auto"/>
              </w:rPr>
            </w:pPr>
            <w:r>
              <w:rPr>
                <w:rFonts w:ascii="Arial" w:cs="Arial" w:eastAsia="Arial" w:hAnsi="Arial"/>
                <w:sz w:val="16"/>
                <w:szCs w:val="16"/>
                <w:b w:val="1"/>
                <w:bCs w:val="1"/>
                <w:color w:val="auto"/>
              </w:rPr>
              <w:t>Heart Valves</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7"/>
        </w:trPr>
        <w:tc>
          <w:tcPr>
            <w:tcW w:w="452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5"/>
        </w:trPr>
        <w:tc>
          <w:tcPr>
            <w:tcW w:w="452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8"/>
        </w:trPr>
        <w:tc>
          <w:tcPr>
            <w:tcW w:w="4520" w:type="dxa"/>
            <w:vAlign w:val="bottom"/>
          </w:tcPr>
          <w:p>
            <w:pPr>
              <w:ind w:left="3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90"/>
        </w:trPr>
        <w:tc>
          <w:tcPr>
            <w:tcW w:w="4520" w:type="dxa"/>
            <w:vAlign w:val="bottom"/>
          </w:tcPr>
          <w:p>
            <w:pPr>
              <w:ind w:left="80"/>
              <w:spacing w:after="0"/>
              <w:rPr>
                <w:sz w:val="20"/>
                <w:szCs w:val="20"/>
                <w:color w:val="auto"/>
              </w:rPr>
            </w:pPr>
            <w:r>
              <w:rPr>
                <w:rFonts w:ascii="Arial" w:cs="Arial" w:eastAsia="Arial" w:hAnsi="Arial"/>
                <w:sz w:val="16"/>
                <w:szCs w:val="16"/>
                <w:b w:val="1"/>
                <w:bCs w:val="1"/>
                <w:color w:val="auto"/>
              </w:rPr>
              <w:t>Advanced Circulatory Support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95.3 %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95.3 %</w:t>
            </w:r>
          </w:p>
        </w:tc>
        <w:tc>
          <w:tcPr>
            <w:tcW w:w="0" w:type="dxa"/>
            <w:vAlign w:val="bottom"/>
          </w:tcPr>
          <w:p>
            <w:pPr>
              <w:spacing w:after="0"/>
              <w:rPr>
                <w:sz w:val="1"/>
                <w:szCs w:val="1"/>
                <w:color w:val="auto"/>
              </w:rPr>
            </w:pPr>
          </w:p>
        </w:tc>
      </w:tr>
      <w:tr>
        <w:trPr>
          <w:trHeight w:val="227"/>
        </w:trPr>
        <w:tc>
          <w:tcPr>
            <w:tcW w:w="452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0" w:type="dxa"/>
            <w:vAlign w:val="bottom"/>
            <w:gridSpan w:val="3"/>
          </w:tcPr>
          <w:p>
            <w:pPr>
              <w:jc w:val="right"/>
              <w:ind w:right="160"/>
              <w:spacing w:after="0"/>
              <w:rPr>
                <w:sz w:val="20"/>
                <w:szCs w:val="20"/>
                <w:color w:val="auto"/>
              </w:rPr>
            </w:pPr>
            <w:r>
              <w:rPr>
                <w:rFonts w:ascii="Arial" w:cs="Arial" w:eastAsia="Arial" w:hAnsi="Arial"/>
                <w:sz w:val="16"/>
                <w:szCs w:val="16"/>
                <w:color w:val="auto"/>
              </w:rPr>
              <w:t>N/M</w:t>
            </w:r>
          </w:p>
        </w:tc>
        <w:tc>
          <w:tcPr>
            <w:tcW w:w="18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5"/>
        </w:trPr>
        <w:tc>
          <w:tcPr>
            <w:tcW w:w="452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0" w:type="dxa"/>
            <w:vAlign w:val="bottom"/>
            <w:gridSpan w:val="3"/>
          </w:tcPr>
          <w:p>
            <w:pPr>
              <w:jc w:val="right"/>
              <w:ind w:right="160"/>
              <w:spacing w:after="0"/>
              <w:rPr>
                <w:sz w:val="20"/>
                <w:szCs w:val="20"/>
                <w:color w:val="auto"/>
              </w:rPr>
            </w:pPr>
            <w:r>
              <w:rPr>
                <w:rFonts w:ascii="Arial" w:cs="Arial" w:eastAsia="Arial" w:hAnsi="Arial"/>
                <w:sz w:val="16"/>
                <w:szCs w:val="16"/>
                <w:color w:val="auto"/>
              </w:rPr>
              <w:t>N/M</w:t>
            </w:r>
          </w:p>
        </w:tc>
        <w:tc>
          <w:tcPr>
            <w:tcW w:w="18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4520" w:type="dxa"/>
            <w:vAlign w:val="bottom"/>
          </w:tcPr>
          <w:p>
            <w:pPr>
              <w:ind w:left="300"/>
              <w:spacing w:after="0"/>
              <w:rPr>
                <w:sz w:val="20"/>
                <w:szCs w:val="20"/>
                <w:color w:val="auto"/>
              </w:rPr>
            </w:pPr>
            <w:r>
              <w:rPr>
                <w:rFonts w:ascii="Arial" w:cs="Arial" w:eastAsia="Arial" w:hAnsi="Arial"/>
                <w:sz w:val="16"/>
                <w:szCs w:val="16"/>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91.9 %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91.9 %</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7"/>
        </w:trPr>
        <w:tc>
          <w:tcPr>
            <w:tcW w:w="4520" w:type="dxa"/>
            <w:vAlign w:val="bottom"/>
          </w:tcPr>
          <w:p>
            <w:pPr>
              <w:ind w:left="8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8"/>
        </w:trPr>
        <w:tc>
          <w:tcPr>
            <w:tcW w:w="452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88.4</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7"/>
        </w:trPr>
        <w:tc>
          <w:tcPr>
            <w:tcW w:w="4520" w:type="dxa"/>
            <w:vAlign w:val="bottom"/>
          </w:tcPr>
          <w:p>
            <w:pPr>
              <w:ind w:left="8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8"/>
        </w:trPr>
        <w:tc>
          <w:tcPr>
            <w:tcW w:w="452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20" w:type="dxa"/>
            <w:vAlign w:val="bottom"/>
          </w:tcPr>
          <w:p>
            <w:pPr>
              <w:ind w:left="80"/>
              <w:spacing w:after="0"/>
              <w:rPr>
                <w:sz w:val="20"/>
                <w:szCs w:val="20"/>
                <w:color w:val="auto"/>
              </w:rPr>
            </w:pPr>
            <w:r>
              <w:rPr>
                <w:rFonts w:ascii="Arial" w:cs="Arial" w:eastAsia="Arial" w:hAnsi="Arial"/>
                <w:sz w:val="16"/>
                <w:szCs w:val="16"/>
                <w:color w:val="auto"/>
              </w:rPr>
              <w:t>US</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0" w:type="dxa"/>
            <w:vAlign w:val="bottom"/>
            <w:gridSpan w:val="3"/>
          </w:tcPr>
          <w:p>
            <w:pPr>
              <w:jc w:val="right"/>
              <w:ind w:right="16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4520" w:type="dxa"/>
            <w:vAlign w:val="bottom"/>
          </w:tcPr>
          <w:p>
            <w:pPr>
              <w:ind w:left="80"/>
              <w:spacing w:after="0"/>
              <w:rPr>
                <w:sz w:val="20"/>
                <w:szCs w:val="20"/>
                <w:color w:val="auto"/>
              </w:rPr>
            </w:pPr>
            <w:r>
              <w:rPr>
                <w:rFonts w:ascii="Arial" w:cs="Arial" w:eastAsia="Arial" w:hAnsi="Arial"/>
                <w:sz w:val="16"/>
                <w:szCs w:val="16"/>
                <w:color w:val="auto"/>
              </w:rPr>
              <w:t>Europe</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0" w:type="dxa"/>
            <w:vAlign w:val="bottom"/>
            <w:gridSpan w:val="3"/>
          </w:tcPr>
          <w:p>
            <w:pPr>
              <w:jc w:val="right"/>
              <w:ind w:right="160"/>
              <w:spacing w:after="0"/>
              <w:rPr>
                <w:sz w:val="20"/>
                <w:szCs w:val="20"/>
                <w:color w:val="auto"/>
              </w:rPr>
            </w:pPr>
            <w:r>
              <w:rPr>
                <w:rFonts w:ascii="Arial" w:cs="Arial" w:eastAsia="Arial" w:hAnsi="Arial"/>
                <w:sz w:val="16"/>
                <w:szCs w:val="16"/>
                <w:color w:val="auto"/>
              </w:rPr>
              <w:t>N/A</w:t>
            </w: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1"/>
        </w:trPr>
        <w:tc>
          <w:tcPr>
            <w:tcW w:w="45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18"/>
        </w:trPr>
        <w:tc>
          <w:tcPr>
            <w:tcW w:w="452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138.4</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7"/>
        </w:trPr>
        <w:tc>
          <w:tcPr>
            <w:tcW w:w="4520" w:type="dxa"/>
            <w:vAlign w:val="bottom"/>
          </w:tcPr>
          <w:p>
            <w:pPr>
              <w:ind w:left="8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9"/>
        </w:trPr>
        <w:tc>
          <w:tcPr>
            <w:tcW w:w="452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403" w:right="20" w:hanging="403"/>
        <w:spacing w:after="0" w:line="225" w:lineRule="auto"/>
        <w:tabs>
          <w:tab w:leader="none" w:pos="403"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16" w:lineRule="exact"/>
        <w:rPr>
          <w:sz w:val="20"/>
          <w:szCs w:val="20"/>
          <w:color w:val="auto"/>
        </w:rPr>
      </w:pPr>
    </w:p>
    <w:p>
      <w:pPr>
        <w:ind w:left="403" w:hanging="403"/>
        <w:spacing w:after="0"/>
        <w:tabs>
          <w:tab w:leader="none" w:pos="403"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sales results presented are unaudited. Numbers may not add up precisely due to rounding.</w:t>
      </w:r>
    </w:p>
    <w:p>
      <w:pPr>
        <w:spacing w:after="0" w:line="397" w:lineRule="exact"/>
        <w:rPr>
          <w:sz w:val="20"/>
          <w:szCs w:val="20"/>
          <w:color w:val="auto"/>
        </w:rPr>
      </w:pPr>
    </w:p>
    <w:p>
      <w:pPr>
        <w:jc w:val="center"/>
        <w:ind w:right="-2"/>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83"/>
          </w:cols>
          <w:pgMar w:left="357" w:top="1440"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LIVANOVA PLC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w w:val="97"/>
              </w:rPr>
              <w:t>Nine Months Ended September 30,</w:t>
            </w:r>
          </w:p>
        </w:tc>
        <w:tc>
          <w:tcPr>
            <w:tcW w:w="1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320" w:type="dxa"/>
            <w:vAlign w:val="bottom"/>
            <w:vMerge w:val="restart"/>
          </w:tcPr>
          <w:p>
            <w:pPr>
              <w:jc w:val="right"/>
              <w:ind w:right="393"/>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1320" w:type="dxa"/>
            <w:vAlign w:val="bottom"/>
            <w:vMerge w:val="restart"/>
          </w:tcPr>
          <w:p>
            <w:pPr>
              <w:jc w:val="right"/>
              <w:ind w:right="373"/>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3"/>
                <w:szCs w:val="13"/>
                <w:color w:val="auto"/>
              </w:rPr>
            </w:pPr>
          </w:p>
        </w:tc>
        <w:tc>
          <w:tcPr>
            <w:tcW w:w="1940" w:type="dxa"/>
            <w:vAlign w:val="bottom"/>
            <w:gridSpan w:val="2"/>
          </w:tcPr>
          <w:p>
            <w:pPr>
              <w:ind w:left="180"/>
              <w:spacing w:after="0" w:line="152" w:lineRule="exact"/>
              <w:rPr>
                <w:sz w:val="20"/>
                <w:szCs w:val="20"/>
                <w:color w:val="auto"/>
              </w:rPr>
            </w:pPr>
            <w:r>
              <w:rPr>
                <w:rFonts w:ascii="Arial" w:cs="Arial" w:eastAsia="Arial" w:hAnsi="Arial"/>
                <w:sz w:val="16"/>
                <w:szCs w:val="16"/>
                <w:b w:val="1"/>
                <w:bCs w:val="1"/>
                <w:color w:val="auto"/>
              </w:rPr>
              <w:t>% Change at Actual</w:t>
            </w:r>
          </w:p>
        </w:tc>
        <w:tc>
          <w:tcPr>
            <w:tcW w:w="1860" w:type="dxa"/>
            <w:vAlign w:val="bottom"/>
          </w:tcPr>
          <w:p>
            <w:pPr>
              <w:jc w:val="right"/>
              <w:spacing w:after="0" w:line="152" w:lineRule="exact"/>
              <w:rPr>
                <w:sz w:val="20"/>
                <w:szCs w:val="20"/>
                <w:color w:val="auto"/>
              </w:rPr>
            </w:pPr>
            <w:r>
              <w:rPr>
                <w:rFonts w:ascii="Arial" w:cs="Arial" w:eastAsia="Arial" w:hAnsi="Arial"/>
                <w:sz w:val="16"/>
                <w:szCs w:val="16"/>
                <w:b w:val="1"/>
                <w:bCs w:val="1"/>
                <w:color w:val="auto"/>
              </w:rPr>
              <w:t>% Change at Constant-</w:t>
            </w:r>
          </w:p>
        </w:tc>
        <w:tc>
          <w:tcPr>
            <w:tcW w:w="0" w:type="dxa"/>
            <w:vAlign w:val="bottom"/>
          </w:tcPr>
          <w:p>
            <w:pPr>
              <w:spacing w:after="0"/>
              <w:rPr>
                <w:sz w:val="1"/>
                <w:szCs w:val="1"/>
                <w:color w:val="auto"/>
              </w:rPr>
            </w:pPr>
          </w:p>
        </w:tc>
      </w:tr>
      <w:tr>
        <w:trPr>
          <w:trHeight w:val="212"/>
        </w:trPr>
        <w:tc>
          <w:tcPr>
            <w:tcW w:w="45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Cardiopulmonary</w:t>
            </w: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Currency Rates</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174"/>
              <w:spacing w:after="0" w:line="211" w:lineRule="exact"/>
              <w:rPr>
                <w:sz w:val="20"/>
                <w:szCs w:val="20"/>
                <w:color w:val="auto"/>
              </w:rPr>
            </w:pPr>
            <w:r>
              <w:rPr>
                <w:rFonts w:ascii="Arial" w:cs="Arial" w:eastAsia="Arial" w:hAnsi="Arial"/>
                <w:sz w:val="16"/>
                <w:szCs w:val="16"/>
                <w:b w:val="1"/>
                <w:bCs w:val="1"/>
                <w:color w:val="auto"/>
              </w:rPr>
              <w:t xml:space="preserve">Currency Rates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85"/>
        </w:trPr>
        <w:tc>
          <w:tcPr>
            <w:tcW w:w="4560" w:type="dxa"/>
            <w:vAlign w:val="bottom"/>
            <w:vMerge w:val="continue"/>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$119.6</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6"/>
                <w:szCs w:val="16"/>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1"/>
        </w:trPr>
        <w:tc>
          <w:tcPr>
            <w:tcW w:w="456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5"/>
        </w:trPr>
        <w:tc>
          <w:tcPr>
            <w:tcW w:w="456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8"/>
        </w:trPr>
        <w:tc>
          <w:tcPr>
            <w:tcW w:w="4560" w:type="dxa"/>
            <w:vAlign w:val="bottom"/>
          </w:tcPr>
          <w:p>
            <w:pPr>
              <w:ind w:left="3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0"/>
        </w:trPr>
        <w:tc>
          <w:tcPr>
            <w:tcW w:w="4560" w:type="dxa"/>
            <w:vAlign w:val="bottom"/>
          </w:tcPr>
          <w:p>
            <w:pPr>
              <w:ind w:left="100"/>
              <w:spacing w:after="0"/>
              <w:rPr>
                <w:sz w:val="20"/>
                <w:szCs w:val="20"/>
                <w:color w:val="auto"/>
              </w:rPr>
            </w:pPr>
            <w:r>
              <w:rPr>
                <w:rFonts w:ascii="Arial" w:cs="Arial" w:eastAsia="Arial" w:hAnsi="Arial"/>
                <w:sz w:val="16"/>
                <w:szCs w:val="16"/>
                <w:b w:val="1"/>
                <w:bCs w:val="1"/>
                <w:color w:val="auto"/>
              </w:rPr>
              <w:t>Heart Valves</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6"/>
                <w:szCs w:val="16"/>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7"/>
        </w:trPr>
        <w:tc>
          <w:tcPr>
            <w:tcW w:w="456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5"/>
        </w:trPr>
        <w:tc>
          <w:tcPr>
            <w:tcW w:w="456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8"/>
        </w:trPr>
        <w:tc>
          <w:tcPr>
            <w:tcW w:w="4560" w:type="dxa"/>
            <w:vAlign w:val="bottom"/>
          </w:tcPr>
          <w:p>
            <w:pPr>
              <w:ind w:left="3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90"/>
        </w:trPr>
        <w:tc>
          <w:tcPr>
            <w:tcW w:w="4560" w:type="dxa"/>
            <w:vAlign w:val="bottom"/>
          </w:tcPr>
          <w:p>
            <w:pPr>
              <w:ind w:left="100"/>
              <w:spacing w:after="0"/>
              <w:rPr>
                <w:sz w:val="20"/>
                <w:szCs w:val="20"/>
                <w:color w:val="auto"/>
              </w:rPr>
            </w:pPr>
            <w:r>
              <w:rPr>
                <w:rFonts w:ascii="Arial" w:cs="Arial" w:eastAsia="Arial" w:hAnsi="Arial"/>
                <w:sz w:val="16"/>
                <w:szCs w:val="16"/>
                <w:b w:val="1"/>
                <w:bCs w:val="1"/>
                <w:color w:val="auto"/>
              </w:rPr>
              <w:t>Advanced Circulatory Support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6"/>
                <w:szCs w:val="16"/>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27"/>
        </w:trPr>
        <w:tc>
          <w:tcPr>
            <w:tcW w:w="4560" w:type="dxa"/>
            <w:vAlign w:val="bottom"/>
          </w:tcPr>
          <w:p>
            <w:pPr>
              <w:ind w:left="2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2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5"/>
        </w:trPr>
        <w:tc>
          <w:tcPr>
            <w:tcW w:w="4560" w:type="dxa"/>
            <w:vAlign w:val="bottom"/>
          </w:tcPr>
          <w:p>
            <w:pPr>
              <w:ind w:left="2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8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4560" w:type="dxa"/>
            <w:vAlign w:val="bottom"/>
          </w:tcPr>
          <w:p>
            <w:pPr>
              <w:ind w:left="3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155.5</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6"/>
                <w:szCs w:val="16"/>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7"/>
        </w:trPr>
        <w:tc>
          <w:tcPr>
            <w:tcW w:w="4560" w:type="dxa"/>
            <w:vAlign w:val="bottom"/>
          </w:tcPr>
          <w:p>
            <w:pPr>
              <w:ind w:left="1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1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5"/>
        </w:trPr>
        <w:tc>
          <w:tcPr>
            <w:tcW w:w="4560" w:type="dxa"/>
            <w:vAlign w:val="bottom"/>
          </w:tcPr>
          <w:p>
            <w:pPr>
              <w:ind w:left="1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8"/>
        </w:trPr>
        <w:tc>
          <w:tcPr>
            <w:tcW w:w="456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245.9</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6"/>
                <w:szCs w:val="16"/>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7"/>
        </w:trPr>
        <w:tc>
          <w:tcPr>
            <w:tcW w:w="4560" w:type="dxa"/>
            <w:vAlign w:val="bottom"/>
          </w:tcPr>
          <w:p>
            <w:pPr>
              <w:ind w:left="1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1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5"/>
        </w:trPr>
        <w:tc>
          <w:tcPr>
            <w:tcW w:w="4560" w:type="dxa"/>
            <w:vAlign w:val="bottom"/>
          </w:tcPr>
          <w:p>
            <w:pPr>
              <w:ind w:left="1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8"/>
        </w:trPr>
        <w:tc>
          <w:tcPr>
            <w:tcW w:w="456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tcPr>
          <w:p>
            <w:pPr>
              <w:ind w:left="100"/>
              <w:spacing w:after="0"/>
              <w:rPr>
                <w:sz w:val="20"/>
                <w:szCs w:val="20"/>
                <w:color w:val="auto"/>
              </w:rPr>
            </w:pPr>
            <w:r>
              <w:rPr>
                <w:rFonts w:ascii="Arial" w:cs="Arial" w:eastAsia="Arial" w:hAnsi="Arial"/>
                <w:sz w:val="16"/>
                <w:szCs w:val="16"/>
                <w:color w:val="auto"/>
              </w:rPr>
              <w:t>US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8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4560" w:type="dxa"/>
            <w:vAlign w:val="bottom"/>
          </w:tcPr>
          <w:p>
            <w:pPr>
              <w:ind w:left="100"/>
              <w:spacing w:after="0"/>
              <w:rPr>
                <w:sz w:val="20"/>
                <w:szCs w:val="20"/>
                <w:color w:val="auto"/>
              </w:rPr>
            </w:pPr>
            <w:r>
              <w:rPr>
                <w:rFonts w:ascii="Arial" w:cs="Arial" w:eastAsia="Arial" w:hAnsi="Arial"/>
                <w:sz w:val="16"/>
                <w:szCs w:val="16"/>
                <w:color w:val="auto"/>
              </w:rPr>
              <w:t>Europe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8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1"/>
        </w:trPr>
        <w:tc>
          <w:tcPr>
            <w:tcW w:w="4560" w:type="dxa"/>
            <w:vAlign w:val="bottom"/>
          </w:tcPr>
          <w:p>
            <w:pPr>
              <w:ind w:left="1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456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401.4</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6"/>
                <w:szCs w:val="16"/>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7"/>
        </w:trPr>
        <w:tc>
          <w:tcPr>
            <w:tcW w:w="4560" w:type="dxa"/>
            <w:vAlign w:val="bottom"/>
          </w:tcPr>
          <w:p>
            <w:pPr>
              <w:ind w:left="100"/>
              <w:spacing w:after="0"/>
              <w:rPr>
                <w:sz w:val="20"/>
                <w:szCs w:val="20"/>
                <w:color w:val="auto"/>
              </w:rPr>
            </w:pPr>
            <w:r>
              <w:rPr>
                <w:rFonts w:ascii="Arial" w:cs="Arial" w:eastAsia="Arial" w:hAnsi="Arial"/>
                <w:sz w:val="16"/>
                <w:szCs w:val="16"/>
                <w:color w:val="auto"/>
              </w:rPr>
              <w:t>US</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100"/>
              <w:spacing w:after="0"/>
              <w:rPr>
                <w:sz w:val="20"/>
                <w:szCs w:val="20"/>
                <w:color w:val="auto"/>
              </w:rPr>
            </w:pPr>
            <w:r>
              <w:rPr>
                <w:rFonts w:ascii="Arial" w:cs="Arial" w:eastAsia="Arial" w:hAnsi="Arial"/>
                <w:sz w:val="16"/>
                <w:szCs w:val="16"/>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5"/>
        </w:trPr>
        <w:tc>
          <w:tcPr>
            <w:tcW w:w="4560" w:type="dxa"/>
            <w:vAlign w:val="bottom"/>
          </w:tcPr>
          <w:p>
            <w:pPr>
              <w:ind w:left="100"/>
              <w:spacing w:after="0"/>
              <w:rPr>
                <w:sz w:val="20"/>
                <w:szCs w:val="20"/>
                <w:color w:val="auto"/>
              </w:rPr>
            </w:pPr>
            <w:r>
              <w:rPr>
                <w:rFonts w:ascii="Arial" w:cs="Arial" w:eastAsia="Arial" w:hAnsi="Arial"/>
                <w:sz w:val="16"/>
                <w:szCs w:val="16"/>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9"/>
        </w:trPr>
        <w:tc>
          <w:tcPr>
            <w:tcW w:w="4560" w:type="dxa"/>
            <w:vAlign w:val="bottom"/>
          </w:tcPr>
          <w:p>
            <w:pPr>
              <w:ind w:left="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420" w:right="20" w:hanging="417"/>
        <w:spacing w:after="0" w:line="225"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16" w:lineRule="exact"/>
        <w:rPr>
          <w:sz w:val="20"/>
          <w:szCs w:val="20"/>
          <w:color w:val="auto"/>
        </w:rPr>
      </w:pPr>
    </w:p>
    <w:p>
      <w:pPr>
        <w:ind w:left="420" w:hanging="417"/>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sales results presented are unaudited. Numbers may not add up precisely due to rounding.</w:t>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20"/>
          </w:cols>
          <w:pgMar w:left="340" w:top="1432" w:right="339" w:bottom="1440" w:gutter="0" w:footer="0" w:header="0"/>
        </w:sectPr>
      </w:pPr>
    </w:p>
    <w:bookmarkStart w:id="13" w:name="page14"/>
    <w:bookmarkEnd w:id="13"/>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LIVANOVA PLC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 - UNAUDITED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millions, except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38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420" w:type="dxa"/>
            <w:vAlign w:val="bottom"/>
          </w:tcPr>
          <w:p>
            <w:pPr>
              <w:spacing w:after="0"/>
              <w:rPr>
                <w:sz w:val="19"/>
                <w:szCs w:val="19"/>
                <w:color w:val="auto"/>
              </w:rPr>
            </w:pPr>
          </w:p>
        </w:tc>
        <w:tc>
          <w:tcPr>
            <w:tcW w:w="1840" w:type="dxa"/>
            <w:vAlign w:val="bottom"/>
            <w:tcBorders>
              <w:bottom w:val="single" w:sz="8" w:color="auto"/>
            </w:tcBorders>
          </w:tcPr>
          <w:p>
            <w:pPr>
              <w:jc w:val="right"/>
              <w:ind w:right="64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ind w:right="66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8"/>
        </w:trPr>
        <w:tc>
          <w:tcPr>
            <w:tcW w:w="5420" w:type="dxa"/>
            <w:vAlign w:val="bottom"/>
          </w:tcPr>
          <w:p>
            <w:pPr>
              <w:spacing w:after="0"/>
              <w:rPr>
                <w:sz w:val="20"/>
                <w:szCs w:val="20"/>
                <w:color w:val="auto"/>
              </w:rPr>
            </w:pPr>
            <w:r>
              <w:rPr>
                <w:rFonts w:ascii="Arial" w:cs="Arial" w:eastAsia="Arial" w:hAnsi="Arial"/>
                <w:sz w:val="16"/>
                <w:szCs w:val="16"/>
                <w:color w:val="auto"/>
              </w:rPr>
              <w:t>Net sales</w:t>
            </w:r>
          </w:p>
        </w:tc>
        <w:tc>
          <w:tcPr>
            <w:tcW w:w="1840" w:type="dxa"/>
            <w:vAlign w:val="bottom"/>
          </w:tcPr>
          <w:p>
            <w:pPr>
              <w:jc w:val="right"/>
              <w:spacing w:after="0"/>
              <w:rPr>
                <w:sz w:val="20"/>
                <w:szCs w:val="20"/>
                <w:color w:val="auto"/>
              </w:rPr>
            </w:pPr>
            <w:r>
              <w:rPr>
                <w:rFonts w:ascii="Arial" w:cs="Arial" w:eastAsia="Arial" w:hAnsi="Arial"/>
                <w:sz w:val="16"/>
                <w:szCs w:val="16"/>
                <w:color w:val="auto"/>
              </w:rPr>
              <w:t>$240.1</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20" w:type="dxa"/>
            <w:vAlign w:val="bottom"/>
          </w:tcPr>
          <w:p>
            <w:pPr>
              <w:spacing w:after="0"/>
              <w:rPr>
                <w:sz w:val="20"/>
                <w:szCs w:val="20"/>
                <w:color w:val="auto"/>
              </w:rPr>
            </w:pPr>
            <w:r>
              <w:rPr>
                <w:rFonts w:ascii="Arial" w:cs="Arial" w:eastAsia="Arial" w:hAnsi="Arial"/>
                <w:sz w:val="16"/>
                <w:szCs w:val="16"/>
                <w:color w:val="auto"/>
              </w:rPr>
              <w:t>Costs and expenses: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Cost of sales - exclusive of amortization</w:t>
            </w:r>
          </w:p>
        </w:tc>
        <w:tc>
          <w:tcPr>
            <w:tcW w:w="1840" w:type="dxa"/>
            <w:vAlign w:val="bottom"/>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Product remediation</w:t>
            </w:r>
          </w:p>
        </w:tc>
        <w:tc>
          <w:tcPr>
            <w:tcW w:w="18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Selling, general and administrative</w:t>
            </w:r>
          </w:p>
        </w:tc>
        <w:tc>
          <w:tcPr>
            <w:tcW w:w="1840" w:type="dxa"/>
            <w:vAlign w:val="bottom"/>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184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Merger and integration expenses</w:t>
            </w:r>
          </w:p>
        </w:tc>
        <w:tc>
          <w:tcPr>
            <w:tcW w:w="18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Restructuring expenses</w:t>
            </w:r>
          </w:p>
        </w:tc>
        <w:tc>
          <w:tcPr>
            <w:tcW w:w="18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Amortization of intangibles</w:t>
            </w:r>
          </w:p>
        </w:tc>
        <w:tc>
          <w:tcPr>
            <w:tcW w:w="18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20" w:type="dxa"/>
            <w:vAlign w:val="bottom"/>
          </w:tcPr>
          <w:p>
            <w:pPr>
              <w:ind w:left="100"/>
              <w:spacing w:after="0"/>
              <w:rPr>
                <w:sz w:val="20"/>
                <w:szCs w:val="20"/>
                <w:color w:val="auto"/>
              </w:rPr>
            </w:pPr>
            <w:r>
              <w:rPr>
                <w:rFonts w:ascii="Arial" w:cs="Arial" w:eastAsia="Arial" w:hAnsi="Arial"/>
                <w:sz w:val="16"/>
                <w:szCs w:val="16"/>
                <w:color w:val="auto"/>
              </w:rPr>
              <w:t>Litigation provision, net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Arial" w:cs="Arial" w:eastAsia="Arial" w:hAnsi="Arial"/>
                <w:sz w:val="16"/>
                <w:szCs w:val="16"/>
                <w:color w:val="auto"/>
              </w:rPr>
              <w:t>Operating (loss) income from continuing operations</w:t>
            </w:r>
          </w:p>
        </w:tc>
        <w:tc>
          <w:tcPr>
            <w:tcW w:w="18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25.8</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(129.1 %)</w:t>
            </w:r>
          </w:p>
        </w:tc>
        <w:tc>
          <w:tcPr>
            <w:tcW w:w="0" w:type="dxa"/>
            <w:vAlign w:val="bottom"/>
          </w:tcPr>
          <w:p>
            <w:pPr>
              <w:spacing w:after="0"/>
              <w:rPr>
                <w:sz w:val="1"/>
                <w:szCs w:val="1"/>
                <w:color w:val="auto"/>
              </w:rPr>
            </w:pPr>
          </w:p>
        </w:tc>
      </w:tr>
      <w:tr>
        <w:trPr>
          <w:trHeight w:val="202"/>
        </w:trPr>
        <w:tc>
          <w:tcPr>
            <w:tcW w:w="542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20" w:type="dxa"/>
            <w:vAlign w:val="bottom"/>
          </w:tcPr>
          <w:p>
            <w:pPr>
              <w:ind w:left="100"/>
              <w:spacing w:after="0"/>
              <w:rPr>
                <w:sz w:val="20"/>
                <w:szCs w:val="20"/>
                <w:color w:val="auto"/>
              </w:rPr>
            </w:pPr>
            <w:r>
              <w:rPr>
                <w:rFonts w:ascii="Arial" w:cs="Arial" w:eastAsia="Arial" w:hAnsi="Arial"/>
                <w:sz w:val="16"/>
                <w:szCs w:val="16"/>
                <w:color w:val="auto"/>
              </w:rPr>
              <w:t>Foreign exchange and other gains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Arial" w:cs="Arial" w:eastAsia="Arial" w:hAnsi="Arial"/>
                <w:sz w:val="16"/>
                <w:szCs w:val="16"/>
                <w:color w:val="auto"/>
              </w:rPr>
              <w:t>(Loss) income from continuing operations before tax</w:t>
            </w:r>
          </w:p>
        </w:tc>
        <w:tc>
          <w:tcPr>
            <w:tcW w:w="184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21.5</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(187.0 %)</w:t>
            </w: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Arial" w:cs="Arial" w:eastAsia="Arial" w:hAnsi="Arial"/>
                <w:sz w:val="16"/>
                <w:szCs w:val="16"/>
                <w:color w:val="auto"/>
              </w:rPr>
              <w:t>Income tax benefit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Arial" w:cs="Arial" w:eastAsia="Arial" w:hAnsi="Arial"/>
                <w:sz w:val="16"/>
                <w:szCs w:val="16"/>
                <w:color w:val="auto"/>
              </w:rPr>
              <w:t>Net (loss) income from continuing operations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(146.1 %)</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Arial" w:cs="Arial" w:eastAsia="Arial" w:hAnsi="Arial"/>
                <w:sz w:val="16"/>
                <w:szCs w:val="16"/>
                <w:color w:val="auto"/>
              </w:rPr>
              <w:t>Net income from discontinued operations, net of tax</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6"/>
                <w:szCs w:val="16"/>
                <w:color w:val="auto"/>
              </w:rPr>
              <w:t>Net (loss) income</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(146.1 %)</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6"/>
                <w:szCs w:val="16"/>
                <w:color w:val="auto"/>
              </w:rPr>
              <w:t>Basic (loss) income per share:</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4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1840" w:type="dxa"/>
            <w:vAlign w:val="bottom"/>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20" w:type="dxa"/>
            <w:vAlign w:val="bottom"/>
          </w:tcPr>
          <w:p>
            <w:pPr>
              <w:ind w:left="100"/>
              <w:spacing w:after="0"/>
              <w:rPr>
                <w:sz w:val="20"/>
                <w:szCs w:val="20"/>
                <w:color w:val="auto"/>
              </w:rPr>
            </w:pPr>
            <w:r>
              <w:rPr>
                <w:rFonts w:ascii="Arial" w:cs="Arial" w:eastAsia="Arial" w:hAnsi="Arial"/>
                <w:sz w:val="16"/>
                <w:szCs w:val="16"/>
                <w:color w:val="auto"/>
              </w:rPr>
              <w:t>Discontinued operations</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2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20" w:type="dxa"/>
            <w:vAlign w:val="bottom"/>
            <w:vMerge w:val="restart"/>
          </w:tcPr>
          <w:p>
            <w:pPr>
              <w:spacing w:after="0"/>
              <w:rPr>
                <w:sz w:val="20"/>
                <w:szCs w:val="20"/>
                <w:color w:val="auto"/>
              </w:rPr>
            </w:pPr>
            <w:r>
              <w:rPr>
                <w:rFonts w:ascii="Arial" w:cs="Arial" w:eastAsia="Arial" w:hAnsi="Arial"/>
                <w:sz w:val="16"/>
                <w:szCs w:val="16"/>
                <w:color w:val="auto"/>
              </w:rPr>
              <w:t>Diluted (loss) income per share:</w:t>
            </w: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3"/>
        </w:trPr>
        <w:tc>
          <w:tcPr>
            <w:tcW w:w="54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1840" w:type="dxa"/>
            <w:vAlign w:val="bottom"/>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20" w:type="dxa"/>
            <w:vAlign w:val="bottom"/>
          </w:tcPr>
          <w:p>
            <w:pPr>
              <w:ind w:left="100"/>
              <w:spacing w:after="0"/>
              <w:rPr>
                <w:sz w:val="20"/>
                <w:szCs w:val="20"/>
                <w:color w:val="auto"/>
              </w:rPr>
            </w:pPr>
            <w:r>
              <w:rPr>
                <w:rFonts w:ascii="Arial" w:cs="Arial" w:eastAsia="Arial" w:hAnsi="Arial"/>
                <w:sz w:val="16"/>
                <w:szCs w:val="16"/>
                <w:color w:val="auto"/>
              </w:rPr>
              <w:t>Discontinued operations</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2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2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3"/>
        </w:trPr>
        <w:tc>
          <w:tcPr>
            <w:tcW w:w="54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Basic</w:t>
            </w:r>
          </w:p>
        </w:tc>
        <w:tc>
          <w:tcPr>
            <w:tcW w:w="184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100"/>
              <w:spacing w:after="0"/>
              <w:rPr>
                <w:sz w:val="20"/>
                <w:szCs w:val="20"/>
                <w:color w:val="auto"/>
              </w:rPr>
            </w:pPr>
            <w:r>
              <w:rPr>
                <w:rFonts w:ascii="Arial" w:cs="Arial" w:eastAsia="Arial" w:hAnsi="Arial"/>
                <w:sz w:val="16"/>
                <w:szCs w:val="16"/>
                <w:color w:val="auto"/>
              </w:rPr>
              <w:t>Diluted</w:t>
            </w:r>
          </w:p>
        </w:tc>
        <w:tc>
          <w:tcPr>
            <w:tcW w:w="184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 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40" w:top="1440" w:right="339" w:bottom="1440" w:gutter="0" w:footer="0" w:header="0"/>
        </w:sectPr>
      </w:pPr>
    </w:p>
    <w:bookmarkStart w:id="14" w:name="page15"/>
    <w:bookmarkEnd w:id="14"/>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7"/>
        </w:trPr>
        <w:tc>
          <w:tcPr>
            <w:tcW w:w="5940" w:type="dxa"/>
            <w:vAlign w:val="bottom"/>
          </w:tcPr>
          <w:p>
            <w:pPr>
              <w:spacing w:after="0"/>
              <w:rPr>
                <w:sz w:val="24"/>
                <w:szCs w:val="24"/>
                <w:color w:val="auto"/>
              </w:rPr>
            </w:pPr>
          </w:p>
        </w:tc>
        <w:tc>
          <w:tcPr>
            <w:tcW w:w="382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 September 30,</w:t>
            </w:r>
          </w:p>
        </w:tc>
        <w:tc>
          <w:tcPr>
            <w:tcW w:w="1460" w:type="dxa"/>
            <w:vAlign w:val="bottom"/>
          </w:tcPr>
          <w:p>
            <w:pPr>
              <w:spacing w:after="0"/>
              <w:rPr>
                <w:sz w:val="24"/>
                <w:szCs w:val="24"/>
                <w:color w:val="auto"/>
              </w:rPr>
            </w:pPr>
          </w:p>
        </w:tc>
      </w:tr>
      <w:tr>
        <w:trPr>
          <w:trHeight w:val="219"/>
        </w:trPr>
        <w:tc>
          <w:tcPr>
            <w:tcW w:w="59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181"/>
              <w:spacing w:after="0" w:line="219" w:lineRule="exact"/>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20"/>
                <w:szCs w:val="20"/>
                <w:b w:val="1"/>
                <w:bCs w:val="1"/>
                <w:color w:val="auto"/>
                <w:vertAlign w:val="superscript"/>
              </w:rPr>
              <w:t>(1)</w:t>
            </w:r>
          </w:p>
        </w:tc>
      </w:tr>
      <w:tr>
        <w:trPr>
          <w:trHeight w:val="204"/>
        </w:trPr>
        <w:tc>
          <w:tcPr>
            <w:tcW w:w="5940" w:type="dxa"/>
            <w:vAlign w:val="bottom"/>
          </w:tcPr>
          <w:p>
            <w:pPr>
              <w:spacing w:after="0" w:line="205" w:lineRule="exact"/>
              <w:rPr>
                <w:sz w:val="20"/>
                <w:szCs w:val="20"/>
                <w:color w:val="auto"/>
              </w:rPr>
            </w:pPr>
            <w:r>
              <w:rPr>
                <w:rFonts w:ascii="Arial" w:cs="Arial" w:eastAsia="Arial" w:hAnsi="Arial"/>
                <w:sz w:val="16"/>
                <w:szCs w:val="16"/>
                <w:color w:val="auto"/>
              </w:rPr>
              <w:t xml:space="preserve">Adjusted SG&amp;A </w:t>
            </w:r>
            <w:r>
              <w:rPr>
                <w:rFonts w:ascii="Arial" w:cs="Arial" w:eastAsia="Arial" w:hAnsi="Arial"/>
                <w:sz w:val="20"/>
                <w:szCs w:val="20"/>
                <w:color w:val="auto"/>
                <w:vertAlign w:val="superscript"/>
              </w:rPr>
              <w:t>(1)</w:t>
            </w:r>
          </w:p>
        </w:tc>
        <w:tc>
          <w:tcPr>
            <w:tcW w:w="1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(9.7 %)</w:t>
            </w:r>
          </w:p>
        </w:tc>
      </w:tr>
      <w:tr>
        <w:trPr>
          <w:trHeight w:val="212"/>
        </w:trPr>
        <w:tc>
          <w:tcPr>
            <w:tcW w:w="7160" w:type="dxa"/>
            <w:vAlign w:val="bottom"/>
            <w:gridSpan w:val="2"/>
          </w:tcPr>
          <w:p>
            <w:pPr>
              <w:spacing w:after="0" w:line="211" w:lineRule="exact"/>
              <w:rPr>
                <w:sz w:val="20"/>
                <w:szCs w:val="20"/>
                <w:color w:val="auto"/>
              </w:rPr>
            </w:pPr>
            <w:r>
              <w:rPr>
                <w:rFonts w:ascii="Arial" w:cs="Arial" w:eastAsia="Arial" w:hAnsi="Arial"/>
                <w:sz w:val="16"/>
                <w:szCs w:val="16"/>
                <w:color w:val="auto"/>
              </w:rPr>
              <w:t xml:space="preserve">Adjusted R&amp;D </w:t>
            </w:r>
            <w:r>
              <w:rPr>
                <w:rFonts w:ascii="Arial" w:cs="Arial" w:eastAsia="Arial" w:hAnsi="Arial"/>
                <w:sz w:val="20"/>
                <w:szCs w:val="20"/>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2"/>
        </w:trPr>
        <w:tc>
          <w:tcPr>
            <w:tcW w:w="7160" w:type="dxa"/>
            <w:vAlign w:val="bottom"/>
            <w:gridSpan w:val="2"/>
          </w:tcPr>
          <w:p>
            <w:pPr>
              <w:spacing w:after="0" w:line="211" w:lineRule="exact"/>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0"/>
                <w:szCs w:val="20"/>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(32.8 %)</w:t>
            </w:r>
          </w:p>
        </w:tc>
      </w:tr>
      <w:tr>
        <w:trPr>
          <w:trHeight w:val="212"/>
        </w:trPr>
        <w:tc>
          <w:tcPr>
            <w:tcW w:w="7160" w:type="dxa"/>
            <w:vAlign w:val="bottom"/>
            <w:gridSpan w:val="2"/>
          </w:tcPr>
          <w:p>
            <w:pPr>
              <w:spacing w:after="0" w:line="211" w:lineRule="exact"/>
              <w:rPr>
                <w:sz w:val="20"/>
                <w:szCs w:val="20"/>
                <w:color w:val="auto"/>
              </w:rPr>
            </w:pPr>
            <w:r>
              <w:rPr>
                <w:rFonts w:ascii="Arial" w:cs="Arial" w:eastAsia="Arial" w:hAnsi="Arial"/>
                <w:sz w:val="16"/>
                <w:szCs w:val="16"/>
                <w:color w:val="auto"/>
              </w:rPr>
              <w:t xml:space="preserve">Adjusted net income from continuing operations </w:t>
            </w:r>
            <w:r>
              <w:rPr>
                <w:rFonts w:ascii="Arial" w:cs="Arial" w:eastAsia="Arial" w:hAnsi="Arial"/>
                <w:sz w:val="20"/>
                <w:szCs w:val="20"/>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(54.7 %)</w:t>
            </w:r>
          </w:p>
        </w:tc>
      </w:tr>
      <w:tr>
        <w:trPr>
          <w:trHeight w:val="264"/>
        </w:trPr>
        <w:tc>
          <w:tcPr>
            <w:tcW w:w="716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0"/>
                <w:szCs w:val="20"/>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(54.8 %)</w:t>
            </w:r>
          </w:p>
        </w:tc>
      </w:tr>
    </w:tbl>
    <w:p>
      <w:pPr>
        <w:spacing w:after="0" w:line="73" w:lineRule="exact"/>
        <w:rPr>
          <w:sz w:val="20"/>
          <w:szCs w:val="20"/>
          <w:color w:val="auto"/>
        </w:rPr>
      </w:pPr>
    </w:p>
    <w:p>
      <w:pPr>
        <w:ind w:left="480" w:right="20" w:hanging="342"/>
        <w:spacing w:after="0" w:line="225"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3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GAAP Three Months Ended September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 xml:space="preserve"> Three Months Ended September 30,</w:t>
            </w:r>
          </w:p>
        </w:tc>
      </w:tr>
      <w:tr>
        <w:trPr>
          <w:trHeight w:val="218"/>
        </w:trPr>
        <w:tc>
          <w:tcPr>
            <w:tcW w:w="2260" w:type="dxa"/>
            <w:vAlign w:val="bottom"/>
          </w:tcPr>
          <w:p>
            <w:pPr>
              <w:spacing w:after="0"/>
              <w:rPr>
                <w:sz w:val="18"/>
                <w:szCs w:val="18"/>
                <w:color w:val="auto"/>
              </w:rPr>
            </w:pPr>
          </w:p>
        </w:tc>
        <w:tc>
          <w:tcPr>
            <w:tcW w:w="14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12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rPr>
              <w:t>2019</w:t>
            </w:r>
          </w:p>
        </w:tc>
      </w:tr>
      <w:tr>
        <w:trPr>
          <w:trHeight w:val="198"/>
        </w:trPr>
        <w:tc>
          <w:tcPr>
            <w:tcW w:w="37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63.5 %</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66.8 %</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66.5 %</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70.1 %</w:t>
            </w:r>
          </w:p>
        </w:tc>
      </w:tr>
      <w:tr>
        <w:trPr>
          <w:trHeight w:val="212"/>
        </w:trPr>
        <w:tc>
          <w:tcPr>
            <w:tcW w:w="370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41.3 %</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45.8 %</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38.2 %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37.8 %</w:t>
            </w:r>
          </w:p>
        </w:tc>
      </w:tr>
      <w:tr>
        <w:trPr>
          <w:trHeight w:val="212"/>
        </w:trPr>
        <w:tc>
          <w:tcPr>
            <w:tcW w:w="3700" w:type="dxa"/>
            <w:vAlign w:val="bottom"/>
            <w:gridSpan w:val="2"/>
          </w:tcPr>
          <w:p>
            <w:pPr>
              <w:spacing w:after="0"/>
              <w:rPr>
                <w:sz w:val="20"/>
                <w:szCs w:val="20"/>
                <w:color w:val="auto"/>
              </w:rPr>
            </w:pPr>
            <w:r>
              <w:rPr>
                <w:rFonts w:ascii="Arial" w:cs="Arial" w:eastAsia="Arial" w:hAnsi="Arial"/>
                <w:sz w:val="16"/>
                <w:szCs w:val="16"/>
                <w:color w:val="auto"/>
              </w:rPr>
              <w:t>R&amp;D</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19.7 %</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17.1 %</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14.9 %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14.4 %</w:t>
            </w:r>
          </w:p>
        </w:tc>
      </w:tr>
      <w:tr>
        <w:trPr>
          <w:trHeight w:val="181"/>
        </w:trPr>
        <w:tc>
          <w:tcPr>
            <w:tcW w:w="3700" w:type="dxa"/>
            <w:vAlign w:val="bottom"/>
            <w:gridSpan w:val="2"/>
          </w:tcPr>
          <w:p>
            <w:pPr>
              <w:spacing w:after="0" w:line="181" w:lineRule="exact"/>
              <w:rPr>
                <w:sz w:val="20"/>
                <w:szCs w:val="20"/>
                <w:color w:val="auto"/>
              </w:rPr>
            </w:pPr>
            <w:r>
              <w:rPr>
                <w:rFonts w:ascii="Arial" w:cs="Arial" w:eastAsia="Arial" w:hAnsi="Arial"/>
                <w:sz w:val="16"/>
                <w:szCs w:val="16"/>
                <w:color w:val="auto"/>
              </w:rPr>
              <w:t>Operating (loss) income from</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90"/>
        </w:trPr>
        <w:tc>
          <w:tcPr>
            <w:tcW w:w="370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2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13.4 %</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17.8 %</w:t>
            </w:r>
          </w:p>
        </w:tc>
      </w:tr>
      <w:tr>
        <w:trPr>
          <w:trHeight w:val="181"/>
        </w:trPr>
        <w:tc>
          <w:tcPr>
            <w:tcW w:w="3700" w:type="dxa"/>
            <w:vAlign w:val="bottom"/>
            <w:gridSpan w:val="2"/>
          </w:tcPr>
          <w:p>
            <w:pPr>
              <w:spacing w:after="0" w:line="181" w:lineRule="exact"/>
              <w:rPr>
                <w:sz w:val="20"/>
                <w:szCs w:val="20"/>
                <w:color w:val="auto"/>
              </w:rPr>
            </w:pPr>
            <w:r>
              <w:rPr>
                <w:rFonts w:ascii="Arial" w:cs="Arial" w:eastAsia="Arial" w:hAnsi="Arial"/>
                <w:sz w:val="16"/>
                <w:szCs w:val="16"/>
                <w:color w:val="auto"/>
              </w:rPr>
              <w:t>Net (loss) income from</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90"/>
        </w:trPr>
        <w:tc>
          <w:tcPr>
            <w:tcW w:w="370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20" w:type="dxa"/>
            <w:vAlign w:val="bottom"/>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15.2 %</w:t>
            </w:r>
          </w:p>
        </w:tc>
      </w:tr>
      <w:tr>
        <w:trPr>
          <w:trHeight w:val="212"/>
        </w:trPr>
        <w:tc>
          <w:tcPr>
            <w:tcW w:w="370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21.3 %</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9"/>
              </w:rPr>
              <w:t>(49.6 %)</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11.2 %</w:t>
            </w:r>
          </w:p>
        </w:tc>
      </w:tr>
    </w:tbl>
    <w:p>
      <w:pPr>
        <w:spacing w:after="0" w:line="131" w:lineRule="exact"/>
        <w:rPr>
          <w:sz w:val="20"/>
          <w:szCs w:val="20"/>
          <w:color w:val="auto"/>
        </w:rPr>
      </w:pPr>
    </w:p>
    <w:p>
      <w:pPr>
        <w:ind w:left="460" w:right="40" w:hanging="322"/>
        <w:spacing w:after="0" w:line="225"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40" w:top="1440" w:right="339" w:bottom="1440" w:gutter="0" w:footer="0" w:header="0"/>
        </w:sectPr>
      </w:pPr>
    </w:p>
    <w:bookmarkStart w:id="15" w:name="page16"/>
    <w:bookmarkEnd w:id="15"/>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LIVANOVA PLC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 - UNAUDITED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millions, except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680" w:type="dxa"/>
            <w:vAlign w:val="bottom"/>
          </w:tcPr>
          <w:p>
            <w:pPr>
              <w:spacing w:after="0"/>
              <w:rPr>
                <w:sz w:val="19"/>
                <w:szCs w:val="19"/>
                <w:color w:val="auto"/>
              </w:rPr>
            </w:pPr>
          </w:p>
        </w:tc>
        <w:tc>
          <w:tcPr>
            <w:tcW w:w="1700" w:type="dxa"/>
            <w:vAlign w:val="bottom"/>
            <w:tcBorders>
              <w:bottom w:val="single" w:sz="8" w:color="auto"/>
            </w:tcBorders>
          </w:tcPr>
          <w:p>
            <w:pPr>
              <w:jc w:val="right"/>
              <w:ind w:right="58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ind w:right="60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8"/>
        </w:trPr>
        <w:tc>
          <w:tcPr>
            <w:tcW w:w="5680" w:type="dxa"/>
            <w:vAlign w:val="bottom"/>
          </w:tcPr>
          <w:p>
            <w:pPr>
              <w:spacing w:after="0"/>
              <w:rPr>
                <w:sz w:val="20"/>
                <w:szCs w:val="20"/>
                <w:color w:val="auto"/>
              </w:rPr>
            </w:pPr>
            <w:r>
              <w:rPr>
                <w:rFonts w:ascii="Arial" w:cs="Arial" w:eastAsia="Arial" w:hAnsi="Arial"/>
                <w:sz w:val="16"/>
                <w:szCs w:val="16"/>
                <w:color w:val="auto"/>
              </w:rPr>
              <w:t>Net sales</w:t>
            </w:r>
          </w:p>
        </w:tc>
        <w:tc>
          <w:tcPr>
            <w:tcW w:w="1700" w:type="dxa"/>
            <w:vAlign w:val="bottom"/>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$796.6</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80" w:type="dxa"/>
            <w:vAlign w:val="bottom"/>
          </w:tcPr>
          <w:p>
            <w:pPr>
              <w:spacing w:after="0"/>
              <w:rPr>
                <w:sz w:val="20"/>
                <w:szCs w:val="20"/>
                <w:color w:val="auto"/>
              </w:rPr>
            </w:pPr>
            <w:r>
              <w:rPr>
                <w:rFonts w:ascii="Arial" w:cs="Arial" w:eastAsia="Arial" w:hAnsi="Arial"/>
                <w:sz w:val="16"/>
                <w:szCs w:val="16"/>
                <w:color w:val="auto"/>
              </w:rPr>
              <w:t>Costs and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Cost of sales - exclusive of amortization</w:t>
            </w:r>
          </w:p>
        </w:tc>
        <w:tc>
          <w:tcPr>
            <w:tcW w:w="1700" w:type="dxa"/>
            <w:vAlign w:val="bottom"/>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245.3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Product remediation</w:t>
            </w:r>
          </w:p>
        </w:tc>
        <w:tc>
          <w:tcPr>
            <w:tcW w:w="17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Selling, general and administrative</w:t>
            </w:r>
          </w:p>
        </w:tc>
        <w:tc>
          <w:tcPr>
            <w:tcW w:w="1700" w:type="dxa"/>
            <w:vAlign w:val="bottom"/>
          </w:tcPr>
          <w:p>
            <w:pPr>
              <w:jc w:val="right"/>
              <w:spacing w:after="0"/>
              <w:rPr>
                <w:sz w:val="20"/>
                <w:szCs w:val="20"/>
                <w:color w:val="auto"/>
              </w:rPr>
            </w:pPr>
            <w:r>
              <w:rPr>
                <w:rFonts w:ascii="Arial" w:cs="Arial" w:eastAsia="Arial" w:hAnsi="Arial"/>
                <w:sz w:val="16"/>
                <w:szCs w:val="16"/>
                <w:color w:val="auto"/>
              </w:rPr>
              <w:t>317.4</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375.9</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1700" w:type="dxa"/>
            <w:vAlign w:val="bottom"/>
          </w:tcPr>
          <w:p>
            <w:pPr>
              <w:jc w:val="right"/>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Merger and integration expenses</w:t>
            </w:r>
          </w:p>
        </w:tc>
        <w:tc>
          <w:tcPr>
            <w:tcW w:w="17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Restructuring expenses</w:t>
            </w:r>
          </w:p>
        </w:tc>
        <w:tc>
          <w:tcPr>
            <w:tcW w:w="17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Impairment of intangible assets</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Amortization of intangibles</w:t>
            </w:r>
          </w:p>
        </w:tc>
        <w:tc>
          <w:tcPr>
            <w:tcW w:w="170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100"/>
              <w:spacing w:after="0"/>
              <w:rPr>
                <w:sz w:val="20"/>
                <w:szCs w:val="20"/>
                <w:color w:val="auto"/>
              </w:rPr>
            </w:pPr>
            <w:r>
              <w:rPr>
                <w:rFonts w:ascii="Arial" w:cs="Arial" w:eastAsia="Arial" w:hAnsi="Arial"/>
                <w:sz w:val="16"/>
                <w:szCs w:val="16"/>
                <w:color w:val="auto"/>
              </w:rPr>
              <w:t>Litigation provision, net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80" w:type="dxa"/>
            <w:vAlign w:val="bottom"/>
          </w:tcPr>
          <w:p>
            <w:pPr>
              <w:spacing w:after="0"/>
              <w:rPr>
                <w:sz w:val="20"/>
                <w:szCs w:val="20"/>
                <w:color w:val="auto"/>
              </w:rPr>
            </w:pPr>
            <w:r>
              <w:rPr>
                <w:rFonts w:ascii="Arial" w:cs="Arial" w:eastAsia="Arial" w:hAnsi="Arial"/>
                <w:sz w:val="16"/>
                <w:szCs w:val="16"/>
                <w:color w:val="auto"/>
              </w:rPr>
              <w:t>Operating loss from continuing operations</w:t>
            </w:r>
          </w:p>
        </w:tc>
        <w:tc>
          <w:tcPr>
            <w:tcW w:w="17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(24.9)</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02"/>
        </w:trPr>
        <w:tc>
          <w:tcPr>
            <w:tcW w:w="568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100"/>
              <w:spacing w:after="0"/>
              <w:rPr>
                <w:sz w:val="20"/>
                <w:szCs w:val="20"/>
                <w:color w:val="auto"/>
              </w:rPr>
            </w:pPr>
            <w:r>
              <w:rPr>
                <w:rFonts w:ascii="Arial" w:cs="Arial" w:eastAsia="Arial" w:hAnsi="Arial"/>
                <w:sz w:val="16"/>
                <w:szCs w:val="16"/>
                <w:color w:val="auto"/>
              </w:rPr>
              <w:t>Foreign exchange and other gains (losses)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80" w:type="dxa"/>
            <w:vAlign w:val="bottom"/>
          </w:tcPr>
          <w:p>
            <w:pPr>
              <w:spacing w:after="0"/>
              <w:rPr>
                <w:sz w:val="20"/>
                <w:szCs w:val="20"/>
                <w:color w:val="auto"/>
              </w:rPr>
            </w:pPr>
            <w:r>
              <w:rPr>
                <w:rFonts w:ascii="Arial" w:cs="Arial" w:eastAsia="Arial" w:hAnsi="Arial"/>
                <w:sz w:val="16"/>
                <w:szCs w:val="16"/>
                <w:color w:val="auto"/>
              </w:rPr>
              <w:t>Loss from continuing operations before tax</w:t>
            </w:r>
          </w:p>
        </w:tc>
        <w:tc>
          <w:tcPr>
            <w:tcW w:w="170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(35.6)</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202"/>
        </w:trPr>
        <w:tc>
          <w:tcPr>
            <w:tcW w:w="5680" w:type="dxa"/>
            <w:vAlign w:val="bottom"/>
          </w:tcPr>
          <w:p>
            <w:pPr>
              <w:ind w:left="100"/>
              <w:spacing w:after="0"/>
              <w:rPr>
                <w:sz w:val="20"/>
                <w:szCs w:val="20"/>
                <w:color w:val="auto"/>
              </w:rPr>
            </w:pPr>
            <w:r>
              <w:rPr>
                <w:rFonts w:ascii="Arial" w:cs="Arial" w:eastAsia="Arial" w:hAnsi="Arial"/>
                <w:sz w:val="16"/>
                <w:szCs w:val="16"/>
                <w:color w:val="auto"/>
              </w:rPr>
              <w:t>Income tax expense (benefit)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100"/>
              <w:spacing w:after="0"/>
              <w:rPr>
                <w:sz w:val="20"/>
                <w:szCs w:val="20"/>
                <w:color w:val="auto"/>
              </w:rPr>
            </w:pPr>
            <w:r>
              <w:rPr>
                <w:rFonts w:ascii="Arial" w:cs="Arial" w:eastAsia="Arial" w:hAnsi="Arial"/>
                <w:sz w:val="16"/>
                <w:szCs w:val="16"/>
                <w:color w:val="auto"/>
              </w:rPr>
              <w:t>Losses from equity method investments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80" w:type="dxa"/>
            <w:vAlign w:val="bottom"/>
          </w:tcPr>
          <w:p>
            <w:pPr>
              <w:spacing w:after="0"/>
              <w:rPr>
                <w:sz w:val="20"/>
                <w:szCs w:val="20"/>
                <w:color w:val="auto"/>
              </w:rPr>
            </w:pPr>
            <w:r>
              <w:rPr>
                <w:rFonts w:ascii="Arial" w:cs="Arial" w:eastAsia="Arial" w:hAnsi="Arial"/>
                <w:sz w:val="16"/>
                <w:szCs w:val="16"/>
                <w:color w:val="auto"/>
              </w:rPr>
              <w:t>Net loss from continuing operations</w:t>
            </w:r>
          </w:p>
        </w:tc>
        <w:tc>
          <w:tcPr>
            <w:tcW w:w="170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(12.1)</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430.6 %</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20"/>
                <w:szCs w:val="20"/>
                <w:color w:val="auto"/>
              </w:rPr>
            </w:pPr>
            <w:r>
              <w:rPr>
                <w:rFonts w:ascii="Arial" w:cs="Arial" w:eastAsia="Arial" w:hAnsi="Arial"/>
                <w:sz w:val="16"/>
                <w:szCs w:val="16"/>
                <w:color w:val="auto"/>
              </w:rPr>
              <w:t>Net (loss) income from discontinued operations, net of tax</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80" w:type="dxa"/>
            <w:vAlign w:val="bottom"/>
          </w:tcPr>
          <w:p>
            <w:pPr>
              <w:spacing w:after="0"/>
              <w:rPr>
                <w:sz w:val="20"/>
                <w:szCs w:val="20"/>
                <w:color w:val="auto"/>
              </w:rPr>
            </w:pPr>
            <w:r>
              <w:rPr>
                <w:rFonts w:ascii="Arial" w:cs="Arial" w:eastAsia="Arial" w:hAnsi="Arial"/>
                <w:sz w:val="16"/>
                <w:szCs w:val="16"/>
                <w:color w:val="auto"/>
              </w:rPr>
              <w:t>Net loss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447.9 %</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6"/>
                <w:szCs w:val="16"/>
                <w:color w:val="auto"/>
              </w:rPr>
              <w:t>Basic loss per share:</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6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170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100"/>
              <w:spacing w:after="0"/>
              <w:rPr>
                <w:sz w:val="20"/>
                <w:szCs w:val="20"/>
                <w:color w:val="auto"/>
              </w:rPr>
            </w:pPr>
            <w:r>
              <w:rPr>
                <w:rFonts w:ascii="Arial" w:cs="Arial" w:eastAsia="Arial" w:hAnsi="Arial"/>
                <w:sz w:val="16"/>
                <w:szCs w:val="16"/>
                <w:color w:val="auto"/>
              </w:rPr>
              <w:t>Discontinued operations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8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80" w:type="dxa"/>
            <w:vAlign w:val="bottom"/>
            <w:vMerge w:val="restart"/>
          </w:tcPr>
          <w:p>
            <w:pPr>
              <w:spacing w:after="0"/>
              <w:rPr>
                <w:sz w:val="20"/>
                <w:szCs w:val="20"/>
                <w:color w:val="auto"/>
              </w:rPr>
            </w:pPr>
            <w:r>
              <w:rPr>
                <w:rFonts w:ascii="Arial" w:cs="Arial" w:eastAsia="Arial" w:hAnsi="Arial"/>
                <w:sz w:val="16"/>
                <w:szCs w:val="16"/>
                <w:color w:val="auto"/>
              </w:rPr>
              <w:t>Diluted loss per share:</w:t>
            </w: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3"/>
        </w:trPr>
        <w:tc>
          <w:tcPr>
            <w:tcW w:w="56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170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100"/>
              <w:spacing w:after="0"/>
              <w:rPr>
                <w:sz w:val="20"/>
                <w:szCs w:val="20"/>
                <w:color w:val="auto"/>
              </w:rPr>
            </w:pPr>
            <w:r>
              <w:rPr>
                <w:rFonts w:ascii="Arial" w:cs="Arial" w:eastAsia="Arial" w:hAnsi="Arial"/>
                <w:sz w:val="16"/>
                <w:szCs w:val="16"/>
                <w:color w:val="auto"/>
              </w:rPr>
              <w:t>Discontinued operations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8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8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3"/>
        </w:trPr>
        <w:tc>
          <w:tcPr>
            <w:tcW w:w="56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Basic</w:t>
            </w:r>
          </w:p>
        </w:tc>
        <w:tc>
          <w:tcPr>
            <w:tcW w:w="170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100"/>
              <w:spacing w:after="0"/>
              <w:rPr>
                <w:sz w:val="20"/>
                <w:szCs w:val="20"/>
                <w:color w:val="auto"/>
              </w:rPr>
            </w:pPr>
            <w:r>
              <w:rPr>
                <w:rFonts w:ascii="Arial" w:cs="Arial" w:eastAsia="Arial" w:hAnsi="Arial"/>
                <w:sz w:val="16"/>
                <w:szCs w:val="16"/>
                <w:color w:val="auto"/>
              </w:rPr>
              <w:t>Diluted</w:t>
            </w:r>
          </w:p>
        </w:tc>
        <w:tc>
          <w:tcPr>
            <w:tcW w:w="170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 Numbers may not add up precisely due to rounding.</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40" w:top="1440" w:right="339" w:bottom="1440" w:gutter="0" w:footer="0" w:header="0"/>
        </w:sectPr>
      </w:pPr>
    </w:p>
    <w:bookmarkStart w:id="16" w:name="page17"/>
    <w:bookmarkEnd w:id="16"/>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66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September 30,</w:t>
            </w:r>
          </w:p>
        </w:tc>
        <w:tc>
          <w:tcPr>
            <w:tcW w:w="1880" w:type="dxa"/>
            <w:vAlign w:val="bottom"/>
          </w:tcPr>
          <w:p>
            <w:pPr>
              <w:spacing w:after="0"/>
              <w:rPr>
                <w:sz w:val="20"/>
                <w:szCs w:val="20"/>
                <w:color w:val="auto"/>
              </w:rPr>
            </w:pPr>
          </w:p>
        </w:tc>
      </w:tr>
      <w:tr>
        <w:trPr>
          <w:trHeight w:val="219"/>
        </w:trPr>
        <w:tc>
          <w:tcPr>
            <w:tcW w:w="56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ind w:right="381"/>
              <w:spacing w:after="0" w:line="219" w:lineRule="exact"/>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20"/>
                <w:szCs w:val="20"/>
                <w:b w:val="1"/>
                <w:bCs w:val="1"/>
                <w:color w:val="auto"/>
                <w:vertAlign w:val="superscript"/>
              </w:rPr>
              <w:t>(1)</w:t>
            </w:r>
          </w:p>
        </w:tc>
      </w:tr>
      <w:tr>
        <w:trPr>
          <w:trHeight w:val="204"/>
        </w:trPr>
        <w:tc>
          <w:tcPr>
            <w:tcW w:w="5640" w:type="dxa"/>
            <w:vAlign w:val="bottom"/>
          </w:tcPr>
          <w:p>
            <w:pPr>
              <w:spacing w:after="0" w:line="205" w:lineRule="exact"/>
              <w:rPr>
                <w:sz w:val="20"/>
                <w:szCs w:val="20"/>
                <w:color w:val="auto"/>
              </w:rPr>
            </w:pPr>
            <w:r>
              <w:rPr>
                <w:rFonts w:ascii="Arial" w:cs="Arial" w:eastAsia="Arial" w:hAnsi="Arial"/>
                <w:sz w:val="16"/>
                <w:szCs w:val="16"/>
                <w:color w:val="auto"/>
              </w:rPr>
              <w:t xml:space="preserve">Adjusted SG&amp;A </w:t>
            </w:r>
            <w:r>
              <w:rPr>
                <w:rFonts w:ascii="Arial" w:cs="Arial" w:eastAsia="Arial" w:hAnsi="Arial"/>
                <w:sz w:val="20"/>
                <w:szCs w:val="20"/>
                <w:color w:val="auto"/>
                <w:vertAlign w:val="superscript"/>
              </w:rPr>
              <w:t>(1)</w:t>
            </w:r>
          </w:p>
        </w:tc>
        <w:tc>
          <w:tcPr>
            <w:tcW w:w="1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$314.1</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(12.4 %)</w:t>
            </w:r>
          </w:p>
        </w:tc>
      </w:tr>
      <w:tr>
        <w:trPr>
          <w:trHeight w:val="212"/>
        </w:trPr>
        <w:tc>
          <w:tcPr>
            <w:tcW w:w="6760" w:type="dxa"/>
            <w:vAlign w:val="bottom"/>
            <w:gridSpan w:val="2"/>
          </w:tcPr>
          <w:p>
            <w:pPr>
              <w:spacing w:after="0" w:line="211" w:lineRule="exact"/>
              <w:rPr>
                <w:sz w:val="20"/>
                <w:szCs w:val="20"/>
                <w:color w:val="auto"/>
              </w:rPr>
            </w:pPr>
            <w:r>
              <w:rPr>
                <w:rFonts w:ascii="Arial" w:cs="Arial" w:eastAsia="Arial" w:hAnsi="Arial"/>
                <w:sz w:val="16"/>
                <w:szCs w:val="16"/>
                <w:color w:val="auto"/>
              </w:rPr>
              <w:t xml:space="preserve">Adjusted R&amp;D </w:t>
            </w:r>
            <w:r>
              <w:rPr>
                <w:rFonts w:ascii="Arial" w:cs="Arial" w:eastAsia="Arial" w:hAnsi="Arial"/>
                <w:sz w:val="20"/>
                <w:szCs w:val="20"/>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2"/>
        </w:trPr>
        <w:tc>
          <w:tcPr>
            <w:tcW w:w="6760" w:type="dxa"/>
            <w:vAlign w:val="bottom"/>
            <w:gridSpan w:val="2"/>
          </w:tcPr>
          <w:p>
            <w:pPr>
              <w:spacing w:after="0" w:line="211" w:lineRule="exact"/>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0"/>
                <w:szCs w:val="20"/>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(60.7 %)</w:t>
            </w:r>
          </w:p>
        </w:tc>
      </w:tr>
      <w:tr>
        <w:trPr>
          <w:trHeight w:val="212"/>
        </w:trPr>
        <w:tc>
          <w:tcPr>
            <w:tcW w:w="6760" w:type="dxa"/>
            <w:vAlign w:val="bottom"/>
            <w:gridSpan w:val="2"/>
          </w:tcPr>
          <w:p>
            <w:pPr>
              <w:spacing w:after="0" w:line="211" w:lineRule="exact"/>
              <w:rPr>
                <w:sz w:val="20"/>
                <w:szCs w:val="20"/>
                <w:color w:val="auto"/>
              </w:rPr>
            </w:pPr>
            <w:r>
              <w:rPr>
                <w:rFonts w:ascii="Arial" w:cs="Arial" w:eastAsia="Arial" w:hAnsi="Arial"/>
                <w:sz w:val="16"/>
                <w:szCs w:val="16"/>
                <w:color w:val="auto"/>
              </w:rPr>
              <w:t xml:space="preserve">Adjusted net income from continuing operations </w:t>
            </w:r>
            <w:r>
              <w:rPr>
                <w:rFonts w:ascii="Arial" w:cs="Arial" w:eastAsia="Arial" w:hAnsi="Arial"/>
                <w:sz w:val="20"/>
                <w:szCs w:val="20"/>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(73.5 %)</w:t>
            </w:r>
          </w:p>
        </w:tc>
      </w:tr>
      <w:tr>
        <w:trPr>
          <w:trHeight w:val="264"/>
        </w:trPr>
        <w:tc>
          <w:tcPr>
            <w:tcW w:w="676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0"/>
                <w:szCs w:val="20"/>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(73.6 %)</w:t>
            </w:r>
          </w:p>
        </w:tc>
      </w:tr>
    </w:tbl>
    <w:p>
      <w:pPr>
        <w:spacing w:after="0" w:line="73" w:lineRule="exact"/>
        <w:rPr>
          <w:sz w:val="20"/>
          <w:szCs w:val="20"/>
          <w:color w:val="auto"/>
        </w:rPr>
      </w:pPr>
    </w:p>
    <w:p>
      <w:pPr>
        <w:ind w:left="480" w:right="40" w:hanging="336"/>
        <w:spacing w:after="0" w:line="225" w:lineRule="auto"/>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3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GAAP Nine Months Ended September 30,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 xml:space="preserve"> Nine Months Ended September 30,</w:t>
            </w:r>
          </w:p>
        </w:tc>
      </w:tr>
      <w:tr>
        <w:trPr>
          <w:trHeight w:val="218"/>
        </w:trPr>
        <w:tc>
          <w:tcPr>
            <w:tcW w:w="2360" w:type="dxa"/>
            <w:vAlign w:val="bottom"/>
          </w:tcPr>
          <w:p>
            <w:pPr>
              <w:spacing w:after="0"/>
              <w:rPr>
                <w:sz w:val="18"/>
                <w:szCs w:val="18"/>
                <w:color w:val="auto"/>
              </w:rPr>
            </w:pP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12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rPr>
              <w:t>2019</w:t>
            </w:r>
          </w:p>
        </w:tc>
      </w:tr>
      <w:tr>
        <w:trPr>
          <w:trHeight w:val="198"/>
        </w:trPr>
        <w:tc>
          <w:tcPr>
            <w:tcW w:w="37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67.0 %</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67.8 %</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65.6 %</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69.5 %</w:t>
            </w:r>
          </w:p>
        </w:tc>
      </w:tr>
      <w:tr>
        <w:trPr>
          <w:trHeight w:val="212"/>
        </w:trPr>
        <w:tc>
          <w:tcPr>
            <w:tcW w:w="376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47.8 %</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47.2 %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41.4 %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39.4 %</w:t>
            </w:r>
          </w:p>
        </w:tc>
      </w:tr>
      <w:tr>
        <w:trPr>
          <w:trHeight w:val="212"/>
        </w:trPr>
        <w:tc>
          <w:tcPr>
            <w:tcW w:w="3760" w:type="dxa"/>
            <w:vAlign w:val="bottom"/>
            <w:gridSpan w:val="2"/>
          </w:tcPr>
          <w:p>
            <w:pPr>
              <w:spacing w:after="0"/>
              <w:rPr>
                <w:sz w:val="20"/>
                <w:szCs w:val="20"/>
                <w:color w:val="auto"/>
              </w:rPr>
            </w:pPr>
            <w:r>
              <w:rPr>
                <w:rFonts w:ascii="Arial" w:cs="Arial" w:eastAsia="Arial" w:hAnsi="Arial"/>
                <w:sz w:val="16"/>
                <w:szCs w:val="16"/>
                <w:color w:val="auto"/>
              </w:rPr>
              <w:t>R&amp;D</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16.3 %</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181"/>
        </w:trPr>
        <w:tc>
          <w:tcPr>
            <w:tcW w:w="3760" w:type="dxa"/>
            <w:vAlign w:val="bottom"/>
            <w:gridSpan w:val="2"/>
          </w:tcPr>
          <w:p>
            <w:pPr>
              <w:spacing w:after="0" w:line="181" w:lineRule="exact"/>
              <w:rPr>
                <w:sz w:val="20"/>
                <w:szCs w:val="20"/>
                <w:color w:val="auto"/>
              </w:rPr>
            </w:pPr>
            <w:r>
              <w:rPr>
                <w:rFonts w:ascii="Arial" w:cs="Arial" w:eastAsia="Arial" w:hAnsi="Arial"/>
                <w:sz w:val="16"/>
                <w:szCs w:val="16"/>
                <w:color w:val="auto"/>
              </w:rPr>
              <w:t>Operating (loss) income from</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90"/>
        </w:trPr>
        <w:tc>
          <w:tcPr>
            <w:tcW w:w="376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6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15.6 %</w:t>
            </w:r>
          </w:p>
        </w:tc>
      </w:tr>
      <w:tr>
        <w:trPr>
          <w:trHeight w:val="181"/>
        </w:trPr>
        <w:tc>
          <w:tcPr>
            <w:tcW w:w="3760" w:type="dxa"/>
            <w:vAlign w:val="bottom"/>
            <w:gridSpan w:val="2"/>
          </w:tcPr>
          <w:p>
            <w:pPr>
              <w:spacing w:after="0" w:line="181" w:lineRule="exact"/>
              <w:rPr>
                <w:sz w:val="20"/>
                <w:szCs w:val="20"/>
                <w:color w:val="auto"/>
              </w:rPr>
            </w:pPr>
            <w:r>
              <w:rPr>
                <w:rFonts w:ascii="Arial" w:cs="Arial" w:eastAsia="Arial" w:hAnsi="Arial"/>
                <w:sz w:val="16"/>
                <w:szCs w:val="16"/>
                <w:color w:val="auto"/>
              </w:rPr>
              <w:t>Net (loss) income from</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90"/>
        </w:trPr>
        <w:tc>
          <w:tcPr>
            <w:tcW w:w="376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60" w:type="dxa"/>
            <w:vAlign w:val="bottom"/>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12.8 %</w:t>
            </w:r>
          </w:p>
        </w:tc>
      </w:tr>
      <w:tr>
        <w:trPr>
          <w:trHeight w:val="212"/>
        </w:trPr>
        <w:tc>
          <w:tcPr>
            <w:tcW w:w="376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60" w:type="dxa"/>
            <w:vAlign w:val="bottom"/>
          </w:tcPr>
          <w:p>
            <w:pPr>
              <w:jc w:val="right"/>
              <w:spacing w:after="0"/>
              <w:rPr>
                <w:sz w:val="20"/>
                <w:szCs w:val="20"/>
                <w:color w:val="auto"/>
              </w:rPr>
            </w:pPr>
            <w:r>
              <w:rPr>
                <w:rFonts w:ascii="Arial" w:cs="Arial" w:eastAsia="Arial" w:hAnsi="Arial"/>
                <w:sz w:val="16"/>
                <w:szCs w:val="16"/>
                <w:color w:val="auto"/>
              </w:rPr>
              <w:t>(37.9 %)</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65.9 %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13.8 %</w:t>
            </w:r>
          </w:p>
        </w:tc>
      </w:tr>
    </w:tbl>
    <w:p>
      <w:pPr>
        <w:spacing w:after="0" w:line="131" w:lineRule="exact"/>
        <w:rPr>
          <w:sz w:val="20"/>
          <w:szCs w:val="20"/>
          <w:color w:val="auto"/>
        </w:rPr>
      </w:pPr>
    </w:p>
    <w:p>
      <w:pPr>
        <w:ind w:left="440" w:right="20" w:hanging="322"/>
        <w:spacing w:after="0" w:line="225" w:lineRule="auto"/>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40" w:top="144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b w:val="1"/>
          <w:bCs w:val="1"/>
          <w:color w:val="auto"/>
        </w:rPr>
        <w:t>Specified Items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1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Depreciation</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9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Non-recurring</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and</w:t>
            </w:r>
          </w:p>
        </w:tc>
        <w:tc>
          <w:tcPr>
            <w:tcW w:w="9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Legal and</w:t>
            </w:r>
          </w:p>
        </w:tc>
        <w:tc>
          <w:tcPr>
            <w:tcW w:w="10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900" w:type="dxa"/>
            <w:vAlign w:val="bottom"/>
            <w:vMerge w:val="continue"/>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9"/>
        </w:trPr>
        <w:tc>
          <w:tcPr>
            <w:tcW w:w="14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Integration</w:t>
            </w:r>
          </w:p>
        </w:tc>
        <w:tc>
          <w:tcPr>
            <w:tcW w:w="980" w:type="dxa"/>
            <w:vAlign w:val="bottom"/>
            <w:vMerge w:val="continue"/>
          </w:tcPr>
          <w:p>
            <w:pPr>
              <w:spacing w:after="0"/>
              <w:rPr>
                <w:sz w:val="10"/>
                <w:szCs w:val="10"/>
                <w:color w:val="auto"/>
              </w:rPr>
            </w:pPr>
          </w:p>
        </w:tc>
        <w:tc>
          <w:tcPr>
            <w:tcW w:w="920" w:type="dxa"/>
            <w:vAlign w:val="bottom"/>
          </w:tcPr>
          <w:p>
            <w:pPr>
              <w:jc w:val="center"/>
              <w:ind w:right="12"/>
              <w:spacing w:after="0" w:line="120" w:lineRule="exact"/>
              <w:rPr>
                <w:sz w:val="20"/>
                <w:szCs w:val="20"/>
                <w:color w:val="auto"/>
              </w:rPr>
            </w:pPr>
            <w:r>
              <w:rPr>
                <w:rFonts w:ascii="Arial" w:cs="Arial" w:eastAsia="Arial" w:hAnsi="Arial"/>
                <w:sz w:val="12"/>
                <w:szCs w:val="12"/>
                <w:b w:val="1"/>
                <w:bCs w:val="1"/>
                <w:color w:val="auto"/>
              </w:rPr>
              <w:t>Amortization</w:t>
            </w: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Remediation</w:t>
            </w:r>
          </w:p>
        </w:tc>
        <w:tc>
          <w:tcPr>
            <w:tcW w:w="920" w:type="dxa"/>
            <w:vAlign w:val="bottom"/>
            <w:vMerge w:val="continue"/>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Contingent</w:t>
            </w:r>
          </w:p>
        </w:tc>
        <w:tc>
          <w:tcPr>
            <w:tcW w:w="10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4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Ended</w:t>
            </w: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Financial</w:t>
            </w: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Expenses</w:t>
            </w:r>
          </w:p>
        </w:tc>
        <w:tc>
          <w:tcPr>
            <w:tcW w:w="98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ind w:right="32"/>
              <w:spacing w:after="0" w:line="120" w:lineRule="exact"/>
              <w:rPr>
                <w:sz w:val="20"/>
                <w:szCs w:val="20"/>
                <w:color w:val="auto"/>
              </w:rPr>
            </w:pPr>
            <w:r>
              <w:rPr>
                <w:rFonts w:ascii="Arial" w:cs="Arial" w:eastAsia="Arial" w:hAnsi="Arial"/>
                <w:sz w:val="12"/>
                <w:szCs w:val="12"/>
                <w:b w:val="1"/>
                <w:bCs w:val="1"/>
                <w:color w:val="auto"/>
              </w:rPr>
              <w:t>Expenses</w:t>
            </w:r>
          </w:p>
        </w:tc>
        <w:tc>
          <w:tcPr>
            <w:tcW w:w="90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Consideration</w:t>
            </w:r>
          </w:p>
        </w:tc>
        <w:tc>
          <w:tcPr>
            <w:tcW w:w="102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rPr>
              <w:t>Adjustments</w:t>
            </w: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Adjustments</w:t>
            </w:r>
          </w:p>
        </w:tc>
        <w:tc>
          <w:tcPr>
            <w:tcW w:w="740" w:type="dxa"/>
            <w:vAlign w:val="bottom"/>
          </w:tcPr>
          <w:p>
            <w:pPr>
              <w:ind w:left="100"/>
              <w:spacing w:after="0" w:line="120"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2"/>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b w:val="1"/>
                <w:bCs w:val="1"/>
                <w:color w:val="auto"/>
              </w:rPr>
              <w:t>(G)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Cost of sales -</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20" w:type="dxa"/>
            <w:vAlign w:val="bottom"/>
          </w:tcPr>
          <w:p>
            <w:pPr>
              <w:ind w:left="20"/>
              <w:spacing w:after="0" w:line="133" w:lineRule="exact"/>
              <w:rPr>
                <w:sz w:val="20"/>
                <w:szCs w:val="20"/>
                <w:color w:val="auto"/>
              </w:rPr>
            </w:pPr>
            <w:r>
              <w:rPr>
                <w:rFonts w:ascii="Arial" w:cs="Arial" w:eastAsia="Arial" w:hAnsi="Arial"/>
                <w:sz w:val="14"/>
                <w:szCs w:val="14"/>
                <w:color w:val="auto"/>
              </w:rPr>
              <w:t>exclusive of</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$86.5</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($0.3)</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($5.4)</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($0.4)</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Arial" w:cs="Arial" w:eastAsia="Arial" w:hAnsi="Arial"/>
                <w:sz w:val="14"/>
                <w:szCs w:val="14"/>
                <w:color w:val="auto"/>
              </w:rPr>
              <w:t>Product remediation</w:t>
            </w:r>
          </w:p>
        </w:tc>
        <w:tc>
          <w:tcPr>
            <w:tcW w:w="680" w:type="dxa"/>
            <w:vAlign w:val="bottom"/>
          </w:tcPr>
          <w:p>
            <w:pPr>
              <w:jc w:val="right"/>
              <w:ind w:right="111"/>
              <w:spacing w:after="0"/>
              <w:rPr>
                <w:sz w:val="20"/>
                <w:szCs w:val="20"/>
                <w:color w:val="auto"/>
              </w:rPr>
            </w:pPr>
            <w:r>
              <w:rPr>
                <w:rFonts w:ascii="Arial" w:cs="Arial" w:eastAsia="Arial" w:hAnsi="Arial"/>
                <w:sz w:val="14"/>
                <w:szCs w:val="14"/>
                <w:color w:val="auto"/>
              </w:rPr>
              <w:t>1.1</w:t>
            </w:r>
          </w:p>
        </w:tc>
        <w:tc>
          <w:tcPr>
            <w:tcW w:w="8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ind w:left="6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(1.1)</w:t>
            </w:r>
          </w:p>
        </w:tc>
        <w:tc>
          <w:tcPr>
            <w:tcW w:w="920" w:type="dxa"/>
            <w:vAlign w:val="bottom"/>
          </w:tcPr>
          <w:p>
            <w:pPr>
              <w:ind w:left="5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tcPr>
          <w:p>
            <w:pPr>
              <w:ind w:left="56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42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680" w:type="dxa"/>
            <w:vAlign w:val="bottom"/>
          </w:tcPr>
          <w:p>
            <w:pPr>
              <w:jc w:val="right"/>
              <w:spacing w:after="0"/>
              <w:rPr>
                <w:sz w:val="20"/>
                <w:szCs w:val="20"/>
                <w:color w:val="auto"/>
              </w:rPr>
            </w:pPr>
            <w:r>
              <w:rPr>
                <w:rFonts w:ascii="Arial" w:cs="Arial" w:eastAsia="Arial" w:hAnsi="Arial"/>
                <w:sz w:val="14"/>
                <w:szCs w:val="14"/>
                <w:color w:val="auto"/>
              </w:rPr>
              <w:t>63.5 %</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ind w:left="620"/>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0.1 %</w:t>
            </w:r>
          </w:p>
        </w:tc>
        <w:tc>
          <w:tcPr>
            <w:tcW w:w="900" w:type="dxa"/>
            <w:vAlign w:val="bottom"/>
          </w:tcPr>
          <w:p>
            <w:pPr>
              <w:jc w:val="right"/>
              <w:spacing w:after="0"/>
              <w:rPr>
                <w:sz w:val="20"/>
                <w:szCs w:val="20"/>
                <w:color w:val="auto"/>
              </w:rPr>
            </w:pPr>
            <w:r>
              <w:rPr>
                <w:rFonts w:ascii="Arial" w:cs="Arial" w:eastAsia="Arial" w:hAnsi="Arial"/>
                <w:sz w:val="14"/>
                <w:szCs w:val="14"/>
                <w:color w:val="auto"/>
              </w:rPr>
              <w:t>0.5 %</w:t>
            </w:r>
          </w:p>
        </w:tc>
        <w:tc>
          <w:tcPr>
            <w:tcW w:w="920" w:type="dxa"/>
            <w:vAlign w:val="bottom"/>
          </w:tcPr>
          <w:p>
            <w:pPr>
              <w:ind w:left="580"/>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2.2 %</w:t>
            </w:r>
          </w:p>
        </w:tc>
        <w:tc>
          <w:tcPr>
            <w:tcW w:w="1020" w:type="dxa"/>
            <w:vAlign w:val="bottom"/>
          </w:tcPr>
          <w:p>
            <w:pPr>
              <w:jc w:val="right"/>
              <w:spacing w:after="0"/>
              <w:rPr>
                <w:sz w:val="20"/>
                <w:szCs w:val="20"/>
                <w:color w:val="auto"/>
              </w:rPr>
            </w:pPr>
            <w:r>
              <w:rPr>
                <w:rFonts w:ascii="Arial" w:cs="Arial" w:eastAsia="Arial" w:hAnsi="Arial"/>
                <w:sz w:val="14"/>
                <w:szCs w:val="14"/>
                <w:color w:val="auto"/>
              </w:rPr>
              <w:t>0.2 %</w:t>
            </w: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900" w:type="dxa"/>
            <w:vAlign w:val="bottom"/>
          </w:tcPr>
          <w:p>
            <w:pPr>
              <w:ind w:left="580"/>
              <w:spacing w:after="0"/>
              <w:rPr>
                <w:sz w:val="20"/>
                <w:szCs w:val="20"/>
                <w:color w:val="auto"/>
              </w:rPr>
            </w:pPr>
            <w:r>
              <w:rPr>
                <w:rFonts w:ascii="Arial" w:cs="Arial" w:eastAsia="Arial" w:hAnsi="Arial"/>
                <w:sz w:val="14"/>
                <w:szCs w:val="14"/>
                <w:color w:val="auto"/>
                <w:w w:val="98"/>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66.5 %</w:t>
            </w: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Selling, general and</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99.2</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(1.2)</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0.1</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0.3</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(6.6)</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Selling, general and</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20" w:type="dxa"/>
            <w:vAlign w:val="bottom"/>
          </w:tcPr>
          <w:p>
            <w:pPr>
              <w:ind w:left="20"/>
              <w:spacing w:after="0" w:line="133" w:lineRule="exact"/>
              <w:rPr>
                <w:sz w:val="20"/>
                <w:szCs w:val="20"/>
                <w:color w:val="auto"/>
              </w:rPr>
            </w:pPr>
            <w:r>
              <w:rPr>
                <w:rFonts w:ascii="Arial" w:cs="Arial" w:eastAsia="Arial" w:hAnsi="Arial"/>
                <w:sz w:val="14"/>
                <w:szCs w:val="14"/>
                <w:color w:val="auto"/>
              </w:rPr>
              <w:t>administrative as a</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41.3 %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38.2 %</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Research and</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47.4</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(10.7)</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(0.7)</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Research and</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20" w:type="dxa"/>
            <w:vAlign w:val="bottom"/>
          </w:tcPr>
          <w:p>
            <w:pPr>
              <w:ind w:left="20"/>
              <w:spacing w:after="0" w:line="133" w:lineRule="exact"/>
              <w:rPr>
                <w:sz w:val="20"/>
                <w:szCs w:val="20"/>
                <w:color w:val="auto"/>
              </w:rPr>
            </w:pPr>
            <w:r>
              <w:rPr>
                <w:rFonts w:ascii="Arial" w:cs="Arial" w:eastAsia="Arial" w:hAnsi="Arial"/>
                <w:sz w:val="14"/>
                <w:szCs w:val="14"/>
                <w:color w:val="auto"/>
              </w:rPr>
              <w:t>development as a</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19.7 %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Litigation provision,</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3.0</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(3.0)</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net</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Other operating</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10.4</w:t>
            </w:r>
          </w:p>
        </w:tc>
        <w:tc>
          <w:tcPr>
            <w:tcW w:w="840" w:type="dxa"/>
            <w:vAlign w:val="bottom"/>
            <w:vMerge w:val="restart"/>
          </w:tcPr>
          <w:p>
            <w:pPr>
              <w:jc w:val="right"/>
              <w:ind w:right="91"/>
              <w:spacing w:after="0"/>
              <w:rPr>
                <w:sz w:val="20"/>
                <w:szCs w:val="20"/>
                <w:color w:val="auto"/>
              </w:rPr>
            </w:pPr>
            <w:r>
              <w:rPr>
                <w:rFonts w:ascii="Arial" w:cs="Arial" w:eastAsia="Arial" w:hAnsi="Arial"/>
                <w:sz w:val="14"/>
                <w:szCs w:val="14"/>
                <w:color w:val="auto"/>
              </w:rPr>
              <w:t>(1.1)</w:t>
            </w: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color w:val="auto"/>
              </w:rPr>
              <w:t>0.3</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(9.7)</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Operating (loss)</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20" w:type="dxa"/>
            <w:vAlign w:val="bottom"/>
          </w:tcPr>
          <w:p>
            <w:pPr>
              <w:ind w:left="20"/>
              <w:spacing w:after="0" w:line="133" w:lineRule="exact"/>
              <w:rPr>
                <w:sz w:val="20"/>
                <w:szCs w:val="20"/>
                <w:color w:val="auto"/>
              </w:rPr>
            </w:pPr>
            <w:r>
              <w:rPr>
                <w:rFonts w:ascii="Arial" w:cs="Arial" w:eastAsia="Arial" w:hAnsi="Arial"/>
                <w:sz w:val="14"/>
                <w:szCs w:val="14"/>
                <w:color w:val="auto"/>
              </w:rPr>
              <w:t>income from</w:t>
            </w:r>
          </w:p>
        </w:tc>
        <w:tc>
          <w:tcPr>
            <w:tcW w:w="680" w:type="dxa"/>
            <w:vAlign w:val="bottom"/>
            <w:vMerge w:val="restart"/>
          </w:tcPr>
          <w:p>
            <w:pPr>
              <w:jc w:val="right"/>
              <w:ind w:right="71"/>
              <w:spacing w:after="0"/>
              <w:rPr>
                <w:sz w:val="20"/>
                <w:szCs w:val="20"/>
                <w:color w:val="auto"/>
              </w:rPr>
            </w:pPr>
            <w:r>
              <w:rPr>
                <w:rFonts w:ascii="Arial" w:cs="Arial" w:eastAsia="Arial" w:hAnsi="Arial"/>
                <w:sz w:val="14"/>
                <w:szCs w:val="14"/>
                <w:color w:val="auto"/>
              </w:rPr>
              <w:t>(7.5)</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1.1</w:t>
            </w: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(0.3)</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11.3</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1.1</w:t>
            </w: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(0.1)</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18.7</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7.8</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Operating margin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4.7 %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7.8 %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13.4 %</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percent</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Income tax (benefit)</w:t>
            </w:r>
          </w:p>
        </w:tc>
        <w:tc>
          <w:tcPr>
            <w:tcW w:w="680" w:type="dxa"/>
            <w:vAlign w:val="bottom"/>
            <w:vMerge w:val="restart"/>
          </w:tcPr>
          <w:p>
            <w:pPr>
              <w:jc w:val="right"/>
              <w:ind w:right="71"/>
              <w:spacing w:after="0"/>
              <w:rPr>
                <w:sz w:val="20"/>
                <w:szCs w:val="20"/>
                <w:color w:val="auto"/>
              </w:rPr>
            </w:pPr>
            <w:r>
              <w:rPr>
                <w:rFonts w:ascii="Arial" w:cs="Arial" w:eastAsia="Arial" w:hAnsi="Arial"/>
                <w:sz w:val="14"/>
                <w:szCs w:val="14"/>
                <w:color w:val="auto"/>
              </w:rPr>
              <w:t>(4.0)</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1.5</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0.3</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0.3</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0.4</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2.5</w:t>
            </w:r>
          </w:p>
        </w:tc>
        <w:tc>
          <w:tcPr>
            <w:tcW w:w="900" w:type="dxa"/>
            <w:vAlign w:val="bottom"/>
            <w:vMerge w:val="restart"/>
          </w:tcPr>
          <w:p>
            <w:pPr>
              <w:ind w:left="460"/>
              <w:spacing w:after="0"/>
              <w:rPr>
                <w:sz w:val="20"/>
                <w:szCs w:val="20"/>
                <w:color w:val="auto"/>
              </w:rPr>
            </w:pPr>
            <w:r>
              <w:rPr>
                <w:rFonts w:ascii="Arial" w:cs="Arial" w:eastAsia="Arial" w:hAnsi="Arial"/>
                <w:sz w:val="14"/>
                <w:szCs w:val="14"/>
                <w:color w:val="auto"/>
              </w:rPr>
              <w:t>(0.3)</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expense</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Net (loss) income</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20" w:type="dxa"/>
            <w:vAlign w:val="bottom"/>
          </w:tcPr>
          <w:p>
            <w:pPr>
              <w:ind w:left="20"/>
              <w:spacing w:after="0" w:line="133" w:lineRule="exact"/>
              <w:rPr>
                <w:sz w:val="20"/>
                <w:szCs w:val="20"/>
                <w:color w:val="auto"/>
              </w:rPr>
            </w:pPr>
            <w:r>
              <w:rPr>
                <w:rFonts w:ascii="Arial" w:cs="Arial" w:eastAsia="Arial" w:hAnsi="Arial"/>
                <w:sz w:val="14"/>
                <w:szCs w:val="14"/>
                <w:color w:val="auto"/>
              </w:rPr>
              <w:t>from continuing</w:t>
            </w:r>
          </w:p>
        </w:tc>
        <w:tc>
          <w:tcPr>
            <w:tcW w:w="680" w:type="dxa"/>
            <w:vAlign w:val="bottom"/>
            <w:vMerge w:val="restart"/>
          </w:tcPr>
          <w:p>
            <w:pPr>
              <w:jc w:val="right"/>
              <w:ind w:right="71"/>
              <w:spacing w:after="0"/>
              <w:rPr>
                <w:sz w:val="20"/>
                <w:szCs w:val="20"/>
                <w:color w:val="auto"/>
              </w:rPr>
            </w:pPr>
            <w:r>
              <w:rPr>
                <w:rFonts w:ascii="Arial" w:cs="Arial" w:eastAsia="Arial" w:hAnsi="Arial"/>
                <w:sz w:val="14"/>
                <w:szCs w:val="14"/>
                <w:color w:val="auto"/>
              </w:rPr>
              <w:t>(14.8)</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1.1</w:t>
            </w: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(0.4)</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9.8</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0.8</w:t>
            </w: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(4.8)</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18.4</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7.4</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(2.5)</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3.5</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8" w:lineRule="exact"/>
              <w:rPr>
                <w:sz w:val="20"/>
                <w:szCs w:val="20"/>
                <w:color w:val="auto"/>
              </w:rPr>
            </w:pPr>
            <w:r>
              <w:rPr>
                <w:rFonts w:ascii="Arial" w:cs="Arial" w:eastAsia="Arial" w:hAnsi="Arial"/>
                <w:sz w:val="14"/>
                <w:szCs w:val="14"/>
                <w:color w:val="auto"/>
              </w:rPr>
              <w:t>Diluted EPS -</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20" w:type="dxa"/>
            <w:vAlign w:val="bottom"/>
          </w:tcPr>
          <w:p>
            <w:pPr>
              <w:ind w:left="20"/>
              <w:spacing w:after="0" w:line="133" w:lineRule="exact"/>
              <w:rPr>
                <w:sz w:val="20"/>
                <w:szCs w:val="20"/>
                <w:color w:val="auto"/>
              </w:rPr>
            </w:pPr>
            <w:r>
              <w:rPr>
                <w:rFonts w:ascii="Arial" w:cs="Arial" w:eastAsia="Arial" w:hAnsi="Arial"/>
                <w:sz w:val="14"/>
                <w:szCs w:val="14"/>
                <w:color w:val="auto"/>
              </w:rPr>
              <w:t>Continuing</w:t>
            </w:r>
          </w:p>
        </w:tc>
        <w:tc>
          <w:tcPr>
            <w:tcW w:w="680" w:type="dxa"/>
            <w:vAlign w:val="bottom"/>
            <w:vMerge w:val="restart"/>
          </w:tcPr>
          <w:p>
            <w:pPr>
              <w:jc w:val="right"/>
              <w:ind w:right="71"/>
              <w:spacing w:after="0"/>
              <w:rPr>
                <w:sz w:val="20"/>
                <w:szCs w:val="20"/>
                <w:color w:val="auto"/>
              </w:rPr>
            </w:pPr>
            <w:r>
              <w:rPr>
                <w:rFonts w:ascii="Arial" w:cs="Arial" w:eastAsia="Arial" w:hAnsi="Arial"/>
                <w:sz w:val="14"/>
                <w:szCs w:val="14"/>
                <w:color w:val="auto"/>
              </w:rPr>
              <w:t>($0.30)</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$0.02</w:t>
            </w: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($0.01)</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$0.20</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$0.02</w:t>
            </w: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($0.10)</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$0.38</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$0.15</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($0.05)</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$0.07</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September 30, 2020 include:</w:t>
      </w:r>
    </w:p>
    <w:p>
      <w:pPr>
        <w:spacing w:after="0" w:line="42" w:lineRule="exact"/>
        <w:rPr>
          <w:sz w:val="20"/>
          <w:szCs w:val="20"/>
          <w:color w:val="auto"/>
        </w:rPr>
      </w:pPr>
    </w:p>
    <w:p>
      <w:pPr>
        <w:ind w:left="360" w:hanging="337"/>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24" w:lineRule="exact"/>
        <w:rPr>
          <w:rFonts w:ascii="Arial" w:cs="Arial" w:eastAsia="Arial" w:hAnsi="Arial"/>
          <w:sz w:val="14"/>
          <w:szCs w:val="14"/>
          <w:color w:val="auto"/>
        </w:rPr>
      </w:pPr>
    </w:p>
    <w:p>
      <w:pPr>
        <w:ind w:left="360" w:right="660" w:hanging="337"/>
        <w:spacing w:after="0" w:line="225"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and remeasurement of contingent consideration related to acquisitions</w:t>
      </w:r>
    </w:p>
    <w:p>
      <w:pPr>
        <w:spacing w:after="0" w:line="15" w:lineRule="exact"/>
        <w:rPr>
          <w:rFonts w:ascii="Arial" w:cs="Arial" w:eastAsia="Arial" w:hAnsi="Arial"/>
          <w:sz w:val="14"/>
          <w:szCs w:val="14"/>
          <w:color w:val="auto"/>
        </w:rPr>
      </w:pPr>
    </w:p>
    <w:p>
      <w:pPr>
        <w:ind w:left="360" w:hanging="337"/>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4" w:lineRule="exact"/>
        <w:rPr>
          <w:rFonts w:ascii="Arial" w:cs="Arial" w:eastAsia="Arial" w:hAnsi="Arial"/>
          <w:sz w:val="14"/>
          <w:szCs w:val="14"/>
          <w:color w:val="auto"/>
        </w:rPr>
      </w:pPr>
    </w:p>
    <w:p>
      <w:pPr>
        <w:ind w:left="360" w:right="160" w:hanging="337"/>
        <w:spacing w:after="0" w:line="225"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relates to non-cash interest expense on our Senior Secured Term Loan and Cash Exchangeable Senior Notes, intellectual property migration and interest reversed upon the settlement of a tax litigation matter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201"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4"/>
          <w:szCs w:val="14"/>
          <w:b w:val="1"/>
          <w:bCs w:val="1"/>
          <w:color w:val="auto"/>
        </w:rPr>
        <w:t>Specified Items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1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center"/>
              <w:ind w:right="33"/>
              <w:spacing w:after="0" w:line="113" w:lineRule="exact"/>
              <w:rPr>
                <w:sz w:val="20"/>
                <w:szCs w:val="20"/>
                <w:color w:val="auto"/>
              </w:rPr>
            </w:pPr>
            <w:r>
              <w:rPr>
                <w:rFonts w:ascii="Arial" w:cs="Arial" w:eastAsia="Arial" w:hAnsi="Arial"/>
                <w:sz w:val="12"/>
                <w:szCs w:val="12"/>
                <w:b w:val="1"/>
                <w:bCs w:val="1"/>
                <w:color w:val="auto"/>
              </w:rPr>
              <w:t>Non-recurring</w:t>
            </w:r>
          </w:p>
        </w:tc>
        <w:tc>
          <w:tcPr>
            <w:tcW w:w="10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Depreciation</w:t>
            </w: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jc w:val="center"/>
              <w:ind w:right="13"/>
              <w:spacing w:after="0" w:line="120" w:lineRule="exact"/>
              <w:rPr>
                <w:sz w:val="20"/>
                <w:szCs w:val="20"/>
                <w:color w:val="auto"/>
              </w:rPr>
            </w:pPr>
            <w:r>
              <w:rPr>
                <w:rFonts w:ascii="Arial" w:cs="Arial" w:eastAsia="Arial" w:hAnsi="Arial"/>
                <w:sz w:val="12"/>
                <w:szCs w:val="12"/>
                <w:b w:val="1"/>
                <w:bCs w:val="1"/>
                <w:color w:val="auto"/>
              </w:rPr>
              <w:t>Legal,</w:t>
            </w: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860" w:type="dxa"/>
            <w:vAlign w:val="bottom"/>
          </w:tcPr>
          <w:p>
            <w:pPr>
              <w:spacing w:after="0"/>
              <w:rPr>
                <w:sz w:val="10"/>
                <w:szCs w:val="10"/>
                <w:color w:val="auto"/>
              </w:rPr>
            </w:pPr>
          </w:p>
        </w:tc>
        <w:tc>
          <w:tcPr>
            <w:tcW w:w="1040" w:type="dxa"/>
            <w:vAlign w:val="bottom"/>
          </w:tcPr>
          <w:p>
            <w:pPr>
              <w:jc w:val="center"/>
              <w:ind w:right="33"/>
              <w:spacing w:after="0" w:line="120" w:lineRule="exact"/>
              <w:rPr>
                <w:sz w:val="20"/>
                <w:szCs w:val="20"/>
                <w:color w:val="auto"/>
              </w:rPr>
            </w:pPr>
            <w:r>
              <w:rPr>
                <w:rFonts w:ascii="Arial" w:cs="Arial" w:eastAsia="Arial" w:hAnsi="Arial"/>
                <w:sz w:val="12"/>
                <w:szCs w:val="12"/>
                <w:b w:val="1"/>
                <w:bCs w:val="1"/>
                <w:color w:val="auto"/>
              </w:rPr>
              <w:t>Contingent</w:t>
            </w: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4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and</w:t>
            </w:r>
          </w:p>
        </w:tc>
        <w:tc>
          <w:tcPr>
            <w:tcW w:w="900" w:type="dxa"/>
            <w:vAlign w:val="bottom"/>
            <w:vMerge w:val="continue"/>
          </w:tcPr>
          <w:p>
            <w:pPr>
              <w:spacing w:after="0"/>
              <w:rPr>
                <w:sz w:val="10"/>
                <w:szCs w:val="10"/>
                <w:color w:val="auto"/>
              </w:rPr>
            </w:pPr>
          </w:p>
        </w:tc>
        <w:tc>
          <w:tcPr>
            <w:tcW w:w="860" w:type="dxa"/>
            <w:vAlign w:val="bottom"/>
            <w:vMerge w:val="restart"/>
          </w:tcPr>
          <w:p>
            <w:pPr>
              <w:jc w:val="center"/>
              <w:ind w:right="11"/>
              <w:spacing w:after="0"/>
              <w:rPr>
                <w:sz w:val="20"/>
                <w:szCs w:val="20"/>
                <w:color w:val="auto"/>
              </w:rPr>
            </w:pPr>
            <w:r>
              <w:rPr>
                <w:rFonts w:ascii="Arial" w:cs="Arial" w:eastAsia="Arial" w:hAnsi="Arial"/>
                <w:sz w:val="12"/>
                <w:szCs w:val="12"/>
                <w:b w:val="1"/>
                <w:bCs w:val="1"/>
                <w:color w:val="auto"/>
              </w:rPr>
              <w:t>Acquisition</w:t>
            </w:r>
          </w:p>
        </w:tc>
        <w:tc>
          <w:tcPr>
            <w:tcW w:w="1040" w:type="dxa"/>
            <w:vAlign w:val="bottom"/>
          </w:tcPr>
          <w:p>
            <w:pPr>
              <w:jc w:val="center"/>
              <w:ind w:right="33"/>
              <w:spacing w:after="0" w:line="120" w:lineRule="exact"/>
              <w:rPr>
                <w:sz w:val="20"/>
                <w:szCs w:val="20"/>
                <w:color w:val="auto"/>
              </w:rPr>
            </w:pPr>
            <w:r>
              <w:rPr>
                <w:rFonts w:ascii="Arial" w:cs="Arial" w:eastAsia="Arial" w:hAnsi="Arial"/>
                <w:sz w:val="12"/>
                <w:szCs w:val="12"/>
                <w:b w:val="1"/>
                <w:bCs w:val="1"/>
                <w:color w:val="auto"/>
              </w:rPr>
              <w:t>Consideration</w:t>
            </w:r>
          </w:p>
        </w:tc>
        <w:tc>
          <w:tcPr>
            <w:tcW w:w="10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880" w:type="dxa"/>
            <w:vAlign w:val="bottom"/>
            <w:vMerge w:val="continue"/>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9"/>
        </w:trPr>
        <w:tc>
          <w:tcPr>
            <w:tcW w:w="14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Integration</w:t>
            </w:r>
          </w:p>
        </w:tc>
        <w:tc>
          <w:tcPr>
            <w:tcW w:w="960" w:type="dxa"/>
            <w:vAlign w:val="bottom"/>
            <w:vMerge w:val="continue"/>
          </w:tcPr>
          <w:p>
            <w:pPr>
              <w:spacing w:after="0"/>
              <w:rPr>
                <w:sz w:val="10"/>
                <w:szCs w:val="10"/>
                <w:color w:val="auto"/>
              </w:rPr>
            </w:pPr>
          </w:p>
        </w:tc>
        <w:tc>
          <w:tcPr>
            <w:tcW w:w="9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Amortization</w:t>
            </w: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Remediation</w:t>
            </w:r>
          </w:p>
        </w:tc>
        <w:tc>
          <w:tcPr>
            <w:tcW w:w="860" w:type="dxa"/>
            <w:vAlign w:val="bottom"/>
            <w:vMerge w:val="continue"/>
          </w:tcPr>
          <w:p>
            <w:pPr>
              <w:spacing w:after="0"/>
              <w:rPr>
                <w:sz w:val="10"/>
                <w:szCs w:val="10"/>
                <w:color w:val="auto"/>
              </w:rPr>
            </w:pPr>
          </w:p>
        </w:tc>
        <w:tc>
          <w:tcPr>
            <w:tcW w:w="1040" w:type="dxa"/>
            <w:vAlign w:val="bottom"/>
          </w:tcPr>
          <w:p>
            <w:pPr>
              <w:jc w:val="center"/>
              <w:ind w:right="33"/>
              <w:spacing w:after="0" w:line="120" w:lineRule="exact"/>
              <w:rPr>
                <w:sz w:val="20"/>
                <w:szCs w:val="20"/>
                <w:color w:val="auto"/>
              </w:rPr>
            </w:pPr>
            <w:r>
              <w:rPr>
                <w:rFonts w:ascii="Arial" w:cs="Arial" w:eastAsia="Arial" w:hAnsi="Arial"/>
                <w:sz w:val="12"/>
                <w:szCs w:val="12"/>
                <w:b w:val="1"/>
                <w:bCs w:val="1"/>
                <w:color w:val="auto"/>
              </w:rPr>
              <w:t>and Other</w:t>
            </w:r>
          </w:p>
        </w:tc>
        <w:tc>
          <w:tcPr>
            <w:tcW w:w="1020" w:type="dxa"/>
            <w:vAlign w:val="bottom"/>
          </w:tcPr>
          <w:p>
            <w:pPr>
              <w:jc w:val="center"/>
              <w:ind w:right="12"/>
              <w:spacing w:after="0" w:line="120"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4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Ended</w:t>
            </w:r>
          </w:p>
        </w:tc>
        <w:tc>
          <w:tcPr>
            <w:tcW w:w="7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Financial</w:t>
            </w: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Expenses</w:t>
            </w:r>
          </w:p>
        </w:tc>
        <w:tc>
          <w:tcPr>
            <w:tcW w:w="96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ind w:right="32"/>
              <w:spacing w:after="0" w:line="120" w:lineRule="exact"/>
              <w:rPr>
                <w:sz w:val="20"/>
                <w:szCs w:val="20"/>
                <w:color w:val="auto"/>
              </w:rPr>
            </w:pPr>
            <w:r>
              <w:rPr>
                <w:rFonts w:ascii="Arial" w:cs="Arial" w:eastAsia="Arial" w:hAnsi="Arial"/>
                <w:sz w:val="12"/>
                <w:szCs w:val="12"/>
                <w:b w:val="1"/>
                <w:bCs w:val="1"/>
                <w:color w:val="auto"/>
              </w:rPr>
              <w:t>Expenses</w:t>
            </w:r>
          </w:p>
        </w:tc>
        <w:tc>
          <w:tcPr>
            <w:tcW w:w="900" w:type="dxa"/>
            <w:vAlign w:val="bottom"/>
          </w:tcPr>
          <w:p>
            <w:pPr>
              <w:jc w:val="center"/>
              <w:ind w:right="12"/>
              <w:spacing w:after="0" w:line="120" w:lineRule="exact"/>
              <w:rPr>
                <w:sz w:val="20"/>
                <w:szCs w:val="20"/>
                <w:color w:val="auto"/>
              </w:rPr>
            </w:pPr>
            <w:r>
              <w:rPr>
                <w:rFonts w:ascii="Arial" w:cs="Arial" w:eastAsia="Arial" w:hAnsi="Arial"/>
                <w:sz w:val="12"/>
                <w:szCs w:val="12"/>
                <w:b w:val="1"/>
                <w:bCs w:val="1"/>
                <w:color w:val="auto"/>
              </w:rPr>
              <w:t>Expenses</w:t>
            </w:r>
          </w:p>
        </w:tc>
        <w:tc>
          <w:tcPr>
            <w:tcW w:w="860" w:type="dxa"/>
            <w:vAlign w:val="bottom"/>
          </w:tcPr>
          <w:p>
            <w:pPr>
              <w:jc w:val="center"/>
              <w:ind w:right="51"/>
              <w:spacing w:after="0" w:line="120" w:lineRule="exact"/>
              <w:rPr>
                <w:sz w:val="20"/>
                <w:szCs w:val="20"/>
                <w:color w:val="auto"/>
              </w:rPr>
            </w:pPr>
            <w:r>
              <w:rPr>
                <w:rFonts w:ascii="Arial" w:cs="Arial" w:eastAsia="Arial" w:hAnsi="Arial"/>
                <w:sz w:val="12"/>
                <w:szCs w:val="12"/>
                <w:b w:val="1"/>
                <w:bCs w:val="1"/>
                <w:color w:val="auto"/>
              </w:rPr>
              <w:t>Costs</w:t>
            </w:r>
          </w:p>
        </w:tc>
        <w:tc>
          <w:tcPr>
            <w:tcW w:w="1040" w:type="dxa"/>
            <w:vAlign w:val="bottom"/>
          </w:tcPr>
          <w:p>
            <w:pPr>
              <w:jc w:val="center"/>
              <w:ind w:right="33"/>
              <w:spacing w:after="0" w:line="120" w:lineRule="exact"/>
              <w:rPr>
                <w:sz w:val="20"/>
                <w:szCs w:val="20"/>
                <w:color w:val="auto"/>
              </w:rPr>
            </w:pPr>
            <w:r>
              <w:rPr>
                <w:rFonts w:ascii="Arial" w:cs="Arial" w:eastAsia="Arial" w:hAnsi="Arial"/>
                <w:sz w:val="12"/>
                <w:szCs w:val="12"/>
                <w:b w:val="1"/>
                <w:bCs w:val="1"/>
                <w:color w:val="auto"/>
              </w:rPr>
              <w:t>Reserves</w:t>
            </w:r>
          </w:p>
        </w:tc>
        <w:tc>
          <w:tcPr>
            <w:tcW w:w="1020" w:type="dxa"/>
            <w:vAlign w:val="bottom"/>
          </w:tcPr>
          <w:p>
            <w:pPr>
              <w:jc w:val="center"/>
              <w:ind w:right="32"/>
              <w:spacing w:after="0" w:line="120"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Adjustments</w:t>
            </w:r>
          </w:p>
        </w:tc>
        <w:tc>
          <w:tcPr>
            <w:tcW w:w="740" w:type="dxa"/>
            <w:vAlign w:val="bottom"/>
          </w:tcPr>
          <w:p>
            <w:pPr>
              <w:ind w:left="100"/>
              <w:spacing w:after="0" w:line="120"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2"/>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2019</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w:t>
            </w: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9"/>
              </w:rPr>
              <w:t>(E)</w:t>
            </w:r>
          </w:p>
        </w:tc>
        <w:tc>
          <w:tcPr>
            <w:tcW w:w="104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rPr>
              <w:t>(F)</w:t>
            </w: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rPr>
              <w:t>(G)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4"/>
                <w:szCs w:val="14"/>
                <w:color w:val="auto"/>
              </w:rPr>
              <w:t>Cost of sales -</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40" w:type="dxa"/>
            <w:vAlign w:val="bottom"/>
          </w:tcPr>
          <w:p>
            <w:pPr>
              <w:ind w:left="20"/>
              <w:spacing w:after="0" w:line="133" w:lineRule="exact"/>
              <w:rPr>
                <w:sz w:val="20"/>
                <w:szCs w:val="20"/>
                <w:color w:val="auto"/>
              </w:rPr>
            </w:pPr>
            <w:r>
              <w:rPr>
                <w:rFonts w:ascii="Arial" w:cs="Arial" w:eastAsia="Arial" w:hAnsi="Arial"/>
                <w:sz w:val="14"/>
                <w:szCs w:val="14"/>
                <w:color w:val="auto"/>
              </w:rPr>
              <w:t>exclusive of</w:t>
            </w: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color w:val="auto"/>
              </w:rPr>
              <w:t>$86.1</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($0.6)</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color w:val="auto"/>
              </w:rPr>
              <w:t>($5.0)</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40" w:type="dxa"/>
            <w:vAlign w:val="bottom"/>
          </w:tcPr>
          <w:p>
            <w:pPr>
              <w:ind w:left="20"/>
              <w:spacing w:after="0"/>
              <w:rPr>
                <w:sz w:val="20"/>
                <w:szCs w:val="20"/>
                <w:color w:val="auto"/>
              </w:rPr>
            </w:pPr>
            <w:r>
              <w:rPr>
                <w:rFonts w:ascii="Arial" w:cs="Arial" w:eastAsia="Arial" w:hAnsi="Arial"/>
                <w:sz w:val="14"/>
                <w:szCs w:val="14"/>
                <w:color w:val="auto"/>
              </w:rPr>
              <w:t>Product remediation</w:t>
            </w: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3.1</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2"/>
              <w:spacing w:after="0"/>
              <w:rPr>
                <w:sz w:val="20"/>
                <w:szCs w:val="20"/>
                <w:color w:val="auto"/>
              </w:rPr>
            </w:pPr>
            <w:r>
              <w:rPr>
                <w:rFonts w:ascii="Arial" w:cs="Arial" w:eastAsia="Arial" w:hAnsi="Arial"/>
                <w:sz w:val="14"/>
                <w:szCs w:val="14"/>
                <w:color w:val="auto"/>
              </w:rPr>
              <w:t>(3.1)</w:t>
            </w:r>
          </w:p>
        </w:tc>
        <w:tc>
          <w:tcPr>
            <w:tcW w:w="86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tcPr>
          <w:p>
            <w:pPr>
              <w:ind w:left="5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44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66.8 %</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0.2 %</w:t>
            </w:r>
          </w:p>
        </w:tc>
        <w:tc>
          <w:tcPr>
            <w:tcW w:w="900" w:type="dxa"/>
            <w:vAlign w:val="bottom"/>
          </w:tcPr>
          <w:p>
            <w:pPr>
              <w:jc w:val="right"/>
              <w:spacing w:after="0"/>
              <w:rPr>
                <w:sz w:val="20"/>
                <w:szCs w:val="20"/>
                <w:color w:val="auto"/>
              </w:rPr>
            </w:pPr>
            <w:r>
              <w:rPr>
                <w:rFonts w:ascii="Arial" w:cs="Arial" w:eastAsia="Arial" w:hAnsi="Arial"/>
                <w:sz w:val="14"/>
                <w:szCs w:val="14"/>
                <w:color w:val="auto"/>
              </w:rPr>
              <w:t>1.1 %</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 %</w:t>
            </w:r>
          </w:p>
        </w:tc>
        <w:tc>
          <w:tcPr>
            <w:tcW w:w="1040" w:type="dxa"/>
            <w:vAlign w:val="bottom"/>
          </w:tcPr>
          <w:p>
            <w:pPr>
              <w:jc w:val="right"/>
              <w:spacing w:after="0"/>
              <w:rPr>
                <w:sz w:val="20"/>
                <w:szCs w:val="20"/>
                <w:color w:val="auto"/>
              </w:rPr>
            </w:pPr>
            <w:r>
              <w:rPr>
                <w:rFonts w:ascii="Arial" w:cs="Arial" w:eastAsia="Arial" w:hAnsi="Arial"/>
                <w:sz w:val="14"/>
                <w:szCs w:val="14"/>
                <w:color w:val="auto"/>
              </w:rPr>
              <w:t>1.9 %</w:t>
            </w: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70.1 %</w:t>
            </w: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Selling, general and</w:t>
            </w: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color w:val="auto"/>
              </w:rPr>
              <w:t>123.0</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(0.1)</w:t>
            </w: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color w:val="auto"/>
              </w:rPr>
              <w:t>(14.4)</w:t>
            </w:r>
          </w:p>
        </w:tc>
        <w:tc>
          <w:tcPr>
            <w:tcW w:w="1020" w:type="dxa"/>
            <w:vAlign w:val="bottom"/>
            <w:vMerge w:val="restart"/>
          </w:tcPr>
          <w:p>
            <w:pPr>
              <w:jc w:val="right"/>
              <w:ind w:right="112"/>
              <w:spacing w:after="0"/>
              <w:rPr>
                <w:sz w:val="20"/>
                <w:szCs w:val="20"/>
                <w:color w:val="auto"/>
              </w:rPr>
            </w:pPr>
            <w:r>
              <w:rPr>
                <w:rFonts w:ascii="Arial" w:cs="Arial" w:eastAsia="Arial" w:hAnsi="Arial"/>
                <w:sz w:val="14"/>
                <w:szCs w:val="14"/>
                <w:color w:val="auto"/>
              </w:rPr>
              <w:t>(6.9)</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Selling, general and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40" w:type="dxa"/>
            <w:vAlign w:val="bottom"/>
          </w:tcPr>
          <w:p>
            <w:pPr>
              <w:ind w:left="20"/>
              <w:spacing w:after="0" w:line="133" w:lineRule="exact"/>
              <w:rPr>
                <w:sz w:val="20"/>
                <w:szCs w:val="20"/>
                <w:color w:val="auto"/>
              </w:rPr>
            </w:pPr>
            <w:r>
              <w:rPr>
                <w:rFonts w:ascii="Arial" w:cs="Arial" w:eastAsia="Arial" w:hAnsi="Arial"/>
                <w:sz w:val="14"/>
                <w:szCs w:val="14"/>
                <w:color w:val="auto"/>
              </w:rPr>
              <w:t>administrative as a</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45.8 %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 %</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37.8 %</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Research and</w:t>
            </w: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color w:val="auto"/>
              </w:rPr>
              <w:t>45.9</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color w:val="auto"/>
              </w:rPr>
              <w:t>0.4</w:t>
            </w: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color w:val="auto"/>
              </w:rPr>
              <w:t>(5.9)</w:t>
            </w:r>
          </w:p>
        </w:tc>
        <w:tc>
          <w:tcPr>
            <w:tcW w:w="1020" w:type="dxa"/>
            <w:vAlign w:val="bottom"/>
            <w:vMerge w:val="restart"/>
          </w:tcPr>
          <w:p>
            <w:pPr>
              <w:jc w:val="right"/>
              <w:ind w:right="112"/>
              <w:spacing w:after="0"/>
              <w:rPr>
                <w:sz w:val="20"/>
                <w:szCs w:val="20"/>
                <w:color w:val="auto"/>
              </w:rPr>
            </w:pPr>
            <w:r>
              <w:rPr>
                <w:rFonts w:ascii="Arial" w:cs="Arial" w:eastAsia="Arial" w:hAnsi="Arial"/>
                <w:sz w:val="14"/>
                <w:szCs w:val="14"/>
                <w:color w:val="auto"/>
              </w:rPr>
              <w:t>(1.6)</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40" w:type="dxa"/>
            <w:vAlign w:val="bottom"/>
          </w:tcPr>
          <w:p>
            <w:pPr>
              <w:ind w:left="20"/>
              <w:spacing w:after="0" w:line="133" w:lineRule="exact"/>
              <w:rPr>
                <w:sz w:val="20"/>
                <w:szCs w:val="20"/>
                <w:color w:val="auto"/>
              </w:rPr>
            </w:pPr>
            <w:r>
              <w:rPr>
                <w:rFonts w:ascii="Arial" w:cs="Arial" w:eastAsia="Arial" w:hAnsi="Arial"/>
                <w:sz w:val="14"/>
                <w:szCs w:val="14"/>
                <w:color w:val="auto"/>
              </w:rPr>
              <w:t>development as a</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17.1 %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0.2 %</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Other operating</w:t>
            </w: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(15.3)</w:t>
            </w: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color w:val="auto"/>
              </w:rPr>
              <w:t>(6.7)</w:t>
            </w:r>
          </w:p>
        </w:tc>
        <w:tc>
          <w:tcPr>
            <w:tcW w:w="960" w:type="dxa"/>
            <w:vAlign w:val="bottom"/>
            <w:vMerge w:val="restart"/>
          </w:tcPr>
          <w:p>
            <w:pPr>
              <w:jc w:val="right"/>
              <w:ind w:right="91"/>
              <w:spacing w:after="0"/>
              <w:rPr>
                <w:sz w:val="20"/>
                <w:szCs w:val="20"/>
                <w:color w:val="auto"/>
              </w:rPr>
            </w:pPr>
            <w:r>
              <w:rPr>
                <w:rFonts w:ascii="Arial" w:cs="Arial" w:eastAsia="Arial" w:hAnsi="Arial"/>
                <w:sz w:val="14"/>
                <w:szCs w:val="14"/>
                <w:color w:val="auto"/>
              </w:rPr>
              <w:t>(0.7)</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(11.1)</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53"/>
              <w:spacing w:after="0"/>
              <w:rPr>
                <w:sz w:val="20"/>
                <w:szCs w:val="20"/>
                <w:color w:val="auto"/>
              </w:rPr>
            </w:pPr>
            <w:r>
              <w:rPr>
                <w:rFonts w:ascii="Arial" w:cs="Arial" w:eastAsia="Arial" w:hAnsi="Arial"/>
                <w:sz w:val="14"/>
                <w:szCs w:val="14"/>
                <w:color w:val="auto"/>
              </w:rPr>
              <w:t>33.8</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expenses</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Operating income</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40" w:type="dxa"/>
            <w:vAlign w:val="bottom"/>
          </w:tcPr>
          <w:p>
            <w:pPr>
              <w:ind w:left="20"/>
              <w:spacing w:after="0" w:line="133" w:lineRule="exact"/>
              <w:rPr>
                <w:sz w:val="20"/>
                <w:szCs w:val="20"/>
                <w:color w:val="auto"/>
              </w:rPr>
            </w:pPr>
            <w:r>
              <w:rPr>
                <w:rFonts w:ascii="Arial" w:cs="Arial" w:eastAsia="Arial" w:hAnsi="Arial"/>
                <w:sz w:val="14"/>
                <w:szCs w:val="14"/>
                <w:color w:val="auto"/>
              </w:rPr>
              <w:t>from continuing</w:t>
            </w: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color w:val="auto"/>
              </w:rPr>
              <w:t>25.8</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6.7</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0.7</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12.0</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3.1</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(0.4)</w:t>
            </w: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color w:val="auto"/>
              </w:rPr>
              <w:t>(8.5)</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8.5</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Operating margin</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9.6 %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4.5 %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1.1 %</w:t>
            </w: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(0.1)%</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3.2 %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17.8 %</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percent</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Income tax (benefit)</w:t>
            </w: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(10.7)</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1.6</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0.2</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3.1</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1.0</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(0.1)</w:t>
            </w: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color w:val="auto"/>
              </w:rPr>
              <w:t>(4.2)</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2.0</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11.8</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0.5</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expense</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Net income from</w:t>
            </w: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color w:val="auto"/>
              </w:rPr>
              <w:t>32.1</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5.2</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0.5</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8.9</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2.1</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(0.3)</w:t>
            </w: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color w:val="auto"/>
              </w:rPr>
              <w:t>(4.3)</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6.5</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(11.8)</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1.9</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4"/>
                <w:szCs w:val="14"/>
                <w:color w:val="auto"/>
              </w:rPr>
              <w:t>Diluted EPS -</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40" w:type="dxa"/>
            <w:vAlign w:val="bottom"/>
          </w:tcPr>
          <w:p>
            <w:pPr>
              <w:ind w:left="20"/>
              <w:spacing w:after="0" w:line="133" w:lineRule="exact"/>
              <w:rPr>
                <w:sz w:val="20"/>
                <w:szCs w:val="20"/>
                <w:color w:val="auto"/>
              </w:rPr>
            </w:pPr>
            <w:r>
              <w:rPr>
                <w:rFonts w:ascii="Arial" w:cs="Arial" w:eastAsia="Arial" w:hAnsi="Arial"/>
                <w:sz w:val="14"/>
                <w:szCs w:val="14"/>
                <w:color w:val="auto"/>
              </w:rPr>
              <w:t>Continuing</w:t>
            </w: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color w:val="auto"/>
              </w:rPr>
              <w:t>$0.66</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$0.11</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$0.01</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$0.18</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$0.04</w:t>
            </w: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color w:val="auto"/>
              </w:rPr>
              <w:t>($0.01)</w:t>
            </w: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color w:val="auto"/>
              </w:rPr>
              <w:t>($0.09)</w:t>
            </w:r>
          </w:p>
        </w:tc>
        <w:tc>
          <w:tcPr>
            <w:tcW w:w="1020" w:type="dxa"/>
            <w:vAlign w:val="bottom"/>
            <w:vMerge w:val="restart"/>
          </w:tcPr>
          <w:p>
            <w:pPr>
              <w:jc w:val="right"/>
              <w:ind w:right="152"/>
              <w:spacing w:after="0"/>
              <w:rPr>
                <w:sz w:val="20"/>
                <w:szCs w:val="20"/>
                <w:color w:val="auto"/>
              </w:rPr>
            </w:pPr>
            <w:r>
              <w:rPr>
                <w:rFonts w:ascii="Arial" w:cs="Arial" w:eastAsia="Arial" w:hAnsi="Arial"/>
                <w:sz w:val="14"/>
                <w:szCs w:val="14"/>
                <w:color w:val="auto"/>
              </w:rPr>
              <w:t>$0.13</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($0.24)</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$0.04</w:t>
            </w: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September 30, 2019 include:</w:t>
      </w:r>
    </w:p>
    <w:p>
      <w:pPr>
        <w:spacing w:after="0" w:line="42" w:lineRule="exact"/>
        <w:rPr>
          <w:sz w:val="20"/>
          <w:szCs w:val="20"/>
          <w:color w:val="auto"/>
        </w:rPr>
      </w:pPr>
    </w:p>
    <w:p>
      <w:pPr>
        <w:ind w:left="360" w:hanging="337"/>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relates to contingent consideration related to acquisitions, legal expenses related to 3T Heater-Cooler defense and other matters and insurance recovery</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interest related to 3T Heater-Cooler litigation settlement and other non-recurring impacts to interest expense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up precisely due to rounding.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201"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4"/>
          <w:szCs w:val="14"/>
          <w:b w:val="1"/>
          <w:bCs w:val="1"/>
          <w:color w:val="auto"/>
        </w:rPr>
        <w:t>Specified Items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1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Depreciation</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9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Non-recurring</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00" w:type="dxa"/>
            <w:vAlign w:val="bottom"/>
          </w:tcPr>
          <w:p>
            <w:pPr>
              <w:jc w:val="center"/>
              <w:ind w:right="12"/>
              <w:spacing w:after="0" w:line="120" w:lineRule="exact"/>
              <w:rPr>
                <w:sz w:val="20"/>
                <w:szCs w:val="20"/>
                <w:color w:val="auto"/>
              </w:rPr>
            </w:pPr>
            <w:r>
              <w:rPr>
                <w:rFonts w:ascii="Arial" w:cs="Arial" w:eastAsia="Arial" w:hAnsi="Arial"/>
                <w:sz w:val="12"/>
                <w:szCs w:val="12"/>
                <w:b w:val="1"/>
                <w:bCs w:val="1"/>
                <w:color w:val="auto"/>
              </w:rPr>
              <w:t>and</w:t>
            </w:r>
          </w:p>
        </w:tc>
        <w:tc>
          <w:tcPr>
            <w:tcW w:w="9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9"/>
              </w:rPr>
              <w:t>Legal and</w:t>
            </w:r>
          </w:p>
        </w:tc>
        <w:tc>
          <w:tcPr>
            <w:tcW w:w="10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900" w:type="dxa"/>
            <w:vAlign w:val="bottom"/>
            <w:vMerge w:val="continue"/>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9"/>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vMerge w:val="continue"/>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Integration</w:t>
            </w:r>
          </w:p>
        </w:tc>
        <w:tc>
          <w:tcPr>
            <w:tcW w:w="980" w:type="dxa"/>
            <w:vAlign w:val="bottom"/>
            <w:vMerge w:val="continue"/>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Amortization</w:t>
            </w: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Remediation</w:t>
            </w:r>
          </w:p>
        </w:tc>
        <w:tc>
          <w:tcPr>
            <w:tcW w:w="920" w:type="dxa"/>
            <w:vAlign w:val="bottom"/>
            <w:vMerge w:val="continue"/>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Contingent</w:t>
            </w:r>
          </w:p>
        </w:tc>
        <w:tc>
          <w:tcPr>
            <w:tcW w:w="10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Interest</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520" w:type="dxa"/>
            <w:vAlign w:val="bottom"/>
            <w:vMerge w:val="continue"/>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9"/>
              </w:rPr>
              <w:t>Financial</w:t>
            </w: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Expenses</w:t>
            </w:r>
          </w:p>
        </w:tc>
        <w:tc>
          <w:tcPr>
            <w:tcW w:w="98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rPr>
              <w:t>Expenses</w:t>
            </w:r>
          </w:p>
        </w:tc>
        <w:tc>
          <w:tcPr>
            <w:tcW w:w="900" w:type="dxa"/>
            <w:vAlign w:val="bottom"/>
          </w:tcPr>
          <w:p>
            <w:pPr>
              <w:jc w:val="center"/>
              <w:ind w:right="12"/>
              <w:spacing w:after="0" w:line="120" w:lineRule="exact"/>
              <w:rPr>
                <w:sz w:val="20"/>
                <w:szCs w:val="20"/>
                <w:color w:val="auto"/>
              </w:rPr>
            </w:pPr>
            <w:r>
              <w:rPr>
                <w:rFonts w:ascii="Arial" w:cs="Arial" w:eastAsia="Arial" w:hAnsi="Arial"/>
                <w:sz w:val="12"/>
                <w:szCs w:val="12"/>
                <w:b w:val="1"/>
                <w:bCs w:val="1"/>
                <w:color w:val="auto"/>
              </w:rPr>
              <w:t>Expenses</w:t>
            </w:r>
          </w:p>
        </w:tc>
        <w:tc>
          <w:tcPr>
            <w:tcW w:w="90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jc w:val="center"/>
              <w:ind w:right="12"/>
              <w:spacing w:after="0" w:line="120" w:lineRule="exact"/>
              <w:rPr>
                <w:sz w:val="20"/>
                <w:szCs w:val="20"/>
                <w:color w:val="auto"/>
              </w:rPr>
            </w:pPr>
            <w:r>
              <w:rPr>
                <w:rFonts w:ascii="Arial" w:cs="Arial" w:eastAsia="Arial" w:hAnsi="Arial"/>
                <w:sz w:val="12"/>
                <w:szCs w:val="12"/>
                <w:b w:val="1"/>
                <w:bCs w:val="1"/>
                <w:color w:val="auto"/>
              </w:rPr>
              <w:t>Consideration</w:t>
            </w:r>
          </w:p>
        </w:tc>
        <w:tc>
          <w:tcPr>
            <w:tcW w:w="102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rPr>
              <w:t>Adjustments</w:t>
            </w: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Adjustments</w:t>
            </w:r>
          </w:p>
        </w:tc>
        <w:tc>
          <w:tcPr>
            <w:tcW w:w="68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2"/>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2020</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43"/>
        </w:trPr>
        <w:tc>
          <w:tcPr>
            <w:tcW w:w="1520" w:type="dxa"/>
            <w:vAlign w:val="bottom"/>
          </w:tcPr>
          <w:p>
            <w:pPr>
              <w:ind w:left="20"/>
              <w:spacing w:after="0" w:line="143" w:lineRule="exact"/>
              <w:rPr>
                <w:sz w:val="20"/>
                <w:szCs w:val="20"/>
                <w:color w:val="auto"/>
              </w:rPr>
            </w:pPr>
            <w:r>
              <w:rPr>
                <w:rFonts w:ascii="Arial" w:cs="Arial" w:eastAsia="Arial" w:hAnsi="Arial"/>
                <w:sz w:val="14"/>
                <w:szCs w:val="14"/>
                <w:color w:val="auto"/>
              </w:rPr>
              <w:t>Cost of sales -</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20" w:type="dxa"/>
            <w:vAlign w:val="bottom"/>
          </w:tcPr>
          <w:p>
            <w:pPr>
              <w:ind w:left="20"/>
              <w:spacing w:after="0" w:line="133" w:lineRule="exact"/>
              <w:rPr>
                <w:sz w:val="20"/>
                <w:szCs w:val="20"/>
                <w:color w:val="auto"/>
              </w:rPr>
            </w:pPr>
            <w:r>
              <w:rPr>
                <w:rFonts w:ascii="Arial" w:cs="Arial" w:eastAsia="Arial" w:hAnsi="Arial"/>
                <w:sz w:val="14"/>
                <w:szCs w:val="14"/>
                <w:color w:val="auto"/>
              </w:rPr>
              <w:t>exclusive of</w:t>
            </w: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color w:val="auto"/>
              </w:rPr>
              <w:t>$212.2</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($1.0)</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$18.9</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($1.4)</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$228.6</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20" w:type="dxa"/>
            <w:vAlign w:val="bottom"/>
          </w:tcPr>
          <w:p>
            <w:pPr>
              <w:ind w:left="20"/>
              <w:spacing w:after="0"/>
              <w:rPr>
                <w:sz w:val="20"/>
                <w:szCs w:val="20"/>
                <w:color w:val="auto"/>
              </w:rPr>
            </w:pPr>
            <w:r>
              <w:rPr>
                <w:rFonts w:ascii="Arial" w:cs="Arial" w:eastAsia="Arial" w:hAnsi="Arial"/>
                <w:sz w:val="14"/>
                <w:szCs w:val="14"/>
                <w:color w:val="auto"/>
              </w:rPr>
              <w:t>Product remediation</w:t>
            </w: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6.9</w:t>
            </w:r>
          </w:p>
        </w:tc>
        <w:tc>
          <w:tcPr>
            <w:tcW w:w="8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(6.9)</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tcPr>
          <w:p>
            <w:pPr>
              <w:ind w:left="58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52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660" w:type="dxa"/>
            <w:vAlign w:val="bottom"/>
          </w:tcPr>
          <w:p>
            <w:pPr>
              <w:jc w:val="right"/>
              <w:spacing w:after="0"/>
              <w:rPr>
                <w:sz w:val="20"/>
                <w:szCs w:val="20"/>
                <w:color w:val="auto"/>
              </w:rPr>
            </w:pPr>
            <w:r>
              <w:rPr>
                <w:rFonts w:ascii="Arial" w:cs="Arial" w:eastAsia="Arial" w:hAnsi="Arial"/>
                <w:sz w:val="14"/>
                <w:szCs w:val="14"/>
                <w:color w:val="auto"/>
              </w:rPr>
              <w:t>67.0 %</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0.2 %</w:t>
            </w:r>
          </w:p>
        </w:tc>
        <w:tc>
          <w:tcPr>
            <w:tcW w:w="900" w:type="dxa"/>
            <w:vAlign w:val="bottom"/>
          </w:tcPr>
          <w:p>
            <w:pPr>
              <w:jc w:val="right"/>
              <w:spacing w:after="0"/>
              <w:rPr>
                <w:sz w:val="20"/>
                <w:szCs w:val="20"/>
                <w:color w:val="auto"/>
              </w:rPr>
            </w:pPr>
            <w:r>
              <w:rPr>
                <w:rFonts w:ascii="Arial" w:cs="Arial" w:eastAsia="Arial" w:hAnsi="Arial"/>
                <w:sz w:val="14"/>
                <w:szCs w:val="14"/>
                <w:color w:val="auto"/>
              </w:rPr>
              <w:t>1.0 %</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1020" w:type="dxa"/>
            <w:vAlign w:val="bottom"/>
          </w:tcPr>
          <w:p>
            <w:pPr>
              <w:jc w:val="right"/>
              <w:spacing w:after="0"/>
              <w:rPr>
                <w:sz w:val="20"/>
                <w:szCs w:val="20"/>
                <w:color w:val="auto"/>
              </w:rPr>
            </w:pPr>
            <w:r>
              <w:rPr>
                <w:rFonts w:ascii="Arial" w:cs="Arial" w:eastAsia="Arial" w:hAnsi="Arial"/>
                <w:sz w:val="14"/>
                <w:szCs w:val="14"/>
                <w:color w:val="auto"/>
              </w:rPr>
              <w:t>0.2 %</w:t>
            </w:r>
          </w:p>
        </w:tc>
        <w:tc>
          <w:tcPr>
            <w:tcW w:w="920" w:type="dxa"/>
            <w:vAlign w:val="bottom"/>
          </w:tcPr>
          <w:p>
            <w:pPr>
              <w:ind w:left="580"/>
              <w:spacing w:after="0"/>
              <w:rPr>
                <w:sz w:val="20"/>
                <w:szCs w:val="20"/>
                <w:color w:val="auto"/>
              </w:rPr>
            </w:pPr>
            <w:r>
              <w:rPr>
                <w:rFonts w:ascii="Arial" w:cs="Arial" w:eastAsia="Arial" w:hAnsi="Arial"/>
                <w:sz w:val="14"/>
                <w:szCs w:val="14"/>
                <w:color w:val="auto"/>
              </w:rPr>
              <w:t>— %</w:t>
            </w:r>
          </w:p>
        </w:tc>
        <w:tc>
          <w:tcPr>
            <w:tcW w:w="900" w:type="dxa"/>
            <w:vAlign w:val="bottom"/>
          </w:tcPr>
          <w:p>
            <w:pPr>
              <w:ind w:left="580"/>
              <w:spacing w:after="0"/>
              <w:rPr>
                <w:sz w:val="20"/>
                <w:szCs w:val="20"/>
                <w:color w:val="auto"/>
              </w:rPr>
            </w:pPr>
            <w:r>
              <w:rPr>
                <w:rFonts w:ascii="Arial" w:cs="Arial" w:eastAsia="Arial" w:hAnsi="Arial"/>
                <w:sz w:val="14"/>
                <w:szCs w:val="14"/>
                <w:color w:val="auto"/>
                <w:w w:val="98"/>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65.6 %</w:t>
            </w: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4"/>
                <w:szCs w:val="14"/>
                <w:color w:val="auto"/>
              </w:rPr>
              <w:t>Selling, general and</w:t>
            </w: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color w:val="auto"/>
              </w:rPr>
              <w:t>317.4</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(1.3)</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(2.4)</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(15.3)</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(23.2)</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4"/>
                <w:szCs w:val="14"/>
                <w:color w:val="auto"/>
              </w:rPr>
              <w:t>Selling, general and</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20" w:type="dxa"/>
            <w:vAlign w:val="bottom"/>
          </w:tcPr>
          <w:p>
            <w:pPr>
              <w:ind w:left="20"/>
              <w:spacing w:after="0" w:line="133" w:lineRule="exact"/>
              <w:rPr>
                <w:sz w:val="20"/>
                <w:szCs w:val="20"/>
                <w:color w:val="auto"/>
              </w:rPr>
            </w:pPr>
            <w:r>
              <w:rPr>
                <w:rFonts w:ascii="Arial" w:cs="Arial" w:eastAsia="Arial" w:hAnsi="Arial"/>
                <w:sz w:val="14"/>
                <w:szCs w:val="14"/>
                <w:color w:val="auto"/>
              </w:rPr>
              <w:t>administrative as a</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47.8 %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41.4 %</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4"/>
                <w:szCs w:val="14"/>
                <w:color w:val="auto"/>
              </w:rPr>
              <w:t>Research and</w:t>
            </w: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color w:val="auto"/>
              </w:rPr>
              <w:t>108.4</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5.9</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(2.3)</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4"/>
                <w:szCs w:val="14"/>
                <w:color w:val="auto"/>
              </w:rPr>
              <w:t>Research and</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20" w:type="dxa"/>
            <w:vAlign w:val="bottom"/>
          </w:tcPr>
          <w:p>
            <w:pPr>
              <w:ind w:left="20"/>
              <w:spacing w:after="0" w:line="133" w:lineRule="exact"/>
              <w:rPr>
                <w:sz w:val="20"/>
                <w:szCs w:val="20"/>
                <w:color w:val="auto"/>
              </w:rPr>
            </w:pPr>
            <w:r>
              <w:rPr>
                <w:rFonts w:ascii="Arial" w:cs="Arial" w:eastAsia="Arial" w:hAnsi="Arial"/>
                <w:sz w:val="14"/>
                <w:szCs w:val="14"/>
                <w:color w:val="auto"/>
              </w:rPr>
              <w:t>development as a</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16.3 %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0.9 %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20" w:type="dxa"/>
            <w:vAlign w:val="bottom"/>
          </w:tcPr>
          <w:p>
            <w:pPr>
              <w:ind w:left="20"/>
              <w:spacing w:after="0"/>
              <w:rPr>
                <w:sz w:val="20"/>
                <w:szCs w:val="20"/>
                <w:color w:val="auto"/>
              </w:rPr>
            </w:pPr>
            <w:r>
              <w:rPr>
                <w:rFonts w:ascii="Arial" w:cs="Arial" w:eastAsia="Arial" w:hAnsi="Arial"/>
                <w:sz w:val="14"/>
                <w:szCs w:val="14"/>
                <w:color w:val="auto"/>
              </w:rPr>
              <w:t>Litigation provision, net</w:t>
            </w: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4.0</w:t>
            </w:r>
          </w:p>
        </w:tc>
        <w:tc>
          <w:tcPr>
            <w:tcW w:w="8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(4.0)</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tcPr>
          <w:p>
            <w:pPr>
              <w:ind w:left="58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4"/>
                <w:szCs w:val="14"/>
                <w:color w:val="auto"/>
              </w:rPr>
              <w:t>Other operating</w:t>
            </w: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color w:val="auto"/>
              </w:rPr>
              <w:t>38.0</w:t>
            </w:r>
          </w:p>
        </w:tc>
        <w:tc>
          <w:tcPr>
            <w:tcW w:w="840" w:type="dxa"/>
            <w:vAlign w:val="bottom"/>
            <w:vMerge w:val="restart"/>
          </w:tcPr>
          <w:p>
            <w:pPr>
              <w:jc w:val="right"/>
              <w:ind w:right="91"/>
              <w:spacing w:after="0"/>
              <w:rPr>
                <w:sz w:val="20"/>
                <w:szCs w:val="20"/>
                <w:color w:val="auto"/>
              </w:rPr>
            </w:pPr>
            <w:r>
              <w:rPr>
                <w:rFonts w:ascii="Arial" w:cs="Arial" w:eastAsia="Arial" w:hAnsi="Arial"/>
                <w:sz w:val="14"/>
                <w:szCs w:val="14"/>
                <w:color w:val="auto"/>
              </w:rPr>
              <w:t>(6.6)</w:t>
            </w: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(2.0)</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(29.3)</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4"/>
                <w:szCs w:val="14"/>
                <w:color w:val="auto"/>
              </w:rPr>
              <w:t>Operating (loss)</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20" w:type="dxa"/>
            <w:vAlign w:val="bottom"/>
          </w:tcPr>
          <w:p>
            <w:pPr>
              <w:ind w:left="20"/>
              <w:spacing w:after="0" w:line="133" w:lineRule="exact"/>
              <w:rPr>
                <w:sz w:val="20"/>
                <w:szCs w:val="20"/>
                <w:color w:val="auto"/>
              </w:rPr>
            </w:pPr>
            <w:r>
              <w:rPr>
                <w:rFonts w:ascii="Arial" w:cs="Arial" w:eastAsia="Arial" w:hAnsi="Arial"/>
                <w:sz w:val="14"/>
                <w:szCs w:val="14"/>
                <w:color w:val="auto"/>
              </w:rPr>
              <w:t>income from continuing</w:t>
            </w:r>
          </w:p>
        </w:tc>
        <w:tc>
          <w:tcPr>
            <w:tcW w:w="660" w:type="dxa"/>
            <w:vAlign w:val="bottom"/>
            <w:vMerge w:val="restart"/>
          </w:tcPr>
          <w:p>
            <w:pPr>
              <w:jc w:val="right"/>
              <w:ind w:right="71"/>
              <w:spacing w:after="0"/>
              <w:rPr>
                <w:sz w:val="20"/>
                <w:szCs w:val="20"/>
                <w:color w:val="auto"/>
              </w:rPr>
            </w:pPr>
            <w:r>
              <w:rPr>
                <w:rFonts w:ascii="Arial" w:cs="Arial" w:eastAsia="Arial" w:hAnsi="Arial"/>
                <w:sz w:val="14"/>
                <w:szCs w:val="14"/>
                <w:color w:val="auto"/>
              </w:rPr>
              <w:t>(22.1)</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6.6</w:t>
            </w: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color w:val="auto"/>
              </w:rPr>
              <w:t>2.0</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31.8</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6.9</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2.4</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(5.5)</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26.9</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4"/>
                <w:szCs w:val="14"/>
                <w:color w:val="auto"/>
              </w:rPr>
              <w:t>Operating margin</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4.8 %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4.0 %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percent</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2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17.6</w:t>
            </w:r>
          </w:p>
        </w:tc>
        <w:tc>
          <w:tcPr>
            <w:tcW w:w="840" w:type="dxa"/>
            <w:vAlign w:val="bottom"/>
          </w:tcPr>
          <w:p>
            <w:pPr>
              <w:jc w:val="right"/>
              <w:ind w:right="131"/>
              <w:spacing w:after="0"/>
              <w:rPr>
                <w:sz w:val="20"/>
                <w:szCs w:val="20"/>
                <w:color w:val="auto"/>
              </w:rPr>
            </w:pPr>
            <w:r>
              <w:rPr>
                <w:rFonts w:ascii="Arial" w:cs="Arial" w:eastAsia="Arial" w:hAnsi="Arial"/>
                <w:sz w:val="14"/>
                <w:szCs w:val="14"/>
                <w:color w:val="auto"/>
              </w:rPr>
              <w:t>0.3</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4.5</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1.1</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2.3</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1.0</w:t>
            </w:r>
          </w:p>
        </w:tc>
        <w:tc>
          <w:tcPr>
            <w:tcW w:w="920" w:type="dxa"/>
            <w:vAlign w:val="bottom"/>
          </w:tcPr>
          <w:p>
            <w:pPr>
              <w:ind w:left="380"/>
              <w:spacing w:after="0"/>
              <w:rPr>
                <w:sz w:val="20"/>
                <w:szCs w:val="20"/>
                <w:color w:val="auto"/>
              </w:rPr>
            </w:pPr>
            <w:r>
              <w:rPr>
                <w:rFonts w:ascii="Arial" w:cs="Arial" w:eastAsia="Arial" w:hAnsi="Arial"/>
                <w:sz w:val="14"/>
                <w:szCs w:val="14"/>
                <w:color w:val="auto"/>
              </w:rPr>
              <w:t>(24.4)</w:t>
            </w:r>
          </w:p>
        </w:tc>
        <w:tc>
          <w:tcPr>
            <w:tcW w:w="900" w:type="dxa"/>
            <w:vAlign w:val="bottom"/>
          </w:tcPr>
          <w:p>
            <w:pPr>
              <w:ind w:left="480"/>
              <w:spacing w:after="0"/>
              <w:rPr>
                <w:sz w:val="20"/>
                <w:szCs w:val="20"/>
                <w:color w:val="auto"/>
              </w:rPr>
            </w:pPr>
            <w:r>
              <w:rPr>
                <w:rFonts w:ascii="Arial" w:cs="Arial" w:eastAsia="Arial" w:hAnsi="Arial"/>
                <w:sz w:val="14"/>
                <w:szCs w:val="14"/>
                <w:color w:val="auto"/>
              </w:rPr>
              <w:t>(0.3)</w:t>
            </w:r>
          </w:p>
        </w:tc>
        <w:tc>
          <w:tcPr>
            <w:tcW w:w="680" w:type="dxa"/>
            <w:vAlign w:val="bottom"/>
          </w:tcPr>
          <w:p>
            <w:pPr>
              <w:jc w:val="right"/>
              <w:ind w:right="111"/>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4"/>
                <w:szCs w:val="14"/>
                <w:color w:val="auto"/>
              </w:rPr>
              <w:t>Net (loss) income from</w:t>
            </w:r>
          </w:p>
        </w:tc>
        <w:tc>
          <w:tcPr>
            <w:tcW w:w="660" w:type="dxa"/>
            <w:vAlign w:val="bottom"/>
            <w:vMerge w:val="restart"/>
          </w:tcPr>
          <w:p>
            <w:pPr>
              <w:jc w:val="right"/>
              <w:ind w:right="71"/>
              <w:spacing w:after="0"/>
              <w:rPr>
                <w:sz w:val="20"/>
                <w:szCs w:val="20"/>
                <w:color w:val="auto"/>
              </w:rPr>
            </w:pPr>
            <w:r>
              <w:rPr>
                <w:rFonts w:ascii="Arial" w:cs="Arial" w:eastAsia="Arial" w:hAnsi="Arial"/>
                <w:sz w:val="14"/>
                <w:szCs w:val="14"/>
                <w:color w:val="auto"/>
              </w:rPr>
              <w:t>(64.2)</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6.3</w:t>
            </w: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color w:val="auto"/>
              </w:rPr>
              <w:t>2.0</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27.4</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5.7</w:t>
            </w: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(2.2)</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(7.8)</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25.9</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24.4</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9.4</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8" w:lineRule="exact"/>
              <w:rPr>
                <w:sz w:val="20"/>
                <w:szCs w:val="20"/>
                <w:color w:val="auto"/>
              </w:rPr>
            </w:pPr>
            <w:r>
              <w:rPr>
                <w:rFonts w:ascii="Arial" w:cs="Arial" w:eastAsia="Arial" w:hAnsi="Arial"/>
                <w:sz w:val="14"/>
                <w:szCs w:val="14"/>
                <w:color w:val="auto"/>
              </w:rPr>
              <w:t>Diluted EPS -</w:t>
            </w:r>
          </w:p>
        </w:tc>
        <w:tc>
          <w:tcPr>
            <w:tcW w:w="660" w:type="dxa"/>
            <w:vAlign w:val="bottom"/>
            <w:vMerge w:val="restart"/>
          </w:tcPr>
          <w:p>
            <w:pPr>
              <w:jc w:val="right"/>
              <w:ind w:right="71"/>
              <w:spacing w:after="0"/>
              <w:rPr>
                <w:sz w:val="20"/>
                <w:szCs w:val="20"/>
                <w:color w:val="auto"/>
              </w:rPr>
            </w:pPr>
            <w:r>
              <w:rPr>
                <w:rFonts w:ascii="Arial" w:cs="Arial" w:eastAsia="Arial" w:hAnsi="Arial"/>
                <w:sz w:val="14"/>
                <w:szCs w:val="14"/>
                <w:color w:val="auto"/>
              </w:rPr>
              <w:t>($1.32)</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$0.13</w:t>
            </w: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color w:val="auto"/>
              </w:rPr>
              <w:t>$0.04</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$0.56</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$0.12</w:t>
            </w: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($0.04)</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($0.16)</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$0.53</w:t>
            </w:r>
          </w:p>
        </w:tc>
        <w:tc>
          <w:tcPr>
            <w:tcW w:w="920" w:type="dxa"/>
            <w:vAlign w:val="bottom"/>
            <w:vMerge w:val="restart"/>
          </w:tcPr>
          <w:p>
            <w:pPr>
              <w:jc w:val="right"/>
              <w:ind w:right="131"/>
              <w:spacing w:after="0"/>
              <w:rPr>
                <w:sz w:val="20"/>
                <w:szCs w:val="20"/>
                <w:color w:val="auto"/>
              </w:rPr>
            </w:pPr>
            <w:r>
              <w:rPr>
                <w:rFonts w:ascii="Arial" w:cs="Arial" w:eastAsia="Arial" w:hAnsi="Arial"/>
                <w:sz w:val="14"/>
                <w:szCs w:val="14"/>
                <w:color w:val="auto"/>
              </w:rPr>
              <w:t>$0.50</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$0.19</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nine months ended September 30, 2020 include:</w:t>
      </w:r>
    </w:p>
    <w:p>
      <w:pPr>
        <w:spacing w:after="0" w:line="42" w:lineRule="exact"/>
        <w:rPr>
          <w:sz w:val="20"/>
          <w:szCs w:val="20"/>
          <w:color w:val="auto"/>
        </w:rPr>
      </w:pPr>
    </w:p>
    <w:p>
      <w:pPr>
        <w:ind w:left="360" w:hanging="337"/>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24" w:lineRule="exact"/>
        <w:rPr>
          <w:rFonts w:ascii="Arial" w:cs="Arial" w:eastAsia="Arial" w:hAnsi="Arial"/>
          <w:sz w:val="14"/>
          <w:szCs w:val="14"/>
          <w:color w:val="auto"/>
        </w:rPr>
      </w:pPr>
    </w:p>
    <w:p>
      <w:pPr>
        <w:ind w:left="360" w:right="660" w:hanging="337"/>
        <w:spacing w:after="0" w:line="225"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and remeasurement of contingent consideration related to acquisitions</w:t>
      </w:r>
    </w:p>
    <w:p>
      <w:pPr>
        <w:spacing w:after="0" w:line="15" w:lineRule="exact"/>
        <w:rPr>
          <w:rFonts w:ascii="Arial" w:cs="Arial" w:eastAsia="Arial" w:hAnsi="Arial"/>
          <w:sz w:val="14"/>
          <w:szCs w:val="14"/>
          <w:color w:val="auto"/>
        </w:rPr>
      </w:pPr>
    </w:p>
    <w:p>
      <w:pPr>
        <w:ind w:left="360" w:hanging="337"/>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4" w:lineRule="exact"/>
        <w:rPr>
          <w:rFonts w:ascii="Arial" w:cs="Arial" w:eastAsia="Arial" w:hAnsi="Arial"/>
          <w:sz w:val="14"/>
          <w:szCs w:val="14"/>
          <w:color w:val="auto"/>
        </w:rPr>
      </w:pPr>
    </w:p>
    <w:p>
      <w:pPr>
        <w:ind w:left="360" w:right="440" w:hanging="337"/>
        <w:spacing w:after="0" w:line="225"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non-cash interest expense on our Senior Secured Term Loan and Cash Exchangeable Senior Notes, interest related to the 3T Heater-Cooler matter, intellectual property migration and interest reversed upon the settlement of a tax litigation matter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201"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97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4"/>
          <w:szCs w:val="14"/>
          <w:b w:val="1"/>
          <w:bCs w:val="1"/>
          <w:color w:val="auto"/>
        </w:rPr>
        <w:t>Specified Items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Non-recurring</w:t>
            </w:r>
          </w:p>
        </w:tc>
        <w:tc>
          <w:tcPr>
            <w:tcW w:w="10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Depreciation</w:t>
            </w: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7"/>
              </w:rPr>
              <w:t>Legal,</w:t>
            </w: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w:t>
            </w:r>
          </w:p>
        </w:tc>
        <w:tc>
          <w:tcPr>
            <w:tcW w:w="6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84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Contingent</w:t>
            </w: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vMerge w:val="continue"/>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2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and</w:t>
            </w:r>
          </w:p>
        </w:tc>
        <w:tc>
          <w:tcPr>
            <w:tcW w:w="9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Acquisition</w:t>
            </w: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Consideration</w:t>
            </w:r>
          </w:p>
        </w:tc>
        <w:tc>
          <w:tcPr>
            <w:tcW w:w="10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880" w:type="dxa"/>
            <w:vAlign w:val="bottom"/>
            <w:vMerge w:val="continue"/>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9"/>
        </w:trPr>
        <w:tc>
          <w:tcPr>
            <w:tcW w:w="9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Ended</w:t>
            </w:r>
          </w:p>
        </w:tc>
        <w:tc>
          <w:tcPr>
            <w:tcW w:w="640" w:type="dxa"/>
            <w:vAlign w:val="bottom"/>
            <w:vMerge w:val="continue"/>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Integration</w:t>
            </w:r>
          </w:p>
        </w:tc>
        <w:tc>
          <w:tcPr>
            <w:tcW w:w="960" w:type="dxa"/>
            <w:vAlign w:val="bottom"/>
            <w:vMerge w:val="continue"/>
          </w:tcPr>
          <w:p>
            <w:pPr>
              <w:spacing w:after="0"/>
              <w:rPr>
                <w:sz w:val="10"/>
                <w:szCs w:val="10"/>
                <w:color w:val="auto"/>
              </w:rPr>
            </w:pPr>
          </w:p>
        </w:tc>
        <w:tc>
          <w:tcPr>
            <w:tcW w:w="9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Amortization</w:t>
            </w:r>
          </w:p>
        </w:tc>
        <w:tc>
          <w:tcPr>
            <w:tcW w:w="90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Impairments</w:t>
            </w:r>
          </w:p>
        </w:tc>
        <w:tc>
          <w:tcPr>
            <w:tcW w:w="900" w:type="dxa"/>
            <w:vAlign w:val="bottom"/>
          </w:tcPr>
          <w:p>
            <w:pPr>
              <w:jc w:val="center"/>
              <w:ind w:right="12"/>
              <w:spacing w:after="0" w:line="120" w:lineRule="exact"/>
              <w:rPr>
                <w:sz w:val="20"/>
                <w:szCs w:val="20"/>
                <w:color w:val="auto"/>
              </w:rPr>
            </w:pPr>
            <w:r>
              <w:rPr>
                <w:rFonts w:ascii="Arial" w:cs="Arial" w:eastAsia="Arial" w:hAnsi="Arial"/>
                <w:sz w:val="12"/>
                <w:szCs w:val="12"/>
                <w:b w:val="1"/>
                <w:bCs w:val="1"/>
                <w:color w:val="auto"/>
              </w:rPr>
              <w:t>Remediation</w:t>
            </w:r>
          </w:p>
        </w:tc>
        <w:tc>
          <w:tcPr>
            <w:tcW w:w="840" w:type="dxa"/>
            <w:vAlign w:val="bottom"/>
            <w:vMerge w:val="continue"/>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and Other</w:t>
            </w:r>
          </w:p>
        </w:tc>
        <w:tc>
          <w:tcPr>
            <w:tcW w:w="10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Interest</w:t>
            </w: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September</w:t>
            </w:r>
          </w:p>
        </w:tc>
        <w:tc>
          <w:tcPr>
            <w:tcW w:w="6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Financial</w:t>
            </w:r>
          </w:p>
        </w:tc>
        <w:tc>
          <w:tcPr>
            <w:tcW w:w="820" w:type="dxa"/>
            <w:vAlign w:val="bottom"/>
          </w:tcPr>
          <w:p>
            <w:pPr>
              <w:jc w:val="center"/>
              <w:ind w:right="12"/>
              <w:spacing w:after="0" w:line="120" w:lineRule="exact"/>
              <w:rPr>
                <w:sz w:val="20"/>
                <w:szCs w:val="20"/>
                <w:color w:val="auto"/>
              </w:rPr>
            </w:pPr>
            <w:r>
              <w:rPr>
                <w:rFonts w:ascii="Arial" w:cs="Arial" w:eastAsia="Arial" w:hAnsi="Arial"/>
                <w:sz w:val="12"/>
                <w:szCs w:val="12"/>
                <w:b w:val="1"/>
                <w:bCs w:val="1"/>
                <w:color w:val="auto"/>
              </w:rPr>
              <w:t>Expenses</w:t>
            </w:r>
          </w:p>
        </w:tc>
        <w:tc>
          <w:tcPr>
            <w:tcW w:w="96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ind w:right="32"/>
              <w:spacing w:after="0" w:line="120" w:lineRule="exact"/>
              <w:rPr>
                <w:sz w:val="20"/>
                <w:szCs w:val="20"/>
                <w:color w:val="auto"/>
              </w:rPr>
            </w:pPr>
            <w:r>
              <w:rPr>
                <w:rFonts w:ascii="Arial" w:cs="Arial" w:eastAsia="Arial" w:hAnsi="Arial"/>
                <w:sz w:val="12"/>
                <w:szCs w:val="12"/>
                <w:b w:val="1"/>
                <w:bCs w:val="1"/>
                <w:color w:val="auto"/>
              </w:rPr>
              <w:t>Expenses</w:t>
            </w:r>
          </w:p>
        </w:tc>
        <w:tc>
          <w:tcPr>
            <w:tcW w:w="900" w:type="dxa"/>
            <w:vAlign w:val="bottom"/>
            <w:vMerge w:val="continue"/>
          </w:tcPr>
          <w:p>
            <w:pPr>
              <w:spacing w:after="0"/>
              <w:rPr>
                <w:sz w:val="10"/>
                <w:szCs w:val="10"/>
                <w:color w:val="auto"/>
              </w:rPr>
            </w:pPr>
          </w:p>
        </w:tc>
        <w:tc>
          <w:tcPr>
            <w:tcW w:w="900" w:type="dxa"/>
            <w:vAlign w:val="bottom"/>
          </w:tcPr>
          <w:p>
            <w:pPr>
              <w:jc w:val="center"/>
              <w:ind w:right="32"/>
              <w:spacing w:after="0" w:line="120" w:lineRule="exact"/>
              <w:rPr>
                <w:sz w:val="20"/>
                <w:szCs w:val="20"/>
                <w:color w:val="auto"/>
              </w:rPr>
            </w:pPr>
            <w:r>
              <w:rPr>
                <w:rFonts w:ascii="Arial" w:cs="Arial" w:eastAsia="Arial" w:hAnsi="Arial"/>
                <w:sz w:val="12"/>
                <w:szCs w:val="12"/>
                <w:b w:val="1"/>
                <w:bCs w:val="1"/>
                <w:color w:val="auto"/>
                <w:w w:val="99"/>
              </w:rPr>
              <w:t>Expenses</w:t>
            </w:r>
          </w:p>
        </w:tc>
        <w:tc>
          <w:tcPr>
            <w:tcW w:w="84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rPr>
              <w:t>Costs</w:t>
            </w: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Reserves</w:t>
            </w:r>
          </w:p>
        </w:tc>
        <w:tc>
          <w:tcPr>
            <w:tcW w:w="1020" w:type="dxa"/>
            <w:vAlign w:val="bottom"/>
          </w:tcPr>
          <w:p>
            <w:pPr>
              <w:jc w:val="center"/>
              <w:ind w:right="12"/>
              <w:spacing w:after="0" w:line="120"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Adjustments</w:t>
            </w:r>
          </w:p>
        </w:tc>
        <w:tc>
          <w:tcPr>
            <w:tcW w:w="620" w:type="dxa"/>
            <w:vAlign w:val="bottom"/>
          </w:tcPr>
          <w:p>
            <w:pPr>
              <w:ind w:left="40"/>
              <w:spacing w:after="0" w:line="120"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2"/>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30, 2019</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43"/>
        </w:trPr>
        <w:tc>
          <w:tcPr>
            <w:tcW w:w="920" w:type="dxa"/>
            <w:vAlign w:val="bottom"/>
          </w:tcPr>
          <w:p>
            <w:pPr>
              <w:ind w:left="20"/>
              <w:spacing w:after="0" w:line="143" w:lineRule="exact"/>
              <w:rPr>
                <w:sz w:val="20"/>
                <w:szCs w:val="20"/>
                <w:color w:val="auto"/>
              </w:rPr>
            </w:pPr>
            <w:r>
              <w:rPr>
                <w:rFonts w:ascii="Arial" w:cs="Arial" w:eastAsia="Arial" w:hAnsi="Arial"/>
                <w:sz w:val="14"/>
                <w:szCs w:val="14"/>
                <w:color w:val="auto"/>
              </w:rPr>
              <w:t>Cost of sales</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 exclusive of</w:t>
            </w:r>
          </w:p>
        </w:tc>
        <w:tc>
          <w:tcPr>
            <w:tcW w:w="640" w:type="dxa"/>
            <w:vAlign w:val="bottom"/>
            <w:vMerge w:val="restart"/>
          </w:tcPr>
          <w:p>
            <w:pPr>
              <w:jc w:val="right"/>
              <w:ind w:right="111"/>
              <w:spacing w:after="0"/>
              <w:rPr>
                <w:sz w:val="20"/>
                <w:szCs w:val="20"/>
                <w:color w:val="auto"/>
              </w:rPr>
            </w:pPr>
            <w:r>
              <w:rPr>
                <w:rFonts w:ascii="Arial" w:cs="Arial" w:eastAsia="Arial" w:hAnsi="Arial"/>
                <w:sz w:val="14"/>
                <w:szCs w:val="14"/>
                <w:color w:val="auto"/>
              </w:rPr>
              <w:t>$245.3</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($2.0)</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$0.4</w:t>
            </w:r>
          </w:p>
        </w:tc>
        <w:tc>
          <w:tcPr>
            <w:tcW w:w="1020" w:type="dxa"/>
            <w:vAlign w:val="bottom"/>
            <w:vMerge w:val="restart"/>
          </w:tcPr>
          <w:p>
            <w:pPr>
              <w:jc w:val="right"/>
              <w:ind w:right="92"/>
              <w:spacing w:after="0"/>
              <w:rPr>
                <w:sz w:val="20"/>
                <w:szCs w:val="20"/>
                <w:color w:val="auto"/>
              </w:rPr>
            </w:pPr>
            <w:r>
              <w:rPr>
                <w:rFonts w:ascii="Arial" w:cs="Arial" w:eastAsia="Arial" w:hAnsi="Arial"/>
                <w:sz w:val="14"/>
                <w:szCs w:val="14"/>
                <w:color w:val="auto"/>
              </w:rPr>
              <w:t>($1.1)</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1"/>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Product</w:t>
            </w: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color w:val="auto"/>
              </w:rPr>
              <w:t>11.1</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2"/>
              <w:spacing w:after="0"/>
              <w:rPr>
                <w:sz w:val="20"/>
                <w:szCs w:val="20"/>
                <w:color w:val="auto"/>
              </w:rPr>
            </w:pPr>
            <w:r>
              <w:rPr>
                <w:rFonts w:ascii="Arial" w:cs="Arial" w:eastAsia="Arial" w:hAnsi="Arial"/>
                <w:sz w:val="14"/>
                <w:szCs w:val="14"/>
                <w:color w:val="auto"/>
              </w:rPr>
              <w:t>(11.1)</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remediation</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Gross profit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67.8 %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69.5 %</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Selling,</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general and</w:t>
            </w: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color w:val="auto"/>
              </w:rPr>
              <w:t>375.9</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color w:val="auto"/>
              </w:rPr>
              <w:t>(0.7)</w:t>
            </w:r>
          </w:p>
        </w:tc>
        <w:tc>
          <w:tcPr>
            <w:tcW w:w="1000" w:type="dxa"/>
            <w:vAlign w:val="bottom"/>
            <w:vMerge w:val="restart"/>
          </w:tcPr>
          <w:p>
            <w:pPr>
              <w:jc w:val="right"/>
              <w:ind w:right="113"/>
              <w:spacing w:after="0"/>
              <w:rPr>
                <w:sz w:val="20"/>
                <w:szCs w:val="20"/>
                <w:color w:val="auto"/>
              </w:rPr>
            </w:pPr>
            <w:r>
              <w:rPr>
                <w:rFonts w:ascii="Arial" w:cs="Arial" w:eastAsia="Arial" w:hAnsi="Arial"/>
                <w:sz w:val="14"/>
                <w:szCs w:val="14"/>
                <w:color w:val="auto"/>
              </w:rPr>
              <w:t>(42.2)</w:t>
            </w:r>
          </w:p>
        </w:tc>
        <w:tc>
          <w:tcPr>
            <w:tcW w:w="1020" w:type="dxa"/>
            <w:vAlign w:val="bottom"/>
            <w:vMerge w:val="restart"/>
          </w:tcPr>
          <w:p>
            <w:pPr>
              <w:jc w:val="right"/>
              <w:ind w:right="92"/>
              <w:spacing w:after="0"/>
              <w:rPr>
                <w:sz w:val="20"/>
                <w:szCs w:val="20"/>
                <w:color w:val="auto"/>
              </w:rPr>
            </w:pPr>
            <w:r>
              <w:rPr>
                <w:rFonts w:ascii="Arial" w:cs="Arial" w:eastAsia="Arial" w:hAnsi="Arial"/>
                <w:sz w:val="14"/>
                <w:szCs w:val="14"/>
                <w:color w:val="auto"/>
              </w:rPr>
              <w:t>(18.5)</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1"/>
              <w:spacing w:after="0"/>
              <w:rPr>
                <w:sz w:val="20"/>
                <w:szCs w:val="20"/>
                <w:color w:val="auto"/>
              </w:rPr>
            </w:pPr>
            <w:r>
              <w:rPr>
                <w:rFonts w:ascii="Arial" w:cs="Arial" w:eastAsia="Arial" w:hAnsi="Arial"/>
                <w:sz w:val="14"/>
                <w:szCs w:val="14"/>
                <w:color w:val="auto"/>
              </w:rPr>
              <w:t>314.1</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Selling,</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general and</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administrative</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as a percent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47.2 %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39.4 %</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Research and</w:t>
            </w: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color w:val="auto"/>
              </w:rPr>
              <w:t>124.0</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(0.2)</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(0.9)</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color w:val="auto"/>
              </w:rPr>
              <w:t>(1.5)</w:t>
            </w:r>
          </w:p>
        </w:tc>
        <w:tc>
          <w:tcPr>
            <w:tcW w:w="1000" w:type="dxa"/>
            <w:vAlign w:val="bottom"/>
            <w:vMerge w:val="restart"/>
          </w:tcPr>
          <w:p>
            <w:pPr>
              <w:jc w:val="right"/>
              <w:ind w:right="113"/>
              <w:spacing w:after="0"/>
              <w:rPr>
                <w:sz w:val="20"/>
                <w:szCs w:val="20"/>
                <w:color w:val="auto"/>
              </w:rPr>
            </w:pPr>
            <w:r>
              <w:rPr>
                <w:rFonts w:ascii="Arial" w:cs="Arial" w:eastAsia="Arial" w:hAnsi="Arial"/>
                <w:sz w:val="14"/>
                <w:szCs w:val="14"/>
                <w:color w:val="auto"/>
              </w:rPr>
              <w:t>(1.6)</w:t>
            </w:r>
          </w:p>
        </w:tc>
        <w:tc>
          <w:tcPr>
            <w:tcW w:w="1020" w:type="dxa"/>
            <w:vAlign w:val="bottom"/>
            <w:vMerge w:val="restart"/>
          </w:tcPr>
          <w:p>
            <w:pPr>
              <w:jc w:val="right"/>
              <w:ind w:right="92"/>
              <w:spacing w:after="0"/>
              <w:rPr>
                <w:sz w:val="20"/>
                <w:szCs w:val="20"/>
                <w:color w:val="auto"/>
              </w:rPr>
            </w:pPr>
            <w:r>
              <w:rPr>
                <w:rFonts w:ascii="Arial" w:cs="Arial" w:eastAsia="Arial" w:hAnsi="Arial"/>
                <w:sz w:val="14"/>
                <w:szCs w:val="14"/>
                <w:color w:val="auto"/>
              </w:rPr>
              <w:t>(4.5)</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1"/>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Research and</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development</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as a percent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15.6 %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Other</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operating</w:t>
            </w: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color w:val="auto"/>
              </w:rPr>
              <w:t>65.1</w:t>
            </w: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color w:val="auto"/>
              </w:rPr>
              <w:t>(14.3)</w:t>
            </w: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color w:val="auto"/>
              </w:rPr>
              <w:t>(4.6)</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(29.7)</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(50.3)</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33.8</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Operating</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(loss) income</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from</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91"/>
              <w:spacing w:after="0"/>
              <w:rPr>
                <w:sz w:val="20"/>
                <w:szCs w:val="20"/>
                <w:color w:val="auto"/>
              </w:rPr>
            </w:pPr>
            <w:r>
              <w:rPr>
                <w:rFonts w:ascii="Arial" w:cs="Arial" w:eastAsia="Arial" w:hAnsi="Arial"/>
                <w:sz w:val="14"/>
                <w:szCs w:val="14"/>
                <w:color w:val="auto"/>
              </w:rPr>
              <w:t>(24.9)</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14.3</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4.6</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32.3</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51.2</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11.1</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2.2</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9.5</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24.1</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1"/>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Operating</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margin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0.6 %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4.1 %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6.4 %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3.0 %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15.6 %</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Income tax</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(benefit)</w:t>
            </w:r>
          </w:p>
        </w:tc>
        <w:tc>
          <w:tcPr>
            <w:tcW w:w="640" w:type="dxa"/>
            <w:vAlign w:val="bottom"/>
            <w:vMerge w:val="restart"/>
          </w:tcPr>
          <w:p>
            <w:pPr>
              <w:jc w:val="right"/>
              <w:ind w:right="91"/>
              <w:spacing w:after="0"/>
              <w:rPr>
                <w:sz w:val="20"/>
                <w:szCs w:val="20"/>
                <w:color w:val="auto"/>
              </w:rPr>
            </w:pPr>
            <w:r>
              <w:rPr>
                <w:rFonts w:ascii="Arial" w:cs="Arial" w:eastAsia="Arial" w:hAnsi="Arial"/>
                <w:sz w:val="14"/>
                <w:szCs w:val="14"/>
                <w:color w:val="auto"/>
              </w:rPr>
              <w:t>(23.4)</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3.3</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1.1</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8.2</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12.4</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3.6</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0.5</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5.4</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5.6</w:t>
            </w:r>
          </w:p>
        </w:tc>
        <w:tc>
          <w:tcPr>
            <w:tcW w:w="920" w:type="dxa"/>
            <w:vAlign w:val="bottom"/>
            <w:vMerge w:val="restart"/>
          </w:tcPr>
          <w:p>
            <w:pPr>
              <w:ind w:left="460"/>
              <w:spacing w:after="0"/>
              <w:rPr>
                <w:sz w:val="20"/>
                <w:szCs w:val="20"/>
                <w:color w:val="auto"/>
              </w:rPr>
            </w:pPr>
            <w:r>
              <w:rPr>
                <w:rFonts w:ascii="Arial" w:cs="Arial" w:eastAsia="Arial" w:hAnsi="Arial"/>
                <w:sz w:val="14"/>
                <w:szCs w:val="14"/>
                <w:color w:val="auto"/>
              </w:rPr>
              <w:t>(1.2)</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0.8</w:t>
            </w:r>
          </w:p>
        </w:tc>
        <w:tc>
          <w:tcPr>
            <w:tcW w:w="620" w:type="dxa"/>
            <w:vAlign w:val="bottom"/>
            <w:vMerge w:val="restart"/>
          </w:tcPr>
          <w:p>
            <w:pPr>
              <w:jc w:val="right"/>
              <w:ind w:right="111"/>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expense</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income from</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91"/>
              <w:spacing w:after="0"/>
              <w:rPr>
                <w:sz w:val="20"/>
                <w:szCs w:val="20"/>
                <w:color w:val="auto"/>
              </w:rPr>
            </w:pPr>
            <w:r>
              <w:rPr>
                <w:rFonts w:ascii="Arial" w:cs="Arial" w:eastAsia="Arial" w:hAnsi="Arial"/>
                <w:sz w:val="14"/>
                <w:szCs w:val="14"/>
                <w:color w:val="auto"/>
              </w:rPr>
              <w:t>(12.1)</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11.1</w:t>
            </w: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color w:val="auto"/>
              </w:rPr>
              <w:t>3.4</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24.1</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38.8</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7.6</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1.7</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4.2</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18.5</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1.2</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3.3</w:t>
            </w:r>
          </w:p>
        </w:tc>
        <w:tc>
          <w:tcPr>
            <w:tcW w:w="620" w:type="dxa"/>
            <w:vAlign w:val="bottom"/>
            <w:vMerge w:val="restart"/>
          </w:tcPr>
          <w:p>
            <w:pPr>
              <w:jc w:val="right"/>
              <w:ind w:right="111"/>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4"/>
                <w:szCs w:val="14"/>
                <w:color w:val="auto"/>
              </w:rPr>
              <w:t>Diluted EPS -</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0" w:type="dxa"/>
            <w:vAlign w:val="bottom"/>
          </w:tcPr>
          <w:p>
            <w:pPr>
              <w:ind w:left="20"/>
              <w:spacing w:after="0" w:line="133"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91"/>
              <w:spacing w:after="0"/>
              <w:rPr>
                <w:sz w:val="20"/>
                <w:szCs w:val="20"/>
                <w:color w:val="auto"/>
              </w:rPr>
            </w:pPr>
            <w:r>
              <w:rPr>
                <w:rFonts w:ascii="Arial" w:cs="Arial" w:eastAsia="Arial" w:hAnsi="Arial"/>
                <w:sz w:val="14"/>
                <w:szCs w:val="14"/>
                <w:color w:val="auto"/>
              </w:rPr>
              <w:t>($0.25)</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$0.23</w:t>
            </w:r>
          </w:p>
        </w:tc>
        <w:tc>
          <w:tcPr>
            <w:tcW w:w="960" w:type="dxa"/>
            <w:vAlign w:val="bottom"/>
            <w:vMerge w:val="restart"/>
          </w:tcPr>
          <w:p>
            <w:pPr>
              <w:jc w:val="right"/>
              <w:ind w:right="151"/>
              <w:spacing w:after="0"/>
              <w:rPr>
                <w:sz w:val="20"/>
                <w:szCs w:val="20"/>
                <w:color w:val="auto"/>
              </w:rPr>
            </w:pPr>
            <w:r>
              <w:rPr>
                <w:rFonts w:ascii="Arial" w:cs="Arial" w:eastAsia="Arial" w:hAnsi="Arial"/>
                <w:sz w:val="14"/>
                <w:szCs w:val="14"/>
                <w:color w:val="auto"/>
              </w:rPr>
              <w:t>$0.07</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$0.49</w:t>
            </w: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color w:val="auto"/>
              </w:rPr>
              <w:t>$0.79</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$0.15</w:t>
            </w: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$0.03</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$0.09</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$0.38</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$0.02</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$0.07</w:t>
            </w:r>
          </w:p>
        </w:tc>
        <w:tc>
          <w:tcPr>
            <w:tcW w:w="620" w:type="dxa"/>
            <w:vAlign w:val="bottom"/>
            <w:vMerge w:val="restart"/>
          </w:tcPr>
          <w:p>
            <w:pPr>
              <w:jc w:val="right"/>
              <w:ind w:right="111"/>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70"/>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nine months ended September 30, 2019 include:</w:t>
      </w:r>
    </w:p>
    <w:p>
      <w:pPr>
        <w:spacing w:after="0" w:line="42" w:lineRule="exact"/>
        <w:rPr>
          <w:sz w:val="20"/>
          <w:szCs w:val="20"/>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Impairment of ImThera intangible assets and other long-lived assets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contingent consideration related to acquisitions, legal expenses related to 3T Heater-Cooler defense and other matters and insurance recovery</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4" w:lineRule="exact"/>
        <w:rPr>
          <w:rFonts w:ascii="Arial" w:cs="Arial" w:eastAsia="Arial" w:hAnsi="Arial"/>
          <w:sz w:val="14"/>
          <w:szCs w:val="14"/>
          <w:color w:val="auto"/>
        </w:rPr>
      </w:pPr>
    </w:p>
    <w:p>
      <w:pPr>
        <w:ind w:left="360" w:hanging="337"/>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interest related to 3T Heater-Cooler litigation settlement and other non-recurring impacts to interest expense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up precisely due to rounding.</w:t>
      </w:r>
    </w:p>
    <w:p>
      <w:pPr>
        <w:spacing w:after="0" w:line="93"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340"/>
          </w:cols>
          <w:pgMar w:left="320" w:top="1201" w:right="239" w:bottom="1440" w:gutter="0" w:footer="0" w:header="0"/>
        </w:sectPr>
      </w:pPr>
    </w:p>
    <w:bookmarkStart w:id="21" w:name="page22"/>
    <w:bookmarkEnd w:id="21"/>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LIVANOVA PLC AND SUBSIDIARIES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CONDENSED CONSOLIDATED BALANCE SHEETS - UNAUDITED</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(U.S. dollars in millions)</w:t>
            </w:r>
          </w:p>
        </w:tc>
        <w:tc>
          <w:tcPr>
            <w:tcW w:w="22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September 30, 2020</w:t>
            </w:r>
          </w:p>
        </w:tc>
        <w:tc>
          <w:tcPr>
            <w:tcW w:w="2140" w:type="dxa"/>
            <w:vAlign w:val="bottom"/>
            <w:vMerge w:val="restart"/>
          </w:tcPr>
          <w:p>
            <w:pPr>
              <w:jc w:val="right"/>
              <w:ind w:right="20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31"/>
        </w:trPr>
        <w:tc>
          <w:tcPr>
            <w:tcW w:w="6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2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20"/>
              <w:spacing w:after="0"/>
              <w:rPr>
                <w:sz w:val="20"/>
                <w:szCs w:val="20"/>
                <w:color w:val="auto"/>
              </w:rPr>
            </w:pPr>
            <w:r>
              <w:rPr>
                <w:rFonts w:ascii="Arial" w:cs="Arial" w:eastAsia="Arial" w:hAnsi="Arial"/>
                <w:sz w:val="16"/>
                <w:szCs w:val="16"/>
                <w:i w:val="1"/>
                <w:iCs w:val="1"/>
                <w:color w:val="auto"/>
              </w:rPr>
              <w:t>Current Assets:</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2140" w:type="dxa"/>
            <w:vAlign w:val="bottom"/>
          </w:tcPr>
          <w:p>
            <w:pPr>
              <w:jc w:val="right"/>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 of allowance</w:t>
            </w:r>
          </w:p>
        </w:tc>
        <w:tc>
          <w:tcPr>
            <w:tcW w:w="2140" w:type="dxa"/>
            <w:vAlign w:val="bottom"/>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257.8</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140" w:type="dxa"/>
            <w:vAlign w:val="bottom"/>
          </w:tcPr>
          <w:p>
            <w:pPr>
              <w:jc w:val="right"/>
              <w:spacing w:after="0"/>
              <w:rPr>
                <w:sz w:val="20"/>
                <w:szCs w:val="20"/>
                <w:color w:val="auto"/>
              </w:rPr>
            </w:pPr>
            <w:r>
              <w:rPr>
                <w:rFonts w:ascii="Arial" w:cs="Arial" w:eastAsia="Arial" w:hAnsi="Arial"/>
                <w:sz w:val="16"/>
                <w:szCs w:val="16"/>
                <w:color w:val="auto"/>
              </w:rPr>
              <w:t>178.1</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Prepaid and refundable taxes</w:t>
            </w:r>
          </w:p>
        </w:tc>
        <w:tc>
          <w:tcPr>
            <w:tcW w:w="214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7"/>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Total Current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673.1</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549.4</w:t>
            </w:r>
          </w:p>
        </w:tc>
        <w:tc>
          <w:tcPr>
            <w:tcW w:w="0" w:type="dxa"/>
            <w:vAlign w:val="bottom"/>
          </w:tcPr>
          <w:p>
            <w:pPr>
              <w:spacing w:after="0"/>
              <w:rPr>
                <w:sz w:val="1"/>
                <w:szCs w:val="1"/>
                <w:color w:val="auto"/>
              </w:rPr>
            </w:pPr>
          </w:p>
        </w:tc>
      </w:tr>
      <w:tr>
        <w:trPr>
          <w:trHeight w:val="199"/>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Property, plant and equipment, net</w:t>
            </w:r>
          </w:p>
        </w:tc>
        <w:tc>
          <w:tcPr>
            <w:tcW w:w="2140" w:type="dxa"/>
            <w:vAlign w:val="bottom"/>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Goodwill</w:t>
            </w:r>
          </w:p>
        </w:tc>
        <w:tc>
          <w:tcPr>
            <w:tcW w:w="2140" w:type="dxa"/>
            <w:vAlign w:val="bottom"/>
          </w:tcPr>
          <w:p>
            <w:pPr>
              <w:jc w:val="right"/>
              <w:spacing w:after="0"/>
              <w:rPr>
                <w:sz w:val="20"/>
                <w:szCs w:val="20"/>
                <w:color w:val="auto"/>
              </w:rPr>
            </w:pPr>
            <w:r>
              <w:rPr>
                <w:rFonts w:ascii="Arial" w:cs="Arial" w:eastAsia="Arial" w:hAnsi="Arial"/>
                <w:sz w:val="16"/>
                <w:szCs w:val="16"/>
                <w:color w:val="auto"/>
              </w:rPr>
              <w:t>918.5</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915.8</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Intangible assets, net</w:t>
            </w:r>
          </w:p>
        </w:tc>
        <w:tc>
          <w:tcPr>
            <w:tcW w:w="2140" w:type="dxa"/>
            <w:vAlign w:val="bottom"/>
          </w:tcPr>
          <w:p>
            <w:pPr>
              <w:jc w:val="right"/>
              <w:spacing w:after="0"/>
              <w:rPr>
                <w:sz w:val="20"/>
                <w:szCs w:val="20"/>
                <w:color w:val="auto"/>
              </w:rPr>
            </w:pPr>
            <w:r>
              <w:rPr>
                <w:rFonts w:ascii="Arial" w:cs="Arial" w:eastAsia="Arial" w:hAnsi="Arial"/>
                <w:sz w:val="16"/>
                <w:szCs w:val="16"/>
                <w:color w:val="auto"/>
              </w:rPr>
              <w:t>583.8</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607.5</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Operating lease assets</w:t>
            </w:r>
          </w:p>
        </w:tc>
        <w:tc>
          <w:tcPr>
            <w:tcW w:w="214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Investments</w:t>
            </w:r>
          </w:p>
        </w:tc>
        <w:tc>
          <w:tcPr>
            <w:tcW w:w="214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Deferred tax assets</w:t>
            </w:r>
          </w:p>
        </w:tc>
        <w:tc>
          <w:tcPr>
            <w:tcW w:w="214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1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Other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8"/>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$2,521.7</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$2,411.8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20" w:type="dxa"/>
            <w:vAlign w:val="bottom"/>
            <w:gridSpan w:val="2"/>
            <w:vMerge w:val="continue"/>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820" w:type="dxa"/>
            <w:vAlign w:val="bottom"/>
            <w:gridSpan w:val="2"/>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Current debt obligations</w:t>
            </w:r>
          </w:p>
        </w:tc>
        <w:tc>
          <w:tcPr>
            <w:tcW w:w="21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214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Accrued liabilities and other</w:t>
            </w:r>
          </w:p>
        </w:tc>
        <w:tc>
          <w:tcPr>
            <w:tcW w:w="214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Current litigation provision liability</w:t>
            </w:r>
          </w:p>
        </w:tc>
        <w:tc>
          <w:tcPr>
            <w:tcW w:w="214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Taxes payable</w:t>
            </w:r>
          </w:p>
        </w:tc>
        <w:tc>
          <w:tcPr>
            <w:tcW w:w="21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Accrued employee compensation and related benefits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07"/>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Total Current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281.8</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512.6</w:t>
            </w:r>
          </w:p>
        </w:tc>
        <w:tc>
          <w:tcPr>
            <w:tcW w:w="0" w:type="dxa"/>
            <w:vAlign w:val="bottom"/>
          </w:tcPr>
          <w:p>
            <w:pPr>
              <w:spacing w:after="0"/>
              <w:rPr>
                <w:sz w:val="1"/>
                <w:szCs w:val="1"/>
                <w:color w:val="auto"/>
              </w:rPr>
            </w:pPr>
          </w:p>
        </w:tc>
      </w:tr>
      <w:tr>
        <w:trPr>
          <w:trHeight w:val="199"/>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Long-term debt obligations</w:t>
            </w:r>
          </w:p>
        </w:tc>
        <w:tc>
          <w:tcPr>
            <w:tcW w:w="2140" w:type="dxa"/>
            <w:vAlign w:val="bottom"/>
          </w:tcPr>
          <w:p>
            <w:pPr>
              <w:jc w:val="right"/>
              <w:spacing w:after="0"/>
              <w:rPr>
                <w:sz w:val="20"/>
                <w:szCs w:val="20"/>
                <w:color w:val="auto"/>
              </w:rPr>
            </w:pPr>
            <w:r>
              <w:rPr>
                <w:rFonts w:ascii="Arial" w:cs="Arial" w:eastAsia="Arial" w:hAnsi="Arial"/>
                <w:sz w:val="16"/>
                <w:szCs w:val="16"/>
                <w:color w:val="auto"/>
              </w:rPr>
              <w:t>637.1</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Contingent consideration</w:t>
            </w:r>
          </w:p>
        </w:tc>
        <w:tc>
          <w:tcPr>
            <w:tcW w:w="214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Litigation provision liability</w:t>
            </w:r>
          </w:p>
        </w:tc>
        <w:tc>
          <w:tcPr>
            <w:tcW w:w="21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Deferred tax liabilities</w:t>
            </w:r>
          </w:p>
        </w:tc>
        <w:tc>
          <w:tcPr>
            <w:tcW w:w="214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Long-term operating lease liabilities</w:t>
            </w:r>
          </w:p>
        </w:tc>
        <w:tc>
          <w:tcPr>
            <w:tcW w:w="214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Long-term employee compensation and related benefits</w:t>
            </w:r>
          </w:p>
        </w:tc>
        <w:tc>
          <w:tcPr>
            <w:tcW w:w="214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2"/>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Long-term derivative liabilities</w:t>
            </w:r>
          </w:p>
        </w:tc>
        <w:tc>
          <w:tcPr>
            <w:tcW w:w="214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Other long-term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5"/>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1,171.0</w:t>
            </w:r>
          </w:p>
        </w:tc>
        <w:tc>
          <w:tcPr>
            <w:tcW w:w="100" w:type="dxa"/>
            <w:vAlign w:val="bottom"/>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1,028.1</w:t>
            </w:r>
          </w:p>
        </w:tc>
        <w:tc>
          <w:tcPr>
            <w:tcW w:w="0" w:type="dxa"/>
            <w:vAlign w:val="bottom"/>
          </w:tcPr>
          <w:p>
            <w:pPr>
              <w:spacing w:after="0"/>
              <w:rPr>
                <w:sz w:val="1"/>
                <w:szCs w:val="1"/>
                <w:color w:val="auto"/>
              </w:rPr>
            </w:pPr>
          </w:p>
        </w:tc>
      </w:tr>
      <w:tr>
        <w:trPr>
          <w:trHeight w:val="205"/>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1,350.8</w:t>
            </w:r>
          </w:p>
        </w:tc>
        <w:tc>
          <w:tcPr>
            <w:tcW w:w="100" w:type="dxa"/>
            <w:vAlign w:val="bottom"/>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08"/>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$2,521.7</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$2,411.8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00"/>
          </w:cols>
          <w:pgMar w:left="340" w:top="1440"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LIVANOVA PLC AND SUBSIDIARIES</w:t>
      </w:r>
    </w:p>
    <w:p>
      <w:pPr>
        <w:spacing w:after="0" w:line="28" w:lineRule="exact"/>
        <w:rPr>
          <w:sz w:val="20"/>
          <w:szCs w:val="20"/>
          <w:color w:val="auto"/>
        </w:rPr>
      </w:pPr>
    </w:p>
    <w:p>
      <w:pPr>
        <w:ind w:right="1460"/>
        <w:spacing w:after="0" w:line="284" w:lineRule="auto"/>
        <w:rPr>
          <w:sz w:val="20"/>
          <w:szCs w:val="20"/>
          <w:color w:val="auto"/>
        </w:rPr>
      </w:pPr>
      <w:r>
        <w:rPr>
          <w:rFonts w:ascii="Arial" w:cs="Arial" w:eastAsia="Arial" w:hAnsi="Arial"/>
          <w:sz w:val="16"/>
          <w:szCs w:val="16"/>
          <w:b w:val="1"/>
          <w:bCs w:val="1"/>
          <w:color w:val="auto"/>
        </w:rPr>
        <w:t>CONDENSED CONSOLIDATED STATEMENTS OF CASH FLOWS - UNAUDITED (U.S. dollars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27940</wp:posOffset>
            </wp:positionV>
            <wp:extent cx="2353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331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7340" w:space="720"/>
            <w:col w:w="3140"/>
          </w:cols>
          <w:pgMar w:left="340" w:top="730" w:right="359" w:bottom="1440" w:gutter="0" w:footer="0" w:header="0"/>
        </w:sect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440" w:type="dxa"/>
            <w:vAlign w:val="bottom"/>
          </w:tcPr>
          <w:p>
            <w:pPr>
              <w:spacing w:after="0"/>
              <w:rPr>
                <w:sz w:val="18"/>
                <w:szCs w:val="18"/>
                <w:color w:val="auto"/>
              </w:rPr>
            </w:pPr>
          </w:p>
        </w:tc>
      </w:tr>
      <w:tr>
        <w:trPr>
          <w:trHeight w:val="212"/>
        </w:trPr>
        <w:tc>
          <w:tcPr>
            <w:tcW w:w="5280" w:type="dxa"/>
            <w:vAlign w:val="bottom"/>
          </w:tcPr>
          <w:p>
            <w:pPr>
              <w:spacing w:after="0"/>
              <w:rPr>
                <w:sz w:val="20"/>
                <w:szCs w:val="20"/>
                <w:color w:val="auto"/>
              </w:rPr>
            </w:pPr>
            <w:r>
              <w:rPr>
                <w:rFonts w:ascii="Arial" w:cs="Arial" w:eastAsia="Arial" w:hAnsi="Arial"/>
                <w:sz w:val="16"/>
                <w:szCs w:val="16"/>
                <w:color w:val="auto"/>
              </w:rPr>
              <w:t>Net loss</w:t>
            </w:r>
          </w:p>
        </w:tc>
        <w:tc>
          <w:tcPr>
            <w:tcW w:w="440" w:type="dxa"/>
            <w:vAlign w:val="bottom"/>
          </w:tcPr>
          <w:p>
            <w:pPr>
              <w:spacing w:after="0"/>
              <w:rPr>
                <w:sz w:val="18"/>
                <w:szCs w:val="18"/>
                <w:color w:val="auto"/>
              </w:rPr>
            </w:pPr>
          </w:p>
        </w:tc>
      </w:tr>
      <w:tr>
        <w:trPr>
          <w:trHeight w:val="212"/>
        </w:trPr>
        <w:tc>
          <w:tcPr>
            <w:tcW w:w="5280" w:type="dxa"/>
            <w:vAlign w:val="bottom"/>
          </w:tcPr>
          <w:p>
            <w:pPr>
              <w:spacing w:after="0"/>
              <w:rPr>
                <w:sz w:val="20"/>
                <w:szCs w:val="20"/>
                <w:color w:val="auto"/>
              </w:rPr>
            </w:pPr>
            <w:r>
              <w:rPr>
                <w:rFonts w:ascii="Arial" w:cs="Arial" w:eastAsia="Arial" w:hAnsi="Arial"/>
                <w:sz w:val="16"/>
                <w:szCs w:val="16"/>
                <w:color w:val="auto"/>
              </w:rPr>
              <w:t>Non-cash items included in net loss: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Deferred tax expense (benefit)</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Remeasurement of contingent consideration to fair value</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Amortization</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Depreciation</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Remeasurement of derivative instruments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Amortization of operating lease assets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Impairment of intangible assets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Other</w:t>
            </w:r>
          </w:p>
        </w:tc>
        <w:tc>
          <w:tcPr>
            <w:tcW w:w="440" w:type="dxa"/>
            <w:vAlign w:val="bottom"/>
          </w:tcPr>
          <w:p>
            <w:pPr>
              <w:spacing w:after="0"/>
              <w:rPr>
                <w:sz w:val="18"/>
                <w:szCs w:val="18"/>
                <w:color w:val="auto"/>
              </w:rPr>
            </w:pPr>
          </w:p>
        </w:tc>
      </w:tr>
      <w:tr>
        <w:trPr>
          <w:trHeight w:val="212"/>
        </w:trPr>
        <w:tc>
          <w:tcPr>
            <w:tcW w:w="528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Other current and non-current assets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Accounts payable and accrued current and non-current liabilities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Taxes payable</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Litigation provision liability</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Restructuring reserve</w:t>
            </w:r>
          </w:p>
        </w:tc>
        <w:tc>
          <w:tcPr>
            <w:tcW w:w="440" w:type="dxa"/>
            <w:vAlign w:val="bottom"/>
          </w:tcPr>
          <w:p>
            <w:pPr>
              <w:spacing w:after="0"/>
              <w:rPr>
                <w:sz w:val="18"/>
                <w:szCs w:val="18"/>
                <w:color w:val="auto"/>
              </w:rPr>
            </w:pPr>
          </w:p>
        </w:tc>
      </w:tr>
      <w:tr>
        <w:trPr>
          <w:trHeight w:val="225"/>
        </w:trPr>
        <w:tc>
          <w:tcPr>
            <w:tcW w:w="5280" w:type="dxa"/>
            <w:vAlign w:val="bottom"/>
          </w:tcPr>
          <w:p>
            <w:pPr>
              <w:ind w:left="200"/>
              <w:spacing w:after="0"/>
              <w:rPr>
                <w:sz w:val="20"/>
                <w:szCs w:val="20"/>
                <w:color w:val="auto"/>
              </w:rPr>
            </w:pPr>
            <w:r>
              <w:rPr>
                <w:rFonts w:ascii="Arial" w:cs="Arial" w:eastAsia="Arial" w:hAnsi="Arial"/>
                <w:sz w:val="16"/>
                <w:szCs w:val="16"/>
                <w:b w:val="1"/>
                <w:bCs w:val="1"/>
                <w:color w:val="auto"/>
              </w:rPr>
              <w:t>Net cash used in operating activities</w:t>
            </w:r>
          </w:p>
        </w:tc>
        <w:tc>
          <w:tcPr>
            <w:tcW w:w="440" w:type="dxa"/>
            <w:vAlign w:val="bottom"/>
          </w:tcPr>
          <w:p>
            <w:pPr>
              <w:spacing w:after="0"/>
              <w:rPr>
                <w:sz w:val="19"/>
                <w:szCs w:val="19"/>
                <w:color w:val="auto"/>
              </w:rPr>
            </w:pPr>
          </w:p>
        </w:tc>
      </w:tr>
      <w:tr>
        <w:trPr>
          <w:trHeight w:val="212"/>
        </w:trPr>
        <w:tc>
          <w:tcPr>
            <w:tcW w:w="52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Purchase of investments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Loans to investees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Acquisitions, net of cash acquired</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Purchases of intangible assets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Other</w:t>
            </w:r>
          </w:p>
        </w:tc>
        <w:tc>
          <w:tcPr>
            <w:tcW w:w="440" w:type="dxa"/>
            <w:vAlign w:val="bottom"/>
          </w:tcPr>
          <w:p>
            <w:pPr>
              <w:spacing w:after="0"/>
              <w:rPr>
                <w:sz w:val="18"/>
                <w:szCs w:val="18"/>
                <w:color w:val="auto"/>
              </w:rPr>
            </w:pPr>
          </w:p>
        </w:tc>
      </w:tr>
      <w:tr>
        <w:trPr>
          <w:trHeight w:val="225"/>
        </w:trPr>
        <w:tc>
          <w:tcPr>
            <w:tcW w:w="5280" w:type="dxa"/>
            <w:vAlign w:val="bottom"/>
          </w:tcPr>
          <w:p>
            <w:pPr>
              <w:ind w:left="200"/>
              <w:spacing w:after="0"/>
              <w:rPr>
                <w:sz w:val="20"/>
                <w:szCs w:val="20"/>
                <w:color w:val="auto"/>
              </w:rPr>
            </w:pPr>
            <w:r>
              <w:rPr>
                <w:rFonts w:ascii="Arial" w:cs="Arial" w:eastAsia="Arial" w:hAnsi="Arial"/>
                <w:sz w:val="16"/>
                <w:szCs w:val="16"/>
                <w:b w:val="1"/>
                <w:bCs w:val="1"/>
                <w:color w:val="auto"/>
              </w:rPr>
              <w:t>Net cash used in investing activities</w:t>
            </w:r>
          </w:p>
        </w:tc>
        <w:tc>
          <w:tcPr>
            <w:tcW w:w="440" w:type="dxa"/>
            <w:vAlign w:val="bottom"/>
          </w:tcPr>
          <w:p>
            <w:pPr>
              <w:spacing w:after="0"/>
              <w:rPr>
                <w:sz w:val="19"/>
                <w:szCs w:val="19"/>
                <w:color w:val="auto"/>
              </w:rPr>
            </w:pPr>
          </w:p>
        </w:tc>
      </w:tr>
      <w:tr>
        <w:trPr>
          <w:trHeight w:val="212"/>
        </w:trPr>
        <w:tc>
          <w:tcPr>
            <w:tcW w:w="52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Proceeds from long-term debt obligations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Repayment of long-term debt obligations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Proceeds from short term borrowings (maturities greater than 90 days)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Repayments of short term borrowings (maturities greater than 90 days)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Purchase of capped call</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Debt issuance costs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Closing adjustment payment for sale of CRM business</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Payment of contingent consideration</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Shares repurchased from employees for minimum tax withholding</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Proceeds from share issuances under ESPP</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Change in short-term borrowing, net</w:t>
            </w:r>
          </w:p>
        </w:tc>
        <w:tc>
          <w:tcPr>
            <w:tcW w:w="440" w:type="dxa"/>
            <w:vAlign w:val="bottom"/>
          </w:tcPr>
          <w:p>
            <w:pPr>
              <w:spacing w:after="0"/>
              <w:rPr>
                <w:sz w:val="18"/>
                <w:szCs w:val="18"/>
                <w:color w:val="auto"/>
              </w:rPr>
            </w:pPr>
          </w:p>
        </w:tc>
      </w:tr>
      <w:tr>
        <w:trPr>
          <w:trHeight w:val="212"/>
        </w:trPr>
        <w:tc>
          <w:tcPr>
            <w:tcW w:w="5280" w:type="dxa"/>
            <w:vAlign w:val="bottom"/>
          </w:tcPr>
          <w:p>
            <w:pPr>
              <w:ind w:left="100"/>
              <w:spacing w:after="0"/>
              <w:rPr>
                <w:sz w:val="20"/>
                <w:szCs w:val="20"/>
                <w:color w:val="auto"/>
              </w:rPr>
            </w:pPr>
            <w:r>
              <w:rPr>
                <w:rFonts w:ascii="Arial" w:cs="Arial" w:eastAsia="Arial" w:hAnsi="Arial"/>
                <w:sz w:val="16"/>
                <w:szCs w:val="16"/>
                <w:color w:val="auto"/>
              </w:rPr>
              <w:t>Other</w:t>
            </w:r>
          </w:p>
        </w:tc>
        <w:tc>
          <w:tcPr>
            <w:tcW w:w="440" w:type="dxa"/>
            <w:vAlign w:val="bottom"/>
          </w:tcPr>
          <w:p>
            <w:pPr>
              <w:spacing w:after="0"/>
              <w:rPr>
                <w:sz w:val="18"/>
                <w:szCs w:val="18"/>
                <w:color w:val="auto"/>
              </w:rPr>
            </w:pPr>
          </w:p>
        </w:tc>
      </w:tr>
      <w:tr>
        <w:trPr>
          <w:trHeight w:val="225"/>
        </w:trPr>
        <w:tc>
          <w:tcPr>
            <w:tcW w:w="5280" w:type="dxa"/>
            <w:vAlign w:val="bottom"/>
          </w:tcPr>
          <w:p>
            <w:pPr>
              <w:ind w:left="200"/>
              <w:spacing w:after="0"/>
              <w:rPr>
                <w:sz w:val="20"/>
                <w:szCs w:val="20"/>
                <w:color w:val="auto"/>
              </w:rPr>
            </w:pPr>
            <w:r>
              <w:rPr>
                <w:rFonts w:ascii="Arial" w:cs="Arial" w:eastAsia="Arial" w:hAnsi="Arial"/>
                <w:sz w:val="16"/>
                <w:szCs w:val="16"/>
                <w:b w:val="1"/>
                <w:bCs w:val="1"/>
                <w:color w:val="auto"/>
              </w:rPr>
              <w:t>Net cash provided by financing activities</w:t>
            </w:r>
          </w:p>
        </w:tc>
        <w:tc>
          <w:tcPr>
            <w:tcW w:w="440" w:type="dxa"/>
            <w:vAlign w:val="bottom"/>
          </w:tcPr>
          <w:p>
            <w:pPr>
              <w:spacing w:after="0"/>
              <w:rPr>
                <w:sz w:val="19"/>
                <w:szCs w:val="19"/>
                <w:color w:val="auto"/>
              </w:rPr>
            </w:pPr>
          </w:p>
        </w:tc>
      </w:tr>
      <w:tr>
        <w:trPr>
          <w:trHeight w:val="225"/>
        </w:trPr>
        <w:tc>
          <w:tcPr>
            <w:tcW w:w="52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440" w:type="dxa"/>
            <w:vAlign w:val="bottom"/>
          </w:tcPr>
          <w:p>
            <w:pPr>
              <w:spacing w:after="0"/>
              <w:rPr>
                <w:sz w:val="19"/>
                <w:szCs w:val="19"/>
                <w:color w:val="auto"/>
              </w:rPr>
            </w:pPr>
          </w:p>
        </w:tc>
      </w:tr>
      <w:tr>
        <w:trPr>
          <w:trHeight w:val="225"/>
        </w:trPr>
        <w:tc>
          <w:tcPr>
            <w:tcW w:w="5280" w:type="dxa"/>
            <w:vAlign w:val="bottom"/>
          </w:tcPr>
          <w:p>
            <w:pPr>
              <w:ind w:left="300"/>
              <w:spacing w:after="0"/>
              <w:rPr>
                <w:sz w:val="20"/>
                <w:szCs w:val="20"/>
                <w:color w:val="auto"/>
              </w:rPr>
            </w:pPr>
            <w:r>
              <w:rPr>
                <w:rFonts w:ascii="Arial" w:cs="Arial" w:eastAsia="Arial" w:hAnsi="Arial"/>
                <w:sz w:val="16"/>
                <w:szCs w:val="16"/>
                <w:b w:val="1"/>
                <w:bCs w:val="1"/>
                <w:color w:val="auto"/>
              </w:rPr>
              <w:t>Net increase in cash and cash equivalents</w:t>
            </w:r>
          </w:p>
        </w:tc>
        <w:tc>
          <w:tcPr>
            <w:tcW w:w="440" w:type="dxa"/>
            <w:vAlign w:val="bottom"/>
          </w:tcPr>
          <w:p>
            <w:pPr>
              <w:spacing w:after="0"/>
              <w:rPr>
                <w:sz w:val="19"/>
                <w:szCs w:val="19"/>
                <w:color w:val="auto"/>
              </w:rPr>
            </w:pPr>
          </w:p>
        </w:tc>
      </w:tr>
      <w:tr>
        <w:trPr>
          <w:trHeight w:val="212"/>
        </w:trPr>
        <w:tc>
          <w:tcPr>
            <w:tcW w:w="528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tcPr>
          <w:p>
            <w:pPr>
              <w:spacing w:after="0"/>
              <w:rPr>
                <w:sz w:val="18"/>
                <w:szCs w:val="18"/>
                <w:color w:val="auto"/>
              </w:rPr>
            </w:pPr>
          </w:p>
        </w:tc>
      </w:tr>
      <w:tr>
        <w:trPr>
          <w:trHeight w:val="251"/>
        </w:trPr>
        <w:tc>
          <w:tcPr>
            <w:tcW w:w="528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440" w:type="dxa"/>
            <w:vAlign w:val="bottom"/>
          </w:tcPr>
          <w:p>
            <w:pPr>
              <w:spacing w:after="0"/>
              <w:rPr>
                <w:sz w:val="21"/>
                <w:szCs w:val="21"/>
                <w:color w:val="auto"/>
              </w:rPr>
            </w:pPr>
          </w:p>
        </w:tc>
      </w:tr>
      <w:tr>
        <w:trPr>
          <w:trHeight w:val="320"/>
        </w:trPr>
        <w:tc>
          <w:tcPr>
            <w:tcW w:w="5280" w:type="dxa"/>
            <w:vAlign w:val="bottom"/>
          </w:tcPr>
          <w:p>
            <w:pPr>
              <w:spacing w:after="0"/>
              <w:rPr>
                <w:sz w:val="20"/>
                <w:szCs w:val="20"/>
                <w:color w:val="auto"/>
              </w:rPr>
            </w:pPr>
            <w:r>
              <w:rPr>
                <w:rFonts w:ascii="Arial" w:cs="Arial" w:eastAsia="Arial" w:hAnsi="Arial"/>
                <w:sz w:val="16"/>
                <w:szCs w:val="16"/>
                <w:color w:val="auto"/>
              </w:rPr>
              <w:t>* Numbers may not add up precisely due to rounding.</w:t>
            </w:r>
          </w:p>
        </w:tc>
        <w:tc>
          <w:tcPr>
            <w:tcW w:w="440" w:type="dxa"/>
            <w:vAlign w:val="bottom"/>
          </w:tcPr>
          <w:p>
            <w:pPr>
              <w:jc w:val="right"/>
              <w:spacing w:after="0"/>
              <w:rPr>
                <w:sz w:val="20"/>
                <w:szCs w:val="20"/>
                <w:color w:val="auto"/>
              </w:rPr>
            </w:pPr>
            <w:r>
              <w:rPr>
                <w:rFonts w:ascii="Arial" w:cs="Arial" w:eastAsia="Arial" w:hAnsi="Arial"/>
                <w:sz w:val="21"/>
                <w:szCs w:val="21"/>
                <w:color w:val="auto"/>
              </w:rPr>
              <w:t>19</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20955</wp:posOffset>
            </wp:positionV>
            <wp:extent cx="1143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($65.2)</w:t>
      </w:r>
    </w:p>
    <w:p>
      <w:pPr>
        <w:spacing w:after="0" w:line="251"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41.1</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(31.2)</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29.3</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26.8</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22.2</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(17.7)</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9.8</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5.9</w:t>
      </w:r>
    </w:p>
    <w:p>
      <w:pPr>
        <w:spacing w:after="0" w:line="240"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65.4</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(12.1)</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(15.4)</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(49.5)</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(0.6)</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(124.2)</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8255</wp:posOffset>
            </wp:positionV>
            <wp:extent cx="11430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8255</wp:posOffset>
            </wp:positionV>
            <wp:extent cx="1143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20"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(28.4)</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(3.2)</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(2.3)</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8255</wp:posOffset>
            </wp:positionV>
            <wp:extent cx="1143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8255</wp:posOffset>
            </wp:positionV>
            <wp:extent cx="1143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20"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886.9</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(481.4)</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46.7</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(44.8)</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(43.1)</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(20.4)</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(14.9)</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(8.9)</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(5.3)</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2.1</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(1.0)</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8255</wp:posOffset>
            </wp:positionV>
            <wp:extent cx="11430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315.9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8255</wp:posOffset>
            </wp:positionV>
            <wp:extent cx="1143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8255</wp:posOffset>
            </wp:positionV>
            <wp:extent cx="11430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166.7</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8255</wp:posOffset>
            </wp:positionV>
            <wp:extent cx="1143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8255</wp:posOffset>
            </wp:positionV>
            <wp:extent cx="11430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33020</wp:posOffset>
            </wp:positionV>
            <wp:extent cx="1143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20955</wp:posOffset>
            </wp:positionV>
            <wp:extent cx="11430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($11.9)</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(26.4)</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29.7</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24.1</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23.1</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9.0</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50.3</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7.6</w:t>
      </w:r>
    </w:p>
    <w:p>
      <w:pPr>
        <w:spacing w:after="0" w:line="24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5.4</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(18.2)</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9.6</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(29.0)</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(14.4)</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(140.8)</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8255</wp:posOffset>
            </wp:positionV>
            <wp:extent cx="11430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8255</wp:posOffset>
            </wp:positionV>
            <wp:extent cx="11430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(16.8)</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(0.3)</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(10.8)</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8255</wp:posOffset>
            </wp:positionV>
            <wp:extent cx="11430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8255</wp:posOffset>
            </wp:positionV>
            <wp:extent cx="11430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2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193.5</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(12.3)</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(18.0)</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(6.2)</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2.6</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8255</wp:posOffset>
            </wp:positionV>
            <wp:extent cx="11430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8255</wp:posOffset>
            </wp:positionV>
            <wp:extent cx="11430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8255</wp:posOffset>
            </wp:positionV>
            <wp:extent cx="11430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28.1</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8255</wp:posOffset>
            </wp:positionV>
            <wp:extent cx="11430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8255</wp:posOffset>
            </wp:positionV>
            <wp:extent cx="11430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33020</wp:posOffset>
            </wp:positionV>
            <wp:extent cx="11430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ectPr>
          <w:pgSz w:w="11900" w:h="16838" w:orient="portrait"/>
          <w:cols w:equalWidth="0" w:num="3">
            <w:col w:w="7520" w:space="720"/>
            <w:col w:w="1180" w:space="720"/>
            <w:col w:w="1060"/>
          </w:cols>
          <w:pgMar w:left="340" w:top="730" w:right="359" w:bottom="1440" w:gutter="0" w:footer="0" w:header="0"/>
          <w:type w:val="continuous"/>
        </w:sectPr>
      </w:pPr>
    </w:p>
    <w:bookmarkStart w:id="23" w:name="page24"/>
    <w:bookmarkEnd w:id="23"/>
    <w:p>
      <w:pPr>
        <w:spacing w:after="0" w:line="12" w:lineRule="exact"/>
        <w:rPr>
          <w:sz w:val="20"/>
          <w:szCs w:val="20"/>
          <w:color w:val="auto"/>
        </w:rPr>
      </w:pPr>
    </w:p>
    <w:p>
      <w:pPr>
        <w:ind w:right="180"/>
        <w:spacing w:after="0" w:line="366" w:lineRule="auto"/>
        <w:rPr>
          <w:sz w:val="20"/>
          <w:szCs w:val="20"/>
          <w:color w:val="auto"/>
        </w:rPr>
      </w:pPr>
      <w:r>
        <w:rPr>
          <w:rFonts w:ascii="Arial" w:cs="Arial" w:eastAsia="Arial" w:hAnsi="Arial"/>
          <w:sz w:val="16"/>
          <w:szCs w:val="16"/>
          <w:color w:val="auto"/>
        </w:rPr>
        <w:t>The following table presents the reconciliation of GAAP diluted weighted average shares outstanding, used in the computation of GAAP diluted net loss per common share from continuing operations, to adjusted diluted weighted average shares outstanding, used in the computation of adjusted diluted earnings per common share from continuing operations (in millions of shares):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980"/>
        <w:spacing w:after="0" w:line="318" w:lineRule="auto"/>
        <w:rPr>
          <w:sz w:val="20"/>
          <w:szCs w:val="20"/>
          <w:color w:val="auto"/>
        </w:rPr>
      </w:pPr>
      <w:r>
        <w:rPr>
          <w:rFonts w:ascii="Arial" w:cs="Arial" w:eastAsia="Arial" w:hAnsi="Arial"/>
          <w:sz w:val="15"/>
          <w:szCs w:val="15"/>
          <w:color w:val="auto"/>
        </w:rPr>
        <w:t>GAAP diluted weighted average shares outstanding Add effects of stock-based compensation instruments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Adjusted diluted weighted average shares outstanding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1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8"/>
              </w:rPr>
              <w:t>Three Months Ended</w:t>
            </w:r>
          </w:p>
        </w:tc>
        <w:tc>
          <w:tcPr>
            <w:tcW w:w="366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100" w:type="dxa"/>
            <w:vAlign w:val="bottom"/>
            <w:gridSpan w:val="2"/>
            <w:vMerge w:val="continue"/>
          </w:tcPr>
          <w:p>
            <w:pPr>
              <w:spacing w:after="0"/>
              <w:rPr>
                <w:sz w:val="2"/>
                <w:szCs w:val="2"/>
                <w:color w:val="auto"/>
              </w:rPr>
            </w:pPr>
          </w:p>
        </w:tc>
        <w:tc>
          <w:tcPr>
            <w:tcW w:w="1780" w:type="dxa"/>
            <w:vAlign w:val="bottom"/>
            <w:vMerge w:val="restart"/>
          </w:tcPr>
          <w:p>
            <w:pPr>
              <w:jc w:val="right"/>
              <w:ind w:right="64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1780" w:type="dxa"/>
            <w:vAlign w:val="bottom"/>
            <w:vMerge w:val="restart"/>
          </w:tcPr>
          <w:p>
            <w:pPr>
              <w:jc w:val="right"/>
              <w:ind w:right="64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line="20" w:lineRule="exact"/>
              <w:rPr>
                <w:sz w:val="1"/>
                <w:szCs w:val="1"/>
                <w:color w:val="auto"/>
              </w:rPr>
            </w:pPr>
          </w:p>
        </w:tc>
      </w:tr>
      <w:tr>
        <w:trPr>
          <w:trHeight w:val="211"/>
        </w:trPr>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September 30, 2020</w:t>
            </w: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7"/>
                <w:szCs w:val="17"/>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7"/>
                <w:szCs w:val="17"/>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5"/>
        </w:trPr>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5"/>
        </w:trPr>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4760" w:space="720"/>
            <w:col w:w="5760"/>
          </w:cols>
          <w:pgMar w:left="320" w:top="1440" w:right="339" w:bottom="1440" w:gutter="0" w:footer="0" w:header="0"/>
          <w:type w:val="continuous"/>
        </w:sectPr>
      </w:pPr>
    </w:p>
    <w:p>
      <w:pPr>
        <w:ind w:left="440" w:right="280" w:hanging="417"/>
        <w:spacing w:after="0" w:line="227"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diluted weighted average shares outstanding is a non-GAAP measure and includes the effects of stock-based compensation instruments, as reconciled in the above table.</w:t>
      </w:r>
    </w:p>
    <w:p>
      <w:pPr>
        <w:spacing w:after="0" w:line="23" w:lineRule="exact"/>
        <w:rPr>
          <w:sz w:val="20"/>
          <w:szCs w:val="20"/>
          <w:color w:val="auto"/>
        </w:rPr>
      </w:pPr>
    </w:p>
    <w:p>
      <w:pPr>
        <w:ind w:left="440" w:hanging="417"/>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upperLetter"/>
      <w:start w:val="1"/>
    </w:lvl>
  </w:abstractNum>
  <w:abstractNum w:abstractNumId="11">
    <w:nsid w:val="DED7263"/>
    <w:multiLevelType w:val="hybridMultilevel"/>
    <w:lvl w:ilvl="0">
      <w:lvlJc w:val="left"/>
      <w:lvlText w:val="(%1)"/>
      <w:numFmt w:val="upperLetter"/>
      <w:start w:val="1"/>
    </w:lvl>
  </w:abstractNum>
  <w:abstractNum w:abstractNumId="12">
    <w:nsid w:val="7FDCC233"/>
    <w:multiLevelType w:val="hybridMultilevel"/>
    <w:lvl w:ilvl="0">
      <w:lvlJc w:val="left"/>
      <w:lvlText w:val="(%1)"/>
      <w:numFmt w:val="upperLetter"/>
      <w:start w:val="1"/>
    </w:lvl>
  </w:abstractNum>
  <w:abstractNum w:abstractNumId="13">
    <w:nsid w:val="1BEFD79F"/>
    <w:multiLevelType w:val="hybridMultilevel"/>
    <w:lvl w:ilvl="0">
      <w:lvlJc w:val="left"/>
      <w:lvlText w:val="(%1)"/>
      <w:numFmt w:val="upp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2020-10-29T05:27:16Z</dcterms:created>
  <dcterms:modified xsi:type="dcterms:W3CDTF">2020-10-29T05:27:16Z</dcterms:modified>
</cp:coreProperties>
</file>