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7660"/>
        <w:spacing w:after="0"/>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20"/>
          <w:szCs w:val="20"/>
          <w:color w:val="auto"/>
        </w:rPr>
        <w:t>o</w:t>
      </w:r>
    </w:p>
    <w:p>
      <w:pPr>
        <w:spacing w:after="0" w:line="2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3" w:lineRule="exact"/>
        <w:rPr>
          <w:sz w:val="24"/>
          <w:szCs w:val="24"/>
          <w:color w:val="auto"/>
        </w:rPr>
      </w:pPr>
    </w:p>
    <w:p>
      <w:pPr>
        <w:ind w:left="11260"/>
        <w:spacing w:after="0"/>
        <w:rPr>
          <w:sz w:val="20"/>
          <w:szCs w:val="20"/>
          <w:color w:val="auto"/>
        </w:rPr>
      </w:pPr>
      <w:r>
        <w:rPr>
          <w:rFonts w:ascii="Times New Roman" w:cs="Times New Roman" w:eastAsia="Times New Roman" w:hAnsi="Times New Roman"/>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1.01 Entry into a Material Definitive Agreement</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26, 2019, LivaNova PLC ("</w:t>
      </w:r>
      <w:r>
        <w:rPr>
          <w:rFonts w:ascii="Times New Roman" w:cs="Times New Roman" w:eastAsia="Times New Roman" w:hAnsi="Times New Roman"/>
          <w:sz w:val="20"/>
          <w:szCs w:val="20"/>
          <w:b w:val="1"/>
          <w:bCs w:val="1"/>
          <w:color w:val="auto"/>
        </w:rPr>
        <w:t>LivaNova</w:t>
      </w:r>
      <w:r>
        <w:rPr>
          <w:rFonts w:ascii="Times New Roman" w:cs="Times New Roman" w:eastAsia="Times New Roman" w:hAnsi="Times New Roman"/>
          <w:sz w:val="20"/>
          <w:szCs w:val="20"/>
          <w:color w:val="auto"/>
        </w:rPr>
        <w:t>") entered into a facility agreement (the "</w:t>
      </w:r>
      <w:r>
        <w:rPr>
          <w:rFonts w:ascii="Times New Roman" w:cs="Times New Roman" w:eastAsia="Times New Roman" w:hAnsi="Times New Roman"/>
          <w:sz w:val="20"/>
          <w:szCs w:val="20"/>
          <w:b w:val="1"/>
          <w:bCs w:val="1"/>
          <w:color w:val="auto"/>
        </w:rPr>
        <w:t>Facility Agreement</w:t>
      </w:r>
      <w:r>
        <w:rPr>
          <w:rFonts w:ascii="Times New Roman" w:cs="Times New Roman" w:eastAsia="Times New Roman" w:hAnsi="Times New Roman"/>
          <w:sz w:val="20"/>
          <w:szCs w:val="20"/>
          <w:color w:val="auto"/>
        </w:rPr>
        <w:t>") with Bank of America Merrill Lynch International DAC, Barclays Bank PLC, BNP Paribas, London Branch and Intesa SanPaolo S.p.A., London Branch as the lenders (together, the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Bank of America Merrill Lynch International DAC, Barclays Bank PLC, BNP Paribas, London Branch and Intesa SanPaolo S.p.A. as the arrangers and bookrunners, Bank of America Merrill Lynch International DAC as documentation agent and co-ordinator and Barclays Bank PLC as the agent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Facility Agreement, the Lenders agreed to, among other things, provide a multicurrency term loan facility in an aggregate principal amount of $350 million with a U.S. dollar tranche of US$ 233,333,333 and a euro tranche of EUR 103,016,924.50 (being the euro equivalent of US$ 116,666,667 converted at a fixed exchange rate of 1.1325 euro to one U.S. dollar). The Facility Agreement will terminate on March 26, 2022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proceeds of the facility are intended to be used towards general corporate and working capital purposes of LivaNova and its subsidiaries (excluding acquisitions, dividends and share buybacks). The facility became available on March 26, 2019, subject to satisfaction of certain customary conditions precedent including payment of certain upfront fees and evidence of cancellation and repayment in full of the US$70 million revolving facility from Barclays Bank PLC on or before the first utilisation date.</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Borrowings under the Facility Agreement will bear interest at a variable annual rate based on LIBOR plus an applicable margin of 1.60 percent per annum for any loan in U.S. dollars, and EURIBOR plus an applicable margin of 1.40 percent per annum for any loan in euros. In addition, a commitment fee of 35% of the applicable margin, an upfront fee and an agency fee are payable in connection with the Facility Agreement. The commitment fee is assessed on the undrawn available commitment amount.</w:t>
      </w:r>
    </w:p>
    <w:p>
      <w:pPr>
        <w:spacing w:after="0" w:line="1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Interest on any loans made under the Facility Agreement will be payable on the last day of each interest period (or on the dates falling at six monthly intervals if any interest period is longer than six months), which is three months or as otherwise agreed with the Agent and all Lenders.</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Facility Agreement contains financial covenants that require LivaNova to maintain a maximum consolidated net debt to 12 month EBITDA ratio tested semi-annually, a minimum interest coverage ratio tested on June 30, for a six month period and on December 31, for a 12 month period and a maximum consolidated net debt to net worth ratio tested semi-annually. LivaNova must also at all times maintain a minimum amount of consolidated net worth. The Facility Agreement also contains customary representations and warranties, covenants, and events of default.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Facility Agreement restricts (subject to certain exceptions) LivaNova's ability to incur additional financial indebtedness in its subsidiaries, grant security over its assets or provide loans or grant credit. Further, each Lender is entitled to require cancellation of its commitments and prepayment of its participation if there is a change of control of LivaNova or if LivaNova ceases to have control of Sorin Group Italia srl.</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Events of default under the Facility Agreement include, among others: (i) non-payment of any amounts due under the Finance Documents (as defined therein) subject to certain grace periods in certain circumstances, (ii) failure to satisfy any financial covenants, (iii) failure to comply with any other provision under the Finance Documents (subject to a 15 business day grace period), (iv) material misrepresentation in any of the Finance Documents, (v) failure to pay, or certain other defaults, under other financial indebtedness, (vi) certain insolvency events or proceedings, (vii) unlawfulness or invalidity of any of LivaNova's obligations under the Finance Documents, (viii) if a material subsidiary of LivaNova suspends or ceases to carry on all or 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56" w:right="239" w:bottom="1440" w:gutter="0" w:footer="0" w:header="0"/>
        </w:sectPr>
      </w:pPr>
    </w:p>
    <w:bookmarkStart w:id="2" w:name="page3"/>
    <w:bookmarkEnd w:id="2"/>
    <w:p>
      <w:pPr>
        <w:jc w:val="both"/>
        <w:spacing w:after="0" w:line="243" w:lineRule="auto"/>
        <w:rPr>
          <w:sz w:val="20"/>
          <w:szCs w:val="20"/>
          <w:color w:val="auto"/>
        </w:rPr>
      </w:pPr>
      <w:r>
        <w:rPr>
          <w:rFonts w:ascii="Times New Roman" w:cs="Times New Roman" w:eastAsia="Times New Roman" w:hAnsi="Times New Roman"/>
          <w:sz w:val="20"/>
          <w:szCs w:val="20"/>
          <w:color w:val="auto"/>
        </w:rPr>
        <w:t>material part of its business, (ix) if LivaNova ceases to the beneficial owner of 50% of the issued share capital of Sorin Group Italia srl, (x) if LivaNova's auditors qualify the audited annual consolidated financial statements of LivaNova on the grounds of inadequate or unreliable information or being unable to prepare the accounts on a going concern basis, and which would have or would be reasonably likely to have a material adverse effect on the business, operations, property or financial condition of LivaNova and its subsidiaries taken as a whole, the ability of LivaNova to perform its payment obligations or financial covenant obligations under the Finance Documents or the validity or enforceability of the Finance Documents or the rights or remedies of the finance parties thereunder ("</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(xi) if a material subsidiary of LivaNova has its authority or ability to conduct its business curtailed by events such as seizure or expropriation by or on behalf of a governmental, regulatory or other authority, (xii) if LivaNova repudiates the Facility Agreement or any other Finance Document and (xiii) Material Adverse Effect due to litigation or other event or circumstance.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Facility Agreement is governed by English law.</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foregoing is a summary only and does not purport to be a complete description of all of the terms, provisions, covenants, and agreements contained in the Facility Agreement, and is subject to and qualified in its entirety by reference to the full text of the Facility Agreement, which is filed herewith as Exhibit 10.1 to this Current Report on Form 8-K and is incorporated into this Item 1.01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2.03 Creation of a Direct Financial Obligation or an Obligation under an Off-Balance Sheet Arrangement of a Registrant.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information required by this item is included in Item 1.01 of this Current Report on Form 8-K and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p>
      <w:pPr>
        <w:ind w:left="440" w:hanging="432"/>
        <w:spacing w:after="0"/>
        <w:tabs>
          <w:tab w:leader="none" w:pos="4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7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61"/>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60" w:type="dxa"/>
            <w:vAlign w:val="bottom"/>
          </w:tcPr>
          <w:p>
            <w:pPr>
              <w:spacing w:after="0"/>
              <w:rPr>
                <w:sz w:val="24"/>
                <w:szCs w:val="24"/>
                <w:color w:val="auto"/>
              </w:rPr>
            </w:pPr>
          </w:p>
        </w:tc>
        <w:tc>
          <w:tcPr>
            <w:tcW w:w="9720" w:type="dxa"/>
            <w:vAlign w:val="bottom"/>
            <w:tcBorders>
              <w:bottom w:val="single" w:sz="8" w:color="0000FF"/>
            </w:tcBorders>
            <w:gridSpan w:val="3"/>
          </w:tcPr>
          <w:p>
            <w:pPr>
              <w:spacing w:after="0"/>
              <w:rPr>
                <w:rFonts w:ascii="Times New Roman" w:cs="Times New Roman" w:eastAsia="Times New Roman" w:hAnsi="Times New Roman"/>
                <w:sz w:val="20"/>
                <w:szCs w:val="20"/>
                <w:color w:val="0000FF"/>
                <w:w w:val="98"/>
              </w:rPr>
            </w:pPr>
            <w:hyperlink w:anchor="page5">
              <w:r>
                <w:rPr>
                  <w:rFonts w:ascii="Times New Roman" w:cs="Times New Roman" w:eastAsia="Times New Roman" w:hAnsi="Times New Roman"/>
                  <w:sz w:val="20"/>
                  <w:szCs w:val="20"/>
                  <w:u w:val="single" w:color="auto"/>
                  <w:color w:val="0000FF"/>
                  <w:w w:val="98"/>
                </w:rPr>
                <w:t>US$</w:t>
              </w:r>
              <w:r>
                <w:rPr>
                  <w:rFonts w:ascii="Times New Roman" w:cs="Times New Roman" w:eastAsia="Times New Roman" w:hAnsi="Times New Roman"/>
                  <w:sz w:val="20"/>
                  <w:szCs w:val="20"/>
                  <w:color w:val="0000FF"/>
                  <w:w w:val="98"/>
                </w:rPr>
                <w:t>350 million multicurrency term facilities agreement dated March 26, 2019, by and among LivaNova PLC, the lenders,</w:t>
              </w:r>
            </w:hyperlink>
          </w:p>
        </w:tc>
      </w:tr>
      <w:tr>
        <w:trPr>
          <w:trHeight w:val="210"/>
        </w:trPr>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20" w:type="dxa"/>
            <w:vAlign w:val="bottom"/>
            <w:gridSpan w:val="3"/>
          </w:tcPr>
          <w:p>
            <w:pPr>
              <w:spacing w:after="0" w:line="209" w:lineRule="exact"/>
              <w:rPr>
                <w:rFonts w:ascii="Times New Roman" w:cs="Times New Roman" w:eastAsia="Times New Roman" w:hAnsi="Times New Roman"/>
                <w:sz w:val="20"/>
                <w:szCs w:val="20"/>
                <w:color w:val="0000FF"/>
              </w:rPr>
            </w:pPr>
            <w:hyperlink w:anchor="page5">
              <w:r>
                <w:rPr>
                  <w:rFonts w:ascii="Times New Roman" w:cs="Times New Roman" w:eastAsia="Times New Roman" w:hAnsi="Times New Roman"/>
                  <w:sz w:val="20"/>
                  <w:szCs w:val="20"/>
                  <w:color w:val="0000FF"/>
                </w:rPr>
                <w:t>arrangers and bookrunners, documentation agent and co-ordinator parties thereto and Barclays Bank PLC as agent.</w:t>
              </w:r>
            </w:hyperlink>
          </w:p>
        </w:tc>
      </w:tr>
      <w:tr>
        <w:trPr>
          <w:trHeight w:val="952"/>
        </w:trPr>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100" w:type="dxa"/>
            <w:vAlign w:val="bottom"/>
            <w:tcBorders>
              <w:top w:val="single" w:sz="8" w:color="0000FF"/>
            </w:tcBorders>
            <w:gridSpan w:val="2"/>
          </w:tcPr>
          <w:p>
            <w:pPr>
              <w:jc w:val="right"/>
              <w:ind w:right="486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0"/>
          <w:szCs w:val="20"/>
          <w:color w:val="auto"/>
        </w:rPr>
        <w:t>Date: March 29, 2019</w:t>
      </w:r>
      <w:r>
        <w:rPr>
          <w:sz w:val="20"/>
          <w:szCs w:val="20"/>
          <w:color w:val="auto"/>
        </w:rPr>
        <w:tab/>
      </w: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u w:val="single" w:color="auto"/>
          <w:color w:val="auto"/>
        </w:rPr>
        <w:t>/s/ Catherine Moroz</w:t>
      </w:r>
    </w:p>
    <w:p>
      <w:pPr>
        <w:spacing w:after="0" w:line="5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Catherine Moroz</w:t>
      </w:r>
    </w:p>
    <w:p>
      <w:pPr>
        <w:spacing w:after="0" w:line="5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240" w:top="585"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5"/>
          <w:szCs w:val="25"/>
          <w:b w:val="1"/>
          <w:bCs w:val="1"/>
          <w:u w:val="single" w:color="auto"/>
          <w:color w:val="auto"/>
        </w:rPr>
        <w:t>26</w:t>
      </w:r>
      <w:r>
        <w:rPr>
          <w:rFonts w:ascii="Times New Roman" w:cs="Times New Roman" w:eastAsia="Times New Roman" w:hAnsi="Times New Roman"/>
          <w:sz w:val="25"/>
          <w:szCs w:val="25"/>
          <w:b w:val="1"/>
          <w:bCs w:val="1"/>
          <w:color w:val="auto"/>
        </w:rPr>
        <w:t xml:space="preserve"> MARCH 2019</w:t>
      </w:r>
    </w:p>
    <w:p>
      <w:pPr>
        <w:spacing w:after="0" w:line="1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(as Company)</w:t>
      </w:r>
    </w:p>
    <w:p>
      <w:pPr>
        <w:spacing w:after="0" w:line="200" w:lineRule="exact"/>
        <w:rPr>
          <w:sz w:val="20"/>
          <w:szCs w:val="20"/>
          <w:color w:val="auto"/>
        </w:rPr>
      </w:pPr>
    </w:p>
    <w:p>
      <w:pPr>
        <w:spacing w:after="0" w:line="317"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BANK OF AMERICA MERRILL LYNCH INTERNATIONAL DAC, BARCLAYS BANK PLC, BNP PARIBAS, LONDON BRANCH AND INTESA SANPAOLO S.P.A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(as Arrangers and Bookrunners)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BARCLAYS BANK PLC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(as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93345</wp:posOffset>
            </wp:positionV>
            <wp:extent cx="200660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6600" cy="1460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900" w:right="4940" w:firstLine="182"/>
        <w:spacing w:after="0" w:line="264" w:lineRule="auto"/>
        <w:tabs>
          <w:tab w:leader="none" w:pos="5337"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Bishopsgate London EC2M 3XF</w:t>
      </w:r>
    </w:p>
    <w:p>
      <w:pPr>
        <w:ind w:left="50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United Kingdom</w:t>
      </w:r>
    </w:p>
    <w:p>
      <w:pPr>
        <w:jc w:val="center"/>
        <w:spacing w:after="0"/>
        <w:rPr>
          <w:sz w:val="20"/>
          <w:szCs w:val="20"/>
          <w:color w:val="auto"/>
        </w:rPr>
      </w:pPr>
      <w:r>
        <w:rPr>
          <w:rFonts w:ascii="Times New Roman" w:cs="Times New Roman" w:eastAsia="Times New Roman" w:hAnsi="Times New Roman"/>
          <w:sz w:val="20"/>
          <w:szCs w:val="20"/>
          <w:color w:val="auto"/>
        </w:rPr>
        <w:t>Tel: +44.20.7710.1000</w:t>
      </w:r>
    </w:p>
    <w:p>
      <w:pPr>
        <w:jc w:val="center"/>
        <w:spacing w:after="0"/>
        <w:rPr>
          <w:sz w:val="20"/>
          <w:szCs w:val="20"/>
          <w:color w:val="auto"/>
        </w:rPr>
      </w:pPr>
      <w:r>
        <w:rPr>
          <w:rFonts w:ascii="Times New Roman" w:cs="Times New Roman" w:eastAsia="Times New Roman" w:hAnsi="Times New Roman"/>
          <w:sz w:val="20"/>
          <w:szCs w:val="20"/>
          <w:color w:val="auto"/>
        </w:rPr>
        <w:t>www.lw.com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Contact: Medha Vikram</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5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tcPr>
          <w:p>
            <w:pPr>
              <w:ind w:left="4540"/>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680" w:type="dxa"/>
            <w:vAlign w:val="bottom"/>
          </w:tcPr>
          <w:p>
            <w:pPr>
              <w:spacing w:after="0"/>
              <w:rPr>
                <w:sz w:val="22"/>
                <w:szCs w:val="22"/>
                <w:color w:val="auto"/>
              </w:rPr>
            </w:pPr>
          </w:p>
        </w:tc>
      </w:tr>
      <w:tr>
        <w:trPr>
          <w:trHeight w:val="635"/>
        </w:trPr>
        <w:tc>
          <w:tcPr>
            <w:tcW w:w="6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w w:val="96"/>
              </w:rPr>
              <w:t>Clause</w:t>
            </w:r>
          </w:p>
        </w:tc>
        <w:tc>
          <w:tcPr>
            <w:tcW w:w="10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737"/>
        </w:trPr>
        <w:tc>
          <w:tcPr>
            <w:tcW w:w="600" w:type="dxa"/>
            <w:vAlign w:val="bottom"/>
            <w:tcBorders>
              <w:bottom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014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DEFINITIONS AND INTERPRETATION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THE FACILITY</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PURPOSE</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CONDITIONS OF UTILISATION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UTILISATION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REPAYMENT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PREPAYMENT AND CANCELLATION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INTEREST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INTEREST PERIODS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CHANGES TO THE CALCULATION OF INTEREST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FEES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TAX GROSS UP AND INDEMNITIES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INCREASED COSTS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OTHER INDEMNITIES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MITIGATION BY THE LENDERS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REPRESENTATION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INFORMATION AND UNDERTAKINGS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FINANCIAL COVENANTS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GENERAL UNDERTAKINGS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CHANGES TO LENDES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CHANGES TO THE COMPANY</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ROLE OF THE AGENT, THE ARRANGER AND THE DOCUMENTATION AGENT AND CO-ORDINATOR</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CONDUCT OF BUSINESS BY THE FINANCE PARTIES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SHARING AMONG THE FINANCE PARTIES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PAYMENT MECHANICS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SET-OFF</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NOTICES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CALCULATIONS AND CERTIFICATES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2"/>
                <w:szCs w:val="22"/>
                <w:color w:val="auto"/>
              </w:rPr>
            </w:pPr>
          </w:p>
        </w:tc>
        <w:tc>
          <w:tcPr>
            <w:tcW w:w="10140" w:type="dxa"/>
            <w:vAlign w:val="bottom"/>
            <w:tcBorders>
              <w:right w:val="single" w:sz="8" w:color="00000A"/>
            </w:tcBorders>
          </w:tcPr>
          <w:p>
            <w:pPr>
              <w:spacing w:after="0"/>
              <w:rPr>
                <w:sz w:val="20"/>
                <w:szCs w:val="20"/>
                <w:color w:val="auto"/>
              </w:rPr>
            </w:pPr>
            <w:r>
              <w:rPr>
                <w:rFonts w:ascii="Times New Roman" w:cs="Times New Roman" w:eastAsia="Times New Roman" w:hAnsi="Times New Roman"/>
                <w:sz w:val="20"/>
                <w:szCs w:val="20"/>
                <w:color w:val="auto"/>
              </w:rPr>
              <w:t>PARTIAL INVALIDITY</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1014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40"/>
          </w:cols>
          <w:pgMar w:left="240" w:top="936" w:right="2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76"/>
        </w:trPr>
        <w:tc>
          <w:tcPr>
            <w:tcW w:w="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101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REMEDIES AND WAIVERS</w:t>
            </w:r>
          </w:p>
        </w:tc>
        <w:tc>
          <w:tcPr>
            <w:tcW w:w="680" w:type="dxa"/>
            <w:vAlign w:val="bottom"/>
            <w:tcBorders>
              <w:top w:val="single" w:sz="8" w:color="00000A"/>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AMENDMENTS AND WAIVERS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34.</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CONFIDENTIAL INFORMATION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35.</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CONFIDENTIALITY OF FUNDING RATES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36.</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COUNTERPARTS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37.</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CO0NTRACTUAL RECOGNITION OF BAIL-IN</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38.</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GOVERNING LAW</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6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0"/>
                <w:szCs w:val="20"/>
                <w:color w:val="auto"/>
              </w:rPr>
              <w:t>39.</w:t>
            </w:r>
          </w:p>
        </w:tc>
        <w:tc>
          <w:tcPr>
            <w:tcW w:w="101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ENFORCEMENT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1"/>
        </w:trPr>
        <w:tc>
          <w:tcPr>
            <w:tcW w:w="6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1 THE ORIGINAL LENDERS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2 CONDITIONS PRECEDENT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3 UTILISATION REQUEST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4 FORM OF TRANSFER CERTIFICATE</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5 FORM OF ASSIGNMENT AGREEMENT</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6 FORM OF COMPLIANCE CERTIFICATE</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7 MATERIAL COMPANIES</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r>
        <w:trPr>
          <w:trHeight w:val="256"/>
        </w:trPr>
        <w:tc>
          <w:tcPr>
            <w:tcW w:w="10760" w:type="dxa"/>
            <w:vAlign w:val="bottom"/>
            <w:tcBorders>
              <w:left w:val="single" w:sz="8" w:color="00000A"/>
              <w:right w:val="single" w:sz="8" w:color="00000A"/>
            </w:tcBorders>
            <w:gridSpan w:val="2"/>
          </w:tcPr>
          <w:p>
            <w:pPr>
              <w:ind w:left="40"/>
              <w:spacing w:after="0"/>
              <w:rPr>
                <w:sz w:val="20"/>
                <w:szCs w:val="20"/>
                <w:color w:val="auto"/>
              </w:rPr>
            </w:pPr>
            <w:r>
              <w:rPr>
                <w:rFonts w:ascii="Times New Roman" w:cs="Times New Roman" w:eastAsia="Times New Roman" w:hAnsi="Times New Roman"/>
                <w:sz w:val="20"/>
                <w:szCs w:val="20"/>
                <w:color w:val="auto"/>
              </w:rPr>
              <w:t>SCHEDULE 8 EXISTING SECURITY</w:t>
            </w:r>
          </w:p>
        </w:tc>
        <w:tc>
          <w:tcPr>
            <w:tcW w:w="680" w:type="dxa"/>
            <w:vAlign w:val="bottom"/>
            <w:tcBorders>
              <w:right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1"/>
        </w:trPr>
        <w:tc>
          <w:tcPr>
            <w:tcW w:w="600" w:type="dxa"/>
            <w:vAlign w:val="bottom"/>
            <w:tcBorders>
              <w:left w:val="single" w:sz="8" w:color="00000A"/>
              <w:bottom w:val="single" w:sz="8" w:color="00000A"/>
            </w:tcBorders>
          </w:tcPr>
          <w:p>
            <w:pPr>
              <w:spacing w:after="0" w:line="20" w:lineRule="exact"/>
              <w:rPr>
                <w:sz w:val="1"/>
                <w:szCs w:val="1"/>
                <w:color w:val="auto"/>
              </w:rPr>
            </w:pPr>
          </w:p>
        </w:tc>
        <w:tc>
          <w:tcPr>
            <w:tcW w:w="10160" w:type="dxa"/>
            <w:vAlign w:val="bottom"/>
            <w:tcBorders>
              <w:bottom w:val="single" w:sz="8" w:color="00000A"/>
              <w:right w:val="single" w:sz="8" w:color="00000A"/>
            </w:tcBorders>
          </w:tcPr>
          <w:p>
            <w:pPr>
              <w:spacing w:after="0" w:line="20" w:lineRule="exact"/>
              <w:rPr>
                <w:sz w:val="1"/>
                <w:szCs w:val="1"/>
                <w:color w:val="auto"/>
              </w:rPr>
            </w:pPr>
          </w:p>
        </w:tc>
        <w:tc>
          <w:tcPr>
            <w:tcW w:w="680" w:type="dxa"/>
            <w:vAlign w:val="bottom"/>
            <w:tcBorders>
              <w:bottom w:val="single" w:sz="8" w:color="00000A"/>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40"/>
          </w:cols>
          <w:pgMar w:left="240" w:top="498"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2019 and made between:</w:t>
      </w:r>
    </w:p>
    <w:p>
      <w:pPr>
        <w:spacing w:after="0" w:line="189" w:lineRule="exact"/>
        <w:rPr>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LIVANOVA PLC</w:t>
      </w:r>
      <w:r>
        <w:rPr>
          <w:rFonts w:ascii="Times New Roman" w:cs="Times New Roman" w:eastAsia="Times New Roman" w:hAnsi="Times New Roman"/>
          <w:sz w:val="20"/>
          <w:szCs w:val="20"/>
          <w:color w:val="auto"/>
        </w:rPr>
        <w:t>, a company incorporated in England and Wales with registration number 09451374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20" w:hanging="612"/>
        <w:spacing w:after="0" w:line="273" w:lineRule="auto"/>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OF AMERICA MERRILL LYNCH INTERNATIONAL DAC, BARCLAYS BANK PLC, BNP PARIBAS, LONDON BRANCH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INTESA SANPAOLO S.P.A </w:t>
      </w:r>
      <w:r>
        <w:rPr>
          <w:rFonts w:ascii="Times New Roman" w:cs="Times New Roman" w:eastAsia="Times New Roman" w:hAnsi="Times New Roman"/>
          <w:sz w:val="20"/>
          <w:szCs w:val="20"/>
          <w:color w:val="auto"/>
        </w:rPr>
        <w:t>as mandated lead arrangers (whether acting individually or together the “</w:t>
      </w:r>
      <w:r>
        <w:rPr>
          <w:rFonts w:ascii="Times New Roman" w:cs="Times New Roman" w:eastAsia="Times New Roman" w:hAnsi="Times New Roman"/>
          <w:sz w:val="20"/>
          <w:szCs w:val="20"/>
          <w:b w:val="1"/>
          <w:bCs w:val="1"/>
          <w:color w:val="auto"/>
        </w:rPr>
        <w:t>Arranger</w:t>
      </w:r>
      <w:r>
        <w:rPr>
          <w:rFonts w:ascii="Times New Roman" w:cs="Times New Roman" w:eastAsia="Times New Roman" w:hAnsi="Times New Roman"/>
          <w:sz w:val="20"/>
          <w:szCs w:val="20"/>
          <w:color w:val="auto"/>
        </w:rPr>
        <w:t>”);</w:t>
      </w:r>
    </w:p>
    <w:p>
      <w:pPr>
        <w:spacing w:after="0" w:line="125" w:lineRule="exact"/>
        <w:rPr>
          <w:rFonts w:ascii="Times New Roman" w:cs="Times New Roman" w:eastAsia="Times New Roman" w:hAnsi="Times New Roman"/>
          <w:sz w:val="20"/>
          <w:szCs w:val="20"/>
          <w:color w:val="auto"/>
        </w:rPr>
      </w:pPr>
    </w:p>
    <w:p>
      <w:pPr>
        <w:ind w:left="620" w:hanging="612"/>
        <w:spacing w:after="0" w:line="273" w:lineRule="auto"/>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OF AMERICA MERRILL LYNCH INTERNATIONAL DAC, BARCLAYS BANK PLC, BNP PARIBAS, LONDON BRANCH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INTESA SANPAOLO S.P.A </w:t>
      </w:r>
      <w:r>
        <w:rPr>
          <w:rFonts w:ascii="Times New Roman" w:cs="Times New Roman" w:eastAsia="Times New Roman" w:hAnsi="Times New Roman"/>
          <w:sz w:val="20"/>
          <w:szCs w:val="20"/>
          <w:color w:val="auto"/>
        </w:rPr>
        <w:t>as bookrunners in respect of the Facility (the “</w:t>
      </w:r>
      <w:r>
        <w:rPr>
          <w:rFonts w:ascii="Times New Roman" w:cs="Times New Roman" w:eastAsia="Times New Roman" w:hAnsi="Times New Roman"/>
          <w:sz w:val="20"/>
          <w:szCs w:val="20"/>
          <w:b w:val="1"/>
          <w:bCs w:val="1"/>
          <w:color w:val="auto"/>
        </w:rPr>
        <w:t>Bookrunners</w:t>
      </w:r>
      <w:r>
        <w:rPr>
          <w:rFonts w:ascii="Times New Roman" w:cs="Times New Roman" w:eastAsia="Times New Roman" w:hAnsi="Times New Roman"/>
          <w:sz w:val="20"/>
          <w:szCs w:val="20"/>
          <w:color w:val="auto"/>
        </w:rPr>
        <w:t>”);</w:t>
      </w:r>
    </w:p>
    <w:p>
      <w:pPr>
        <w:spacing w:after="0" w:line="125"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FINANCIAL INSTITUTIONS </w:t>
      </w:r>
      <w:r>
        <w:rPr>
          <w:rFonts w:ascii="Times New Roman" w:cs="Times New Roman" w:eastAsia="Times New Roman" w:hAnsi="Times New Roman"/>
          <w:sz w:val="20"/>
          <w:szCs w:val="20"/>
          <w:color w:val="auto"/>
        </w:rPr>
        <w:t>listed in Schedule 1 (</w:t>
      </w:r>
      <w:r>
        <w:rPr>
          <w:rFonts w:ascii="Times New Roman" w:cs="Times New Roman" w:eastAsia="Times New Roman" w:hAnsi="Times New Roman"/>
          <w:sz w:val="20"/>
          <w:szCs w:val="20"/>
          <w:i w:val="1"/>
          <w:iCs w:val="1"/>
          <w:color w:val="auto"/>
        </w:rPr>
        <w:t>The Original Lenders</w:t>
      </w:r>
      <w:r>
        <w:rPr>
          <w:rFonts w:ascii="Times New Roman" w:cs="Times New Roman" w:eastAsia="Times New Roman" w:hAnsi="Times New Roman"/>
          <w:sz w:val="20"/>
          <w:szCs w:val="20"/>
          <w:color w:val="auto"/>
        </w:rPr>
        <w:t>) as lenders (the “</w:t>
      </w:r>
      <w:r>
        <w:rPr>
          <w:rFonts w:ascii="Times New Roman" w:cs="Times New Roman" w:eastAsia="Times New Roman" w:hAnsi="Times New Roman"/>
          <w:sz w:val="20"/>
          <w:szCs w:val="20"/>
          <w:b w:val="1"/>
          <w:bCs w:val="1"/>
          <w:color w:val="auto"/>
        </w:rPr>
        <w:t>Original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20" w:hanging="612"/>
        <w:spacing w:after="0" w:line="273" w:lineRule="auto"/>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BANK OF AMERICA MERRILL LYNCH INTERNATIONAL DAC </w:t>
      </w:r>
      <w:r>
        <w:rPr>
          <w:rFonts w:ascii="Times New Roman" w:cs="Times New Roman" w:eastAsia="Times New Roman" w:hAnsi="Times New Roman"/>
          <w:sz w:val="20"/>
          <w:szCs w:val="20"/>
          <w:color w:val="auto"/>
        </w:rPr>
        <w:t>as documentation agent and co-ordinator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Documentation Agent and Co-ordinator</w:t>
      </w:r>
      <w:r>
        <w:rPr>
          <w:rFonts w:ascii="Times New Roman" w:cs="Times New Roman" w:eastAsia="Times New Roman" w:hAnsi="Times New Roman"/>
          <w:sz w:val="20"/>
          <w:szCs w:val="20"/>
          <w:color w:val="auto"/>
        </w:rPr>
        <w:t>”); and</w:t>
      </w:r>
    </w:p>
    <w:p>
      <w:pPr>
        <w:spacing w:after="0" w:line="125"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BARCLAYS BANK PLC </w:t>
      </w:r>
      <w:r>
        <w:rPr>
          <w:rFonts w:ascii="Times New Roman" w:cs="Times New Roman" w:eastAsia="Times New Roman" w:hAnsi="Times New Roman"/>
          <w:sz w:val="20"/>
          <w:szCs w:val="20"/>
          <w:color w:val="auto"/>
        </w:rPr>
        <w:t>as agent of the Finance Parties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1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163"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this Agreement: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Date</w:t>
      </w:r>
      <w:r>
        <w:rPr>
          <w:rFonts w:ascii="Times New Roman" w:cs="Times New Roman" w:eastAsia="Times New Roman" w:hAnsi="Times New Roman"/>
          <w:sz w:val="20"/>
          <w:szCs w:val="20"/>
          <w:color w:val="auto"/>
        </w:rPr>
        <w:t>” means each 30 June and 31 December.</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means generally accepted accounting principles in the United States of America, being US GAAP.</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in relation to any person, a Subsidiary of that person or a Holding Company of that person or any other Subsidiary of that Holding Company.</w:t>
      </w:r>
    </w:p>
    <w:p>
      <w:pPr>
        <w:spacing w:after="0" w:line="125"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Agreement</w:t>
      </w:r>
      <w:r>
        <w:rPr>
          <w:rFonts w:ascii="Times New Roman" w:cs="Times New Roman" w:eastAsia="Times New Roman" w:hAnsi="Times New Roman"/>
          <w:sz w:val="20"/>
          <w:szCs w:val="20"/>
          <w:color w:val="auto"/>
        </w:rPr>
        <w:t>” means an agreement substantially in the form set out in Schedule 5 (</w:t>
      </w:r>
      <w:r>
        <w:rPr>
          <w:rFonts w:ascii="Times New Roman" w:cs="Times New Roman" w:eastAsia="Times New Roman" w:hAnsi="Times New Roman"/>
          <w:sz w:val="20"/>
          <w:szCs w:val="20"/>
          <w:i w:val="1"/>
          <w:iCs w:val="1"/>
          <w:color w:val="auto"/>
        </w:rPr>
        <w:t>Form of Assignment Agreement</w:t>
      </w:r>
      <w:r>
        <w:rPr>
          <w:rFonts w:ascii="Times New Roman" w:cs="Times New Roman" w:eastAsia="Times New Roman" w:hAnsi="Times New Roman"/>
          <w:sz w:val="20"/>
          <w:szCs w:val="20"/>
          <w:color w:val="auto"/>
        </w:rPr>
        <w:t>) or any other form agreed between the relevant assignor and assignee.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Authorisation</w:t>
      </w:r>
      <w:r>
        <w:rPr>
          <w:rFonts w:ascii="Times New Roman" w:cs="Times New Roman" w:eastAsia="Times New Roman" w:hAnsi="Times New Roman"/>
          <w:sz w:val="20"/>
          <w:szCs w:val="20"/>
          <w:color w:val="auto"/>
        </w:rPr>
        <w:t>” means an authorisation, consent, approval, resolution, licence, exemption, filing, notarisation or registration.</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Availability Period</w:t>
      </w:r>
      <w:r>
        <w:rPr>
          <w:rFonts w:ascii="Times New Roman" w:cs="Times New Roman" w:eastAsia="Times New Roman" w:hAnsi="Times New Roman"/>
          <w:sz w:val="20"/>
          <w:szCs w:val="20"/>
          <w:color w:val="auto"/>
        </w:rPr>
        <w:t>” means the period from and including the date of this Agreement to and including the date falling 12 months after the date of this Agreement.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Commitment</w:t>
      </w:r>
      <w:r>
        <w:rPr>
          <w:rFonts w:ascii="Times New Roman" w:cs="Times New Roman" w:eastAsia="Times New Roman" w:hAnsi="Times New Roman"/>
          <w:sz w:val="20"/>
          <w:szCs w:val="20"/>
          <w:color w:val="auto"/>
        </w:rPr>
        <w:t>” means in relation to a Tranche, a Lender's Commitment minus:</w:t>
      </w:r>
    </w:p>
    <w:p>
      <w:pPr>
        <w:spacing w:after="0" w:line="193" w:lineRule="exact"/>
        <w:rPr>
          <w:sz w:val="20"/>
          <w:szCs w:val="20"/>
          <w:color w:val="auto"/>
        </w:rPr>
      </w:pPr>
    </w:p>
    <w:p>
      <w:pPr>
        <w:ind w:left="1260" w:hanging="604"/>
        <w:spacing w:after="0"/>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its participation in any outstanding Loans under that Tranche;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56" w:right="239" w:bottom="1440" w:gutter="0" w:footer="0" w:header="0"/>
        </w:sectPr>
      </w:pPr>
    </w:p>
    <w:bookmarkStart w:id="8" w:name="page9"/>
    <w:bookmarkEnd w:id="8"/>
    <w:p>
      <w:pPr>
        <w:ind w:left="1280" w:hanging="624"/>
        <w:spacing w:after="0" w:line="269" w:lineRule="auto"/>
        <w:tabs>
          <w:tab w:leader="none" w:pos="126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proposed Utilisation under that Tranche, the amount of its participation in any Loans under that Tranche that are due to be made on or before the proposed Utilisation Date.</w:t>
      </w:r>
    </w:p>
    <w:p>
      <w:pPr>
        <w:spacing w:after="0" w:line="12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Facility</w:t>
      </w:r>
      <w:r>
        <w:rPr>
          <w:rFonts w:ascii="Times New Roman" w:cs="Times New Roman" w:eastAsia="Times New Roman" w:hAnsi="Times New Roman"/>
          <w:sz w:val="20"/>
          <w:szCs w:val="20"/>
          <w:color w:val="auto"/>
        </w:rPr>
        <w:t>” means, in relation to a Tranche, the aggregate for the time being of each Lender's Available Commitment under that Tranche.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4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other state, any analogous law or regulation from time to time which requires contractual recognition of any Write-down and Conversion Powers contained in that law or regulation.</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Break Costs</w:t>
      </w:r>
      <w:r>
        <w:rPr>
          <w:rFonts w:ascii="Times New Roman" w:cs="Times New Roman" w:eastAsia="Times New Roman" w:hAnsi="Times New Roman"/>
          <w:sz w:val="20"/>
          <w:szCs w:val="20"/>
          <w:color w:val="auto"/>
        </w:rPr>
        <w:t>” means the amount (if any) by which:</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(excluding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exceeds:</w:t>
      </w:r>
    </w:p>
    <w:p>
      <w:pPr>
        <w:spacing w:after="0" w:line="189" w:lineRule="exact"/>
        <w:rPr>
          <w:sz w:val="20"/>
          <w:szCs w:val="20"/>
          <w:color w:val="auto"/>
        </w:rPr>
      </w:pPr>
    </w:p>
    <w:p>
      <w:pPr>
        <w:jc w:val="both"/>
        <w:ind w:left="1280" w:hanging="624"/>
        <w:spacing w:after="0" w:line="254" w:lineRule="auto"/>
        <w:tabs>
          <w:tab w:leader="none" w:pos="126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44"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or Sunday) on which banks are open for general business in London, New York and, in relation to any date for payment or purchase of euros, any TARGET Day.</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US Internal Revenue Code of 1986.</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a USD Tranche Commitment or a EUR Tranche Commitment.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means a certificate substantially in the form set out in Schedule 6 (</w:t>
      </w:r>
      <w:r>
        <w:rPr>
          <w:rFonts w:ascii="Times New Roman" w:cs="Times New Roman" w:eastAsia="Times New Roman" w:hAnsi="Times New Roman"/>
          <w:sz w:val="20"/>
          <w:szCs w:val="20"/>
          <w:i w:val="1"/>
          <w:iCs w:val="1"/>
          <w:color w:val="auto"/>
        </w:rPr>
        <w:t>Form of Compliance Certificate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all information relating to the Company,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9" w:name="page10"/>
    <w:bookmarkEnd w:id="9"/>
    <w:p>
      <w:pPr>
        <w:ind w:left="1260" w:hanging="604"/>
        <w:spacing w:after="0"/>
        <w:tabs>
          <w:tab w:leader="none" w:pos="12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member of the Group or any of its advisers; or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another Finance Party, if the information was obtained by that Finance Party directly or indirectly from any member of the Group or any of its advisers,</w:t>
      </w:r>
    </w:p>
    <w:p>
      <w:pPr>
        <w:spacing w:after="0" w:line="13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33" w:lineRule="exact"/>
        <w:rPr>
          <w:sz w:val="20"/>
          <w:szCs w:val="20"/>
          <w:color w:val="auto"/>
        </w:rPr>
      </w:pPr>
    </w:p>
    <w:p>
      <w:pPr>
        <w:ind w:left="1920" w:hanging="642"/>
        <w:spacing w:after="0"/>
        <w:tabs>
          <w:tab w:leader="none" w:pos="19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w:t>
      </w:r>
    </w:p>
    <w:p>
      <w:pPr>
        <w:spacing w:after="0" w:line="188"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becomes public information other than as a direct or indirect result of any breach by that Finance Party of Clause 34 (</w:t>
      </w:r>
      <w:r>
        <w:rPr>
          <w:rFonts w:ascii="Times New Roman" w:cs="Times New Roman" w:eastAsia="Times New Roman" w:hAnsi="Times New Roman"/>
          <w:sz w:val="20"/>
          <w:szCs w:val="20"/>
          <w:i w:val="1"/>
          <w:iCs w:val="1"/>
          <w:color w:val="auto"/>
        </w:rPr>
        <w:t>Confidential Information</w:t>
      </w:r>
      <w:r>
        <w:rPr>
          <w:rFonts w:ascii="Times New Roman" w:cs="Times New Roman" w:eastAsia="Times New Roman" w:hAnsi="Times New Roman"/>
          <w:sz w:val="20"/>
          <w:szCs w:val="20"/>
          <w:color w:val="auto"/>
        </w:rPr>
        <w:t>); or</w:t>
      </w:r>
    </w:p>
    <w:p>
      <w:pPr>
        <w:spacing w:after="0" w:line="132"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identified in writing at the time of delivery as non-confidential by any member of the Group or any of its advisers; or</w:t>
      </w:r>
    </w:p>
    <w:p>
      <w:pPr>
        <w:spacing w:after="0" w:line="132"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known by that Finance Party before the date the information is disclosed to it in accordance with paragraphs</w:t>
      </w:r>
    </w:p>
    <w:p>
      <w:pPr>
        <w:spacing w:after="0" w:line="21" w:lineRule="exact"/>
        <w:rPr>
          <w:rFonts w:ascii="Times New Roman" w:cs="Times New Roman" w:eastAsia="Times New Roman" w:hAnsi="Times New Roman"/>
          <w:sz w:val="20"/>
          <w:szCs w:val="20"/>
          <w:color w:val="auto"/>
        </w:rPr>
      </w:pPr>
    </w:p>
    <w:p>
      <w:pPr>
        <w:jc w:val="both"/>
        <w:ind w:left="2560" w:firstLine="5"/>
        <w:spacing w:after="0" w:line="241" w:lineRule="auto"/>
        <w:tabs>
          <w:tab w:leader="none" w:pos="2841" w:val="left"/>
        </w:tabs>
        <w:numPr>
          <w:ilvl w:val="2"/>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62" w:lineRule="exact"/>
        <w:rPr>
          <w:sz w:val="20"/>
          <w:szCs w:val="20"/>
          <w:color w:val="auto"/>
        </w:rPr>
      </w:pPr>
    </w:p>
    <w:p>
      <w:pPr>
        <w:ind w:left="1920" w:hanging="642"/>
        <w:spacing w:after="0"/>
        <w:tabs>
          <w:tab w:leader="none" w:pos="1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Funding Rate.</w:t>
      </w:r>
    </w:p>
    <w:p>
      <w:pPr>
        <w:spacing w:after="0" w:line="185" w:lineRule="exact"/>
        <w:rPr>
          <w:sz w:val="20"/>
          <w:szCs w:val="20"/>
          <w:color w:val="auto"/>
        </w:rPr>
      </w:pPr>
    </w:p>
    <w:p>
      <w:pPr>
        <w:jc w:val="both"/>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Confidentiality Undertaking</w:t>
      </w:r>
      <w:r>
        <w:rPr>
          <w:rFonts w:ascii="Times New Roman" w:cs="Times New Roman" w:eastAsia="Times New Roman" w:hAnsi="Times New Roman"/>
          <w:sz w:val="20"/>
          <w:szCs w:val="20"/>
          <w:color w:val="auto"/>
        </w:rPr>
        <w:t>” means a confidentiality undertaking substantially in a recommended form of the LMA or in any other form agreed between the Company and the Agent.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CTA</w:t>
      </w:r>
      <w:r>
        <w:rPr>
          <w:rFonts w:ascii="Times New Roman" w:cs="Times New Roman" w:eastAsia="Times New Roman" w:hAnsi="Times New Roman"/>
          <w:sz w:val="20"/>
          <w:szCs w:val="20"/>
          <w:color w:val="auto"/>
        </w:rPr>
        <w:t>” means the Corporation Tax Act 2009.</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 Event of Default or any event or circumstance specified in Clause 21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which would (with the expiry of a grace period, the giving of notice, the making of any determination under the Finance Documents or any combination of any of the foregoing) be an Event of Default.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means any Lender:</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has failed to make its participation in a Loan available (or has notified the Agent or the Company (which has notified the Agent) that it will not make its participation in a Loan available) by the Utilisation Date of that Loan in accordance with Clause 5.4 (</w:t>
      </w:r>
      <w:r>
        <w:rPr>
          <w:rFonts w:ascii="Times New Roman" w:cs="Times New Roman" w:eastAsia="Times New Roman" w:hAnsi="Times New Roman"/>
          <w:sz w:val="20"/>
          <w:szCs w:val="20"/>
          <w:i w:val="1"/>
          <w:iCs w:val="1"/>
          <w:color w:val="auto"/>
        </w:rPr>
        <w:t>Lenders’ participation</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has otherwise rescinded or repudiated a Finance Document;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an Insolvency Event has occurred and is continuing,</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unless, in the case of paragraph (a) above:</w:t>
      </w:r>
    </w:p>
    <w:p>
      <w:pPr>
        <w:spacing w:after="0" w:line="189" w:lineRule="exact"/>
        <w:rPr>
          <w:sz w:val="20"/>
          <w:szCs w:val="20"/>
          <w:color w:val="auto"/>
        </w:rPr>
      </w:pPr>
    </w:p>
    <w:p>
      <w:pPr>
        <w:ind w:left="1920" w:hanging="642"/>
        <w:spacing w:after="0"/>
        <w:tabs>
          <w:tab w:leader="none" w:pos="19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failure to pay is caused by: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0" w:name="page11"/>
    <w:bookmarkEnd w:id="10"/>
    <w:p>
      <w:pPr>
        <w:ind w:left="2540" w:hanging="614"/>
        <w:spacing w:after="0"/>
        <w:tabs>
          <w:tab w:leader="none" w:pos="25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or technical error; or</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Event, and</w:t>
      </w:r>
    </w:p>
    <w:p>
      <w:pPr>
        <w:spacing w:after="0" w:line="18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payment is made within five Business Days of its due date; or</w:t>
      </w:r>
    </w:p>
    <w:p>
      <w:pPr>
        <w:spacing w:after="0" w:line="189" w:lineRule="exact"/>
        <w:rPr>
          <w:sz w:val="20"/>
          <w:szCs w:val="20"/>
          <w:color w:val="auto"/>
        </w:rPr>
      </w:pPr>
    </w:p>
    <w:p>
      <w:pPr>
        <w:ind w:left="620" w:right="1200" w:firstLine="658"/>
        <w:spacing w:after="0" w:line="436" w:lineRule="auto"/>
        <w:tabs>
          <w:tab w:leader="none" w:pos="190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is disputing in good faith whether it is contractually obliged to make the payment in question. “</w:t>
      </w:r>
      <w:r>
        <w:rPr>
          <w:rFonts w:ascii="Times New Roman" w:cs="Times New Roman" w:eastAsia="Times New Roman" w:hAnsi="Times New Roman"/>
          <w:sz w:val="20"/>
          <w:szCs w:val="20"/>
          <w:b w:val="1"/>
          <w:bCs w:val="1"/>
          <w:color w:val="auto"/>
        </w:rPr>
        <w:t>Disruption Event</w:t>
      </w:r>
      <w:r>
        <w:rPr>
          <w:rFonts w:ascii="Times New Roman" w:cs="Times New Roman" w:eastAsia="Times New Roman" w:hAnsi="Times New Roman"/>
          <w:sz w:val="20"/>
          <w:szCs w:val="20"/>
          <w:color w:val="auto"/>
        </w:rPr>
        <w:t>” means either or both of:</w:t>
      </w:r>
    </w:p>
    <w:p>
      <w:pPr>
        <w:spacing w:after="0" w:line="1"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53"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other event which results in a disruption (of a technical or systems-related nature) to the treasury or payments operations of a Party preventing that, or any other Party:</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performing its payment obligations under the Finance Documents; or</w:t>
      </w:r>
    </w:p>
    <w:p>
      <w:pPr>
        <w:spacing w:after="0" w:line="189" w:lineRule="exact"/>
        <w:rPr>
          <w:sz w:val="20"/>
          <w:szCs w:val="20"/>
          <w:color w:val="auto"/>
        </w:rPr>
      </w:pPr>
    </w:p>
    <w:p>
      <w:pPr>
        <w:ind w:left="1920" w:hanging="642"/>
        <w:spacing w:after="0"/>
        <w:tabs>
          <w:tab w:leader="none" w:pos="19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communicating with other Parties in accordance with the terms of the Finance Documents,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and which (in either such case) is not caused by, and is beyond the control of, the Party whose operations are disrupted.</w:t>
      </w:r>
    </w:p>
    <w:p>
      <w:pPr>
        <w:spacing w:after="0" w:line="18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Distressed Fund</w:t>
      </w:r>
      <w:r>
        <w:rPr>
          <w:rFonts w:ascii="Times New Roman" w:cs="Times New Roman" w:eastAsia="Times New Roman" w:hAnsi="Times New Roman"/>
          <w:sz w:val="20"/>
          <w:szCs w:val="20"/>
          <w:color w:val="auto"/>
        </w:rPr>
        <w:t>” means a fund whose investment strategy includes purchasing debt for the purpose of actively managing that debt holding to obtain ownership of equity in or gain control of the relevant borrower(s) and/or to exploit holdout or blocking positions.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member state of the European Union, Iceland, Liechtenstein and Norway.</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Institution</w:t>
      </w:r>
      <w:r>
        <w:rPr>
          <w:rFonts w:ascii="Times New Roman" w:cs="Times New Roman" w:eastAsia="Times New Roman" w:hAnsi="Times New Roman"/>
          <w:sz w:val="20"/>
          <w:szCs w:val="20"/>
          <w:color w:val="auto"/>
        </w:rPr>
        <w:t>” means any Lender or other bank, financial institution, trust, fund or other entity selected by the Company and which, in each case, is not a member of the Group.</w:t>
      </w:r>
    </w:p>
    <w:p>
      <w:pPr>
        <w:spacing w:after="0" w:line="125"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w:t>
      </w:r>
      <w:r>
        <w:rPr>
          <w:rFonts w:ascii="Times New Roman" w:cs="Times New Roman" w:eastAsia="Times New Roman" w:hAnsi="Times New Roman"/>
          <w:sz w:val="20"/>
          <w:szCs w:val="20"/>
          <w:color w:val="auto"/>
        </w:rPr>
        <w:t>” means humans, animals, plants and all other living organisms including the ecological systems of which they form part and the following media:</w:t>
      </w:r>
    </w:p>
    <w:p>
      <w:pPr>
        <w:spacing w:after="0" w:line="98" w:lineRule="exact"/>
        <w:rPr>
          <w:sz w:val="20"/>
          <w:szCs w:val="20"/>
          <w:color w:val="auto"/>
        </w:rPr>
      </w:pPr>
    </w:p>
    <w:p>
      <w:pPr>
        <w:ind w:left="1260" w:hanging="604"/>
        <w:spacing w:after="0" w:line="230" w:lineRule="exact"/>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 (including, without limitation, air within natural or man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made structures, whether above or below ground);</w:t>
      </w:r>
    </w:p>
    <w:p>
      <w:pPr>
        <w:spacing w:after="0" w:line="220"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water (including, without limitation, territorial, coastal and inland waters, water under or within land and water in drains and sewers); and</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 (including, without limitation, land under water).</w:t>
      </w:r>
    </w:p>
    <w:p>
      <w:pPr>
        <w:spacing w:after="0" w:line="18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claim, proceeding, formal notice or investigation by any person in respect of any Environmental Law.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applicable law or regulation which relates to:</w:t>
      </w:r>
    </w:p>
    <w:p>
      <w:pPr>
        <w:spacing w:after="0" w:line="193" w:lineRule="exact"/>
        <w:rPr>
          <w:sz w:val="20"/>
          <w:szCs w:val="20"/>
          <w:color w:val="auto"/>
        </w:rPr>
      </w:pPr>
    </w:p>
    <w:p>
      <w:pPr>
        <w:ind w:left="1260" w:hanging="604"/>
        <w:spacing w:after="0"/>
        <w:tabs>
          <w:tab w:leader="none" w:pos="12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pollution or protection of the Environment;</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of the workplace; or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generation, handling, storage, use, release or spillage of any substance which, alone or in combination with any other, is capable of causing harm to the Environment, including, without limitation, any waste.</w:t>
      </w:r>
    </w:p>
    <w:p>
      <w:pPr>
        <w:spacing w:after="0" w:line="12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Permits</w:t>
      </w:r>
      <w:r>
        <w:rPr>
          <w:rFonts w:ascii="Times New Roman" w:cs="Times New Roman" w:eastAsia="Times New Roman" w:hAnsi="Times New Roman"/>
          <w:sz w:val="20"/>
          <w:szCs w:val="20"/>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142"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document described as such and published by the Loan Market Association (or any successor person) from time to time.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EURIBOR</w:t>
      </w:r>
      <w:r>
        <w:rPr>
          <w:rFonts w:ascii="Times New Roman" w:cs="Times New Roman" w:eastAsia="Times New Roman" w:hAnsi="Times New Roman"/>
          <w:sz w:val="20"/>
          <w:szCs w:val="20"/>
          <w:color w:val="auto"/>
        </w:rPr>
        <w:t>” means, in relation to any Loan in euro:</w:t>
      </w:r>
    </w:p>
    <w:p>
      <w:pPr>
        <w:spacing w:after="0" w:line="193" w:lineRule="exact"/>
        <w:rPr>
          <w:sz w:val="20"/>
          <w:szCs w:val="20"/>
          <w:color w:val="auto"/>
        </w:rPr>
      </w:pPr>
    </w:p>
    <w:p>
      <w:pPr>
        <w:ind w:left="1280" w:hanging="624"/>
        <w:spacing w:after="0" w:line="269" w:lineRule="auto"/>
        <w:tabs>
          <w:tab w:leader="none" w:pos="126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Screen Rate as of 11.00 am (Brussels time) on the Quotation Date for euro and for a period equal in length to the Interest Period of that Loan; or</w:t>
      </w:r>
    </w:p>
    <w:p>
      <w:pPr>
        <w:spacing w:after="0" w:line="12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otherwise determined pursuant to Clause 10.1 (</w:t>
      </w:r>
      <w:r>
        <w:rPr>
          <w:rFonts w:ascii="Times New Roman" w:cs="Times New Roman" w:eastAsia="Times New Roman" w:hAnsi="Times New Roman"/>
          <w:sz w:val="20"/>
          <w:szCs w:val="20"/>
          <w:i w:val="1"/>
          <w:iCs w:val="1"/>
          <w:color w:val="auto"/>
        </w:rPr>
        <w:t>Unavailability of Screen Rate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and if, in either case, that rate is less than zero, EURIBOR shall be deemed to be zero.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 Tranche</w:t>
      </w:r>
      <w:r>
        <w:rPr>
          <w:rFonts w:ascii="Times New Roman" w:cs="Times New Roman" w:eastAsia="Times New Roman" w:hAnsi="Times New Roman"/>
          <w:sz w:val="20"/>
          <w:szCs w:val="20"/>
          <w:color w:val="auto"/>
        </w:rPr>
        <w:t>” means the portion of the Facility made available under this Agreement as described in Clause 2.1(b) (</w:t>
      </w:r>
      <w:r>
        <w:rPr>
          <w:rFonts w:ascii="Times New Roman" w:cs="Times New Roman" w:eastAsia="Times New Roman" w:hAnsi="Times New Roman"/>
          <w:sz w:val="20"/>
          <w:szCs w:val="20"/>
          <w:i w:val="1"/>
          <w:iCs w:val="1"/>
          <w:color w:val="auto"/>
        </w:rPr>
        <w:t>The Facility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 Tranche Commitment</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hanging="624"/>
        <w:spacing w:after="0" w:line="296" w:lineRule="auto"/>
        <w:tabs>
          <w:tab w:leader="none" w:pos="1262"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relation to an Original Lender, the amount set opposite its name under the heading “EUR Tranche Commitment” in Schedule 1 (</w:t>
      </w:r>
      <w:r>
        <w:rPr>
          <w:rFonts w:ascii="Times New Roman" w:cs="Times New Roman" w:eastAsia="Times New Roman" w:hAnsi="Times New Roman"/>
          <w:sz w:val="19"/>
          <w:szCs w:val="19"/>
          <w:i w:val="1"/>
          <w:iCs w:val="1"/>
          <w:color w:val="auto"/>
        </w:rPr>
        <w:t>The Original Lenders</w:t>
      </w:r>
      <w:r>
        <w:rPr>
          <w:rFonts w:ascii="Times New Roman" w:cs="Times New Roman" w:eastAsia="Times New Roman" w:hAnsi="Times New Roman"/>
          <w:sz w:val="19"/>
          <w:szCs w:val="19"/>
          <w:color w:val="auto"/>
        </w:rPr>
        <w:t>) and the amount of any other EUR Tranche Commitment transferred to it under this Agreement; and</w:t>
      </w:r>
    </w:p>
    <w:p>
      <w:pPr>
        <w:spacing w:after="0" w:line="109" w:lineRule="exact"/>
        <w:rPr>
          <w:rFonts w:ascii="Times New Roman" w:cs="Times New Roman" w:eastAsia="Times New Roman" w:hAnsi="Times New Roman"/>
          <w:sz w:val="19"/>
          <w:szCs w:val="19"/>
          <w:color w:val="auto"/>
        </w:rPr>
      </w:pPr>
    </w:p>
    <w:p>
      <w:pPr>
        <w:ind w:left="1260" w:hanging="604"/>
        <w:spacing w:after="0"/>
        <w:tabs>
          <w:tab w:leader="none" w:pos="12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other Lender, the amount of any EUR Tranche Commitment transferred to it under this Agreement,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to the extent not cancelled, reduced or transferred by it under this Agreement.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means any event or circumstance specified as such in Clause 21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Rate</w:t>
      </w:r>
      <w:r>
        <w:rPr>
          <w:rFonts w:ascii="Times New Roman" w:cs="Times New Roman" w:eastAsia="Times New Roman" w:hAnsi="Times New Roman"/>
          <w:sz w:val="20"/>
          <w:szCs w:val="20"/>
          <w:color w:val="auto"/>
        </w:rPr>
        <w:t>” means 1.1325.</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Guarantee</w:t>
      </w:r>
      <w:r>
        <w:rPr>
          <w:rFonts w:ascii="Times New Roman" w:cs="Times New Roman" w:eastAsia="Times New Roman" w:hAnsi="Times New Roman"/>
          <w:sz w:val="20"/>
          <w:szCs w:val="20"/>
          <w:color w:val="auto"/>
        </w:rPr>
        <w:t>” means:</w:t>
      </w:r>
    </w:p>
    <w:p>
      <w:pPr>
        <w:spacing w:after="0" w:line="161" w:lineRule="exact"/>
        <w:rPr>
          <w:sz w:val="20"/>
          <w:szCs w:val="20"/>
          <w:color w:val="auto"/>
        </w:rPr>
      </w:pPr>
    </w:p>
    <w:p>
      <w:pPr>
        <w:ind w:left="1280" w:right="20" w:hanging="624"/>
        <w:spacing w:after="0" w:line="259" w:lineRule="exact"/>
        <w:tabs>
          <w:tab w:leader="none" w:pos="126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counter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indemnity obligation in respect of a performance or similar bond guaranteeing performance by a member of the Group under any public tender or other contract entered into in the ordinary course of trade;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56" w:right="239" w:bottom="1440" w:gutter="0" w:footer="0" w:header="0"/>
        </w:sectPr>
      </w:pPr>
    </w:p>
    <w:bookmarkStart w:id="12" w:name="page13"/>
    <w:bookmarkEnd w:id="12"/>
    <w:p>
      <w:pPr>
        <w:ind w:left="1280" w:hanging="624"/>
        <w:spacing w:after="0" w:line="269" w:lineRule="auto"/>
        <w:tabs>
          <w:tab w:leader="none" w:pos="126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or indemnity granted or arising under legislation relating to tax or corporate law under which any member of the Group assumes general liability for the obligations of another member of the Group.</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the term loan facility made available under this Agreement as described in Clause 2 (</w:t>
      </w:r>
      <w:r>
        <w:rPr>
          <w:rFonts w:ascii="Times New Roman" w:cs="Times New Roman" w:eastAsia="Times New Roman" w:hAnsi="Times New Roman"/>
          <w:sz w:val="20"/>
          <w:szCs w:val="20"/>
          <w:i w:val="1"/>
          <w:iCs w:val="1"/>
          <w:color w:val="auto"/>
        </w:rPr>
        <w:t>The Facility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 Office</w:t>
      </w:r>
      <w:r>
        <w:rPr>
          <w:rFonts w:ascii="Times New Roman" w:cs="Times New Roman" w:eastAsia="Times New Roman" w:hAnsi="Times New Roman"/>
          <w:sz w:val="20"/>
          <w:szCs w:val="20"/>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Fallback Interest Period</w:t>
      </w:r>
      <w:r>
        <w:rPr>
          <w:rFonts w:ascii="Times New Roman" w:cs="Times New Roman" w:eastAsia="Times New Roman" w:hAnsi="Times New Roman"/>
          <w:sz w:val="20"/>
          <w:szCs w:val="20"/>
          <w:color w:val="auto"/>
        </w:rPr>
        <w:t>” means one week.</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60" w:hanging="604"/>
        <w:spacing w:after="0"/>
        <w:tabs>
          <w:tab w:leader="none" w:pos="12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1471 to 1474 of the Code or any associated regulations;</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4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 Application Date</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hanging="624"/>
        <w:spacing w:after="0" w:line="269" w:lineRule="auto"/>
        <w:tabs>
          <w:tab w:leader="none" w:pos="126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“withholdable payment” described in section 1473(1)(A)(i) of the Code (which relates to payments of interest and certain other payments from sources within the US), 1 July 2014; or</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 Deduction</w:t>
      </w:r>
      <w:r>
        <w:rPr>
          <w:rFonts w:ascii="Times New Roman" w:cs="Times New Roman" w:eastAsia="Times New Roman" w:hAnsi="Times New Roman"/>
          <w:sz w:val="20"/>
          <w:szCs w:val="20"/>
          <w:color w:val="auto"/>
        </w:rPr>
        <w:t>” means a deduction or withholding from a payment under a Finance Document required by FATCA.</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 Exempt Party</w:t>
      </w:r>
      <w:r>
        <w:rPr>
          <w:rFonts w:ascii="Times New Roman" w:cs="Times New Roman" w:eastAsia="Times New Roman" w:hAnsi="Times New Roman"/>
          <w:sz w:val="20"/>
          <w:szCs w:val="20"/>
          <w:color w:val="auto"/>
        </w:rPr>
        <w:t>” means a Party that is entitled to receive payments free from any FATCA Deduction.</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any letter or letters dated prior to or on or about the date of this Agreement between the Arranger and the Company (or the Agent and the Company) setting out any of the fees referred to in Clause 11 (</w:t>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Finance Document</w:t>
      </w:r>
      <w:r>
        <w:rPr>
          <w:rFonts w:ascii="Times New Roman" w:cs="Times New Roman" w:eastAsia="Times New Roman" w:hAnsi="Times New Roman"/>
          <w:sz w:val="20"/>
          <w:szCs w:val="20"/>
          <w:color w:val="auto"/>
        </w:rPr>
        <w:t>” means this Agreement, any Fee Letter and any other document designated as such by the Agent and the Company.</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Finance Party</w:t>
      </w:r>
      <w:r>
        <w:rPr>
          <w:rFonts w:ascii="Times New Roman" w:cs="Times New Roman" w:eastAsia="Times New Roman" w:hAnsi="Times New Roman"/>
          <w:sz w:val="20"/>
          <w:szCs w:val="20"/>
          <w:color w:val="auto"/>
        </w:rPr>
        <w:t>” means the Agent, the Arranger, the Documentation Agent and Co-ordinator or a Lender.</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Indebtedness</w:t>
      </w:r>
      <w:r>
        <w:rPr>
          <w:rFonts w:ascii="Times New Roman" w:cs="Times New Roman" w:eastAsia="Times New Roman" w:hAnsi="Times New Roman"/>
          <w:sz w:val="20"/>
          <w:szCs w:val="20"/>
          <w:color w:val="auto"/>
        </w:rPr>
        <w:t>” means any indebtedness for or in respect of:</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3" w:name="page14"/>
    <w:bookmarkEnd w:id="13"/>
    <w:p>
      <w:pPr>
        <w:ind w:left="1260" w:hanging="604"/>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moneys borrowed;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raised by acceptance under any acceptance credit facility or dematerialised equivalent;</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raised pursuant to any note purchase facility or the issue of bonds, notes, debentures, loan stock or any similar instrument;</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liability in respect of any lease or hire purchase contract which would, in accordance with the Accounting Principles, be treated as a finance or capital lease;</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 sold or discounted (other than any receivables to the extent they are sold on a non-recourse basis, including true sale US GAAP, under an agreement other than a Permitted Receivables Disposal);</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raised under any other transaction (including any forward sale or purchase agreement, sale and lease back arrangements and sale and purchase agreements having deferred payment terms longer than terms customary on the market) having the financial effect of a borrowing;</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counter-indemnity obligation in respect of a guarantee, indemnity, bond, standby or documentary letter of credit or any other instrument issued by a bank or financial institution;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liability in respect of any guarantee or indemnity for any of the items referred to in paragraphs (a) to (h) above.</w:t>
      </w:r>
    </w:p>
    <w:p>
      <w:pPr>
        <w:spacing w:after="0" w:line="129" w:lineRule="exact"/>
        <w:rPr>
          <w:sz w:val="20"/>
          <w:szCs w:val="20"/>
          <w:color w:val="auto"/>
        </w:rPr>
      </w:pPr>
    </w:p>
    <w:p>
      <w:pPr>
        <w:jc w:val="both"/>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Rate</w:t>
      </w:r>
      <w:r>
        <w:rPr>
          <w:rFonts w:ascii="Times New Roman" w:cs="Times New Roman" w:eastAsia="Times New Roman" w:hAnsi="Times New Roman"/>
          <w:sz w:val="20"/>
          <w:szCs w:val="20"/>
          <w:color w:val="auto"/>
        </w:rPr>
        <w:t>” means any individual rate notified by a Lender to the Agent pursuant to paragraph (a)(ii) of Clause 10.3 (</w:t>
      </w:r>
      <w:r>
        <w:rPr>
          <w:rFonts w:ascii="Times New Roman" w:cs="Times New Roman" w:eastAsia="Times New Roman" w:hAnsi="Times New Roman"/>
          <w:sz w:val="20"/>
          <w:szCs w:val="20"/>
          <w:i w:val="1"/>
          <w:iCs w:val="1"/>
          <w:color w:val="auto"/>
        </w:rPr>
        <w:t>Cost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funds</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the Company and its Subsidiaries for the time being.</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Historic Screen Rate</w:t>
      </w:r>
      <w:r>
        <w:rPr>
          <w:rFonts w:ascii="Times New Roman" w:cs="Times New Roman" w:eastAsia="Times New Roman" w:hAnsi="Times New Roman"/>
          <w:sz w:val="20"/>
          <w:szCs w:val="20"/>
          <w:color w:val="auto"/>
        </w:rPr>
        <w:t>” means, in relation to any Loan, the most recent applicable Screen Rate for the currency of that Loan and for a period equal in length to the Interest Period of that Loan and which is as of a day which is no more than five Business Days before the Quotation Day.</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 Company</w:t>
      </w:r>
      <w:r>
        <w:rPr>
          <w:rFonts w:ascii="Times New Roman" w:cs="Times New Roman" w:eastAsia="Times New Roman" w:hAnsi="Times New Roman"/>
          <w:sz w:val="20"/>
          <w:szCs w:val="20"/>
          <w:color w:val="auto"/>
        </w:rPr>
        <w:t>” means, in relation to a person, any other person in respect of which it is a Subsidiary.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Event</w:t>
      </w:r>
      <w:r>
        <w:rPr>
          <w:rFonts w:ascii="Times New Roman" w:cs="Times New Roman" w:eastAsia="Times New Roman" w:hAnsi="Times New Roman"/>
          <w:sz w:val="20"/>
          <w:szCs w:val="20"/>
          <w:color w:val="auto"/>
        </w:rPr>
        <w:t>” in relation to an entity means that the entity:</w:t>
      </w:r>
    </w:p>
    <w:p>
      <w:pPr>
        <w:spacing w:after="0" w:line="193" w:lineRule="exact"/>
        <w:rPr>
          <w:sz w:val="20"/>
          <w:szCs w:val="20"/>
          <w:color w:val="auto"/>
        </w:rPr>
      </w:pPr>
    </w:p>
    <w:p>
      <w:pPr>
        <w:ind w:left="1260" w:hanging="604"/>
        <w:spacing w:after="0"/>
        <w:tabs>
          <w:tab w:leader="none" w:pos="12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dissolved (other than pursuant to a consolidation, amalgamation or merger);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insolvent or is unable to pay its debts or fails or admits in writing its inability generally to pay its debts as they become due;</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arrangement or composition with or for the benefit of its creditors;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4" w:name="page15"/>
    <w:bookmarkEnd w:id="14"/>
    <w:p>
      <w:pPr>
        <w:jc w:val="both"/>
        <w:ind w:left="1280" w:hanging="624"/>
        <w:spacing w:after="0" w:line="247"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53"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 a judgment of insolvency or bankruptcy or the entry of an order for relief or the making of an order for its winding-up or liquidation; or</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dismissed, discharged, stayed or restrained in each case within 30 days of the institution or presentation thereof;</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resolution passed for its winding-up, official management or liquidation (other than pursuant to a consolidation, amalgamation or merger);</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causes or is subject to any event with respect to it which, under the applicable laws of any jurisdiction, has an analogous effect to any of the events specified in paragraphs (a) to (i) above; or</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takes any action in furtherance of, or indicating its consent to, approval of, or acquiescence in, any of the foregoing acts.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patents, trademarks,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5" w:name="page16"/>
    <w:bookmarkEnd w:id="15"/>
    <w:p>
      <w:pPr>
        <w:ind w:left="1280" w:hanging="624"/>
        <w:spacing w:after="0" w:line="269" w:lineRule="auto"/>
        <w:tabs>
          <w:tab w:leader="none" w:pos="126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benefit of all applications and rights to use such assets of each member of the Group (which may now or in the future subsist).</w:t>
      </w:r>
    </w:p>
    <w:p>
      <w:pPr>
        <w:spacing w:after="0" w:line="12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in relation to a Loan, each period determined in accordance with Clause 9 (</w:t>
      </w:r>
      <w:r>
        <w:rPr>
          <w:rFonts w:ascii="Times New Roman" w:cs="Times New Roman" w:eastAsia="Times New Roman" w:hAnsi="Times New Roman"/>
          <w:sz w:val="20"/>
          <w:szCs w:val="20"/>
          <w:i w:val="1"/>
          <w:iCs w:val="1"/>
          <w:color w:val="auto"/>
        </w:rPr>
        <w:t>Interest Periods</w:t>
      </w:r>
      <w:r>
        <w:rPr>
          <w:rFonts w:ascii="Times New Roman" w:cs="Times New Roman" w:eastAsia="Times New Roman" w:hAnsi="Times New Roman"/>
          <w:sz w:val="20"/>
          <w:szCs w:val="20"/>
          <w:color w:val="auto"/>
        </w:rPr>
        <w:t xml:space="preserve">) and, in relation to an Unpaid Sum, each period determined in accordance with Clause 8.3 </w:t>
      </w:r>
      <w:r>
        <w:rPr>
          <w:rFonts w:ascii="Times New Roman" w:cs="Times New Roman" w:eastAsia="Times New Roman" w:hAnsi="Times New Roman"/>
          <w:sz w:val="20"/>
          <w:szCs w:val="20"/>
          <w:i w:val="1"/>
          <w:iCs w:val="1"/>
          <w:color w:val="auto"/>
        </w:rPr>
        <w:t>(Default interest).</w:t>
      </w:r>
    </w:p>
    <w:p>
      <w:pPr>
        <w:spacing w:after="0" w:line="12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Interpolated Historic Screen Rate</w:t>
      </w:r>
      <w:r>
        <w:rPr>
          <w:rFonts w:ascii="Times New Roman" w:cs="Times New Roman" w:eastAsia="Times New Roman" w:hAnsi="Times New Roman"/>
          <w:sz w:val="20"/>
          <w:szCs w:val="20"/>
          <w:color w:val="auto"/>
        </w:rPr>
        <w:t>” means, in relation to any Loan, the rate (rounded to the same number of decimal places as the two relevant Screen Rates) which results from interpolating on a linear basis between:</w:t>
      </w:r>
    </w:p>
    <w:p>
      <w:pPr>
        <w:spacing w:after="0" w:line="129" w:lineRule="exact"/>
        <w:rPr>
          <w:sz w:val="20"/>
          <w:szCs w:val="20"/>
          <w:color w:val="auto"/>
        </w:rPr>
      </w:pPr>
    </w:p>
    <w:p>
      <w:pPr>
        <w:ind w:left="1280" w:hanging="624"/>
        <w:spacing w:after="0" w:line="269" w:lineRule="auto"/>
        <w:tabs>
          <w:tab w:leader="none" w:pos="126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most recent applicable Screen Rate for the longest period (for which that Screen Rate is available) which is less than the Interest Period of that Loan;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most recent applicable Screen Rate for the shortest period (for which that Screen Rate is available) which exceeds the Interest Period of that Loan,</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each for the currency of that Loan and each of which is as of a day which is no more than five Business Days before the Quotation Day.</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Interpolated Screen Rate</w:t>
      </w:r>
      <w:r>
        <w:rPr>
          <w:rFonts w:ascii="Times New Roman" w:cs="Times New Roman" w:eastAsia="Times New Roman" w:hAnsi="Times New Roman"/>
          <w:sz w:val="19"/>
          <w:szCs w:val="19"/>
          <w:color w:val="auto"/>
        </w:rPr>
        <w:t>” means, in relation to any Loan, the rate (rounded to the same number of decimal places as the two relevant</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Screen Rates) which results from interpolating on a linear basis between:</w:t>
      </w:r>
    </w:p>
    <w:p>
      <w:pPr>
        <w:spacing w:after="0" w:line="167" w:lineRule="exact"/>
        <w:rPr>
          <w:sz w:val="20"/>
          <w:szCs w:val="20"/>
          <w:color w:val="auto"/>
        </w:rPr>
      </w:pPr>
    </w:p>
    <w:p>
      <w:pPr>
        <w:ind w:left="1280" w:hanging="624"/>
        <w:spacing w:after="0" w:line="269" w:lineRule="auto"/>
        <w:tabs>
          <w:tab w:leader="none" w:pos="126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Screen Rate for the longest period (for which that Screen Rate is available) which is less than the Interest Period of that Loan;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Screen Rate for the shortest period (for which that Screen Rate is available) which exceeds the Interest Period of that Loan,</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each for the currency of that Loan and each of which is as of a day which is no more than two days before the Quotation Day.</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w:t>
      </w:r>
      <w:r>
        <w:rPr>
          <w:rFonts w:ascii="Times New Roman" w:cs="Times New Roman" w:eastAsia="Times New Roman" w:hAnsi="Times New Roman"/>
          <w:sz w:val="20"/>
          <w:szCs w:val="20"/>
          <w:color w:val="auto"/>
        </w:rPr>
        <w:t>” means the Income Tax Act 2007.</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Subsidiary</w:t>
      </w:r>
      <w:r>
        <w:rPr>
          <w:rFonts w:ascii="Times New Roman" w:cs="Times New Roman" w:eastAsia="Times New Roman" w:hAnsi="Times New Roman"/>
          <w:sz w:val="20"/>
          <w:szCs w:val="20"/>
          <w:color w:val="auto"/>
        </w:rPr>
        <w:t>” means Sorin Group Italia srl, a company incorporated in Italy.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Reservations</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right="20" w:hanging="624"/>
        <w:spacing w:after="0" w:line="269" w:lineRule="auto"/>
        <w:tabs>
          <w:tab w:leader="none" w:pos="126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32" w:lineRule="exact"/>
        <w:rPr>
          <w:rFonts w:ascii="Times New Roman" w:cs="Times New Roman" w:eastAsia="Times New Roman" w:hAnsi="Times New Roman"/>
          <w:sz w:val="20"/>
          <w:szCs w:val="20"/>
          <w:color w:val="auto"/>
        </w:rPr>
      </w:pPr>
    </w:p>
    <w:p>
      <w:pPr>
        <w:ind w:left="1280" w:hanging="624"/>
        <w:spacing w:after="0" w:line="254" w:lineRule="exact"/>
        <w:tabs>
          <w:tab w:leader="none" w:pos="126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barring of claims under the Limitation Acts, the possibility that an undertaking to assume liability for or indemnify a person against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payment of UK stamp duty may be void and defences of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or counterclaim;</w:t>
      </w:r>
    </w:p>
    <w:p>
      <w:pPr>
        <w:spacing w:after="0" w:line="140"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principles, rights and defences under the laws of any jurisdiction in which the Company conducts its business;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6" w:name="page17"/>
    <w:bookmarkEnd w:id="16"/>
    <w:p>
      <w:pPr>
        <w:ind w:left="1280" w:hanging="624"/>
        <w:spacing w:after="0" w:line="269" w:lineRule="auto"/>
        <w:tabs>
          <w:tab w:leader="none" w:pos="126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matters which are set out as qualifications or reservations as to matters of law of general application specifically referred to in any legal opinion referred to in Schedule 2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60" w:hanging="604"/>
        <w:spacing w:after="0"/>
        <w:tabs>
          <w:tab w:leader="none" w:pos="12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Original Lender; and</w:t>
      </w:r>
    </w:p>
    <w:p>
      <w:pPr>
        <w:spacing w:after="0" w:line="184" w:lineRule="exact"/>
        <w:rPr>
          <w:rFonts w:ascii="Times New Roman" w:cs="Times New Roman" w:eastAsia="Times New Roman" w:hAnsi="Times New Roman"/>
          <w:sz w:val="20"/>
          <w:szCs w:val="20"/>
          <w:color w:val="auto"/>
        </w:rPr>
      </w:pPr>
    </w:p>
    <w:p>
      <w:pPr>
        <w:ind w:left="1280" w:hanging="624"/>
        <w:spacing w:after="0" w:line="273" w:lineRule="auto"/>
        <w:tabs>
          <w:tab w:leader="none" w:pos="126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bank, financial institution, trust, fund or other entity which has become a Party as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in accordance with Clause 22 (</w:t>
      </w:r>
      <w:r>
        <w:rPr>
          <w:rFonts w:ascii="Times New Roman" w:cs="Times New Roman" w:eastAsia="Times New Roman" w:hAnsi="Times New Roman"/>
          <w:sz w:val="20"/>
          <w:szCs w:val="20"/>
          <w:i w:val="1"/>
          <w:iCs w:val="1"/>
          <w:color w:val="auto"/>
        </w:rPr>
        <w:t>Changes to the Lenders</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which in each case has not ceased to be a Party as such in accordance with the terms of this Agreement.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LIBOR</w:t>
      </w:r>
      <w:r>
        <w:rPr>
          <w:rFonts w:ascii="Times New Roman" w:cs="Times New Roman" w:eastAsia="Times New Roman" w:hAnsi="Times New Roman"/>
          <w:sz w:val="20"/>
          <w:szCs w:val="20"/>
          <w:color w:val="auto"/>
        </w:rPr>
        <w:t>” means, in relation to any Loan (other than a Loan in euro):</w:t>
      </w:r>
    </w:p>
    <w:p>
      <w:pPr>
        <w:spacing w:after="0" w:line="193" w:lineRule="exact"/>
        <w:rPr>
          <w:sz w:val="20"/>
          <w:szCs w:val="20"/>
          <w:color w:val="auto"/>
        </w:rPr>
      </w:pPr>
    </w:p>
    <w:p>
      <w:pPr>
        <w:ind w:left="1280" w:hanging="624"/>
        <w:spacing w:after="0" w:line="269" w:lineRule="auto"/>
        <w:tabs>
          <w:tab w:leader="none" w:pos="126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Screen Rate as of 11.00 am on the Quotation Date for the currency of that Loan and for a period equal in length to the Interest Period of that Loan; or</w:t>
      </w:r>
    </w:p>
    <w:p>
      <w:pPr>
        <w:spacing w:after="0" w:line="12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otherwise determined pursuant to Clause 10.1 (</w:t>
      </w:r>
      <w:r>
        <w:rPr>
          <w:rFonts w:ascii="Times New Roman" w:cs="Times New Roman" w:eastAsia="Times New Roman" w:hAnsi="Times New Roman"/>
          <w:sz w:val="20"/>
          <w:szCs w:val="20"/>
          <w:i w:val="1"/>
          <w:iCs w:val="1"/>
          <w:color w:val="auto"/>
        </w:rPr>
        <w:t>Unavailability of Screen Rate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and if, in either case, that rate is less than zero, LIBOR shall be deemed to be zero.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Limitation Acts</w:t>
      </w:r>
      <w:r>
        <w:rPr>
          <w:rFonts w:ascii="Times New Roman" w:cs="Times New Roman" w:eastAsia="Times New Roman" w:hAnsi="Times New Roman"/>
          <w:sz w:val="20"/>
          <w:szCs w:val="20"/>
          <w:color w:val="auto"/>
        </w:rPr>
        <w:t>” means the Limitation Act 1980 and the Foreign Limitation Periods Act 1984.</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LMA</w:t>
      </w:r>
      <w:r>
        <w:rPr>
          <w:rFonts w:ascii="Times New Roman" w:cs="Times New Roman" w:eastAsia="Times New Roman" w:hAnsi="Times New Roman"/>
          <w:sz w:val="20"/>
          <w:szCs w:val="20"/>
          <w:color w:val="auto"/>
        </w:rPr>
        <w:t>” means the Loan Market Association.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a loan made or to be made under the Facility or the principal amount outstanding for the time being of that loan.</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Majority Lenders</w:t>
      </w:r>
      <w:r>
        <w:rPr>
          <w:rFonts w:ascii="Times New Roman" w:cs="Times New Roman" w:eastAsia="Times New Roman" w:hAnsi="Times New Roman"/>
          <w:sz w:val="20"/>
          <w:szCs w:val="20"/>
          <w:color w:val="auto"/>
        </w:rPr>
        <w:t>” means a Lender or Lenders whose Commitments aggregate more than 662/3% of the Total Commitments (or, if the Total Commitments have been reduced to zero, aggregated more than 662/3% of the Total Commitments immediately prior to the reduction).</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60" w:hanging="604"/>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the USD Tranche, 1.60 per cent. per annum;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the EUR Tranche, 1.40 per cent. per annum.</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 adverse effect on:</w:t>
      </w:r>
    </w:p>
    <w:p>
      <w:pPr>
        <w:spacing w:after="0" w:line="193" w:lineRule="exact"/>
        <w:rPr>
          <w:sz w:val="20"/>
          <w:szCs w:val="20"/>
          <w:color w:val="auto"/>
        </w:rPr>
      </w:pPr>
    </w:p>
    <w:p>
      <w:pPr>
        <w:ind w:left="1260" w:hanging="604"/>
        <w:spacing w:after="0"/>
        <w:tabs>
          <w:tab w:leader="none" w:pos="12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operations, property or financial condition of the Group taken as a whole; or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Company to perform its payment obligations under the Finance Documents and/or its obligations under Clause 19 (</w:t>
      </w: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or</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or enforceability of the Finance Documents or the rights or remedies of any Finance Party under any of the Finance Documents,</w:t>
      </w:r>
    </w:p>
    <w:p>
      <w:pPr>
        <w:spacing w:after="0" w:line="13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provided that, for the avoidance of doubt, the inclusion of a provision in the Original Financial Statements in relation to the accrual of the liability resulting from a matter known as “3T litigation” in an amount up to USD 294,021,000 as disclosed to the Lenders before the date of this Agreement shall not in itself constitute a Material Adverse Effect.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60" w:right="2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Subsidiaries</w:t>
      </w:r>
      <w:r>
        <w:rPr>
          <w:rFonts w:ascii="Times New Roman" w:cs="Times New Roman" w:eastAsia="Times New Roman" w:hAnsi="Times New Roman"/>
          <w:sz w:val="20"/>
          <w:szCs w:val="20"/>
          <w:color w:val="auto"/>
        </w:rPr>
        <w:t>” means, at any time, a Subsidiary of the Company which:</w:t>
      </w:r>
    </w:p>
    <w:p>
      <w:pPr>
        <w:spacing w:after="0" w:line="189" w:lineRule="exact"/>
        <w:rPr>
          <w:sz w:val="20"/>
          <w:szCs w:val="20"/>
          <w:color w:val="auto"/>
        </w:rPr>
      </w:pPr>
    </w:p>
    <w:p>
      <w:pPr>
        <w:ind w:left="1260" w:hanging="604"/>
        <w:spacing w:after="0"/>
        <w:tabs>
          <w:tab w:leader="none" w:pos="12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listed in Schedule 7 (</w:t>
      </w:r>
      <w:r>
        <w:rPr>
          <w:rFonts w:ascii="Times New Roman" w:cs="Times New Roman" w:eastAsia="Times New Roman" w:hAnsi="Times New Roman"/>
          <w:sz w:val="20"/>
          <w:szCs w:val="20"/>
          <w:i w:val="1"/>
          <w:iCs w:val="1"/>
          <w:color w:val="auto"/>
        </w:rPr>
        <w:t>Material Companies</w:t>
      </w:r>
      <w:r>
        <w:rPr>
          <w:rFonts w:ascii="Times New Roman" w:cs="Times New Roman" w:eastAsia="Times New Roman" w:hAnsi="Times New Roman"/>
          <w:sz w:val="20"/>
          <w:szCs w:val="20"/>
          <w:color w:val="auto"/>
        </w:rPr>
        <w:t>); or</w:t>
      </w:r>
    </w:p>
    <w:p>
      <w:pPr>
        <w:spacing w:after="0" w:line="192" w:lineRule="exact"/>
        <w:rPr>
          <w:rFonts w:ascii="Times New Roman" w:cs="Times New Roman" w:eastAsia="Times New Roman" w:hAnsi="Times New Roman"/>
          <w:sz w:val="20"/>
          <w:szCs w:val="20"/>
          <w:color w:val="auto"/>
        </w:rPr>
      </w:pPr>
    </w:p>
    <w:p>
      <w:pPr>
        <w:jc w:val="both"/>
        <w:ind w:left="1280" w:hanging="624"/>
        <w:spacing w:after="0" w:line="239" w:lineRule="exact"/>
        <w:tabs>
          <w:tab w:leader="none" w:pos="126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an operating profit representing 10 per cent. or more of the consolidated operating profit of the Group (determined in accordance with the Accounting Principles) or has turnover (excluding intra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group items) representing 10 per cent., or more of the turnover of the Group, calculated on a consolidated basis.</w:t>
      </w:r>
    </w:p>
    <w:p>
      <w:pPr>
        <w:spacing w:after="0" w:line="162"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Compliance with the conditions set out in paragraph (b) above shall be determined by reference to the latest consolidated financial statements of the Group. However, if a Subsidiary has been acquired since the date as at which the latest consolidated financial statements of the Group were prepared, the financial statements shall be deemed to be adjusted in order to take into account the acquisition of that Subsidiary.</w:t>
      </w:r>
    </w:p>
    <w:p>
      <w:pPr>
        <w:spacing w:after="0" w:line="149" w:lineRule="exact"/>
        <w:rPr>
          <w:sz w:val="20"/>
          <w:szCs w:val="20"/>
          <w:color w:val="auto"/>
        </w:rPr>
      </w:pPr>
    </w:p>
    <w:p>
      <w:pPr>
        <w:jc w:val="both"/>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Month</w:t>
      </w:r>
      <w:r>
        <w:rPr>
          <w:rFonts w:ascii="Times New Roman" w:cs="Times New Roman" w:eastAsia="Times New Roman" w:hAnsi="Times New Roman"/>
          <w:sz w:val="20"/>
          <w:szCs w:val="20"/>
          <w:color w:val="auto"/>
        </w:rPr>
        <w:t>” means a period starting on one day in a calendar month and ending on the numerically corresponding day in the next calendar month, except that:</w:t>
      </w:r>
    </w:p>
    <w:p>
      <w:pPr>
        <w:spacing w:after="0" w:line="129" w:lineRule="exact"/>
        <w:rPr>
          <w:sz w:val="20"/>
          <w:szCs w:val="20"/>
          <w:color w:val="auto"/>
        </w:rPr>
      </w:pPr>
    </w:p>
    <w:p>
      <w:pPr>
        <w:jc w:val="both"/>
        <w:ind w:left="1280" w:hanging="624"/>
        <w:spacing w:after="0" w:line="254" w:lineRule="auto"/>
        <w:tabs>
          <w:tab w:leader="none" w:pos="12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no numerically corresponding day in the calendar month in which that period is to end, that period shall end on the last Business Day in that calendar month;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Interest Period begins on the last Business Day of a calendar month, that Interest Period shall end on the last Business Day in the calendar month in which that Interest Period is to end.</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above rules will only apply to the last Month of any period.</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 has the meaning given to that term in Clause 22 (</w:t>
      </w:r>
      <w:r>
        <w:rPr>
          <w:rFonts w:ascii="Times New Roman" w:cs="Times New Roman" w:eastAsia="Times New Roman" w:hAnsi="Times New Roman"/>
          <w:sz w:val="20"/>
          <w:szCs w:val="20"/>
          <w:i w:val="1"/>
          <w:iCs w:val="1"/>
          <w:color w:val="auto"/>
        </w:rPr>
        <w:t>Changes to the Lenders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means any Lender who does not and continues not to consent or agree to the relevant waiver or amendment in the event that:</w:t>
      </w:r>
    </w:p>
    <w:p>
      <w:pPr>
        <w:spacing w:after="0" w:line="129" w:lineRule="exact"/>
        <w:rPr>
          <w:sz w:val="20"/>
          <w:szCs w:val="20"/>
          <w:color w:val="auto"/>
        </w:rPr>
      </w:pPr>
    </w:p>
    <w:p>
      <w:pPr>
        <w:ind w:left="1280" w:hanging="624"/>
        <w:spacing w:after="0" w:line="269" w:lineRule="auto"/>
        <w:tabs>
          <w:tab w:leader="none" w:pos="126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the Agent (at the request of the Company) has requested the Lenders to give a consent in relation to, or to agree to a waiver or amendment of any provisions of the Finance Documents;</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waiver or amendment in question requires the approval of all of the Lenders; and</w:t>
      </w:r>
    </w:p>
    <w:p>
      <w:pPr>
        <w:spacing w:after="0" w:line="188" w:lineRule="exact"/>
        <w:rPr>
          <w:rFonts w:ascii="Times New Roman" w:cs="Times New Roman" w:eastAsia="Times New Roman" w:hAnsi="Times New Roman"/>
          <w:sz w:val="20"/>
          <w:szCs w:val="20"/>
          <w:color w:val="auto"/>
        </w:rPr>
      </w:pPr>
    </w:p>
    <w:p>
      <w:pPr>
        <w:jc w:val="both"/>
        <w:ind w:left="1280" w:right="20" w:hanging="624"/>
        <w:spacing w:after="0" w:line="254" w:lineRule="auto"/>
        <w:tabs>
          <w:tab w:leader="none" w:pos="126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whose Commitments aggregate 75 per cent. or more of the Total Commitments (or, if the Total Commitments have been reduced to zero, aggregated more than 75 per cent. or more of the Total Commitments prior to that reduction) have consented or agreed to such waiver or amendment.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56" w:right="239" w:bottom="1440" w:gutter="0" w:footer="0" w:header="0"/>
        </w:sectPr>
      </w:pPr>
    </w:p>
    <w:bookmarkStart w:id="18" w:name="page19"/>
    <w:bookmarkEnd w:id="18"/>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Financial Statements</w:t>
      </w:r>
      <w:r>
        <w:rPr>
          <w:rFonts w:ascii="Times New Roman" w:cs="Times New Roman" w:eastAsia="Times New Roman" w:hAnsi="Times New Roman"/>
          <w:sz w:val="20"/>
          <w:szCs w:val="20"/>
          <w:color w:val="auto"/>
        </w:rPr>
        <w:t>” means the audited consolidated financial statements of the Group for the financial year ended 31 December 2018.</w:t>
      </w:r>
    </w:p>
    <w:p>
      <w:pPr>
        <w:spacing w:after="0" w:line="12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means a party to this Agreement.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60" w:hanging="604"/>
        <w:spacing w:after="0"/>
        <w:tabs>
          <w:tab w:leader="none" w:pos="12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Permitted Share Buyback;</w:t>
      </w:r>
    </w:p>
    <w:p>
      <w:pPr>
        <w:spacing w:after="0" w:line="188"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acquisition for cash consideration of (A) all or the majority of the issued share capital of a limited liability company or (B) a business or undertaking, but only if:</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is continuing on the closing date for the acquisition or would occur as a result of the acquisition;</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company, business or undertaking is engaged in a business substantially the same as (or ancillary or related to) that carried on by the Group;</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60" w:lineRule="auto"/>
        <w:tabs>
          <w:tab w:leader="none" w:pos="192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consideration (including associated costs and expenses) for the acquisition and any Financial Indebtedness or other assumed actual or contingent liability, remaining in the acquired company (or any such business) at the date of acquisition (the “</w:t>
      </w:r>
      <w:r>
        <w:rPr>
          <w:rFonts w:ascii="Times New Roman" w:cs="Times New Roman" w:eastAsia="Times New Roman" w:hAnsi="Times New Roman"/>
          <w:sz w:val="19"/>
          <w:szCs w:val="19"/>
          <w:b w:val="1"/>
          <w:bCs w:val="1"/>
          <w:color w:val="auto"/>
        </w:rPr>
        <w:t>Individual Purchase Price</w:t>
      </w:r>
      <w:r>
        <w:rPr>
          <w:rFonts w:ascii="Times New Roman" w:cs="Times New Roman" w:eastAsia="Times New Roman" w:hAnsi="Times New Roman"/>
          <w:sz w:val="19"/>
          <w:szCs w:val="19"/>
          <w:color w:val="auto"/>
        </w:rPr>
        <w:t>”) when aggregated with the consideration (including associated costs and expenses) for any other acquisition permitted under this Agreement and any Financial Indebtedness or other assumed actual or contingent liability, remaining in any such acquired companies or businesses at the time of acquisition (the “</w:t>
      </w:r>
      <w:r>
        <w:rPr>
          <w:rFonts w:ascii="Times New Roman" w:cs="Times New Roman" w:eastAsia="Times New Roman" w:hAnsi="Times New Roman"/>
          <w:sz w:val="19"/>
          <w:szCs w:val="19"/>
          <w:b w:val="1"/>
          <w:bCs w:val="1"/>
          <w:color w:val="auto"/>
        </w:rPr>
        <w:t>Total Purchase Price</w:t>
      </w:r>
      <w:r>
        <w:rPr>
          <w:rFonts w:ascii="Times New Roman" w:cs="Times New Roman" w:eastAsia="Times New Roman" w:hAnsi="Times New Roman"/>
          <w:sz w:val="19"/>
          <w:szCs w:val="19"/>
          <w:color w:val="auto"/>
        </w:rPr>
        <w:t>”)) does not exceed USD 280,000,000 or its equivalent in aggregate over the life of the Facility.</w:t>
      </w:r>
    </w:p>
    <w:p>
      <w:pPr>
        <w:spacing w:after="0" w:line="147"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Any acquisition whose Individual Purchase Price exceeds USD 75,000,000 or its equivalent will only be permitted under paragraph (b) above if the Company has delivered to the Agent not later than 30 Business Days before legally committing to make such acquisition a certificate signed by the Chief Executive Officer or two directors of the Company to which is attached a copy of the latest audited accounts (or if not available, management accounts) of the target company or business.</w:t>
      </w:r>
    </w:p>
    <w:p>
      <w:pPr>
        <w:spacing w:after="0" w:line="15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Such certificate must give calculations showing in reasonable detail that the Company would have remained in compliance with the financial covenants set out in Clause 19 (</w:t>
      </w: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if the covenant test was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consideration for the proposed acquisition had been paid at the start of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356" w:right="2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Guarantee</w:t>
      </w:r>
      <w:r>
        <w:rPr>
          <w:rFonts w:ascii="Times New Roman" w:cs="Times New Roman" w:eastAsia="Times New Roman" w:hAnsi="Times New Roman"/>
          <w:sz w:val="20"/>
          <w:szCs w:val="20"/>
          <w:color w:val="auto"/>
        </w:rPr>
        <w:t>” means:</w:t>
      </w:r>
    </w:p>
    <w:p>
      <w:pPr>
        <w:spacing w:after="0" w:line="161" w:lineRule="exact"/>
        <w:rPr>
          <w:sz w:val="20"/>
          <w:szCs w:val="20"/>
          <w:color w:val="auto"/>
        </w:rPr>
      </w:pPr>
    </w:p>
    <w:p>
      <w:pPr>
        <w:ind w:left="1280" w:hanging="624"/>
        <w:spacing w:after="0" w:line="259" w:lineRule="exact"/>
        <w:tabs>
          <w:tab w:leader="none" w:pos="126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comprising a netting or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arrangements entered into by any member of the Group in the ordinary course of its banking arrangements for the purpose of netting debit and credit balances;</w:t>
      </w:r>
    </w:p>
    <w:p>
      <w:pPr>
        <w:spacing w:after="0" w:line="16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indemnity given in the ordinary course of the documentation of an acquisition which is a Permitted Acquisition which indemnity is in a customary form and subject to customary limitations;</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of any Financial Indebtedness permitted by this Agreement;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Guarantee.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Loan</w:t>
      </w:r>
      <w:r>
        <w:rPr>
          <w:rFonts w:ascii="Times New Roman" w:cs="Times New Roman" w:eastAsia="Times New Roman" w:hAnsi="Times New Roman"/>
          <w:sz w:val="20"/>
          <w:szCs w:val="20"/>
          <w:color w:val="auto"/>
        </w:rPr>
        <w:t>” means any Financial Indebtedness or loan made by a member of the Group:</w:t>
      </w:r>
    </w:p>
    <w:p>
      <w:pPr>
        <w:spacing w:after="0" w:line="193" w:lineRule="exact"/>
        <w:rPr>
          <w:sz w:val="20"/>
          <w:szCs w:val="20"/>
          <w:color w:val="auto"/>
        </w:rPr>
      </w:pPr>
    </w:p>
    <w:p>
      <w:pPr>
        <w:ind w:left="1260" w:hanging="604"/>
        <w:spacing w:after="0"/>
        <w:tabs>
          <w:tab w:leader="none" w:pos="1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another member of the Group; or</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other entity (i) in which a member of the Group holds a beneficial interest and (ii) which carries on the same or substantially similar business to the Group, provided such Financial Indebtedness or loans are approved by the board of directors of the Company and, in aggregate for those made in any financial year, do not exceed USD 50,000,000 or its equivalent.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Receivables Disposal</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1280" w:hanging="624"/>
        <w:spacing w:after="0" w:line="273" w:lineRule="auto"/>
        <w:tabs>
          <w:tab w:leader="none" w:pos="126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factoring programme with recourse (</w:t>
      </w:r>
      <w:r>
        <w:rPr>
          <w:rFonts w:ascii="Times New Roman" w:cs="Times New Roman" w:eastAsia="Times New Roman" w:hAnsi="Times New Roman"/>
          <w:sz w:val="20"/>
          <w:szCs w:val="20"/>
          <w:i w:val="1"/>
          <w:iCs w:val="1"/>
          <w:color w:val="auto"/>
        </w:rPr>
        <w:t>pro solvendo</w:t>
      </w:r>
      <w:r>
        <w:rPr>
          <w:rFonts w:ascii="Times New Roman" w:cs="Times New Roman" w:eastAsia="Times New Roman" w:hAnsi="Times New Roman"/>
          <w:sz w:val="20"/>
          <w:szCs w:val="20"/>
          <w:color w:val="auto"/>
        </w:rPr>
        <w:t>) or without recourse (</w:t>
      </w:r>
      <w:r>
        <w:rPr>
          <w:rFonts w:ascii="Times New Roman" w:cs="Times New Roman" w:eastAsia="Times New Roman" w:hAnsi="Times New Roman"/>
          <w:sz w:val="20"/>
          <w:szCs w:val="20"/>
          <w:i w:val="1"/>
          <w:iCs w:val="1"/>
          <w:color w:val="auto"/>
        </w:rPr>
        <w:t>pro soluto</w:t>
      </w:r>
      <w:r>
        <w:rPr>
          <w:rFonts w:ascii="Times New Roman" w:cs="Times New Roman" w:eastAsia="Times New Roman" w:hAnsi="Times New Roman"/>
          <w:sz w:val="20"/>
          <w:szCs w:val="20"/>
          <w:color w:val="auto"/>
        </w:rPr>
        <w:t>) of receivables of the Group which is in existence at the date hereof;</w:t>
      </w:r>
    </w:p>
    <w:p>
      <w:pPr>
        <w:spacing w:after="0" w:line="129"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securitisation and/or factoring programme of the receivables of the Group consented to by the Agent (acting on the instructions of the Majority Lenders (acting reasonably)); and/or</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disposal of receivables not otherwise permitted under paragraphs (a) or (b) above where the net consideration receivable (when aggregated with the consideration for all such other receivables disposed of) does not exceed USD 40,000,000 in any financial year.</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Security</w:t>
      </w:r>
      <w:r>
        <w:rPr>
          <w:rFonts w:ascii="Times New Roman" w:cs="Times New Roman" w:eastAsia="Times New Roman" w:hAnsi="Times New Roman"/>
          <w:sz w:val="20"/>
          <w:szCs w:val="20"/>
          <w:color w:val="auto"/>
        </w:rPr>
        <w:t>” means:</w:t>
      </w:r>
    </w:p>
    <w:p>
      <w:pPr>
        <w:spacing w:after="0" w:line="189" w:lineRule="exact"/>
        <w:rPr>
          <w:sz w:val="20"/>
          <w:szCs w:val="20"/>
          <w:color w:val="auto"/>
        </w:rPr>
      </w:pPr>
    </w:p>
    <w:p>
      <w:pPr>
        <w:ind w:left="1280" w:hanging="624"/>
        <w:spacing w:after="0" w:line="273" w:lineRule="auto"/>
        <w:tabs>
          <w:tab w:leader="none" w:pos="126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listed in Schedule 8 (</w:t>
      </w:r>
      <w:r>
        <w:rPr>
          <w:rFonts w:ascii="Times New Roman" w:cs="Times New Roman" w:eastAsia="Times New Roman" w:hAnsi="Times New Roman"/>
          <w:sz w:val="20"/>
          <w:szCs w:val="20"/>
          <w:i w:val="1"/>
          <w:iCs w:val="1"/>
          <w:color w:val="auto"/>
        </w:rPr>
        <w:t>Existing Security</w:t>
      </w:r>
      <w:r>
        <w:rPr>
          <w:rFonts w:ascii="Times New Roman" w:cs="Times New Roman" w:eastAsia="Times New Roman" w:hAnsi="Times New Roman"/>
          <w:sz w:val="20"/>
          <w:szCs w:val="20"/>
          <w:color w:val="auto"/>
        </w:rPr>
        <w:t>) except to the extent the principal amount secured by that Security exceeds the amount stated in that schedule;</w:t>
      </w:r>
    </w:p>
    <w:p>
      <w:pPr>
        <w:spacing w:after="0" w:line="97" w:lineRule="exact"/>
        <w:rPr>
          <w:rFonts w:ascii="Times New Roman" w:cs="Times New Roman" w:eastAsia="Times New Roman" w:hAnsi="Times New Roman"/>
          <w:sz w:val="20"/>
          <w:szCs w:val="20"/>
          <w:color w:val="auto"/>
        </w:rPr>
      </w:pPr>
    </w:p>
    <w:p>
      <w:pPr>
        <w:ind w:left="1280" w:hanging="624"/>
        <w:spacing w:after="0" w:line="259" w:lineRule="exact"/>
        <w:tabs>
          <w:tab w:leader="none" w:pos="126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netting or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arrangement entered into by any member of the Group in the ordinary course of its banking arrangements for the purpose of netting debit and credit balances;</w:t>
      </w:r>
    </w:p>
    <w:p>
      <w:pPr>
        <w:spacing w:after="0" w:line="130" w:lineRule="exact"/>
        <w:rPr>
          <w:rFonts w:ascii="Times New Roman" w:cs="Times New Roman" w:eastAsia="Times New Roman" w:hAnsi="Times New Roman"/>
          <w:sz w:val="20"/>
          <w:szCs w:val="20"/>
          <w:color w:val="auto"/>
        </w:rPr>
      </w:pPr>
    </w:p>
    <w:p>
      <w:pPr>
        <w:ind w:left="1280" w:hanging="624"/>
        <w:spacing w:after="0" w:line="259" w:lineRule="exact"/>
        <w:tabs>
          <w:tab w:leader="none" w:pos="126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or close out netting or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arrangement pursuant to any hedging transaction entered into by a member of the Group for the purpose of:</w:t>
      </w:r>
    </w:p>
    <w:p>
      <w:pPr>
        <w:spacing w:after="0" w:line="16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any risk to which any member of the Group is exposed in its ordinary course of trading;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20" w:name="page21"/>
    <w:bookmarkEnd w:id="20"/>
    <w:p>
      <w:pPr>
        <w:ind w:left="1920" w:hanging="642"/>
        <w:spacing w:after="0" w:line="254" w:lineRule="exact"/>
        <w:tabs>
          <w:tab w:leader="none" w:pos="19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interest rate or currency management operations which are carried out in the ordinary course of business and for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speculative purposes only,</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excluding, in each case, any Security under a credit support arrangement in relation to a hedging transaction;</w:t>
      </w:r>
    </w:p>
    <w:p>
      <w:pPr>
        <w:spacing w:after="0" w:line="189" w:lineRule="exact"/>
        <w:rPr>
          <w:sz w:val="20"/>
          <w:szCs w:val="20"/>
          <w:color w:val="auto"/>
        </w:rPr>
      </w:pPr>
    </w:p>
    <w:p>
      <w:pPr>
        <w:ind w:left="1260" w:hanging="604"/>
        <w:spacing w:after="0"/>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arising by operation of law and in the ordinary course of trading;</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over or affecting any asset acquired by a member of the Group after the date of this Agreement if:</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was not created in contemplation of the acquisition of that asset by a member of the Group;</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secured has not been increased in contemplation of or since the acquisition of that asset by a member of the Group; and</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is removed or discharged within two months of the date of acquisition of such asset;</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over or affecting any asset of any company which becomes a member of the Group after the date of this Agreement, where the Security is created prior to the date on which that company becomes a member of the Group, if:</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was not created in contemplation of the acquisition of that company;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secured has not increased in contemplation of or since the acquisition of that company;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is removed or discharged within two months of that company becoming a member of the Group;</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or</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1" w:lineRule="auto"/>
        <w:tabs>
          <w:tab w:leader="none" w:pos="126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securing indebtedness the principal amount of which (when aggregated with the principal amount of any other indebtedness which has the benefit of Security given by any member of the Group other than any permitted under paragraphs</w:t>
      </w:r>
    </w:p>
    <w:p>
      <w:pPr>
        <w:ind w:left="1560" w:hanging="278"/>
        <w:spacing w:after="0"/>
        <w:tabs>
          <w:tab w:leader="none" w:pos="156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 above) does not exceed USD 15,000,000 (or its equivalent in another currency or currencies).</w:t>
      </w:r>
    </w:p>
    <w:p>
      <w:pPr>
        <w:spacing w:after="0" w:line="163"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Share Buyback</w:t>
      </w:r>
      <w:r>
        <w:rPr>
          <w:rFonts w:ascii="Times New Roman" w:cs="Times New Roman" w:eastAsia="Times New Roman" w:hAnsi="Times New Roman"/>
          <w:sz w:val="20"/>
          <w:szCs w:val="20"/>
          <w:color w:val="auto"/>
        </w:rPr>
        <w:t>” means any share buyback occurring at any time on or after the date falling 18 Months after the date of this Agreement provided that at that time (a) the aggregate principal amount of the Loans outstanding does not exceed USD 200,000,000 and (b) the ratio of Consolidated Net Financial Indebtedness to Consolidated EBITDA does not exceed 1.5 times.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Transaction</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hanging="624"/>
        <w:spacing w:after="0" w:line="269" w:lineRule="auto"/>
        <w:tabs>
          <w:tab w:leader="none" w:pos="126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between the Company and any Subsidiary that is consolidated within the consolidated financial statements of the Company, provided that the Company is the surviving entity;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21" w:name="page22"/>
    <w:bookmarkEnd w:id="21"/>
    <w:p>
      <w:pPr>
        <w:ind w:left="1260" w:hanging="604"/>
        <w:spacing w:after="0"/>
        <w:tabs>
          <w:tab w:leader="none" w:pos="12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solvent amalgamation or merger among members of the Group which are not the Company; or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solvent liquidation or reorganisation of any member of the Group which is not the Company so long as any payments or assets distributed as a result of such liquidation or reorganization are distributed to other members of the Group.</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Lender</w:t>
      </w:r>
      <w:r>
        <w:rPr>
          <w:rFonts w:ascii="Times New Roman" w:cs="Times New Roman" w:eastAsia="Times New Roman" w:hAnsi="Times New Roman"/>
          <w:sz w:val="20"/>
          <w:szCs w:val="20"/>
          <w:color w:val="auto"/>
        </w:rPr>
        <w:t>” has the meaning given to it in Clause 12 (</w:t>
      </w:r>
      <w:r>
        <w:rPr>
          <w:rFonts w:ascii="Times New Roman" w:cs="Times New Roman" w:eastAsia="Times New Roman" w:hAnsi="Times New Roman"/>
          <w:sz w:val="20"/>
          <w:szCs w:val="20"/>
          <w:i w:val="1"/>
          <w:iCs w:val="1"/>
          <w:color w:val="auto"/>
        </w:rPr>
        <w:t>Tax gross-up and indemnities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Quotation Day</w:t>
      </w:r>
      <w:r>
        <w:rPr>
          <w:rFonts w:ascii="Times New Roman" w:cs="Times New Roman" w:eastAsia="Times New Roman" w:hAnsi="Times New Roman"/>
          <w:sz w:val="20"/>
          <w:szCs w:val="20"/>
          <w:color w:val="auto"/>
        </w:rPr>
        <w:t>” means, in relation to any period for which an interest rate is to be determined:</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w:t>
      </w:r>
    </w:p>
    <w:p>
      <w:pPr>
        <w:spacing w:after="0" w:line="189" w:lineRule="exact"/>
        <w:rPr>
          <w:sz w:val="20"/>
          <w:szCs w:val="20"/>
          <w:color w:val="auto"/>
        </w:rPr>
      </w:pPr>
    </w:p>
    <w:p>
      <w:pPr>
        <w:ind w:left="1920" w:hanging="642"/>
        <w:spacing w:after="0"/>
        <w:tabs>
          <w:tab w:leader="none" w:pos="19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currency is euro) two TARGET Days before the first day of that period;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other currency) two Business Days before the first day of that period,</w:t>
      </w:r>
    </w:p>
    <w:p>
      <w:pPr>
        <w:spacing w:after="0" w:line="189"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(unless market practice differs in the Relevant Market for that currency, in which case the Quotation Day for that currency will be determined by the Agent in accordance with market practice in the Relevant Market (and if quotations would normally be given on more than one day, the Quotation Day will be the last of those days)).</w:t>
      </w:r>
    </w:p>
    <w:p>
      <w:pPr>
        <w:spacing w:after="0" w:line="144"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Fund</w:t>
      </w:r>
      <w:r>
        <w:rPr>
          <w:rFonts w:ascii="Times New Roman" w:cs="Times New Roman" w:eastAsia="Times New Roman" w:hAnsi="Times New Roman"/>
          <w:sz w:val="20"/>
          <w:szCs w:val="20"/>
          <w:color w:val="auto"/>
        </w:rPr>
        <w:t>”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42"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Market</w:t>
      </w:r>
      <w:r>
        <w:rPr>
          <w:rFonts w:ascii="Times New Roman" w:cs="Times New Roman" w:eastAsia="Times New Roman" w:hAnsi="Times New Roman"/>
          <w:sz w:val="20"/>
          <w:szCs w:val="20"/>
          <w:color w:val="auto"/>
        </w:rPr>
        <w:t>” means, in relation to euro, the European interbank market and, in relation to any other currency, the London interbank market.</w:t>
      </w:r>
    </w:p>
    <w:p>
      <w:pPr>
        <w:spacing w:after="0" w:line="12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Nominating Body</w:t>
      </w:r>
      <w:r>
        <w:rPr>
          <w:rFonts w:ascii="Times New Roman" w:cs="Times New Roman" w:eastAsia="Times New Roman" w:hAnsi="Times New Roman"/>
          <w:sz w:val="20"/>
          <w:szCs w:val="20"/>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Repayment Date</w:t>
      </w:r>
      <w:r>
        <w:rPr>
          <w:rFonts w:ascii="Times New Roman" w:cs="Times New Roman" w:eastAsia="Times New Roman" w:hAnsi="Times New Roman"/>
          <w:sz w:val="20"/>
          <w:szCs w:val="20"/>
          <w:color w:val="auto"/>
        </w:rPr>
        <w:t>” has the meaning given to it in Clause 6.1 (</w:t>
      </w:r>
      <w:r>
        <w:rPr>
          <w:rFonts w:ascii="Times New Roman" w:cs="Times New Roman" w:eastAsia="Times New Roman" w:hAnsi="Times New Roman"/>
          <w:sz w:val="20"/>
          <w:szCs w:val="20"/>
          <w:i w:val="1"/>
          <w:iCs w:val="1"/>
          <w:color w:val="auto"/>
        </w:rPr>
        <w:t>Repayment of Loans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Repayment Instalment</w:t>
      </w:r>
      <w:r>
        <w:rPr>
          <w:rFonts w:ascii="Times New Roman" w:cs="Times New Roman" w:eastAsia="Times New Roman" w:hAnsi="Times New Roman"/>
          <w:sz w:val="20"/>
          <w:szCs w:val="20"/>
          <w:color w:val="auto"/>
        </w:rPr>
        <w:t>” has the meaning given to it in Clause 6.1 (</w:t>
      </w:r>
      <w:r>
        <w:rPr>
          <w:rFonts w:ascii="Times New Roman" w:cs="Times New Roman" w:eastAsia="Times New Roman" w:hAnsi="Times New Roman"/>
          <w:sz w:val="20"/>
          <w:szCs w:val="20"/>
          <w:i w:val="1"/>
          <w:iCs w:val="1"/>
          <w:color w:val="auto"/>
        </w:rPr>
        <w:t>Repayment of Loans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Repeating Representations</w:t>
      </w:r>
      <w:r>
        <w:rPr>
          <w:rFonts w:ascii="Times New Roman" w:cs="Times New Roman" w:eastAsia="Times New Roman" w:hAnsi="Times New Roman"/>
          <w:sz w:val="20"/>
          <w:szCs w:val="20"/>
          <w:color w:val="auto"/>
        </w:rPr>
        <w:t>” means each of the representations set out in Clauses 17.2 (</w:t>
      </w:r>
      <w:r>
        <w:rPr>
          <w:rFonts w:ascii="Times New Roman" w:cs="Times New Roman" w:eastAsia="Times New Roman" w:hAnsi="Times New Roman"/>
          <w:sz w:val="20"/>
          <w:szCs w:val="20"/>
          <w:i w:val="1"/>
          <w:iCs w:val="1"/>
          <w:color w:val="auto"/>
        </w:rPr>
        <w:t>Status</w:t>
      </w:r>
      <w:r>
        <w:rPr>
          <w:rFonts w:ascii="Times New Roman" w:cs="Times New Roman" w:eastAsia="Times New Roman" w:hAnsi="Times New Roman"/>
          <w:sz w:val="20"/>
          <w:szCs w:val="20"/>
          <w:color w:val="auto"/>
        </w:rPr>
        <w:t>) to 17.7 (</w:t>
      </w:r>
      <w:r>
        <w:rPr>
          <w:rFonts w:ascii="Times New Roman" w:cs="Times New Roman" w:eastAsia="Times New Roman" w:hAnsi="Times New Roman"/>
          <w:sz w:val="20"/>
          <w:szCs w:val="20"/>
          <w:i w:val="1"/>
          <w:iCs w:val="1"/>
          <w:color w:val="auto"/>
        </w:rPr>
        <w:t>Governing law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enforcement</w:t>
      </w:r>
      <w:r>
        <w:rPr>
          <w:rFonts w:ascii="Times New Roman" w:cs="Times New Roman" w:eastAsia="Times New Roman" w:hAnsi="Times New Roman"/>
          <w:sz w:val="20"/>
          <w:szCs w:val="20"/>
          <w:color w:val="auto"/>
        </w:rPr>
        <w:t>), paragraph (a) of Clause 17.11 (</w:t>
      </w:r>
      <w:r>
        <w:rPr>
          <w:rFonts w:ascii="Times New Roman" w:cs="Times New Roman" w:eastAsia="Times New Roman" w:hAnsi="Times New Roman"/>
          <w:sz w:val="20"/>
          <w:szCs w:val="20"/>
          <w:i w:val="1"/>
          <w:iCs w:val="1"/>
          <w:color w:val="auto"/>
        </w:rPr>
        <w:t>No default</w:t>
      </w:r>
      <w:r>
        <w:rPr>
          <w:rFonts w:ascii="Times New Roman" w:cs="Times New Roman" w:eastAsia="Times New Roman" w:hAnsi="Times New Roman"/>
          <w:sz w:val="20"/>
          <w:szCs w:val="20"/>
          <w:color w:val="auto"/>
        </w:rPr>
        <w:t>), paragraph (d) of Clause 17.13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Clause 17.20 (</w:t>
      </w:r>
      <w:r>
        <w:rPr>
          <w:rFonts w:ascii="Times New Roman" w:cs="Times New Roman" w:eastAsia="Times New Roman" w:hAnsi="Times New Roman"/>
          <w:sz w:val="20"/>
          <w:szCs w:val="20"/>
          <w:i w:val="1"/>
          <w:iCs w:val="1"/>
          <w:color w:val="auto"/>
        </w:rPr>
        <w:t>Good title to assets</w:t>
      </w:r>
      <w:r>
        <w:rPr>
          <w:rFonts w:ascii="Times New Roman" w:cs="Times New Roman" w:eastAsia="Times New Roman" w:hAnsi="Times New Roman"/>
          <w:sz w:val="20"/>
          <w:szCs w:val="20"/>
          <w:color w:val="auto"/>
        </w:rPr>
        <w:t>), Clause 17.21 (</w:t>
      </w:r>
      <w:r>
        <w:rPr>
          <w:rFonts w:ascii="Times New Roman" w:cs="Times New Roman" w:eastAsia="Times New Roman" w:hAnsi="Times New Roman"/>
          <w:sz w:val="20"/>
          <w:szCs w:val="20"/>
          <w:i w:val="1"/>
          <w:iCs w:val="1"/>
          <w:color w:val="auto"/>
        </w:rPr>
        <w:t>Legal and beneficial ownership</w:t>
      </w:r>
      <w:r>
        <w:rPr>
          <w:rFonts w:ascii="Times New Roman" w:cs="Times New Roman" w:eastAsia="Times New Roman" w:hAnsi="Times New Roman"/>
          <w:sz w:val="20"/>
          <w:szCs w:val="20"/>
          <w:color w:val="auto"/>
        </w:rPr>
        <w:t>) and Clause 17.25 (</w:t>
      </w:r>
      <w:r>
        <w:rPr>
          <w:rFonts w:ascii="Times New Roman" w:cs="Times New Roman" w:eastAsia="Times New Roman" w:hAnsi="Times New Roman"/>
          <w:sz w:val="20"/>
          <w:szCs w:val="20"/>
          <w:i w:val="1"/>
          <w:iCs w:val="1"/>
          <w:color w:val="auto"/>
        </w:rPr>
        <w:t>Centre of main interests and establishments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Replacement Benchmark</w:t>
      </w:r>
      <w:r>
        <w:rPr>
          <w:rFonts w:ascii="Times New Roman" w:cs="Times New Roman" w:eastAsia="Times New Roman" w:hAnsi="Times New Roman"/>
          <w:sz w:val="20"/>
          <w:szCs w:val="20"/>
          <w:color w:val="auto"/>
        </w:rPr>
        <w:t>” means a benchmark rate which is:</w:t>
      </w:r>
    </w:p>
    <w:p>
      <w:pPr>
        <w:spacing w:after="0" w:line="220" w:lineRule="exact"/>
        <w:rPr>
          <w:sz w:val="20"/>
          <w:szCs w:val="20"/>
          <w:color w:val="auto"/>
        </w:rPr>
      </w:pPr>
    </w:p>
    <w:p>
      <w:pPr>
        <w:ind w:left="1280" w:hanging="624"/>
        <w:spacing w:after="0"/>
        <w:tabs>
          <w:tab w:leader="none" w:pos="12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formally designated, nominated or recommended as the replacement for a Screen Rate by:</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of that Screen Rate (provided that the market or economic reality that such benchmark rate measures is the same as that measured by that Screen Rate); or</w:t>
      </w:r>
    </w:p>
    <w:p>
      <w:pPr>
        <w:spacing w:after="0" w:line="159"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Relevant Nominating Body,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22" w:name="page23"/>
    <w:bookmarkEnd w:id="22"/>
    <w:p>
      <w:pPr>
        <w:ind w:left="1300"/>
        <w:spacing w:after="0" w:line="269" w:lineRule="auto"/>
        <w:rPr>
          <w:sz w:val="20"/>
          <w:szCs w:val="20"/>
          <w:color w:val="auto"/>
        </w:rPr>
      </w:pPr>
      <w:r>
        <w:rPr>
          <w:rFonts w:ascii="Times New Roman" w:cs="Times New Roman" w:eastAsia="Times New Roman" w:hAnsi="Times New Roman"/>
          <w:sz w:val="20"/>
          <w:szCs w:val="20"/>
          <w:color w:val="auto"/>
        </w:rPr>
        <w:t>and if replacements have, at the relevant time, been formally designated, nominated or recommended under both paragraphs, the “Replacement Benchmark” will be the replacement under paragraph (ii) above;</w:t>
      </w:r>
    </w:p>
    <w:p>
      <w:pPr>
        <w:spacing w:after="0" w:line="160" w:lineRule="exact"/>
        <w:rPr>
          <w:sz w:val="20"/>
          <w:szCs w:val="20"/>
          <w:color w:val="auto"/>
        </w:rPr>
      </w:pPr>
    </w:p>
    <w:p>
      <w:pPr>
        <w:ind w:left="1300" w:right="20" w:hanging="644"/>
        <w:spacing w:after="0" w:line="269" w:lineRule="auto"/>
        <w:tabs>
          <w:tab w:leader="none" w:pos="128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opinion of the Majority Lenders and the Company, generally accepted in the international or any relevant domestic syndicated loan markets as the appropriate successor to a Screen Rate; or</w:t>
      </w:r>
    </w:p>
    <w:p>
      <w:pPr>
        <w:spacing w:after="0" w:line="132"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opinion of the Majority Lenders and the Company, an appropriate successor to a Screen Rate.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means any delegate, agent, manager, administrator, nominee, attorney, trustee or custodian.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any body which has authority to exercise any Write-down and Conversion Powers.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Party</w:t>
      </w:r>
      <w:r>
        <w:rPr>
          <w:rFonts w:ascii="Times New Roman" w:cs="Times New Roman" w:eastAsia="Times New Roman" w:hAnsi="Times New Roman"/>
          <w:sz w:val="20"/>
          <w:szCs w:val="20"/>
          <w:color w:val="auto"/>
        </w:rPr>
        <w:t>” means a person that is:</w:t>
      </w:r>
    </w:p>
    <w:p>
      <w:pPr>
        <w:spacing w:after="0" w:line="193" w:lineRule="exact"/>
        <w:rPr>
          <w:sz w:val="20"/>
          <w:szCs w:val="20"/>
          <w:color w:val="auto"/>
        </w:rPr>
      </w:pPr>
    </w:p>
    <w:p>
      <w:pPr>
        <w:ind w:left="1260" w:hanging="604"/>
        <w:spacing w:after="0"/>
        <w:tabs>
          <w:tab w:leader="none" w:pos="1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listed on, or owned or controlled by a person listed on, a Sanctions List, or a person acting on behalf of such a person;</w:t>
      </w:r>
    </w:p>
    <w:p>
      <w:pPr>
        <w:spacing w:after="0" w:line="157" w:lineRule="exact"/>
        <w:rPr>
          <w:rFonts w:ascii="Times New Roman" w:cs="Times New Roman" w:eastAsia="Times New Roman" w:hAnsi="Times New Roman"/>
          <w:sz w:val="20"/>
          <w:szCs w:val="20"/>
          <w:color w:val="auto"/>
        </w:rPr>
      </w:pPr>
    </w:p>
    <w:p>
      <w:pPr>
        <w:ind w:left="1280" w:hanging="624"/>
        <w:spacing w:after="0" w:line="259" w:lineRule="exact"/>
        <w:tabs>
          <w:tab w:leader="none" w:pos="126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located in or organised under the laws of a country or territory that is the subject of country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wide or territory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wide Sanctions, or a person who is owned or controlled by, or acting on behalf of such a person; or</w:t>
      </w:r>
    </w:p>
    <w:p>
      <w:pPr>
        <w:spacing w:after="0" w:line="16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a subject of Sanctions.</w:t>
      </w:r>
    </w:p>
    <w:p>
      <w:pPr>
        <w:spacing w:after="0" w:line="18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trade, economic or financial sanctions laws, regulations, embargoes or restrictive measures administered, enacted or enforced by a Sanctions Authority.</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Authority</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60" w:hanging="604"/>
        <w:spacing w:after="0"/>
        <w:tabs>
          <w:tab w:leader="none" w:pos="1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Nations;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of America;</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European Union;</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Kingdom of Great Britain and Northern Ireland; and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governments and official institutions or agencies of any of paragraphs (a) to (d) above, including OFAC, the US Department of State, and Her Majesty's Treasury.</w:t>
      </w:r>
    </w:p>
    <w:p>
      <w:pPr>
        <w:spacing w:after="0" w:line="129" w:lineRule="exact"/>
        <w:rPr>
          <w:sz w:val="20"/>
          <w:szCs w:val="20"/>
          <w:color w:val="auto"/>
        </w:rPr>
      </w:pPr>
    </w:p>
    <w:p>
      <w:pPr>
        <w:jc w:val="both"/>
        <w:ind w:left="620" w:right="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Specially Designated Nationals and Blocked Persons list maintained by OFAC, the Consolidated List of Financial Sanctions Targets maintained by Her Majesty's Treasury, or any similar list maintained by, or public announcement of a Sanctions designation made by, a Sanctions Authority, each as amended, supplemented or substituted from time to time.</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Screen Rate</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LIBOR, the London interbank offered rate administered by ICE Benchmark Administration Limited (or any other person which takes over the administration of that rate) for the relevant currency and period displayed on pages LIBOR01 or LIBOR02 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23" w:name="page24"/>
    <w:bookmarkEnd w:id="23"/>
    <w:p>
      <w:pPr>
        <w:ind w:left="1280"/>
        <w:spacing w:after="0"/>
        <w:rPr>
          <w:sz w:val="20"/>
          <w:szCs w:val="20"/>
          <w:color w:val="auto"/>
        </w:rPr>
      </w:pPr>
      <w:r>
        <w:rPr>
          <w:rFonts w:ascii="Times New Roman" w:cs="Times New Roman" w:eastAsia="Times New Roman" w:hAnsi="Times New Roman"/>
          <w:sz w:val="20"/>
          <w:szCs w:val="20"/>
          <w:color w:val="auto"/>
        </w:rPr>
        <w:t>the Thomson Reuters screen (or any replacement Thomson Reuters page which displays that rate); and</w:t>
      </w:r>
    </w:p>
    <w:p>
      <w:pPr>
        <w:spacing w:after="0" w:line="202" w:lineRule="exact"/>
        <w:rPr>
          <w:sz w:val="20"/>
          <w:szCs w:val="20"/>
          <w:color w:val="auto"/>
        </w:rPr>
      </w:pPr>
    </w:p>
    <w:p>
      <w:pPr>
        <w:jc w:val="both"/>
        <w:ind w:left="1280" w:right="20" w:hanging="624"/>
        <w:spacing w:after="0" w:line="254" w:lineRule="auto"/>
        <w:tabs>
          <w:tab w:leader="none" w:pos="126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EURIBOR, the euro interbank offered rate administered by the European Money Markets Institute (or any other person which takes over the administration of that rate) for the relevant period displayed on page EURIBOR01 of the Thomson Reuters screen (or any replacement Thomson Reuters page which displays that rate),</w:t>
      </w:r>
    </w:p>
    <w:p>
      <w:pPr>
        <w:spacing w:after="0" w:line="161" w:lineRule="exact"/>
        <w:rPr>
          <w:sz w:val="20"/>
          <w:szCs w:val="20"/>
          <w:color w:val="auto"/>
        </w:rPr>
      </w:pPr>
    </w:p>
    <w:p>
      <w:pPr>
        <w:jc w:val="both"/>
        <w:ind w:left="620"/>
        <w:spacing w:after="0" w:line="289" w:lineRule="auto"/>
        <w:rPr>
          <w:sz w:val="20"/>
          <w:szCs w:val="20"/>
          <w:color w:val="auto"/>
        </w:rPr>
      </w:pPr>
      <w:r>
        <w:rPr>
          <w:rFonts w:ascii="Times New Roman" w:cs="Times New Roman" w:eastAsia="Times New Roman" w:hAnsi="Times New Roman"/>
          <w:sz w:val="20"/>
          <w:szCs w:val="20"/>
          <w:color w:val="auto"/>
        </w:rPr>
        <w:t>or, in each case,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Company.</w:t>
      </w:r>
    </w:p>
    <w:p>
      <w:pPr>
        <w:spacing w:after="0" w:line="124"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w:t>
      </w:r>
      <w:r>
        <w:rPr>
          <w:rFonts w:ascii="Times New Roman" w:cs="Times New Roman" w:eastAsia="Times New Roman" w:hAnsi="Times New Roman"/>
          <w:sz w:val="20"/>
          <w:szCs w:val="20"/>
          <w:color w:val="auto"/>
        </w:rPr>
        <w:t>” means a mortgage, charge, pledge, lien or other security interest securing any obligation of any person or any other agreement or arrangement having a similar effect.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in relation to any company or corporation, a company or corporation:</w:t>
      </w:r>
    </w:p>
    <w:p>
      <w:pPr>
        <w:spacing w:after="0" w:line="193" w:lineRule="exact"/>
        <w:rPr>
          <w:sz w:val="20"/>
          <w:szCs w:val="20"/>
          <w:color w:val="auto"/>
        </w:rPr>
      </w:pPr>
    </w:p>
    <w:p>
      <w:pPr>
        <w:ind w:left="1260" w:hanging="604"/>
        <w:spacing w:after="0"/>
        <w:tabs>
          <w:tab w:leader="none" w:pos="12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controlled, directly or indirectly, by the first mentioned company or corporation;</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half the issued share capital (which gives rise to voting rights) of which is beneficially owner, directly or indirectly, by the first mentioned company or corporation; or</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Subsidiary of another Subsidiary of the first mentioned company or corporation,</w:t>
      </w:r>
    </w:p>
    <w:p>
      <w:pPr>
        <w:spacing w:after="0" w:line="189" w:lineRule="exact"/>
        <w:rPr>
          <w:sz w:val="20"/>
          <w:szCs w:val="20"/>
          <w:color w:val="auto"/>
        </w:rPr>
      </w:pPr>
    </w:p>
    <w:p>
      <w:pPr>
        <w:jc w:val="both"/>
        <w:ind w:left="620"/>
        <w:spacing w:after="0" w:line="246" w:lineRule="exact"/>
        <w:rPr>
          <w:sz w:val="20"/>
          <w:szCs w:val="20"/>
          <w:color w:val="auto"/>
        </w:rPr>
      </w:pPr>
      <w:r>
        <w:rPr>
          <w:rFonts w:ascii="Times New Roman" w:cs="Times New Roman" w:eastAsia="Times New Roman" w:hAnsi="Times New Roman"/>
          <w:sz w:val="20"/>
          <w:szCs w:val="20"/>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line basis for such period.</w:t>
      </w:r>
    </w:p>
    <w:p>
      <w:pPr>
        <w:spacing w:after="0" w:line="138"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TARGET2</w:t>
      </w:r>
      <w:r>
        <w:rPr>
          <w:rFonts w:ascii="Times New Roman" w:cs="Times New Roman" w:eastAsia="Times New Roman" w:hAnsi="Times New Roman"/>
          <w:sz w:val="20"/>
          <w:szCs w:val="20"/>
          <w:color w:val="auto"/>
        </w:rPr>
        <w:t>” means the Trans-European Automated Real-time Gross Settlement Express Transfer payment system which utilises a single shared platform and which was launched on 19 November 2007.</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Day</w:t>
      </w:r>
      <w:r>
        <w:rPr>
          <w:rFonts w:ascii="Times New Roman" w:cs="Times New Roman" w:eastAsia="Times New Roman" w:hAnsi="Times New Roman"/>
          <w:sz w:val="20"/>
          <w:szCs w:val="20"/>
          <w:color w:val="auto"/>
        </w:rPr>
        <w:t>” means any day on which TARGET2 is open for the settlement of payments in euro.</w:t>
      </w:r>
    </w:p>
    <w:p>
      <w:pPr>
        <w:spacing w:after="0" w:line="189"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tax, levy, impost, duty or other charge or withholding of a similar nature (including any penalty or interest payable in connection with any failure to pay or any delay in paying any of the same).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means the date falling three years after the date of this Agreement.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Commitments</w:t>
      </w:r>
      <w:r>
        <w:rPr>
          <w:rFonts w:ascii="Times New Roman" w:cs="Times New Roman" w:eastAsia="Times New Roman" w:hAnsi="Times New Roman"/>
          <w:sz w:val="20"/>
          <w:szCs w:val="20"/>
          <w:color w:val="auto"/>
        </w:rPr>
        <w:t>” means the aggregate of the Total USD Tranche Commitments and Total EUR Tranche Commitments.</w:t>
      </w:r>
    </w:p>
    <w:p>
      <w:pPr>
        <w:spacing w:after="0" w:line="189"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EUR Tranche Commitments</w:t>
      </w:r>
      <w:r>
        <w:rPr>
          <w:rFonts w:ascii="Times New Roman" w:cs="Times New Roman" w:eastAsia="Times New Roman" w:hAnsi="Times New Roman"/>
          <w:sz w:val="20"/>
          <w:szCs w:val="20"/>
          <w:color w:val="auto"/>
        </w:rPr>
        <w:t>” means the aggregate of the EUR Tranche Commitments, being EUR 103,016,924.50 (being the EUR equivalent of USD116,666,667 (converted using the Exchange Rate)) as at the date of this Agreement.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89" w:right="239" w:bottom="1440" w:gutter="0" w:footer="0" w:header="0"/>
        </w:sectPr>
      </w:pPr>
    </w:p>
    <w:bookmarkStart w:id="24" w:name="page25"/>
    <w:bookmarkEnd w:id="24"/>
    <w:p>
      <w:pPr>
        <w:jc w:val="both"/>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USD Tranche Commitments</w:t>
      </w:r>
      <w:r>
        <w:rPr>
          <w:rFonts w:ascii="Times New Roman" w:cs="Times New Roman" w:eastAsia="Times New Roman" w:hAnsi="Times New Roman"/>
          <w:sz w:val="20"/>
          <w:szCs w:val="20"/>
          <w:color w:val="auto"/>
        </w:rPr>
        <w:t>” means the aggregate of the USD Tranche Commitments, being USD 233,333,333 as at the date of this Agreement.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w:t>
      </w:r>
      <w:r>
        <w:rPr>
          <w:rFonts w:ascii="Times New Roman" w:cs="Times New Roman" w:eastAsia="Times New Roman" w:hAnsi="Times New Roman"/>
          <w:sz w:val="20"/>
          <w:szCs w:val="20"/>
          <w:color w:val="auto"/>
        </w:rPr>
        <w:t>” means the USD Tranche or the EUR Tranche.</w:t>
      </w:r>
    </w:p>
    <w:p>
      <w:pPr>
        <w:spacing w:after="0" w:line="189"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Certificate</w:t>
      </w:r>
      <w:r>
        <w:rPr>
          <w:rFonts w:ascii="Times New Roman" w:cs="Times New Roman" w:eastAsia="Times New Roman" w:hAnsi="Times New Roman"/>
          <w:sz w:val="20"/>
          <w:szCs w:val="20"/>
          <w:color w:val="auto"/>
        </w:rPr>
        <w:t>” means a certificate substantially in the form set out in Schedule 4 (</w:t>
      </w:r>
      <w:r>
        <w:rPr>
          <w:rFonts w:ascii="Times New Roman" w:cs="Times New Roman" w:eastAsia="Times New Roman" w:hAnsi="Times New Roman"/>
          <w:sz w:val="20"/>
          <w:szCs w:val="20"/>
          <w:i w:val="1"/>
          <w:iCs w:val="1"/>
          <w:color w:val="auto"/>
        </w:rPr>
        <w:t>Form of Transfer Certificate</w:t>
      </w:r>
      <w:r>
        <w:rPr>
          <w:rFonts w:ascii="Times New Roman" w:cs="Times New Roman" w:eastAsia="Times New Roman" w:hAnsi="Times New Roman"/>
          <w:sz w:val="20"/>
          <w:szCs w:val="20"/>
          <w:color w:val="auto"/>
        </w:rPr>
        <w:t>) or any other form agreed between the Agent and the Company.</w:t>
      </w:r>
    </w:p>
    <w:p>
      <w:pPr>
        <w:spacing w:after="0" w:line="125" w:lineRule="exact"/>
        <w:rPr>
          <w:sz w:val="20"/>
          <w:szCs w:val="20"/>
          <w:color w:val="auto"/>
        </w:rPr>
      </w:pPr>
    </w:p>
    <w:p>
      <w:pPr>
        <w:jc w:val="both"/>
        <w:ind w:left="620" w:right="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Date</w:t>
      </w:r>
      <w:r>
        <w:rPr>
          <w:rFonts w:ascii="Times New Roman" w:cs="Times New Roman" w:eastAsia="Times New Roman" w:hAnsi="Times New Roman"/>
          <w:sz w:val="20"/>
          <w:szCs w:val="20"/>
          <w:color w:val="auto"/>
        </w:rPr>
        <w:t>” means, in relation to an assignment or a transfer, the proposed Transfer Date specified in the relevant Assignment Agreement or Transfer Certificate or, if later or if no Transfer Date is specified in the relevant Transfer Certificate or Assignment, the date on which the Agent executes the relevant Assignment Agreement or Transfer Certificate.</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Unpaid Sum</w:t>
      </w:r>
      <w:r>
        <w:rPr>
          <w:rFonts w:ascii="Times New Roman" w:cs="Times New Roman" w:eastAsia="Times New Roman" w:hAnsi="Times New Roman"/>
          <w:sz w:val="20"/>
          <w:szCs w:val="20"/>
          <w:color w:val="auto"/>
        </w:rPr>
        <w:t>” means any sum due and payable but unpaid by the Company under the Finance Documents.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w:t>
      </w:r>
    </w:p>
    <w:p>
      <w:pPr>
        <w:spacing w:after="0" w:line="189"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GAAP</w:t>
      </w:r>
      <w:r>
        <w:rPr>
          <w:rFonts w:ascii="Times New Roman" w:cs="Times New Roman" w:eastAsia="Times New Roman" w:hAnsi="Times New Roman"/>
          <w:sz w:val="20"/>
          <w:szCs w:val="20"/>
          <w:color w:val="auto"/>
        </w:rPr>
        <w:t>” means generally accepted accounting principles in the United States of America, as promulgated, from time to time, by the Financial Accounting Standards Board.</w:t>
      </w:r>
    </w:p>
    <w:p>
      <w:pPr>
        <w:spacing w:after="0" w:line="12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Tax Obligor</w:t>
      </w:r>
      <w:r>
        <w:rPr>
          <w:rFonts w:ascii="Times New Roman" w:cs="Times New Roman" w:eastAsia="Times New Roman" w:hAnsi="Times New Roman"/>
          <w:sz w:val="20"/>
          <w:szCs w:val="20"/>
          <w:color w:val="auto"/>
        </w:rPr>
        <w:t>” means the Company where some or all of its payments under the Finance Documents are from sources within the US for US federal income tax purposes.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USD Tranche</w:t>
      </w:r>
      <w:r>
        <w:rPr>
          <w:rFonts w:ascii="Times New Roman" w:cs="Times New Roman" w:eastAsia="Times New Roman" w:hAnsi="Times New Roman"/>
          <w:sz w:val="20"/>
          <w:szCs w:val="20"/>
          <w:color w:val="auto"/>
        </w:rPr>
        <w:t>” means the portion of the Facility made available under this Agreement as described in Clause 2.1(a) (</w:t>
      </w:r>
      <w:r>
        <w:rPr>
          <w:rFonts w:ascii="Times New Roman" w:cs="Times New Roman" w:eastAsia="Times New Roman" w:hAnsi="Times New Roman"/>
          <w:sz w:val="20"/>
          <w:szCs w:val="20"/>
          <w:i w:val="1"/>
          <w:iCs w:val="1"/>
          <w:color w:val="auto"/>
        </w:rPr>
        <w:t>The Facility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USD Tranche Commitment</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hanging="624"/>
        <w:spacing w:after="0" w:line="296" w:lineRule="auto"/>
        <w:tabs>
          <w:tab w:leader="none" w:pos="126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relation to an Original Lender, the amount set opposite its name under the heading “USD Tranche Commitment” in Schedule 1 (</w:t>
      </w:r>
      <w:r>
        <w:rPr>
          <w:rFonts w:ascii="Times New Roman" w:cs="Times New Roman" w:eastAsia="Times New Roman" w:hAnsi="Times New Roman"/>
          <w:sz w:val="19"/>
          <w:szCs w:val="19"/>
          <w:i w:val="1"/>
          <w:iCs w:val="1"/>
          <w:color w:val="auto"/>
        </w:rPr>
        <w:t>The Original Lenders</w:t>
      </w:r>
      <w:r>
        <w:rPr>
          <w:rFonts w:ascii="Times New Roman" w:cs="Times New Roman" w:eastAsia="Times New Roman" w:hAnsi="Times New Roman"/>
          <w:sz w:val="19"/>
          <w:szCs w:val="19"/>
          <w:color w:val="auto"/>
        </w:rPr>
        <w:t>) and the amount of any other USD Tranche Commitment transferred to it under this Agreement; and</w:t>
      </w:r>
    </w:p>
    <w:p>
      <w:pPr>
        <w:spacing w:after="0" w:line="109" w:lineRule="exact"/>
        <w:rPr>
          <w:rFonts w:ascii="Times New Roman" w:cs="Times New Roman" w:eastAsia="Times New Roman" w:hAnsi="Times New Roman"/>
          <w:sz w:val="19"/>
          <w:szCs w:val="19"/>
          <w:color w:val="auto"/>
        </w:rPr>
      </w:pPr>
    </w:p>
    <w:p>
      <w:pPr>
        <w:ind w:left="1260" w:hanging="604"/>
        <w:spacing w:after="0"/>
        <w:tabs>
          <w:tab w:leader="none" w:pos="12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other Lender, the amount of any USD Tranche Commitment transferred to it under this Agreement,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to the extent not cancelled, reduced or transferred by it under this Agreement.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Utilisation</w:t>
      </w:r>
      <w:r>
        <w:rPr>
          <w:rFonts w:ascii="Times New Roman" w:cs="Times New Roman" w:eastAsia="Times New Roman" w:hAnsi="Times New Roman"/>
          <w:sz w:val="20"/>
          <w:szCs w:val="20"/>
          <w:color w:val="auto"/>
        </w:rPr>
        <w:t>” means a utilisation of the Facility.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Utilisation Date</w:t>
      </w:r>
      <w:r>
        <w:rPr>
          <w:rFonts w:ascii="Times New Roman" w:cs="Times New Roman" w:eastAsia="Times New Roman" w:hAnsi="Times New Roman"/>
          <w:sz w:val="20"/>
          <w:szCs w:val="20"/>
          <w:color w:val="auto"/>
        </w:rPr>
        <w:t>” means the date of a Utilisation, being the date on which the relevant Loan is to be made.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Utilisation Request</w:t>
      </w:r>
      <w:r>
        <w:rPr>
          <w:rFonts w:ascii="Times New Roman" w:cs="Times New Roman" w:eastAsia="Times New Roman" w:hAnsi="Times New Roman"/>
          <w:sz w:val="20"/>
          <w:szCs w:val="20"/>
          <w:color w:val="auto"/>
        </w:rPr>
        <w:t>” means a notice substantially in the form set out in Schedule 3 (</w:t>
      </w:r>
      <w:r>
        <w:rPr>
          <w:rFonts w:ascii="Times New Roman" w:cs="Times New Roman" w:eastAsia="Times New Roman" w:hAnsi="Times New Roman"/>
          <w:sz w:val="20"/>
          <w:szCs w:val="20"/>
          <w:i w:val="1"/>
          <w:iCs w:val="1"/>
          <w:color w:val="auto"/>
        </w:rPr>
        <w:t>Utilisation Request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hanging="624"/>
        <w:spacing w:after="0" w:line="269" w:lineRule="auto"/>
        <w:tabs>
          <w:tab w:leader="none" w:pos="126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imposed in compliance with the Council Directive of 28 November 2006 on the common system of value added tax (EC Directive 2006/112);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tax of a similar nature, whether imposed in a member state of the European Union in substitution for, or levied in addition to, such tax referred to in paragraph (a) above, or imposed elsewhere.</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25" w:name="page26"/>
    <w:bookmarkEnd w:id="25"/>
    <w:p>
      <w:pPr>
        <w:ind w:left="1280" w:hanging="624"/>
        <w:spacing w:after="0" w:line="269" w:lineRule="auto"/>
        <w:tabs>
          <w:tab w:leader="none" w:pos="126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Bail-In Legislation described in the EU Bail-In Legislation Schedule from time to time, the powers described as such in relation to that Bail-In Legislation in the EU Bail-In Legislation Schedule;</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other applicable Bail-In Legislation:</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4" w:lineRule="auto"/>
        <w:tabs>
          <w:tab w:leader="none" w:pos="19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59"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similar or analogous powers under that Bail-In Legislation.</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b w:val="1"/>
          <w:bCs w:val="1"/>
          <w:color w:val="auto"/>
        </w:rPr>
        <w:t>Construction</w:t>
      </w:r>
    </w:p>
    <w:p>
      <w:pPr>
        <w:spacing w:after="0" w:line="193" w:lineRule="exact"/>
        <w:rPr>
          <w:sz w:val="20"/>
          <w:szCs w:val="20"/>
          <w:color w:val="auto"/>
        </w:rPr>
      </w:pPr>
    </w:p>
    <w:p>
      <w:pPr>
        <w:ind w:left="1260" w:hanging="604"/>
        <w:spacing w:after="0"/>
        <w:tabs>
          <w:tab w:leader="none" w:pos="12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contrary indication appears, any reference in this Agreement to:</w:t>
      </w:r>
    </w:p>
    <w:p>
      <w:pPr>
        <w:spacing w:after="0" w:line="184" w:lineRule="exact"/>
        <w:rPr>
          <w:rFonts w:ascii="Times New Roman" w:cs="Times New Roman" w:eastAsia="Times New Roman" w:hAnsi="Times New Roman"/>
          <w:sz w:val="20"/>
          <w:szCs w:val="20"/>
          <w:color w:val="auto"/>
        </w:rPr>
      </w:pPr>
    </w:p>
    <w:p>
      <w:pPr>
        <w:jc w:val="both"/>
        <w:ind w:left="1920" w:hanging="642"/>
        <w:spacing w:after="0" w:line="256" w:lineRule="auto"/>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Arranger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Documentation Agent and Co-ordinator</w:t>
      </w:r>
      <w:r>
        <w:rPr>
          <w:rFonts w:ascii="Times New Roman" w:cs="Times New Roman" w:eastAsia="Times New Roman" w:hAnsi="Times New Roman"/>
          <w:sz w:val="20"/>
          <w:szCs w:val="20"/>
          <w:color w:val="auto"/>
        </w:rPr>
        <w:t>”, any “</w:t>
      </w:r>
      <w:r>
        <w:rPr>
          <w:rFonts w:ascii="Times New Roman" w:cs="Times New Roman" w:eastAsia="Times New Roman" w:hAnsi="Times New Roman"/>
          <w:sz w:val="20"/>
          <w:szCs w:val="20"/>
          <w:b w:val="1"/>
          <w:bCs w:val="1"/>
          <w:color w:val="auto"/>
        </w:rPr>
        <w:t>Finance Party</w:t>
      </w:r>
      <w:r>
        <w:rPr>
          <w:rFonts w:ascii="Times New Roman" w:cs="Times New Roman" w:eastAsia="Times New Roman" w:hAnsi="Times New Roman"/>
          <w:sz w:val="20"/>
          <w:szCs w:val="20"/>
          <w:color w:val="auto"/>
        </w:rPr>
        <w:t>”, any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“”or any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shall be construed so as to include its successors in title, permitted assigns and permitted transferees to, or of, its rights and/or obligations under the Finance Documents;</w:t>
      </w:r>
    </w:p>
    <w:p>
      <w:pPr>
        <w:spacing w:after="0" w:line="141"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 includes present and future properties, revenues and rights of every description;</w:t>
      </w:r>
    </w:p>
    <w:p>
      <w:pPr>
        <w:spacing w:after="0" w:line="188" w:lineRule="exact"/>
        <w:rPr>
          <w:rFonts w:ascii="Times New Roman" w:cs="Times New Roman" w:eastAsia="Times New Roman" w:hAnsi="Times New Roman"/>
          <w:sz w:val="20"/>
          <w:szCs w:val="20"/>
          <w:color w:val="auto"/>
        </w:rPr>
      </w:pPr>
    </w:p>
    <w:p>
      <w:pPr>
        <w:ind w:left="1920" w:right="20" w:hanging="642"/>
        <w:spacing w:after="0" w:line="273" w:lineRule="auto"/>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Finance Document</w:t>
      </w:r>
      <w:r>
        <w:rPr>
          <w:rFonts w:ascii="Times New Roman" w:cs="Times New Roman" w:eastAsia="Times New Roman" w:hAnsi="Times New Roman"/>
          <w:sz w:val="20"/>
          <w:szCs w:val="20"/>
          <w:color w:val="auto"/>
        </w:rPr>
        <w:t>” or any other agreement or instrument is a reference to that Finance Document or other agreement or instrument as amended, novated, supplemented, extended or restated;</w:t>
      </w:r>
    </w:p>
    <w:p>
      <w:pPr>
        <w:spacing w:after="0" w:line="12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group of Lenders</w:t>
      </w:r>
      <w:r>
        <w:rPr>
          <w:rFonts w:ascii="Times New Roman" w:cs="Times New Roman" w:eastAsia="Times New Roman" w:hAnsi="Times New Roman"/>
          <w:sz w:val="20"/>
          <w:szCs w:val="20"/>
          <w:color w:val="auto"/>
        </w:rPr>
        <w:t>” includes all the Lenders;</w:t>
      </w:r>
    </w:p>
    <w:p>
      <w:pPr>
        <w:spacing w:after="0" w:line="188" w:lineRule="exact"/>
        <w:rPr>
          <w:rFonts w:ascii="Times New Roman" w:cs="Times New Roman" w:eastAsia="Times New Roman" w:hAnsi="Times New Roman"/>
          <w:sz w:val="20"/>
          <w:szCs w:val="20"/>
          <w:color w:val="auto"/>
        </w:rPr>
      </w:pPr>
    </w:p>
    <w:p>
      <w:pPr>
        <w:ind w:left="1920" w:hanging="642"/>
        <w:spacing w:after="0" w:line="273" w:lineRule="auto"/>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includes any obligation (whether incurred as principal or as surety) for the payment or repayment of money, whether present or future, actual or contingent;</w:t>
      </w:r>
    </w:p>
    <w:p>
      <w:pPr>
        <w:spacing w:after="0" w:line="125" w:lineRule="exact"/>
        <w:rPr>
          <w:rFonts w:ascii="Times New Roman" w:cs="Times New Roman" w:eastAsia="Times New Roman" w:hAnsi="Times New Roman"/>
          <w:sz w:val="20"/>
          <w:szCs w:val="20"/>
          <w:color w:val="auto"/>
        </w:rPr>
      </w:pPr>
    </w:p>
    <w:p>
      <w:pPr>
        <w:jc w:val="both"/>
        <w:ind w:left="1920" w:hanging="642"/>
        <w:spacing w:after="0" w:line="256" w:lineRule="auto"/>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any individual, firm, company, corporation, government, state or agency of a state or any association, trust, joint venture, consortium, partnership or other entity (whether or not having separate legal personality);</w:t>
      </w:r>
    </w:p>
    <w:p>
      <w:pPr>
        <w:spacing w:after="0" w:line="141" w:lineRule="exact"/>
        <w:rPr>
          <w:rFonts w:ascii="Times New Roman" w:cs="Times New Roman" w:eastAsia="Times New Roman" w:hAnsi="Times New Roman"/>
          <w:sz w:val="20"/>
          <w:szCs w:val="20"/>
          <w:color w:val="auto"/>
        </w:rPr>
      </w:pPr>
    </w:p>
    <w:p>
      <w:pPr>
        <w:jc w:val="both"/>
        <w:ind w:left="1920" w:hanging="642"/>
        <w:spacing w:after="0" w:line="256" w:lineRule="auto"/>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regulation</w:t>
      </w:r>
      <w:r>
        <w:rPr>
          <w:rFonts w:ascii="Times New Roman" w:cs="Times New Roman" w:eastAsia="Times New Roman" w:hAnsi="Times New Roman"/>
          <w:sz w:val="20"/>
          <w:szCs w:val="20"/>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4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provision of law is a reference to that provision as amended or re-enacted;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time of day is a reference to London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26" w:name="page27"/>
    <w:bookmarkEnd w:id="26"/>
    <w:p>
      <w:pPr>
        <w:ind w:left="1280" w:hanging="624"/>
        <w:spacing w:after="0" w:line="273" w:lineRule="auto"/>
        <w:tabs>
          <w:tab w:leader="none" w:pos="1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the extent to which a rate is “</w:t>
      </w:r>
      <w:r>
        <w:rPr>
          <w:rFonts w:ascii="Times New Roman" w:cs="Times New Roman" w:eastAsia="Times New Roman" w:hAnsi="Times New Roman"/>
          <w:sz w:val="20"/>
          <w:szCs w:val="20"/>
          <w:b w:val="1"/>
          <w:bCs w:val="1"/>
          <w:color w:val="auto"/>
        </w:rPr>
        <w:t>for a period equal in length</w:t>
      </w:r>
      <w:r>
        <w:rPr>
          <w:rFonts w:ascii="Times New Roman" w:cs="Times New Roman" w:eastAsia="Times New Roman" w:hAnsi="Times New Roman"/>
          <w:sz w:val="20"/>
          <w:szCs w:val="20"/>
          <w:color w:val="auto"/>
        </w:rPr>
        <w:t>” to an Interest Period shall disregard any inconsistency arising from the last day of that Interest Period being determined pursuant to the terms of this Agreement.</w:t>
      </w:r>
    </w:p>
    <w:p>
      <w:pPr>
        <w:spacing w:after="0" w:line="129"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Clause and Schedule headings are for ease of reference only.</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Default (other than an Event of Default) is “continuing” if it has not been remedied or waived and an Event of Default is “continuing” if it has not been remedied or waived.</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ascertaining the Majority Lenders or any group of Lenders or whether any given percentage of Commitments has been obtained to approve any request for a consent, waiver, amendment or other vote or to give instructions under the Finance Documents, the Commitment of a Lender under the EUR Tranche shall be notionally converted into dollars at the Exchange Rate.</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Currency symbols and definitions</w:t>
      </w:r>
    </w:p>
    <w:p>
      <w:pPr>
        <w:spacing w:after="0" w:line="189" w:lineRule="exact"/>
        <w:rPr>
          <w:sz w:val="20"/>
          <w:szCs w:val="20"/>
          <w:color w:val="auto"/>
        </w:rPr>
      </w:pPr>
    </w:p>
    <w:p>
      <w:pPr>
        <w:ind w:left="1280" w:hanging="624"/>
        <w:spacing w:after="0"/>
        <w:tabs>
          <w:tab w:leader="none" w:pos="1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denote the lawful currency of the United States of America.</w:t>
      </w:r>
    </w:p>
    <w:p>
      <w:pPr>
        <w:spacing w:after="0" w:line="188" w:lineRule="exact"/>
        <w:rPr>
          <w:rFonts w:ascii="Times New Roman" w:cs="Times New Roman" w:eastAsia="Times New Roman" w:hAnsi="Times New Roman"/>
          <w:sz w:val="20"/>
          <w:szCs w:val="20"/>
          <w:color w:val="auto"/>
        </w:rPr>
      </w:pPr>
    </w:p>
    <w:p>
      <w:pPr>
        <w:ind w:right="3240" w:firstLine="656"/>
        <w:spacing w:after="0" w:line="438" w:lineRule="auto"/>
        <w:tabs>
          <w:tab w:leader="none" w:pos="127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EUR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xml:space="preserve">” denote the single currency of the Participating Member States. 1.4 </w:t>
      </w:r>
      <w:r>
        <w:rPr>
          <w:rFonts w:ascii="Times New Roman" w:cs="Times New Roman" w:eastAsia="Times New Roman" w:hAnsi="Times New Roman"/>
          <w:sz w:val="20"/>
          <w:szCs w:val="20"/>
          <w:b w:val="1"/>
          <w:bCs w:val="1"/>
          <w:color w:val="auto"/>
        </w:rPr>
        <w:t>Third party rights</w:t>
      </w:r>
    </w:p>
    <w:p>
      <w:pPr>
        <w:spacing w:after="0" w:line="2" w:lineRule="exact"/>
        <w:rPr>
          <w:sz w:val="20"/>
          <w:szCs w:val="20"/>
          <w:color w:val="auto"/>
        </w:rPr>
      </w:pPr>
    </w:p>
    <w:p>
      <w:pPr>
        <w:ind w:left="1280" w:hanging="624"/>
        <w:spacing w:after="0" w:line="269" w:lineRule="auto"/>
        <w:tabs>
          <w:tab w:leader="none" w:pos="126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20"/>
          <w:szCs w:val="20"/>
          <w:b w:val="1"/>
          <w:bCs w:val="1"/>
          <w:color w:val="auto"/>
        </w:rPr>
        <w:t>Third Parties Act</w:t>
      </w:r>
      <w:r>
        <w:rPr>
          <w:rFonts w:ascii="Times New Roman" w:cs="Times New Roman" w:eastAsia="Times New Roman" w:hAnsi="Times New Roman"/>
          <w:sz w:val="20"/>
          <w:szCs w:val="20"/>
          <w:color w:val="auto"/>
        </w:rPr>
        <w:t>”) to enforce or to enjoy the benefit of any term of this Agreement.</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term of any Finance Document, the consent of any person who is not a Party is not required to rescind or vary this Agreement at any time.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27" w:name="page28"/>
    <w:bookmarkEnd w:id="27"/>
    <w:p>
      <w:pPr>
        <w:ind w:left="5160"/>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THE FACILITY</w:t>
      </w:r>
    </w:p>
    <w:p>
      <w:pPr>
        <w:spacing w:after="0" w:line="163" w:lineRule="exact"/>
        <w:rPr>
          <w:sz w:val="20"/>
          <w:szCs w:val="20"/>
          <w:color w:val="auto"/>
        </w:rPr>
      </w:pPr>
    </w:p>
    <w:p>
      <w:pPr>
        <w:ind w:left="620" w:hanging="612"/>
        <w:spacing w:after="0"/>
        <w:tabs>
          <w:tab w:leader="none" w:pos="62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FACILITY</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color w:val="auto"/>
        </w:rPr>
        <w:t>The Facility</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Subject to the terms of this Agreement, the Lenders make available to the Company a multicurrency term loan facility in an aggregate amount equal to the Total Commitments, consisting of:</w:t>
      </w:r>
    </w:p>
    <w:p>
      <w:pPr>
        <w:spacing w:after="0" w:line="133" w:lineRule="exact"/>
        <w:rPr>
          <w:sz w:val="20"/>
          <w:szCs w:val="20"/>
          <w:color w:val="auto"/>
        </w:rPr>
      </w:pPr>
    </w:p>
    <w:p>
      <w:pPr>
        <w:ind w:left="1260" w:hanging="604"/>
        <w:spacing w:after="0"/>
        <w:tabs>
          <w:tab w:leader="none" w:pos="12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dollar term loan tranche in the aggregate amount equal to the Total USD Tranche Commitments;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euro term loan tranche in the aggregate amount equal to the Total EUR Tranche Commitments.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color w:val="auto"/>
        </w:rPr>
        <w:t>Finance Parties' rights and obligations</w:t>
      </w:r>
    </w:p>
    <w:p>
      <w:pPr>
        <w:spacing w:after="0" w:line="193" w:lineRule="exact"/>
        <w:rPr>
          <w:sz w:val="20"/>
          <w:szCs w:val="20"/>
          <w:color w:val="auto"/>
        </w:rPr>
      </w:pPr>
    </w:p>
    <w:p>
      <w:pPr>
        <w:jc w:val="both"/>
        <w:ind w:left="1280" w:hanging="624"/>
        <w:spacing w:after="0" w:line="254" w:lineRule="auto"/>
        <w:tabs>
          <w:tab w:leader="none" w:pos="126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44" w:lineRule="auto"/>
        <w:tabs>
          <w:tab w:leader="none" w:pos="126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each Finance Party under or in connection with the Finance Documents are separate and independent rights and any debt arising under the Finance Documents to a Finance Party from the Company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the Company which relates to a Finance Party's participation in the Facility or its role under a Finance Document (including any such amount payable to the Agent on its behalf) is a debt owing to that Finance Party by the Company.</w:t>
      </w:r>
    </w:p>
    <w:p>
      <w:pPr>
        <w:spacing w:after="0" w:line="159"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Finance Party may, except as specifically provided in the Finance Documents, separately enforce its rights under or in connection with the Finance Documents.</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b w:val="1"/>
          <w:bCs w:val="1"/>
          <w:color w:val="auto"/>
        </w:rPr>
        <w:t>Purpose</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shall apply all amounts borrowed by it under the Facility towards general corporate and working capital purposes of the Group (excluding acquisitions, dividends and share buybacks).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b w:val="1"/>
          <w:bCs w:val="1"/>
          <w:color w:val="auto"/>
        </w:rPr>
        <w:t>Monitoring</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 Finance Party is bound to monitor or verify the application of any amount borrowed pursuant to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28" w:name="page29"/>
    <w:bookmarkEnd w:id="28"/>
    <w:p>
      <w:pPr>
        <w:ind w:left="620" w:hanging="612"/>
        <w:spacing w:after="0"/>
        <w:tabs>
          <w:tab w:leader="none" w:pos="62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OF UTILISATION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b w:val="1"/>
          <w:bCs w:val="1"/>
          <w:color w:val="auto"/>
        </w:rPr>
        <w:t>Initial conditions precedent</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will only be obliged to comply with Clause 5.4 (</w:t>
      </w:r>
      <w:r>
        <w:rPr>
          <w:rFonts w:ascii="Times New Roman" w:cs="Times New Roman" w:eastAsia="Times New Roman" w:hAnsi="Times New Roman"/>
          <w:sz w:val="20"/>
          <w:szCs w:val="20"/>
          <w:i w:val="1"/>
          <w:iCs w:val="1"/>
          <w:color w:val="auto"/>
        </w:rPr>
        <w:t>Lenders’ participation)</w:t>
      </w:r>
      <w:r>
        <w:rPr>
          <w:rFonts w:ascii="Times New Roman" w:cs="Times New Roman" w:eastAsia="Times New Roman" w:hAnsi="Times New Roman"/>
          <w:sz w:val="20"/>
          <w:szCs w:val="20"/>
          <w:color w:val="auto"/>
        </w:rPr>
        <w:t xml:space="preserve"> in relation to any Utilisation if on or before the Utilisation Date for that Utilisation, the Agent has received all of the documents and other evidence listed in Schedule 2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in form and substance satisfactory to the Agent. The Agent shall notify the Company and the Lenders promptly upon being so satisfied.</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color w:val="auto"/>
        </w:rPr>
        <w:t>Further conditions precedent</w:t>
      </w:r>
    </w:p>
    <w:p>
      <w:pPr>
        <w:spacing w:after="0" w:line="189"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The Lenders will only be obliged to comply with Clause 5.4 (</w:t>
      </w:r>
      <w:r>
        <w:rPr>
          <w:rFonts w:ascii="Times New Roman" w:cs="Times New Roman" w:eastAsia="Times New Roman" w:hAnsi="Times New Roman"/>
          <w:sz w:val="20"/>
          <w:szCs w:val="20"/>
          <w:i w:val="1"/>
          <w:iCs w:val="1"/>
          <w:color w:val="auto"/>
        </w:rPr>
        <w:t>Lenders' participation</w:t>
      </w:r>
      <w:r>
        <w:rPr>
          <w:rFonts w:ascii="Times New Roman" w:cs="Times New Roman" w:eastAsia="Times New Roman" w:hAnsi="Times New Roman"/>
          <w:sz w:val="20"/>
          <w:szCs w:val="20"/>
          <w:color w:val="auto"/>
        </w:rPr>
        <w:t>) if on the date of the Utilisation Request and on the proposed Utilisation Date:</w:t>
      </w:r>
    </w:p>
    <w:p>
      <w:pPr>
        <w:spacing w:after="0" w:line="129" w:lineRule="exact"/>
        <w:rPr>
          <w:sz w:val="20"/>
          <w:szCs w:val="20"/>
          <w:color w:val="auto"/>
        </w:rPr>
      </w:pPr>
    </w:p>
    <w:p>
      <w:pPr>
        <w:ind w:left="1280" w:hanging="624"/>
        <w:spacing w:after="0"/>
        <w:tabs>
          <w:tab w:leader="none" w:pos="1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is continuing or would result from the proposed Loan; and</w:t>
      </w:r>
    </w:p>
    <w:p>
      <w:pPr>
        <w:spacing w:after="0" w:line="188" w:lineRule="exact"/>
        <w:rPr>
          <w:rFonts w:ascii="Times New Roman" w:cs="Times New Roman" w:eastAsia="Times New Roman" w:hAnsi="Times New Roman"/>
          <w:sz w:val="20"/>
          <w:szCs w:val="20"/>
          <w:color w:val="auto"/>
        </w:rPr>
      </w:pPr>
    </w:p>
    <w:p>
      <w:pPr>
        <w:ind w:right="2920" w:firstLine="656"/>
        <w:spacing w:after="0" w:line="436" w:lineRule="auto"/>
        <w:tabs>
          <w:tab w:leader="none" w:pos="127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Repeating Representations to be made by the Company are true in all material respects. 4.3 </w:t>
      </w:r>
      <w:r>
        <w:rPr>
          <w:rFonts w:ascii="Times New Roman" w:cs="Times New Roman" w:eastAsia="Times New Roman" w:hAnsi="Times New Roman"/>
          <w:sz w:val="20"/>
          <w:szCs w:val="20"/>
          <w:b w:val="1"/>
          <w:bCs w:val="1"/>
          <w:color w:val="auto"/>
        </w:rPr>
        <w:t>Maximum number of Loans</w:t>
      </w:r>
    </w:p>
    <w:p>
      <w:pPr>
        <w:spacing w:after="0" w:line="2"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may not deliver a Utilisation Request if as a result of the proposed Utilisation more than five Loans under a Tranche would be outstanding.</w:t>
      </w:r>
    </w:p>
    <w:p>
      <w:pPr>
        <w:spacing w:after="0" w:line="1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UTILISATION</w:t>
      </w:r>
    </w:p>
    <w:p>
      <w:pPr>
        <w:spacing w:after="0" w:line="163" w:lineRule="exact"/>
        <w:rPr>
          <w:sz w:val="20"/>
          <w:szCs w:val="20"/>
          <w:color w:val="auto"/>
        </w:rPr>
      </w:pPr>
    </w:p>
    <w:p>
      <w:pPr>
        <w:ind w:left="620" w:hanging="612"/>
        <w:spacing w:after="0"/>
        <w:tabs>
          <w:tab w:leader="none" w:pos="62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UTILISATION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color w:val="auto"/>
        </w:rPr>
        <w:t>Delivery of a Utilisation Request</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may utilise the Facility by delivery to the Agent of a duly completed Utilisation Request not later than 9:30 am (London time) on the day three Business Days prior to the Utilisation Date.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Completion of a Utilisation Request</w:t>
      </w:r>
    </w:p>
    <w:p>
      <w:pPr>
        <w:spacing w:after="0" w:line="193" w:lineRule="exact"/>
        <w:rPr>
          <w:sz w:val="20"/>
          <w:szCs w:val="20"/>
          <w:color w:val="auto"/>
        </w:rPr>
      </w:pPr>
    </w:p>
    <w:p>
      <w:pPr>
        <w:ind w:left="1260" w:hanging="604"/>
        <w:spacing w:after="0"/>
        <w:tabs>
          <w:tab w:leader="none" w:pos="12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Utilisation Request is irrevocable and will not be regarded as having been duly completed unless: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Utilisation Date is a Business Day within the Availability Period;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specifies that a Loan under each Tranche is to be utilised;</w:t>
      </w:r>
    </w:p>
    <w:p>
      <w:pPr>
        <w:spacing w:after="0" w:line="184"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and amount of the Utilisation comply with Clause 5.3 (</w:t>
      </w:r>
      <w:r>
        <w:rPr>
          <w:rFonts w:ascii="Times New Roman" w:cs="Times New Roman" w:eastAsia="Times New Roman" w:hAnsi="Times New Roman"/>
          <w:sz w:val="20"/>
          <w:szCs w:val="20"/>
          <w:i w:val="1"/>
          <w:iCs w:val="1"/>
          <w:color w:val="auto"/>
        </w:rPr>
        <w:t>Currency and amount</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29" w:name="page30"/>
    <w:bookmarkEnd w:id="29"/>
    <w:p>
      <w:pPr>
        <w:ind w:left="1920" w:hanging="642"/>
        <w:spacing w:after="0"/>
        <w:tabs>
          <w:tab w:leader="none" w:pos="192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Interest Period complies with Clause 9 (</w:t>
      </w:r>
      <w:r>
        <w:rPr>
          <w:rFonts w:ascii="Times New Roman" w:cs="Times New Roman" w:eastAsia="Times New Roman" w:hAnsi="Times New Roman"/>
          <w:sz w:val="20"/>
          <w:szCs w:val="20"/>
          <w:i w:val="1"/>
          <w:iCs w:val="1"/>
          <w:color w:val="auto"/>
        </w:rPr>
        <w:t>Interest Periods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right="3700" w:firstLine="656"/>
        <w:spacing w:after="0" w:line="436" w:lineRule="auto"/>
        <w:tabs>
          <w:tab w:leader="none" w:pos="12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Only one Loan under each Tranche may be requested in each Utilisation Request. 5.3 </w:t>
      </w:r>
      <w:r>
        <w:rPr>
          <w:rFonts w:ascii="Times New Roman" w:cs="Times New Roman" w:eastAsia="Times New Roman" w:hAnsi="Times New Roman"/>
          <w:sz w:val="20"/>
          <w:szCs w:val="20"/>
          <w:b w:val="1"/>
          <w:bCs w:val="1"/>
          <w:color w:val="auto"/>
        </w:rPr>
        <w:t>Currency and amount</w:t>
      </w:r>
    </w:p>
    <w:p>
      <w:pPr>
        <w:spacing w:after="0" w:line="2" w:lineRule="exact"/>
        <w:rPr>
          <w:sz w:val="20"/>
          <w:szCs w:val="20"/>
          <w:color w:val="auto"/>
        </w:rPr>
      </w:pPr>
    </w:p>
    <w:p>
      <w:pPr>
        <w:ind w:left="1260" w:hanging="604"/>
        <w:spacing w:after="0"/>
        <w:tabs>
          <w:tab w:leader="none" w:pos="12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currency specified in a Utilisation Request must be:</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USD Tranche, USD;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EUR Tranche, EUR.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proposed Loan must be:</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the USD Tranche, a minimum of USD 4,000,000 or if less, the Available Facility; or</w:t>
      </w:r>
    </w:p>
    <w:p>
      <w:pPr>
        <w:spacing w:after="0" w:line="188"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the EUR Tranche, a minimum of the EUR equivalent of USD 2,000,000 (converted using the Exchange Rate) or if less, the Available Facility; and</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proposed Loans shall be split between the Tranches in a ratio of 2/3 amount of the Loan under the USD Tranche and 1/3 amount of the Loan under the EUR Tranche (for the purpose of such calculation notionally converting the amount of the Loans under the EUR Tranche into dollars using the Exchange Rate).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Lenders' participation</w:t>
      </w:r>
    </w:p>
    <w:p>
      <w:pPr>
        <w:spacing w:after="0" w:line="193" w:lineRule="exact"/>
        <w:rPr>
          <w:sz w:val="20"/>
          <w:szCs w:val="20"/>
          <w:color w:val="auto"/>
        </w:rPr>
      </w:pPr>
    </w:p>
    <w:p>
      <w:pPr>
        <w:ind w:left="1280" w:hanging="624"/>
        <w:spacing w:after="0" w:line="269" w:lineRule="auto"/>
        <w:tabs>
          <w:tab w:leader="none" w:pos="126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conditions set out in this Agreement have been met, each Lender shall make its participation in each Loan available by the Utilisation Date through its Facility Office.</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each Lender's participation in each Loan will be equal to the proportion borne by its Available Commitment to the Available Facility immediately prior to making the Loan.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b w:val="1"/>
          <w:bCs w:val="1"/>
          <w:color w:val="auto"/>
        </w:rPr>
        <w:t>Cancellation of Commitment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Commitments which, at that time, are unutilised shall be immediately cancelled at the end of the Availability Period.</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REPAYMENT, PREPAYMENT AND CANCELLATION</w:t>
      </w:r>
    </w:p>
    <w:p>
      <w:pPr>
        <w:spacing w:after="0" w:line="163" w:lineRule="exact"/>
        <w:rPr>
          <w:sz w:val="20"/>
          <w:szCs w:val="20"/>
          <w:color w:val="auto"/>
        </w:rPr>
      </w:pPr>
    </w:p>
    <w:p>
      <w:pPr>
        <w:ind w:left="620" w:hanging="612"/>
        <w:spacing w:after="0"/>
        <w:tabs>
          <w:tab w:leader="none" w:pos="62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REPAYMENT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b w:val="1"/>
          <w:bCs w:val="1"/>
          <w:color w:val="auto"/>
        </w:rPr>
        <w:t>Repayment of Loans</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The Company shall repay the Loans in instalments by repaying on each repayment date (each a “</w:t>
      </w:r>
      <w:r>
        <w:rPr>
          <w:rFonts w:ascii="Times New Roman" w:cs="Times New Roman" w:eastAsia="Times New Roman" w:hAnsi="Times New Roman"/>
          <w:sz w:val="20"/>
          <w:szCs w:val="20"/>
          <w:b w:val="1"/>
          <w:bCs w:val="1"/>
          <w:color w:val="auto"/>
        </w:rPr>
        <w:t>Repayment Date</w:t>
      </w:r>
      <w:r>
        <w:rPr>
          <w:rFonts w:ascii="Times New Roman" w:cs="Times New Roman" w:eastAsia="Times New Roman" w:hAnsi="Times New Roman"/>
          <w:sz w:val="20"/>
          <w:szCs w:val="20"/>
          <w:color w:val="auto"/>
        </w:rPr>
        <w:t>”) an amount equal to the percentage of the outstanding principal amount of the Loans under the relevant Tranche as at the last day of the Availability Period (each a “</w:t>
      </w:r>
      <w:r>
        <w:rPr>
          <w:rFonts w:ascii="Times New Roman" w:cs="Times New Roman" w:eastAsia="Times New Roman" w:hAnsi="Times New Roman"/>
          <w:sz w:val="20"/>
          <w:szCs w:val="20"/>
          <w:b w:val="1"/>
          <w:bCs w:val="1"/>
          <w:color w:val="auto"/>
        </w:rPr>
        <w:t>Repayment Instalment</w:t>
      </w:r>
      <w:r>
        <w:rPr>
          <w:rFonts w:ascii="Times New Roman" w:cs="Times New Roman" w:eastAsia="Times New Roman" w:hAnsi="Times New Roman"/>
          <w:sz w:val="20"/>
          <w:szCs w:val="20"/>
          <w:color w:val="auto"/>
        </w:rPr>
        <w:t>”) set opposite that Repayment Date below: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30" w:name="page31"/>
    <w:bookmarkEnd w:id="30"/>
    <w:tbl>
      <w:tblPr>
        <w:tblLayout w:type="fixed"/>
        <w:tblInd w:w="700" w:type="dxa"/>
        <w:tblCellMar>
          <w:top w:w="0" w:type="dxa"/>
          <w:left w:w="0" w:type="dxa"/>
          <w:bottom w:w="0" w:type="dxa"/>
          <w:right w:w="0" w:type="dxa"/>
        </w:tblCellMar>
      </w:tblPr>
      <w:tr>
        <w:trPr>
          <w:trHeight w:val="230"/>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Repayment Date</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Repayment Instalment (USD</w:t>
            </w: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20"/>
                <w:szCs w:val="20"/>
                <w:b w:val="1"/>
                <w:bCs w:val="1"/>
                <w:color w:val="auto"/>
                <w:w w:val="98"/>
              </w:rPr>
              <w:t>Repayment Instalment (EUR</w:t>
            </w:r>
          </w:p>
        </w:tc>
      </w:tr>
      <w:tr>
        <w:trPr>
          <w:trHeight w:val="262"/>
        </w:trPr>
        <w:tc>
          <w:tcPr>
            <w:tcW w:w="350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Tranche)</w:t>
            </w: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20"/>
                <w:szCs w:val="20"/>
                <w:b w:val="1"/>
                <w:bCs w:val="1"/>
                <w:color w:val="auto"/>
                <w:w w:val="98"/>
              </w:rPr>
              <w:t>Tranche)</w:t>
            </w:r>
          </w:p>
        </w:tc>
      </w:tr>
      <w:tr>
        <w:trPr>
          <w:trHeight w:val="635"/>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18 months from the date of this Agreement</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20%</w:t>
            </w:r>
          </w:p>
        </w:tc>
      </w:tr>
      <w:tr>
        <w:trPr>
          <w:trHeight w:val="635"/>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 months from the date of this Agreement</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20%</w:t>
            </w:r>
          </w:p>
        </w:tc>
      </w:tr>
      <w:tr>
        <w:trPr>
          <w:trHeight w:val="635"/>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 months from the date of this Agreement</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20%</w:t>
            </w:r>
          </w:p>
        </w:tc>
      </w:tr>
      <w:tr>
        <w:trPr>
          <w:trHeight w:val="606"/>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Termination Date</w:t>
            </w: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All outstanding amounts under USD</w:t>
            </w: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All outstanding amounts under EUR</w:t>
            </w:r>
          </w:p>
        </w:tc>
      </w:tr>
      <w:tr>
        <w:trPr>
          <w:trHeight w:val="258"/>
        </w:trPr>
        <w:tc>
          <w:tcPr>
            <w:tcW w:w="3500" w:type="dxa"/>
            <w:vAlign w:val="bottom"/>
          </w:tcPr>
          <w:p>
            <w:pPr>
              <w:spacing w:after="0"/>
              <w:rPr>
                <w:sz w:val="22"/>
                <w:szCs w:val="2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Tranche</w:t>
            </w: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7"/>
              </w:rPr>
              <w:t>Tranche</w:t>
            </w:r>
          </w:p>
        </w:tc>
      </w:tr>
    </w:tbl>
    <w:p>
      <w:pPr>
        <w:spacing w:after="0" w:line="200" w:lineRule="exact"/>
        <w:rPr>
          <w:sz w:val="20"/>
          <w:szCs w:val="20"/>
          <w:color w:val="auto"/>
        </w:rPr>
      </w:pPr>
    </w:p>
    <w:p>
      <w:pPr>
        <w:spacing w:after="0" w:line="37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color w:val="auto"/>
        </w:rPr>
        <w:t>Reborrowing</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may not reborrow any part of the Facility which is repaid.</w:t>
      </w:r>
    </w:p>
    <w:p>
      <w:pPr>
        <w:spacing w:after="0" w:line="185" w:lineRule="exact"/>
        <w:rPr>
          <w:sz w:val="20"/>
          <w:szCs w:val="20"/>
          <w:color w:val="auto"/>
        </w:rPr>
      </w:pPr>
    </w:p>
    <w:p>
      <w:pPr>
        <w:ind w:left="620" w:hanging="612"/>
        <w:spacing w:after="0"/>
        <w:tabs>
          <w:tab w:leader="none" w:pos="62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PREPAYMENT AND CANCELLATION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b w:val="1"/>
          <w:bCs w:val="1"/>
          <w:color w:val="auto"/>
        </w:rPr>
        <w:t>Illegality</w:t>
      </w:r>
    </w:p>
    <w:p>
      <w:pPr>
        <w:spacing w:after="0" w:line="193" w:lineRule="exact"/>
        <w:rPr>
          <w:sz w:val="20"/>
          <w:szCs w:val="20"/>
          <w:color w:val="auto"/>
        </w:rPr>
      </w:pPr>
    </w:p>
    <w:p>
      <w:pPr>
        <w:jc w:val="both"/>
        <w:ind w:left="620" w:right="20"/>
        <w:spacing w:after="0" w:line="254" w:lineRule="auto"/>
        <w:rPr>
          <w:sz w:val="20"/>
          <w:szCs w:val="20"/>
          <w:color w:val="auto"/>
        </w:rPr>
      </w:pPr>
      <w:r>
        <w:rPr>
          <w:rFonts w:ascii="Times New Roman" w:cs="Times New Roman" w:eastAsia="Times New Roman" w:hAnsi="Times New Roman"/>
          <w:sz w:val="20"/>
          <w:szCs w:val="20"/>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148" w:lineRule="exact"/>
        <w:rPr>
          <w:sz w:val="20"/>
          <w:szCs w:val="20"/>
          <w:color w:val="auto"/>
        </w:rPr>
      </w:pPr>
    </w:p>
    <w:p>
      <w:pPr>
        <w:ind w:left="1260" w:hanging="604"/>
        <w:spacing w:after="0"/>
        <w:tabs>
          <w:tab w:leader="none" w:pos="12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Lender shall promptly notify the Agent upon becoming aware of that event;</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Agent notifying the Company, the Available Commitment of that Lender will be immediately cancelled; and</w:t>
      </w:r>
    </w:p>
    <w:p>
      <w:pPr>
        <w:spacing w:after="0" w:line="184" w:lineRule="exact"/>
        <w:rPr>
          <w:rFonts w:ascii="Times New Roman" w:cs="Times New Roman" w:eastAsia="Times New Roman" w:hAnsi="Times New Roman"/>
          <w:sz w:val="20"/>
          <w:szCs w:val="20"/>
          <w:color w:val="auto"/>
        </w:rPr>
      </w:pPr>
    </w:p>
    <w:p>
      <w:pPr>
        <w:jc w:val="both"/>
        <w:ind w:left="1280" w:hanging="624"/>
        <w:spacing w:after="0" w:line="246" w:lineRule="auto"/>
        <w:tabs>
          <w:tab w:leader="none" w:pos="126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Lender's participation has not been transferred pursuant to paragraph (d) of Clause 7.5 (</w:t>
      </w:r>
      <w:r>
        <w:rPr>
          <w:rFonts w:ascii="Times New Roman" w:cs="Times New Roman" w:eastAsia="Times New Roman" w:hAnsi="Times New Roman"/>
          <w:sz w:val="20"/>
          <w:szCs w:val="20"/>
          <w:i w:val="1"/>
          <w:iCs w:val="1"/>
          <w:color w:val="auto"/>
        </w:rPr>
        <w:t>Right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replacement or repayment and cancellation in relation to a single Lender</w:t>
      </w:r>
      <w:r>
        <w:rPr>
          <w:rFonts w:ascii="Times New Roman" w:cs="Times New Roman" w:eastAsia="Times New Roman" w:hAnsi="Times New Roman"/>
          <w:sz w:val="20"/>
          <w:szCs w:val="20"/>
          <w:color w:val="auto"/>
        </w:rPr>
        <w:t>), the Company shall repay that Lender's participation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Loans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 shall be cancelled in the amount of the participations repaid.</w:t>
      </w:r>
    </w:p>
    <w:p>
      <w:pPr>
        <w:spacing w:after="0" w:line="1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b w:val="1"/>
          <w:bCs w:val="1"/>
          <w:color w:val="auto"/>
        </w:rPr>
        <w:t>Change of control</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w:t>
      </w:r>
    </w:p>
    <w:p>
      <w:pPr>
        <w:spacing w:after="0" w:line="189" w:lineRule="exact"/>
        <w:rPr>
          <w:sz w:val="20"/>
          <w:szCs w:val="20"/>
          <w:color w:val="auto"/>
        </w:rPr>
      </w:pPr>
    </w:p>
    <w:p>
      <w:pPr>
        <w:ind w:left="1260" w:hanging="604"/>
        <w:spacing w:after="0"/>
        <w:tabs>
          <w:tab w:leader="none" w:pos="12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of persons acting in concert gains direct or indirect control of the Company; or</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ceases to be the beneficial owner directly or indirectly through wholly owned subsidiaries, of more than 50 per cent. of the issued share capital of the Italian Subsidiary: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734" w:right="239" w:bottom="1440" w:gutter="0" w:footer="0" w:header="0"/>
        </w:sectPr>
      </w:pPr>
    </w:p>
    <w:bookmarkStart w:id="31" w:name="page32"/>
    <w:bookmarkEnd w:id="31"/>
    <w:p>
      <w:pPr>
        <w:ind w:left="1920" w:hanging="642"/>
        <w:spacing w:after="0"/>
        <w:tabs>
          <w:tab w:leader="none" w:pos="192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notify the Agent upon becoming aware of that event;</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obliged to fund a Utilisation; and</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be entitled, by not less than 30 days’ notice to the Company, to require cancellation of its Commitments and prepayment of its participation in all outstanding Loans, together with accrued interest, and all other amounts accrued under the Finance Documents, whereupon its Commitments will be cancelled and all such outstanding Loans and amounts will become immediately due and payable.</w:t>
      </w:r>
    </w:p>
    <w:p>
      <w:pPr>
        <w:spacing w:after="0" w:line="149" w:lineRule="exact"/>
        <w:rPr>
          <w:rFonts w:ascii="Times New Roman" w:cs="Times New Roman" w:eastAsia="Times New Roman" w:hAnsi="Times New Roman"/>
          <w:sz w:val="20"/>
          <w:szCs w:val="20"/>
          <w:color w:val="auto"/>
        </w:rPr>
      </w:pPr>
    </w:p>
    <w:p>
      <w:pPr>
        <w:ind w:left="1280" w:right="20" w:hanging="624"/>
        <w:spacing w:after="0" w:line="273" w:lineRule="auto"/>
        <w:tabs>
          <w:tab w:leader="none" w:pos="126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paragraph (a) above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power to direct the management and policies of an entity, whether through the ownership of more than 50 per cent. of entire voting capital, by contract or otherwise.</w:t>
      </w:r>
    </w:p>
    <w:p>
      <w:pPr>
        <w:spacing w:after="0" w:line="125" w:lineRule="exact"/>
        <w:rPr>
          <w:rFonts w:ascii="Times New Roman" w:cs="Times New Roman" w:eastAsia="Times New Roman" w:hAnsi="Times New Roman"/>
          <w:sz w:val="20"/>
          <w:szCs w:val="20"/>
          <w:color w:val="auto"/>
        </w:rPr>
      </w:pPr>
    </w:p>
    <w:p>
      <w:pPr>
        <w:ind w:left="1280" w:hanging="624"/>
        <w:spacing w:after="0" w:line="273" w:lineRule="auto"/>
        <w:tabs>
          <w:tab w:leader="none" w:pos="126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paragraph (a) above “</w:t>
      </w:r>
      <w:r>
        <w:rPr>
          <w:rFonts w:ascii="Times New Roman" w:cs="Times New Roman" w:eastAsia="Times New Roman" w:hAnsi="Times New Roman"/>
          <w:sz w:val="20"/>
          <w:szCs w:val="20"/>
          <w:b w:val="1"/>
          <w:bCs w:val="1"/>
          <w:color w:val="auto"/>
        </w:rPr>
        <w:t>acting in concert</w:t>
      </w:r>
      <w:r>
        <w:rPr>
          <w:rFonts w:ascii="Times New Roman" w:cs="Times New Roman" w:eastAsia="Times New Roman" w:hAnsi="Times New Roman"/>
          <w:sz w:val="20"/>
          <w:szCs w:val="20"/>
          <w:color w:val="auto"/>
        </w:rPr>
        <w:t>” means acting together pursuant to an agreement or understanding (whether formal or informal).</w:t>
      </w:r>
    </w:p>
    <w:p>
      <w:pPr>
        <w:spacing w:after="0" w:line="1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b w:val="1"/>
          <w:bCs w:val="1"/>
          <w:color w:val="auto"/>
        </w:rPr>
        <w:t>Voluntary cancellation</w:t>
      </w:r>
    </w:p>
    <w:p>
      <w:pPr>
        <w:spacing w:after="0" w:line="193" w:lineRule="exact"/>
        <w:rPr>
          <w:sz w:val="20"/>
          <w:szCs w:val="20"/>
          <w:color w:val="auto"/>
        </w:rPr>
      </w:pPr>
    </w:p>
    <w:p>
      <w:pPr>
        <w:jc w:val="both"/>
        <w:ind w:left="1280" w:hanging="624"/>
        <w:spacing w:after="0" w:line="249" w:lineRule="auto"/>
        <w:tabs>
          <w:tab w:leader="none" w:pos="126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(b) below, the Company may, if it gives the Agent not less than five Business Days' (or such shorter period as the Agent (acting on the instructions of the Majority Lenders) may agree) prior notice, cancel the whole or any part (being a minimum amount of, in respect of the USD Tranche, USD 4,000,000 and, in respect of the EUR Tranche, the EUR equivalent of USD 2,000,000 (converted using the Exchange Rate)) of the Available Facility.</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7" w:lineRule="auto"/>
        <w:tabs>
          <w:tab w:leader="none" w:pos="126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ensure that the Available Facility shall, if cancelled in part, be cancelled in a ratio of 2/3 of the Available Facility in respect of the USD Tranche and 1/3 of the Available Facility in respect of the EUR Tranche (for the purpose of such calculation notionally converting the amount under the EUR Tranche into dollars using the Exchange Rate). The Company shall confirm in any cancellation notice the amounts being cancelled under each Tranche and the ratio of the amounts being cancelled under each Tranche showing compliance with the preceding sentence.</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cancellation under this Clause 7.3 shall reduce the Commitments of the Lenders under the relevant Tranche rateably.</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b w:val="1"/>
          <w:bCs w:val="1"/>
          <w:color w:val="auto"/>
        </w:rPr>
        <w:t>Voluntary prepayment of Loans</w:t>
      </w:r>
    </w:p>
    <w:p>
      <w:pPr>
        <w:spacing w:after="0" w:line="193" w:lineRule="exact"/>
        <w:rPr>
          <w:sz w:val="20"/>
          <w:szCs w:val="20"/>
          <w:color w:val="auto"/>
        </w:rPr>
      </w:pPr>
    </w:p>
    <w:p>
      <w:pPr>
        <w:jc w:val="both"/>
        <w:ind w:left="1280" w:hanging="624"/>
        <w:spacing w:after="0" w:line="249" w:lineRule="auto"/>
        <w:tabs>
          <w:tab w:leader="none" w:pos="12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(b) below, the Company may, if it gives the Agent not less than five Business Days' (or such shorter period as the Agent (acting on the instructions of the Majority Lenders) may agree) prior notice, prepay the whole or any part of any Loan (but, if in part, by a minimum of, in respect of the USD Tranche, USD 4,000,000 and, in respect of the EUR Tranche, the EUR equivalent of USD 2,000,000 (converted using the Exchange Rate) (as applicable)).</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7" w:lineRule="auto"/>
        <w:tabs>
          <w:tab w:leader="none" w:pos="126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ensure that Loans are prepaid in a ratio of 2/3 of the amount of the Loans under the USD Tranche and 1/3 of the amount of the Loans under the EUR Tranche (for the purpose of such calculation notionally converting the amount of the Loans under the EUR Tranche into dollars using the Exchange Rate). The Company shall confirm in any prepayment notice the amounts being prepaid under each Tranche and the ratio of the amounts being prepaid under each Tranche showing compliance with the preceding sentence.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32" w:name="page33"/>
    <w:bookmarkEnd w:id="32"/>
    <w:p>
      <w:pPr>
        <w:ind w:left="1280" w:hanging="624"/>
        <w:spacing w:after="0" w:line="269" w:lineRule="auto"/>
        <w:tabs>
          <w:tab w:leader="none" w:pos="126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 may only be prepaid after the last day of the Availability Period (or, if earlier, the day on which the Available Facility is zero).</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prepayment shall be applied pro rata against scheduled repayments of Loans outstanding under each Tranche.</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b w:val="1"/>
          <w:bCs w:val="1"/>
          <w:color w:val="auto"/>
        </w:rPr>
        <w:t>Right of replacement or repayment and cancellation in relation to a single Lender</w:t>
      </w:r>
    </w:p>
    <w:p>
      <w:pPr>
        <w:spacing w:after="0" w:line="193" w:lineRule="exact"/>
        <w:rPr>
          <w:sz w:val="20"/>
          <w:szCs w:val="20"/>
          <w:color w:val="auto"/>
        </w:rPr>
      </w:pPr>
    </w:p>
    <w:p>
      <w:pPr>
        <w:ind w:left="1260" w:hanging="604"/>
        <w:spacing w:after="0"/>
        <w:tabs>
          <w:tab w:leader="none" w:pos="12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w:t>
      </w:r>
    </w:p>
    <w:p>
      <w:pPr>
        <w:spacing w:after="0" w:line="184" w:lineRule="exact"/>
        <w:rPr>
          <w:rFonts w:ascii="Times New Roman" w:cs="Times New Roman" w:eastAsia="Times New Roman" w:hAnsi="Times New Roman"/>
          <w:sz w:val="20"/>
          <w:szCs w:val="20"/>
          <w:color w:val="auto"/>
        </w:rPr>
      </w:pPr>
    </w:p>
    <w:p>
      <w:pPr>
        <w:ind w:left="1920" w:hanging="642"/>
        <w:spacing w:after="0" w:line="273" w:lineRule="auto"/>
        <w:tabs>
          <w:tab w:leader="none" w:pos="19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sum payable to any Lender by the Company is required to be increased under paragraph (c) of Clause 12.2 (</w:t>
      </w:r>
      <w:r>
        <w:rPr>
          <w:rFonts w:ascii="Times New Roman" w:cs="Times New Roman" w:eastAsia="Times New Roman" w:hAnsi="Times New Roman"/>
          <w:sz w:val="20"/>
          <w:szCs w:val="20"/>
          <w:i w:val="1"/>
          <w:iCs w:val="1"/>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gross-up</w:t>
      </w:r>
      <w:r>
        <w:rPr>
          <w:rFonts w:ascii="Times New Roman" w:cs="Times New Roman" w:eastAsia="Times New Roman" w:hAnsi="Times New Roman"/>
          <w:sz w:val="20"/>
          <w:szCs w:val="20"/>
          <w:color w:val="auto"/>
        </w:rPr>
        <w:t>);</w:t>
      </w:r>
    </w:p>
    <w:p>
      <w:pPr>
        <w:spacing w:after="0" w:line="125" w:lineRule="exact"/>
        <w:rPr>
          <w:rFonts w:ascii="Times New Roman" w:cs="Times New Roman" w:eastAsia="Times New Roman" w:hAnsi="Times New Roman"/>
          <w:sz w:val="20"/>
          <w:szCs w:val="20"/>
          <w:color w:val="auto"/>
        </w:rPr>
      </w:pPr>
    </w:p>
    <w:p>
      <w:pPr>
        <w:ind w:left="1920" w:right="20" w:hanging="642"/>
        <w:spacing w:after="0" w:line="273" w:lineRule="auto"/>
        <w:tabs>
          <w:tab w:leader="none" w:pos="19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claims indemnification from the Company under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or Clause 13.1 (</w:t>
      </w:r>
      <w:r>
        <w:rPr>
          <w:rFonts w:ascii="Times New Roman" w:cs="Times New Roman" w:eastAsia="Times New Roman" w:hAnsi="Times New Roman"/>
          <w:sz w:val="20"/>
          <w:szCs w:val="20"/>
          <w:i w:val="1"/>
          <w:iCs w:val="1"/>
          <w:color w:val="auto"/>
        </w:rPr>
        <w:t>Increased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costs</w:t>
      </w:r>
      <w:r>
        <w:rPr>
          <w:rFonts w:ascii="Times New Roman" w:cs="Times New Roman" w:eastAsia="Times New Roman" w:hAnsi="Times New Roman"/>
          <w:sz w:val="20"/>
          <w:szCs w:val="20"/>
          <w:color w:val="auto"/>
        </w:rPr>
        <w:t>);</w:t>
      </w:r>
    </w:p>
    <w:p>
      <w:pPr>
        <w:spacing w:after="0" w:line="125" w:lineRule="exact"/>
        <w:rPr>
          <w:rFonts w:ascii="Times New Roman" w:cs="Times New Roman" w:eastAsia="Times New Roman" w:hAnsi="Times New Roman"/>
          <w:sz w:val="20"/>
          <w:szCs w:val="20"/>
          <w:color w:val="auto"/>
        </w:rPr>
      </w:pPr>
    </w:p>
    <w:p>
      <w:pPr>
        <w:jc w:val="both"/>
        <w:ind w:left="1920" w:hanging="642"/>
        <w:spacing w:after="0" w:line="256" w:lineRule="auto"/>
        <w:tabs>
          <w:tab w:leader="none" w:pos="19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Clause 10.2 (</w:t>
      </w:r>
      <w:r>
        <w:rPr>
          <w:rFonts w:ascii="Times New Roman" w:cs="Times New Roman" w:eastAsia="Times New Roman" w:hAnsi="Times New Roman"/>
          <w:sz w:val="20"/>
          <w:szCs w:val="20"/>
          <w:i w:val="1"/>
          <w:iCs w:val="1"/>
          <w:color w:val="auto"/>
        </w:rPr>
        <w:t>Market disruption</w:t>
      </w:r>
      <w:r>
        <w:rPr>
          <w:rFonts w:ascii="Times New Roman" w:cs="Times New Roman" w:eastAsia="Times New Roman" w:hAnsi="Times New Roman"/>
          <w:sz w:val="20"/>
          <w:szCs w:val="20"/>
          <w:color w:val="auto"/>
        </w:rPr>
        <w:t>) the Agent receives notification from a Lender that the cost to it of funding its participation in that Loan from whatever source it may reasonably select would be in excess of LIBOR or, if applicable, EURIBOR and Clause 10.3 (</w:t>
      </w:r>
      <w:r>
        <w:rPr>
          <w:rFonts w:ascii="Times New Roman" w:cs="Times New Roman" w:eastAsia="Times New Roman" w:hAnsi="Times New Roman"/>
          <w:sz w:val="20"/>
          <w:szCs w:val="20"/>
          <w:i w:val="1"/>
          <w:iCs w:val="1"/>
          <w:color w:val="auto"/>
        </w:rPr>
        <w:t>Cost of funds</w:t>
      </w:r>
      <w:r>
        <w:rPr>
          <w:rFonts w:ascii="Times New Roman" w:cs="Times New Roman" w:eastAsia="Times New Roman" w:hAnsi="Times New Roman"/>
          <w:sz w:val="20"/>
          <w:szCs w:val="20"/>
          <w:color w:val="auto"/>
        </w:rPr>
        <w:t>) is therefore to apply;</w:t>
      </w:r>
    </w:p>
    <w:p>
      <w:pPr>
        <w:spacing w:after="0" w:line="14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becomes a Non-Consenting Lender;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becomes a Defaulting Lender,</w:t>
      </w:r>
    </w:p>
    <w:p>
      <w:pPr>
        <w:spacing w:after="0" w:line="189" w:lineRule="exact"/>
        <w:rPr>
          <w:sz w:val="20"/>
          <w:szCs w:val="20"/>
          <w:color w:val="auto"/>
        </w:rPr>
      </w:pPr>
    </w:p>
    <w:p>
      <w:pPr>
        <w:jc w:val="both"/>
        <w:ind w:left="1280"/>
        <w:spacing w:after="0" w:line="249" w:lineRule="auto"/>
        <w:rPr>
          <w:sz w:val="20"/>
          <w:szCs w:val="20"/>
          <w:color w:val="auto"/>
        </w:rPr>
      </w:pPr>
      <w:r>
        <w:rPr>
          <w:rFonts w:ascii="Times New Roman" w:cs="Times New Roman" w:eastAsia="Times New Roman" w:hAnsi="Times New Roman"/>
          <w:sz w:val="20"/>
          <w:szCs w:val="20"/>
          <w:color w:val="auto"/>
        </w:rPr>
        <w:t>the Company may, whilst the circumstance giving rise to the requirement for that increase or indemnification continues, give the Agent notice of cancellation of the Commitment of that Lender and its intention to procure the repayment of that Lender's participation in the Loans or give the Agent notice of its intention to replace that Lender in accordance with paragraph (d) below.</w:t>
      </w:r>
    </w:p>
    <w:p>
      <w:pPr>
        <w:spacing w:after="0" w:line="153" w:lineRule="exact"/>
        <w:rPr>
          <w:sz w:val="20"/>
          <w:szCs w:val="20"/>
          <w:color w:val="auto"/>
        </w:rPr>
      </w:pPr>
    </w:p>
    <w:p>
      <w:pPr>
        <w:ind w:left="1280" w:hanging="624"/>
        <w:spacing w:after="0" w:line="269" w:lineRule="auto"/>
        <w:tabs>
          <w:tab w:leader="none" w:pos="12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receipt of a notice of cancellation referred to in paragraph (a) above, the Commitment of that Lender shall immediately be reduced to zero.</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last day of each Interest Period which ends after the Company has given notice of cancellation under paragraph (a) above (or, if earlier, the date specified by the Company in that notice), the Company shall repay that Lender's participation in that Loan together with all interest and other amounts accrued in relation thereto under the Finance Documents.</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circumstances set out in paragraph (a) above apply to a Lender; or</w:t>
      </w:r>
    </w:p>
    <w:p>
      <w:pPr>
        <w:spacing w:after="0" w:line="184"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becomes obliged to pay any amount in accordance with Clause 7.1 (</w:t>
      </w:r>
      <w:r>
        <w:rPr>
          <w:rFonts w:ascii="Times New Roman" w:cs="Times New Roman" w:eastAsia="Times New Roman" w:hAnsi="Times New Roman"/>
          <w:sz w:val="20"/>
          <w:szCs w:val="20"/>
          <w:i w:val="1"/>
          <w:iCs w:val="1"/>
          <w:color w:val="auto"/>
        </w:rPr>
        <w:t>Illegality</w:t>
      </w:r>
      <w:r>
        <w:rPr>
          <w:rFonts w:ascii="Times New Roman" w:cs="Times New Roman" w:eastAsia="Times New Roman" w:hAnsi="Times New Roman"/>
          <w:sz w:val="20"/>
          <w:szCs w:val="20"/>
          <w:color w:val="auto"/>
        </w:rPr>
        <w:t>) to any Lender,</w:t>
      </w:r>
    </w:p>
    <w:p>
      <w:pPr>
        <w:spacing w:after="0" w:line="193" w:lineRule="exact"/>
        <w:rPr>
          <w:sz w:val="20"/>
          <w:szCs w:val="20"/>
          <w:color w:val="auto"/>
        </w:rPr>
      </w:pPr>
    </w:p>
    <w:p>
      <w:pPr>
        <w:jc w:val="both"/>
        <w:ind w:left="1280"/>
        <w:spacing w:after="0" w:line="244" w:lineRule="auto"/>
        <w:rPr>
          <w:sz w:val="20"/>
          <w:szCs w:val="20"/>
          <w:color w:val="auto"/>
        </w:rPr>
      </w:pPr>
      <w:r>
        <w:rPr>
          <w:rFonts w:ascii="Times New Roman" w:cs="Times New Roman" w:eastAsia="Times New Roman" w:hAnsi="Times New Roman"/>
          <w:sz w:val="20"/>
          <w:szCs w:val="20"/>
          <w:color w:val="auto"/>
        </w:rPr>
        <w:t>the Company may, on five Business Days' prior notice to the Agent and that Lender, replace that Lender by requiring that Lender to (and, to the extent permitted by law, that Lender shall) transfer pursuant to Clause 22 (</w:t>
      </w:r>
      <w:r>
        <w:rPr>
          <w:rFonts w:ascii="Times New Roman" w:cs="Times New Roman" w:eastAsia="Times New Roman" w:hAnsi="Times New Roman"/>
          <w:sz w:val="20"/>
          <w:szCs w:val="20"/>
          <w:i w:val="1"/>
          <w:iCs w:val="1"/>
          <w:color w:val="auto"/>
        </w:rPr>
        <w:t>Changes to the Lenders</w:t>
      </w:r>
      <w:r>
        <w:rPr>
          <w:rFonts w:ascii="Times New Roman" w:cs="Times New Roman" w:eastAsia="Times New Roman" w:hAnsi="Times New Roman"/>
          <w:sz w:val="20"/>
          <w:szCs w:val="20"/>
          <w:color w:val="auto"/>
        </w:rPr>
        <w:t>) all (and not part only) of its rights and obligations under this Agreement to an Eligible Institution which confirms its willingness to assume and does assume all the obligations of the transferring Lender in accordance with Clause 22 (</w:t>
      </w:r>
      <w:r>
        <w:rPr>
          <w:rFonts w:ascii="Times New Roman" w:cs="Times New Roman" w:eastAsia="Times New Roman" w:hAnsi="Times New Roman"/>
          <w:sz w:val="20"/>
          <w:szCs w:val="20"/>
          <w:i w:val="1"/>
          <w:iCs w:val="1"/>
          <w:color w:val="auto"/>
        </w:rPr>
        <w:t>Changes to the Lenders</w:t>
      </w:r>
      <w:r>
        <w:rPr>
          <w:rFonts w:ascii="Times New Roman" w:cs="Times New Roman" w:eastAsia="Times New Roman" w:hAnsi="Times New Roman"/>
          <w:sz w:val="20"/>
          <w:szCs w:val="20"/>
          <w:color w:val="auto"/>
        </w:rPr>
        <w:t>) for a purchase price in cash payable at the time of the transfer in an amount equal to the outstanding principal amount of such Lender's participation in the outstanding Loans and all accrued interest (to the extent that the Agent has not given a notification under Clause 22.10 (</w:t>
      </w:r>
      <w:r>
        <w:rPr>
          <w:rFonts w:ascii="Times New Roman" w:cs="Times New Roman" w:eastAsia="Times New Roman" w:hAnsi="Times New Roman"/>
          <w:sz w:val="20"/>
          <w:szCs w:val="20"/>
          <w:i w:val="1"/>
          <w:iCs w:val="1"/>
          <w:color w:val="auto"/>
        </w:rPr>
        <w:t>Pro rata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33" w:name="page34"/>
    <w:bookmarkEnd w:id="33"/>
    <w:p>
      <w:pPr>
        <w:jc w:val="center"/>
        <w:ind w:right="140"/>
        <w:spacing w:after="0"/>
        <w:rPr>
          <w:sz w:val="20"/>
          <w:szCs w:val="20"/>
          <w:color w:val="auto"/>
        </w:rPr>
      </w:pPr>
      <w:r>
        <w:rPr>
          <w:rFonts w:ascii="Times New Roman" w:cs="Times New Roman" w:eastAsia="Times New Roman" w:hAnsi="Times New Roman"/>
          <w:sz w:val="20"/>
          <w:szCs w:val="20"/>
          <w:i w:val="1"/>
          <w:iCs w:val="1"/>
          <w:color w:val="auto"/>
        </w:rPr>
        <w:t>interest settlement</w:t>
      </w:r>
      <w:r>
        <w:rPr>
          <w:rFonts w:ascii="Times New Roman" w:cs="Times New Roman" w:eastAsia="Times New Roman" w:hAnsi="Times New Roman"/>
          <w:sz w:val="20"/>
          <w:szCs w:val="20"/>
          <w:color w:val="auto"/>
        </w:rPr>
        <w:t>)), Break Costs and other amounts payable in relation thereto under the Finance Documents.</w:t>
      </w:r>
    </w:p>
    <w:p>
      <w:pPr>
        <w:spacing w:after="0" w:line="193" w:lineRule="exact"/>
        <w:rPr>
          <w:sz w:val="20"/>
          <w:szCs w:val="20"/>
          <w:color w:val="auto"/>
        </w:rPr>
      </w:pPr>
    </w:p>
    <w:p>
      <w:pPr>
        <w:ind w:left="1260" w:hanging="604"/>
        <w:spacing w:after="0"/>
        <w:tabs>
          <w:tab w:leader="none" w:pos="12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of a Lender pursuant to paragraph (d) above shall be subject to the following conditions: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no right to replace the Agent;</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Agent nor any Lender shall have any obligation to find a replacement Lender;</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the Lender replaced under paragraph (d) above be required to pay or surrender any of the fees received by such Lender pursuant to the Finance Documents; and</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perform the checks described in paragraph (e)(iv) above as soon as reasonably practicable following delivery of a notice referred to in paragraph (d) above and shall notify the Agent and the Company when it is satisfied that it has complied with those checks.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b w:val="1"/>
          <w:bCs w:val="1"/>
          <w:color w:val="auto"/>
        </w:rPr>
        <w:t>Restrictions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4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prepayment under this Agreement shall be made together with accrued interest on the amount prepaid and, subject to any Break Costs, without premium or penalty.</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not reborrow any part of the Facility which is prepaid.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repay or prepay all or any part of the Loans or cancel all or any part of the Commitments except at the times and in the manner expressly provided for in this Agreement.</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amount of the Total Commitments cancelled under this Agreement may be subsequently reinstated.</w:t>
      </w:r>
    </w:p>
    <w:p>
      <w:pPr>
        <w:spacing w:after="0" w:line="188"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receives a notice under this Clause 7 it shall promptly forward a copy of that notice to either the Company or the affected Lender, as appropriate.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34" w:name="page35"/>
    <w:bookmarkEnd w:id="34"/>
    <w:p>
      <w:pPr>
        <w:ind w:left="1280" w:right="20" w:hanging="624"/>
        <w:spacing w:after="0" w:line="269" w:lineRule="auto"/>
        <w:tabs>
          <w:tab w:leader="none" w:pos="126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part of any Lender's participation in a Loan under a Tranche is repaid or prepaid an amount of that Lender's Commitment under that Tranche will be deemed to be cancelled on the date of repayment or prepayment.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b w:val="1"/>
          <w:bCs w:val="1"/>
          <w:color w:val="auto"/>
        </w:rPr>
        <w:t>Application of prepayments</w:t>
      </w:r>
    </w:p>
    <w:p>
      <w:pPr>
        <w:spacing w:after="0" w:line="189"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Any prepayment of a Loan pursuant to Clause 7.4 (</w:t>
      </w:r>
      <w:r>
        <w:rPr>
          <w:rFonts w:ascii="Times New Roman" w:cs="Times New Roman" w:eastAsia="Times New Roman" w:hAnsi="Times New Roman"/>
          <w:sz w:val="20"/>
          <w:szCs w:val="20"/>
          <w:i w:val="1"/>
          <w:iCs w:val="1"/>
          <w:color w:val="auto"/>
        </w:rPr>
        <w:t>Voluntary prepayment of Loans</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each Lender's participation in that Loan.</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COSTS OF UTILISATION</w:t>
      </w:r>
    </w:p>
    <w:p>
      <w:pPr>
        <w:spacing w:after="0" w:line="163" w:lineRule="exact"/>
        <w:rPr>
          <w:sz w:val="20"/>
          <w:szCs w:val="20"/>
          <w:color w:val="auto"/>
        </w:rPr>
      </w:pPr>
    </w:p>
    <w:p>
      <w:pPr>
        <w:ind w:left="620" w:hanging="612"/>
        <w:spacing w:after="0"/>
        <w:tabs>
          <w:tab w:leader="none" w:pos="62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color w:val="auto"/>
        </w:rPr>
        <w:t>Calculation of interest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rate of interest on each Loan for each Interest Period is the percentage rate per annum which is the aggregate of the applicable:</w:t>
      </w:r>
    </w:p>
    <w:p>
      <w:pPr>
        <w:spacing w:after="0" w:line="189" w:lineRule="exact"/>
        <w:rPr>
          <w:sz w:val="20"/>
          <w:szCs w:val="20"/>
          <w:color w:val="auto"/>
        </w:rPr>
      </w:pPr>
    </w:p>
    <w:p>
      <w:pPr>
        <w:ind w:left="1260" w:hanging="604"/>
        <w:spacing w:after="0"/>
        <w:tabs>
          <w:tab w:leader="none" w:pos="12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and</w:t>
      </w:r>
    </w:p>
    <w:p>
      <w:pPr>
        <w:spacing w:after="0" w:line="188" w:lineRule="exact"/>
        <w:rPr>
          <w:rFonts w:ascii="Times New Roman" w:cs="Times New Roman" w:eastAsia="Times New Roman" w:hAnsi="Times New Roman"/>
          <w:sz w:val="20"/>
          <w:szCs w:val="20"/>
          <w:color w:val="auto"/>
        </w:rPr>
      </w:pPr>
    </w:p>
    <w:p>
      <w:pPr>
        <w:ind w:right="5840" w:firstLine="656"/>
        <w:spacing w:after="0" w:line="436" w:lineRule="auto"/>
        <w:tabs>
          <w:tab w:leader="none" w:pos="12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LIBOR or, in relation to any Loan in euro, EURIBOR. 8.2 </w:t>
      </w:r>
      <w:r>
        <w:rPr>
          <w:rFonts w:ascii="Times New Roman" w:cs="Times New Roman" w:eastAsia="Times New Roman" w:hAnsi="Times New Roman"/>
          <w:sz w:val="20"/>
          <w:szCs w:val="20"/>
          <w:b w:val="1"/>
          <w:bCs w:val="1"/>
          <w:color w:val="auto"/>
        </w:rPr>
        <w:t>Payment of interest</w:t>
      </w:r>
    </w:p>
    <w:p>
      <w:pPr>
        <w:spacing w:after="0" w:line="2"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shall pay accrued interest on that Loan on the last day of each Interest Period (and, if the Interest Period is longer than six Months, on the dates falling at six monthly intervals after the first day of the Interest Period).</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color w:val="auto"/>
        </w:rPr>
        <w:t>Default interest</w:t>
      </w:r>
    </w:p>
    <w:p>
      <w:pPr>
        <w:spacing w:after="0" w:line="193" w:lineRule="exact"/>
        <w:rPr>
          <w:sz w:val="20"/>
          <w:szCs w:val="20"/>
          <w:color w:val="auto"/>
        </w:rPr>
      </w:pPr>
    </w:p>
    <w:p>
      <w:pPr>
        <w:jc w:val="both"/>
        <w:ind w:left="1280" w:hanging="624"/>
        <w:spacing w:after="0" w:line="245" w:lineRule="auto"/>
        <w:tabs>
          <w:tab w:leader="none" w:pos="126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fails to pay any amount payable by it under a Finance Document on its due date, interest shall accrue on the overdue amount from the due date up to the date of actual payment (both before and after judgment) at a rate which, subject to paragraph (b) below, is two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Company on demand by the Agent.</w:t>
      </w:r>
    </w:p>
    <w:p>
      <w:pPr>
        <w:spacing w:after="0" w:line="15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overdue amount consists of all or part of a Loan which became due on a day which was not the last day of an Interest Period relating to that Loan:</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Interest Period for that overdue amount shall have a duration equal to the unexpired portion of the current Interest Period relating to that Loan; and</w:t>
      </w:r>
    </w:p>
    <w:p>
      <w:pPr>
        <w:spacing w:after="0" w:line="132"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interest applying to the overdue amount during that first Interest Period shall be two per cent. per annum higher than the rate which would have applied if the overdue amount had not become due.</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interest (if unpaid) arising on an overdue amount will be compounded with the overdue amount at the end of each Interest Period applicable to that overdue amount but will remain immediately due and payable.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8.4</w:t>
      </w:r>
      <w:r>
        <w:rPr>
          <w:sz w:val="20"/>
          <w:szCs w:val="20"/>
          <w:color w:val="auto"/>
        </w:rPr>
        <w:tab/>
      </w:r>
      <w:r>
        <w:rPr>
          <w:rFonts w:ascii="Times New Roman" w:cs="Times New Roman" w:eastAsia="Times New Roman" w:hAnsi="Times New Roman"/>
          <w:sz w:val="19"/>
          <w:szCs w:val="19"/>
          <w:b w:val="1"/>
          <w:bCs w:val="1"/>
          <w:color w:val="auto"/>
        </w:rPr>
        <w:t>Notification of rates of interest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35" w:name="page36"/>
    <w:bookmarkEnd w:id="35"/>
    <w:p>
      <w:pPr>
        <w:ind w:left="1260" w:hanging="604"/>
        <w:spacing w:after="0"/>
        <w:tabs>
          <w:tab w:leader="none" w:pos="12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promptly notify the Lenders and the Company of the determination of a rate of interest under this Agreement.</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promptly notify the Company of each Funding Rate relating to a Loan.</w:t>
      </w:r>
    </w:p>
    <w:p>
      <w:pPr>
        <w:spacing w:after="0" w:line="185" w:lineRule="exact"/>
        <w:rPr>
          <w:sz w:val="20"/>
          <w:szCs w:val="20"/>
          <w:color w:val="auto"/>
        </w:rPr>
      </w:pPr>
    </w:p>
    <w:p>
      <w:pPr>
        <w:ind w:left="620" w:hanging="612"/>
        <w:spacing w:after="0"/>
        <w:tabs>
          <w:tab w:leader="none" w:pos="62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PERIODS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b w:val="1"/>
          <w:bCs w:val="1"/>
          <w:color w:val="auto"/>
        </w:rPr>
        <w:t>Selection of Interest Periods</w:t>
      </w:r>
    </w:p>
    <w:p>
      <w:pPr>
        <w:spacing w:after="0" w:line="193" w:lineRule="exact"/>
        <w:rPr>
          <w:sz w:val="20"/>
          <w:szCs w:val="20"/>
          <w:color w:val="auto"/>
        </w:rPr>
      </w:pPr>
    </w:p>
    <w:p>
      <w:pPr>
        <w:ind w:left="1280" w:hanging="624"/>
        <w:spacing w:after="0" w:line="269" w:lineRule="auto"/>
        <w:tabs>
          <w:tab w:leader="none" w:pos="126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Clause 9, each Interest Period for each Loan shall be three Months (or any other period agreed between the Company, the Agent and all the Lenders).</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Interest Period for a Loan shall not extend beyond the Termination Date.</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Interest Period for a Loan shall start on the Utilisation Date for that Loan or (if already made) on the last day of its preceding Interest Period.</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b w:val="1"/>
          <w:bCs w:val="1"/>
          <w:color w:val="auto"/>
        </w:rPr>
        <w:t>Non-Business Days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b w:val="1"/>
          <w:bCs w:val="1"/>
          <w:color w:val="auto"/>
        </w:rPr>
        <w:t>Consolidation and division of Loans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two or more Interest Periods:</w:t>
      </w:r>
    </w:p>
    <w:p>
      <w:pPr>
        <w:spacing w:after="0" w:line="189" w:lineRule="exact"/>
        <w:rPr>
          <w:sz w:val="20"/>
          <w:szCs w:val="20"/>
          <w:color w:val="auto"/>
        </w:rPr>
      </w:pPr>
    </w:p>
    <w:p>
      <w:pPr>
        <w:ind w:left="1260" w:hanging="604"/>
        <w:spacing w:after="0"/>
        <w:tabs>
          <w:tab w:leader="none" w:pos="12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to Loans in the same currency;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 on the same date,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those Loans will be consolidated into, and treated as, a single Loan on the last day of the Interest Period.</w:t>
      </w:r>
    </w:p>
    <w:p>
      <w:pPr>
        <w:spacing w:after="0" w:line="185" w:lineRule="exact"/>
        <w:rPr>
          <w:sz w:val="20"/>
          <w:szCs w:val="20"/>
          <w:color w:val="auto"/>
        </w:rPr>
      </w:pPr>
    </w:p>
    <w:p>
      <w:pPr>
        <w:ind w:left="620" w:hanging="612"/>
        <w:spacing w:after="0"/>
        <w:tabs>
          <w:tab w:leader="none" w:pos="62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TO THE CALCULATION OF INTEREST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b w:val="1"/>
          <w:bCs w:val="1"/>
          <w:color w:val="auto"/>
        </w:rPr>
        <w:t>Unavailability of Screen Rate</w:t>
      </w:r>
    </w:p>
    <w:p>
      <w:pPr>
        <w:spacing w:after="0" w:line="202" w:lineRule="exact"/>
        <w:rPr>
          <w:sz w:val="20"/>
          <w:szCs w:val="20"/>
          <w:color w:val="auto"/>
        </w:rPr>
      </w:pPr>
    </w:p>
    <w:p>
      <w:pPr>
        <w:jc w:val="both"/>
        <w:ind w:left="1300" w:hanging="644"/>
        <w:spacing w:after="0" w:line="271" w:lineRule="auto"/>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Interpolated Screen Rate</w:t>
      </w:r>
      <w:r>
        <w:rPr>
          <w:rFonts w:ascii="Times New Roman" w:cs="Times New Roman" w:eastAsia="Times New Roman" w:hAnsi="Times New Roman"/>
          <w:sz w:val="20"/>
          <w:szCs w:val="20"/>
          <w:color w:val="auto"/>
        </w:rPr>
        <w:t>: If no Screen Rate is available for LIBOR or, if applicable, EURIBOR for the Interest Period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the applicable LIBOR or EURIBOR shall be the Interpolated Screen Rate for a period equal in length to the Interest Period of that Loan.</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Shortened Interest Period</w:t>
      </w:r>
      <w:r>
        <w:rPr>
          <w:rFonts w:ascii="Times New Roman" w:cs="Times New Roman" w:eastAsia="Times New Roman" w:hAnsi="Times New Roman"/>
          <w:sz w:val="20"/>
          <w:szCs w:val="20"/>
          <w:color w:val="auto"/>
        </w:rPr>
        <w:t>: If no Screen Rate is available for LIBOR or, if applicable, EURIBOR for:</w:t>
      </w:r>
    </w:p>
    <w:p>
      <w:pPr>
        <w:spacing w:after="0" w:line="223"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currency of a Loan; or</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Interest Period of a Loan and it is not possible to calculate the Interpolated Screen Rate,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36" w:name="page37"/>
    <w:bookmarkEnd w:id="36"/>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the Interest Period of that Loan shall (if it is longer than the applicable Fallback Interest Period) be shortened to the applicable Fallback Interest Period and the applicable LIBOR or EURIBOR for that shortened Interest Period shall be determined pursuant to the relevant definition.</w:t>
      </w:r>
    </w:p>
    <w:p>
      <w:pPr>
        <w:spacing w:after="0" w:line="184" w:lineRule="exact"/>
        <w:rPr>
          <w:sz w:val="20"/>
          <w:szCs w:val="20"/>
          <w:color w:val="auto"/>
        </w:rPr>
      </w:pPr>
    </w:p>
    <w:p>
      <w:pPr>
        <w:jc w:val="both"/>
        <w:ind w:left="1300" w:hanging="644"/>
        <w:spacing w:after="0" w:line="271" w:lineRule="auto"/>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Shortened Interest Period and Historic Screen Rate</w:t>
      </w:r>
      <w:r>
        <w:rPr>
          <w:rFonts w:ascii="Times New Roman" w:cs="Times New Roman" w:eastAsia="Times New Roman" w:hAnsi="Times New Roman"/>
          <w:sz w:val="20"/>
          <w:szCs w:val="20"/>
          <w:color w:val="auto"/>
        </w:rPr>
        <w:t>: If the Interest Period of a Loan is, after giving effect to paragraph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 either the applicable Fallback Interest Period or shorter than the applicable Fallback Interest Period and, in either case, no Screen Rate is available for LIBOR or, if applicable EURIBOR for:</w:t>
      </w:r>
    </w:p>
    <w:p>
      <w:pPr>
        <w:spacing w:after="0" w:line="184"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currency of that Loan; or</w:t>
      </w:r>
    </w:p>
    <w:p>
      <w:pPr>
        <w:spacing w:after="0" w:line="219" w:lineRule="exact"/>
        <w:rPr>
          <w:rFonts w:ascii="Times New Roman" w:cs="Times New Roman" w:eastAsia="Times New Roman" w:hAnsi="Times New Roman"/>
          <w:sz w:val="22"/>
          <w:szCs w:val="22"/>
          <w:color w:val="auto"/>
        </w:rPr>
      </w:pPr>
    </w:p>
    <w:p>
      <w:pPr>
        <w:ind w:left="1960" w:hanging="655"/>
        <w:spacing w:after="0"/>
        <w:tabs>
          <w:tab w:leader="none" w:pos="196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Interest Period of that Loan and it is not possible to calculate the Interpolated Screen Rate,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applicable LIBOR or EURIBOR shall be the Historic Screen Rate for that Loan.</w:t>
      </w:r>
    </w:p>
    <w:p>
      <w:pPr>
        <w:spacing w:after="0" w:line="225" w:lineRule="exact"/>
        <w:rPr>
          <w:sz w:val="20"/>
          <w:szCs w:val="20"/>
          <w:color w:val="auto"/>
        </w:rPr>
      </w:pPr>
    </w:p>
    <w:p>
      <w:pPr>
        <w:jc w:val="both"/>
        <w:ind w:left="1300" w:hanging="644"/>
        <w:spacing w:after="0" w:line="271" w:lineRule="auto"/>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Shortened Interest Period and Interpolated Historic Screen Rate</w:t>
      </w:r>
      <w:r>
        <w:rPr>
          <w:rFonts w:ascii="Times New Roman" w:cs="Times New Roman" w:eastAsia="Times New Roman" w:hAnsi="Times New Roman"/>
          <w:sz w:val="20"/>
          <w:szCs w:val="20"/>
          <w:color w:val="auto"/>
        </w:rPr>
        <w:t>: If paragraph (c) above applies but no Historic Screen Rate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available for the Interest Period of the Loan, the applicable LIBOR or EURIBOR shall be the Interpolated Historic Screen Rate for a period equal in length to the Interest Period of that Loan.</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90" w:lineRule="auto"/>
        <w:tabs>
          <w:tab w:leader="none" w:pos="130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i w:val="1"/>
          <w:iCs w:val="1"/>
          <w:color w:val="auto"/>
        </w:rPr>
        <w:t>Cost of funds</w:t>
      </w:r>
      <w:r>
        <w:rPr>
          <w:rFonts w:ascii="Times New Roman" w:cs="Times New Roman" w:eastAsia="Times New Roman" w:hAnsi="Times New Roman"/>
          <w:sz w:val="19"/>
          <w:szCs w:val="19"/>
          <w:color w:val="auto"/>
        </w:rPr>
        <w:t>: If paragraph (d) above applies but it is not possible to calculate the Interpolated Historic Screen Rate, the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of that Loan shall, if it has been shortened pursuant to paragraph (b) above, revert to its previous length and there shall be no LIBOR or EURIBOR for that Loan and Clause 10.3 (</w:t>
      </w:r>
      <w:r>
        <w:rPr>
          <w:rFonts w:ascii="Times New Roman" w:cs="Times New Roman" w:eastAsia="Times New Roman" w:hAnsi="Times New Roman"/>
          <w:sz w:val="19"/>
          <w:szCs w:val="19"/>
          <w:i w:val="1"/>
          <w:iCs w:val="1"/>
          <w:color w:val="auto"/>
        </w:rPr>
        <w:t>Cost of funds</w:t>
      </w:r>
      <w:r>
        <w:rPr>
          <w:rFonts w:ascii="Times New Roman" w:cs="Times New Roman" w:eastAsia="Times New Roman" w:hAnsi="Times New Roman"/>
          <w:sz w:val="19"/>
          <w:szCs w:val="19"/>
          <w:color w:val="auto"/>
        </w:rPr>
        <w:t>) shall apply to that Loan for that Interest Period.</w:t>
      </w:r>
    </w:p>
    <w:p>
      <w:pPr>
        <w:spacing w:after="0" w:line="15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b w:val="1"/>
          <w:bCs w:val="1"/>
          <w:color w:val="auto"/>
        </w:rPr>
        <w:t>Market disruption</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If before close of business in London on the Quotation Day for the relevant Interest Period the Agent receives notifications from a Lender or Lenders (whose participations in a Loan exceed 35 per cent. of that Loan) that the cost to it of funding its participation in that Loan from whatever source it may reasonably select would be in excess of LIBOR or, if applicable, EURIBOR then Clause 10.3 (</w:t>
      </w:r>
      <w:r>
        <w:rPr>
          <w:rFonts w:ascii="Times New Roman" w:cs="Times New Roman" w:eastAsia="Times New Roman" w:hAnsi="Times New Roman"/>
          <w:sz w:val="20"/>
          <w:szCs w:val="20"/>
          <w:i w:val="1"/>
          <w:iCs w:val="1"/>
          <w:color w:val="auto"/>
        </w:rPr>
        <w:t>Cost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funds</w:t>
      </w:r>
      <w:r>
        <w:rPr>
          <w:rFonts w:ascii="Times New Roman" w:cs="Times New Roman" w:eastAsia="Times New Roman" w:hAnsi="Times New Roman"/>
          <w:sz w:val="20"/>
          <w:szCs w:val="20"/>
          <w:color w:val="auto"/>
        </w:rPr>
        <w:t>) shall apply to that Loan for the relevant Interest Period.</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b w:val="1"/>
          <w:bCs w:val="1"/>
          <w:color w:val="auto"/>
        </w:rPr>
        <w:t>Cost of funds</w:t>
      </w:r>
    </w:p>
    <w:p>
      <w:pPr>
        <w:spacing w:after="0" w:line="193" w:lineRule="exact"/>
        <w:rPr>
          <w:sz w:val="20"/>
          <w:szCs w:val="20"/>
          <w:color w:val="auto"/>
        </w:rPr>
      </w:pPr>
    </w:p>
    <w:p>
      <w:pPr>
        <w:ind w:left="1280" w:hanging="624"/>
        <w:spacing w:after="0" w:line="269" w:lineRule="auto"/>
        <w:tabs>
          <w:tab w:leader="none" w:pos="126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Clause 10.3 applies, the rate of interest on each Lender's share of the relevant Loan for the relevant Interest Period shall be the percentage rate per annum which is the sum of:</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Margin; and</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7" w:lineRule="auto"/>
        <w:tabs>
          <w:tab w:leader="none" w:pos="192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of the rates notified to the Agent by each Lender as soon as practicable and in any event by close of business on the date falling two Business Days after the Quotation Day (or, if earlier, on the date falling five Business Days before the date on which interest is due to be paid in respect of that Interest Period), to be that which expresses as a percentage rate per annum the cost to the relevant Lender of funding its participation in that Loan from whatever source it may reasonably select.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37" w:name="page38"/>
    <w:bookmarkEnd w:id="37"/>
    <w:p>
      <w:pPr>
        <w:ind w:left="1280" w:right="20" w:hanging="624"/>
        <w:spacing w:after="0" w:line="269" w:lineRule="auto"/>
        <w:tabs>
          <w:tab w:leader="none" w:pos="126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Clause 10.3 applies and the Agent or the Company so requires, the Agent and the Company shall enter into negotiations (for a period of not more than thirty days) with a view to agreeing a substitute basis for determining the rate of interest.</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alternative basis agreed pursuant to paragraph (b) above shall, with the prior consent of all the Lenders and the Company, be binding on all Parties.</w:t>
      </w:r>
    </w:p>
    <w:p>
      <w:pPr>
        <w:spacing w:after="0" w:line="12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Clause 10.3 applies pursuant to Clause 10.2 (</w:t>
      </w:r>
      <w:r>
        <w:rPr>
          <w:rFonts w:ascii="Times New Roman" w:cs="Times New Roman" w:eastAsia="Times New Roman" w:hAnsi="Times New Roman"/>
          <w:sz w:val="20"/>
          <w:szCs w:val="20"/>
          <w:i w:val="1"/>
          <w:iCs w:val="1"/>
          <w:color w:val="auto"/>
        </w:rPr>
        <w:t>Market disruption</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Lender's Funding Rate is less than LIBOR or, in relation to any Loan in euro, EURIBOR;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does not supply a quotation by the time specified in paragraph (a)(ii) above,</w:t>
      </w:r>
    </w:p>
    <w:p>
      <w:pPr>
        <w:spacing w:after="0" w:line="189" w:lineRule="exact"/>
        <w:rPr>
          <w:sz w:val="20"/>
          <w:szCs w:val="20"/>
          <w:color w:val="auto"/>
        </w:rPr>
      </w:pPr>
    </w:p>
    <w:p>
      <w:pPr>
        <w:ind w:left="1280"/>
        <w:spacing w:after="0" w:line="269" w:lineRule="auto"/>
        <w:rPr>
          <w:sz w:val="20"/>
          <w:szCs w:val="20"/>
          <w:color w:val="auto"/>
        </w:rPr>
      </w:pPr>
      <w:r>
        <w:rPr>
          <w:rFonts w:ascii="Times New Roman" w:cs="Times New Roman" w:eastAsia="Times New Roman" w:hAnsi="Times New Roman"/>
          <w:sz w:val="20"/>
          <w:szCs w:val="20"/>
          <w:color w:val="auto"/>
        </w:rPr>
        <w:t>the cost to that Lender of funding its participation in that Loan for that Interest Period shall be deemed, for the purposes of paragraph (a) above, to be LIBOR or, in relation to a Loan in euro, EURIBOR.</w:t>
      </w:r>
    </w:p>
    <w:p>
      <w:pPr>
        <w:spacing w:after="0" w:line="129" w:lineRule="exact"/>
        <w:rPr>
          <w:sz w:val="20"/>
          <w:szCs w:val="20"/>
          <w:color w:val="auto"/>
        </w:rPr>
      </w:pPr>
    </w:p>
    <w:p>
      <w:pPr>
        <w:jc w:val="both"/>
        <w:ind w:left="1280" w:hanging="624"/>
        <w:spacing w:after="0" w:line="256" w:lineRule="auto"/>
        <w:tabs>
          <w:tab w:leader="none" w:pos="126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Clause 10.3 applies pursuant to Clause 10.1 (</w:t>
      </w:r>
      <w:r>
        <w:rPr>
          <w:rFonts w:ascii="Times New Roman" w:cs="Times New Roman" w:eastAsia="Times New Roman" w:hAnsi="Times New Roman"/>
          <w:sz w:val="20"/>
          <w:szCs w:val="20"/>
          <w:i w:val="1"/>
          <w:iCs w:val="1"/>
          <w:color w:val="auto"/>
        </w:rPr>
        <w:t>Unavailability of Screen Rate</w:t>
      </w:r>
      <w:r>
        <w:rPr>
          <w:rFonts w:ascii="Times New Roman" w:cs="Times New Roman" w:eastAsia="Times New Roman" w:hAnsi="Times New Roman"/>
          <w:sz w:val="20"/>
          <w:szCs w:val="20"/>
          <w:color w:val="auto"/>
        </w:rPr>
        <w:t>) but any Lender does not supply a quotation by the time specified in paragraph (a)(ii) above the rate of interest shall be calculated on the basis of the quotations of the remaining Lenders.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color w:val="auto"/>
        </w:rPr>
        <w:t>Notification to Company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Clause 10.3 (</w:t>
      </w:r>
      <w:r>
        <w:rPr>
          <w:rFonts w:ascii="Times New Roman" w:cs="Times New Roman" w:eastAsia="Times New Roman" w:hAnsi="Times New Roman"/>
          <w:sz w:val="20"/>
          <w:szCs w:val="20"/>
          <w:i w:val="1"/>
          <w:iCs w:val="1"/>
          <w:color w:val="auto"/>
        </w:rPr>
        <w:t>Cost of funds</w:t>
      </w:r>
      <w:r>
        <w:rPr>
          <w:rFonts w:ascii="Times New Roman" w:cs="Times New Roman" w:eastAsia="Times New Roman" w:hAnsi="Times New Roman"/>
          <w:sz w:val="20"/>
          <w:szCs w:val="20"/>
          <w:color w:val="auto"/>
        </w:rPr>
        <w:t>) applies the Agent shall, as soon as is practicable, notify the Company.</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b w:val="1"/>
          <w:bCs w:val="1"/>
          <w:color w:val="auto"/>
        </w:rPr>
        <w:t>Break Costs</w:t>
      </w:r>
    </w:p>
    <w:p>
      <w:pPr>
        <w:spacing w:after="0" w:line="193" w:lineRule="exact"/>
        <w:rPr>
          <w:sz w:val="20"/>
          <w:szCs w:val="20"/>
          <w:color w:val="auto"/>
        </w:rPr>
      </w:pPr>
    </w:p>
    <w:p>
      <w:pPr>
        <w:jc w:val="both"/>
        <w:ind w:left="1280" w:hanging="624"/>
        <w:spacing w:after="0" w:line="254" w:lineRule="auto"/>
        <w:tabs>
          <w:tab w:leader="none" w:pos="126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within three Business Days of demand by a Finance Party, pay to that Finance Party its Break Costs attributable to all or any part of a Loan or Unpaid Sum being paid by the Company on a day other than the last day of an Interest Period for that Loan or Unpaid Sum.</w:t>
      </w:r>
    </w:p>
    <w:p>
      <w:pPr>
        <w:spacing w:after="0" w:line="14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as soon as reasonably practicable after a demand by the Agent, provide a certificate confirming the amount of its Break Costs for any Interest Period in which they accrue.</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b w:val="1"/>
          <w:bCs w:val="1"/>
          <w:color w:val="auto"/>
        </w:rPr>
        <w:t>Commitment fee</w:t>
      </w:r>
    </w:p>
    <w:p>
      <w:pPr>
        <w:spacing w:after="0" w:line="193" w:lineRule="exact"/>
        <w:rPr>
          <w:sz w:val="20"/>
          <w:szCs w:val="20"/>
          <w:color w:val="auto"/>
        </w:rPr>
      </w:pPr>
    </w:p>
    <w:p>
      <w:pPr>
        <w:ind w:left="1280" w:hanging="624"/>
        <w:spacing w:after="0" w:line="269"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Agent (for the account of each Lender) a fee computed at the rate of 35 per cent. of the applicable Margin on that Lender’s Available Commitment under the relevant Tranche for the Availability Period.</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accrued commitment fee is payable on the last day of each successive period of three Months which ends during the Availability Period (with the first such period commencing on the date of this Agreement), on the last day of the Availability Period and, if cancelled in full, on the cancelled amount of the relevant Lender's Commitment at the time the cancellation is effective.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38" w:name="page39"/>
    <w:bookmarkEnd w:id="38"/>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b w:val="1"/>
          <w:bCs w:val="1"/>
          <w:color w:val="auto"/>
        </w:rPr>
        <w:t>Upfront fee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pay to the Arranger an upfront fee in the amount and at the times agreed in a Fee Letter.</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b w:val="1"/>
          <w:bCs w:val="1"/>
          <w:color w:val="auto"/>
        </w:rPr>
        <w:t>Agency fee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pay to the Agent (for its own account) an agency fee in the amount and at the times agreed in a Fee Letter.</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PAYMENT OBLIGATIONS</w:t>
      </w:r>
    </w:p>
    <w:p>
      <w:pPr>
        <w:spacing w:after="0" w:line="163" w:lineRule="exact"/>
        <w:rPr>
          <w:sz w:val="20"/>
          <w:szCs w:val="20"/>
          <w:color w:val="auto"/>
        </w:rPr>
      </w:pPr>
    </w:p>
    <w:p>
      <w:pPr>
        <w:ind w:left="620" w:hanging="612"/>
        <w:spacing w:after="0"/>
        <w:tabs>
          <w:tab w:leader="none" w:pos="62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GROSS UP AND INDEMNITIES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Agreement:</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DTTP Filing</w:t>
      </w:r>
      <w:r>
        <w:rPr>
          <w:rFonts w:ascii="Times New Roman" w:cs="Times New Roman" w:eastAsia="Times New Roman" w:hAnsi="Times New Roman"/>
          <w:sz w:val="20"/>
          <w:szCs w:val="20"/>
          <w:color w:val="auto"/>
        </w:rPr>
        <w:t>” means an HM Revenue &amp; Customs' Form DTTP2 duly completed and filed by the Company, which:</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an Original Lender, contains the scheme reference number and jurisdiction of tax residence stated opposite that Lender's name in Schedule 1 (</w:t>
      </w:r>
      <w:r>
        <w:rPr>
          <w:rFonts w:ascii="Times New Roman" w:cs="Times New Roman" w:eastAsia="Times New Roman" w:hAnsi="Times New Roman"/>
          <w:sz w:val="20"/>
          <w:szCs w:val="20"/>
          <w:i w:val="1"/>
          <w:iCs w:val="1"/>
          <w:color w:val="auto"/>
        </w:rPr>
        <w:t>The Original Lenders</w:t>
      </w:r>
      <w:r>
        <w:rPr>
          <w:rFonts w:ascii="Times New Roman" w:cs="Times New Roman" w:eastAsia="Times New Roman" w:hAnsi="Times New Roman"/>
          <w:sz w:val="20"/>
          <w:szCs w:val="20"/>
          <w:color w:val="auto"/>
        </w:rPr>
        <w:t>), and is filed with HM Revenue &amp; Customs within 30 days of the date of this Agreement; or</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is not an Original Lender, contains the scheme reference number and jurisdiction of tax residence stated in respect of that Lender in the documentation which it executes on becoming a Party as a Lender and is filed with HM Revenue &amp; Customs within 30 days of the date on which that Treaty Lender becomes a Party as a Lender.</w:t>
      </w:r>
    </w:p>
    <w:p>
      <w:pPr>
        <w:spacing w:after="0" w:line="144"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Protected Party</w:t>
      </w:r>
      <w:r>
        <w:rPr>
          <w:rFonts w:ascii="Times New Roman" w:cs="Times New Roman" w:eastAsia="Times New Roman" w:hAnsi="Times New Roman"/>
          <w:sz w:val="20"/>
          <w:szCs w:val="20"/>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Lender</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280" w:hanging="624"/>
        <w:spacing w:after="0" w:line="269" w:lineRule="auto"/>
        <w:tabs>
          <w:tab w:leader="none" w:pos="126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beneficially entitled to interest payable to that Lender in respect of an advance under a Finance Document and is:</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188" w:lineRule="exact"/>
        <w:rPr>
          <w:rFonts w:ascii="Times New Roman" w:cs="Times New Roman" w:eastAsia="Times New Roman" w:hAnsi="Times New Roman"/>
          <w:sz w:val="20"/>
          <w:szCs w:val="20"/>
          <w:color w:val="auto"/>
        </w:rPr>
      </w:pPr>
    </w:p>
    <w:p>
      <w:pPr>
        <w:jc w:val="both"/>
        <w:ind w:left="2560" w:hanging="634"/>
        <w:spacing w:after="0" w:line="249" w:lineRule="auto"/>
        <w:tabs>
          <w:tab w:leader="none" w:pos="2542" w:val="left"/>
        </w:tabs>
        <w:numPr>
          <w:ilvl w:val="2"/>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153" w:lineRule="exact"/>
        <w:rPr>
          <w:rFonts w:ascii="Times New Roman" w:cs="Times New Roman" w:eastAsia="Times New Roman" w:hAnsi="Times New Roman"/>
          <w:sz w:val="20"/>
          <w:szCs w:val="20"/>
          <w:color w:val="auto"/>
        </w:rPr>
      </w:pPr>
    </w:p>
    <w:p>
      <w:pPr>
        <w:jc w:val="both"/>
        <w:ind w:left="2560" w:hanging="634"/>
        <w:spacing w:after="0" w:line="254" w:lineRule="auto"/>
        <w:tabs>
          <w:tab w:leader="none" w:pos="2542" w:val="left"/>
        </w:tabs>
        <w:numPr>
          <w:ilvl w:val="2"/>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39" w:name="page40"/>
    <w:bookmarkEnd w:id="39"/>
    <w:p>
      <w:pPr>
        <w:ind w:left="1920" w:hanging="642"/>
        <w:spacing w:after="0"/>
        <w:tabs>
          <w:tab w:leader="none" w:pos="19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188" w:lineRule="exact"/>
        <w:rPr>
          <w:rFonts w:ascii="Times New Roman" w:cs="Times New Roman" w:eastAsia="Times New Roman" w:hAnsi="Times New Roman"/>
          <w:sz w:val="20"/>
          <w:szCs w:val="20"/>
          <w:color w:val="auto"/>
        </w:rPr>
      </w:pPr>
    </w:p>
    <w:p>
      <w:pPr>
        <w:ind w:left="3200" w:hanging="639"/>
        <w:spacing w:after="0"/>
        <w:tabs>
          <w:tab w:leader="none" w:pos="320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188" w:lineRule="exact"/>
        <w:rPr>
          <w:rFonts w:ascii="Times New Roman" w:cs="Times New Roman" w:eastAsia="Times New Roman" w:hAnsi="Times New Roman"/>
          <w:sz w:val="20"/>
          <w:szCs w:val="20"/>
          <w:color w:val="auto"/>
        </w:rPr>
      </w:pPr>
    </w:p>
    <w:p>
      <w:pPr>
        <w:jc w:val="both"/>
        <w:ind w:left="3200" w:hanging="639"/>
        <w:spacing w:after="0" w:line="249" w:lineRule="auto"/>
        <w:tabs>
          <w:tab w:leader="none" w:pos="3200"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53" w:lineRule="exact"/>
        <w:rPr>
          <w:rFonts w:ascii="Times New Roman" w:cs="Times New Roman" w:eastAsia="Times New Roman" w:hAnsi="Times New Roman"/>
          <w:sz w:val="20"/>
          <w:szCs w:val="20"/>
          <w:color w:val="auto"/>
        </w:rPr>
      </w:pPr>
    </w:p>
    <w:p>
      <w:pPr>
        <w:jc w:val="both"/>
        <w:ind w:left="2560" w:hanging="634"/>
        <w:spacing w:after="0" w:line="254" w:lineRule="auto"/>
        <w:tabs>
          <w:tab w:leader="none" w:pos="254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47"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189" w:lineRule="exact"/>
        <w:rPr>
          <w:sz w:val="20"/>
          <w:szCs w:val="20"/>
          <w:color w:val="auto"/>
        </w:rPr>
      </w:pPr>
    </w:p>
    <w:p>
      <w:pPr>
        <w:ind w:left="1280" w:right="20" w:hanging="624"/>
        <w:spacing w:after="0" w:line="269" w:lineRule="auto"/>
        <w:tabs>
          <w:tab w:leader="none" w:pos="126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a building society (as defined for the purpose of section 880 of the ITA) making an advance under a Finance Document.</w:t>
      </w:r>
    </w:p>
    <w:p>
      <w:pPr>
        <w:spacing w:after="0" w:line="129"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Finance Document is either:</w:t>
      </w:r>
    </w:p>
    <w:p>
      <w:pPr>
        <w:spacing w:after="0" w:line="129" w:lineRule="exact"/>
        <w:rPr>
          <w:sz w:val="20"/>
          <w:szCs w:val="20"/>
          <w:color w:val="auto"/>
        </w:rPr>
      </w:pPr>
    </w:p>
    <w:p>
      <w:pPr>
        <w:ind w:left="1260" w:hanging="604"/>
        <w:spacing w:after="0"/>
        <w:tabs>
          <w:tab w:leader="none" w:pos="12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Credit</w:t>
      </w:r>
      <w:r>
        <w:rPr>
          <w:rFonts w:ascii="Times New Roman" w:cs="Times New Roman" w:eastAsia="Times New Roman" w:hAnsi="Times New Roman"/>
          <w:sz w:val="20"/>
          <w:szCs w:val="20"/>
          <w:color w:val="auto"/>
        </w:rPr>
        <w:t>” means a credit against, relief or remission for, or repayment of any Tax.</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Deduction</w:t>
      </w:r>
      <w:r>
        <w:rPr>
          <w:rFonts w:ascii="Times New Roman" w:cs="Times New Roman" w:eastAsia="Times New Roman" w:hAnsi="Times New Roman"/>
          <w:sz w:val="20"/>
          <w:szCs w:val="20"/>
          <w:color w:val="auto"/>
        </w:rPr>
        <w:t>” means a deduction or withholding for or on account of Tax from a payment under a Finance Document, other than a FATCA Deduction.</w:t>
      </w:r>
    </w:p>
    <w:p>
      <w:pPr>
        <w:spacing w:after="0" w:line="125"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Payment</w:t>
      </w:r>
      <w:r>
        <w:rPr>
          <w:rFonts w:ascii="Times New Roman" w:cs="Times New Roman" w:eastAsia="Times New Roman" w:hAnsi="Times New Roman"/>
          <w:sz w:val="20"/>
          <w:szCs w:val="20"/>
          <w:color w:val="auto"/>
        </w:rPr>
        <w:t>” means either the increase in a payment made by the Company to a Finance Party under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or a payment under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Treaty Lender</w:t>
      </w:r>
      <w:r>
        <w:rPr>
          <w:rFonts w:ascii="Times New Roman" w:cs="Times New Roman" w:eastAsia="Times New Roman" w:hAnsi="Times New Roman"/>
          <w:sz w:val="20"/>
          <w:szCs w:val="20"/>
          <w:color w:val="auto"/>
        </w:rPr>
        <w:t>” means a Lender which: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40" w:name="page41"/>
    <w:bookmarkEnd w:id="40"/>
    <w:p>
      <w:pPr>
        <w:ind w:left="1260" w:hanging="604"/>
        <w:spacing w:after="0"/>
        <w:tabs>
          <w:tab w:leader="none" w:pos="12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treated as a resident of a Treaty State for the purposes of the Treaty;</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the Loan is effectively connected;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fulfils any other conditions which must be fulfilled under the relevant Treaty in order to benefit from full exemption from Tax imposed by the United Kingdom on interest payments, subject to the completion of any necessary procedural formalities.</w:t>
      </w:r>
    </w:p>
    <w:p>
      <w:pPr>
        <w:spacing w:after="0" w:line="12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Treaty State</w:t>
      </w:r>
      <w:r>
        <w:rPr>
          <w:rFonts w:ascii="Times New Roman" w:cs="Times New Roman" w:eastAsia="Times New Roman" w:hAnsi="Times New Roman"/>
          <w:sz w:val="20"/>
          <w:szCs w:val="20"/>
          <w:color w:val="auto"/>
        </w:rPr>
        <w:t>” means a jurisdiction having a double taxation agreement (a “</w:t>
      </w:r>
      <w:r>
        <w:rPr>
          <w:rFonts w:ascii="Times New Roman" w:cs="Times New Roman" w:eastAsia="Times New Roman" w:hAnsi="Times New Roman"/>
          <w:sz w:val="20"/>
          <w:szCs w:val="20"/>
          <w:b w:val="1"/>
          <w:bCs w:val="1"/>
          <w:color w:val="auto"/>
        </w:rPr>
        <w:t>Treaty</w:t>
      </w:r>
      <w:r>
        <w:rPr>
          <w:rFonts w:ascii="Times New Roman" w:cs="Times New Roman" w:eastAsia="Times New Roman" w:hAnsi="Times New Roman"/>
          <w:sz w:val="20"/>
          <w:szCs w:val="20"/>
          <w:color w:val="auto"/>
        </w:rPr>
        <w:t>”) with the United Kingdom which makes provision for full exemption from tax imposed by the United Kingdom on interest.</w:t>
      </w:r>
    </w:p>
    <w:p>
      <w:pPr>
        <w:spacing w:after="0" w:line="125"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Non-Bank Lender</w:t>
      </w:r>
      <w:r>
        <w:rPr>
          <w:rFonts w:ascii="Times New Roman" w:cs="Times New Roman" w:eastAsia="Times New Roman" w:hAnsi="Times New Roman"/>
          <w:sz w:val="20"/>
          <w:szCs w:val="20"/>
          <w:color w:val="auto"/>
        </w:rPr>
        <w:t>” means a Lender which is not an Original Lender and which gives a Tax Confirmation in the documentation which it executes on becoming a Party as a Lender.</w:t>
      </w:r>
    </w:p>
    <w:p>
      <w:pPr>
        <w:spacing w:after="0" w:line="129"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Unless a contrary indication appears, in this Clause 12 a reference to “determines” or “determined” means a determination made in the absolute discretion of the person making the determination, acting in good faith.</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19"/>
          <w:szCs w:val="19"/>
          <w:b w:val="1"/>
          <w:bCs w:val="1"/>
          <w:color w:val="auto"/>
        </w:rPr>
        <w:t>Tax gross-up</w:t>
      </w:r>
    </w:p>
    <w:p>
      <w:pPr>
        <w:spacing w:after="0" w:line="193" w:lineRule="exact"/>
        <w:rPr>
          <w:sz w:val="20"/>
          <w:szCs w:val="20"/>
          <w:color w:val="auto"/>
        </w:rPr>
      </w:pPr>
    </w:p>
    <w:p>
      <w:pPr>
        <w:ind w:left="1260" w:hanging="604"/>
        <w:spacing w:after="0"/>
        <w:tabs>
          <w:tab w:leader="none" w:pos="126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make all payments to be made by it without any Tax Deduction, unless a Tax Deduction is required by law.</w:t>
      </w:r>
    </w:p>
    <w:p>
      <w:pPr>
        <w:spacing w:after="0" w:line="200" w:lineRule="exact"/>
        <w:rPr>
          <w:rFonts w:ascii="Times New Roman" w:cs="Times New Roman" w:eastAsia="Times New Roman" w:hAnsi="Times New Roman"/>
          <w:sz w:val="19"/>
          <w:szCs w:val="19"/>
          <w:color w:val="auto"/>
        </w:rPr>
      </w:pPr>
    </w:p>
    <w:p>
      <w:pPr>
        <w:jc w:val="both"/>
        <w:ind w:left="1280" w:hanging="624"/>
        <w:spacing w:after="0" w:line="274" w:lineRule="auto"/>
        <w:tabs>
          <w:tab w:leader="none" w:pos="126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promptly upon becoming aware that it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w:t>
      </w:r>
    </w:p>
    <w:p>
      <w:pPr>
        <w:spacing w:after="0" w:line="129" w:lineRule="exact"/>
        <w:rPr>
          <w:rFonts w:ascii="Times New Roman" w:cs="Times New Roman" w:eastAsia="Times New Roman" w:hAnsi="Times New Roman"/>
          <w:sz w:val="19"/>
          <w:szCs w:val="19"/>
          <w:color w:val="auto"/>
        </w:rPr>
      </w:pPr>
    </w:p>
    <w:p>
      <w:pPr>
        <w:jc w:val="both"/>
        <w:ind w:left="1280" w:hanging="624"/>
        <w:spacing w:after="0" w:line="254" w:lineRule="auto"/>
        <w:tabs>
          <w:tab w:leader="none" w:pos="126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Tax Deduction is required by law to be made by the Company, the amount of the payment due from the Company shall be increased to an amount which (after making any Tax Deduction) leaves an amount equal to the payment which would have been due if no Tax Deduction had been required.</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shall not be increased under paragraph (c) above by reason of a Tax Deduction on account of Tax imposed by the United Kingdom, if on the date on which the payment falls due:</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66" w:lineRule="auto"/>
        <w:tabs>
          <w:tab w:leader="none" w:pos="192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38" w:lineRule="exact"/>
        <w:rPr>
          <w:rFonts w:ascii="Times New Roman" w:cs="Times New Roman" w:eastAsia="Times New Roman" w:hAnsi="Times New Roman"/>
          <w:sz w:val="19"/>
          <w:szCs w:val="19"/>
          <w:color w:val="auto"/>
        </w:rPr>
      </w:pPr>
    </w:p>
    <w:p>
      <w:pPr>
        <w:ind w:left="1920" w:right="20" w:hanging="642"/>
        <w:spacing w:after="0" w:line="269" w:lineRule="auto"/>
        <w:tabs>
          <w:tab w:leader="none" w:pos="192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paragraph (a)(ii) of the definition of Qualifying Lender; and:</w:t>
      </w:r>
    </w:p>
    <w:p>
      <w:pPr>
        <w:spacing w:after="0" w:line="128" w:lineRule="exact"/>
        <w:rPr>
          <w:rFonts w:ascii="Times New Roman" w:cs="Times New Roman" w:eastAsia="Times New Roman" w:hAnsi="Times New Roman"/>
          <w:sz w:val="20"/>
          <w:szCs w:val="20"/>
          <w:color w:val="auto"/>
        </w:rPr>
      </w:pPr>
    </w:p>
    <w:p>
      <w:pPr>
        <w:jc w:val="both"/>
        <w:ind w:left="2560" w:hanging="634"/>
        <w:spacing w:after="0" w:line="256" w:lineRule="auto"/>
        <w:tabs>
          <w:tab w:leader="none" w:pos="2542"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 of H.M. Revenue &amp; Customs has given (and not revoked) a direction (a “</w:t>
      </w:r>
      <w:r>
        <w:rPr>
          <w:rFonts w:ascii="Times New Roman" w:cs="Times New Roman" w:eastAsia="Times New Roman" w:hAnsi="Times New Roman"/>
          <w:sz w:val="20"/>
          <w:szCs w:val="20"/>
          <w:b w:val="1"/>
          <w:bCs w:val="1"/>
          <w:color w:val="auto"/>
        </w:rPr>
        <w:t>Direction</w:t>
      </w:r>
      <w:r>
        <w:rPr>
          <w:rFonts w:ascii="Times New Roman" w:cs="Times New Roman" w:eastAsia="Times New Roman" w:hAnsi="Times New Roman"/>
          <w:sz w:val="20"/>
          <w:szCs w:val="20"/>
          <w:color w:val="auto"/>
        </w:rPr>
        <w:t>”) under section 931 of the ITA which relates to the payment and that Lender has received from the Company a certified copy of that Direction; and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41" w:name="page42"/>
    <w:bookmarkEnd w:id="41"/>
    <w:p>
      <w:pPr>
        <w:ind w:left="2560" w:hanging="634"/>
        <w:spacing w:after="0" w:line="269" w:lineRule="auto"/>
        <w:tabs>
          <w:tab w:leader="none" w:pos="2542"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Tax Deduction if that Direction had not been made; or</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paragraph (a)(ii) of the definition of Qualifying Lender and:</w:t>
      </w:r>
    </w:p>
    <w:p>
      <w:pPr>
        <w:spacing w:after="0" w:line="132"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has not given a Tax Confirmation to the Company; and</w:t>
      </w:r>
    </w:p>
    <w:p>
      <w:pPr>
        <w:spacing w:after="0" w:line="188" w:lineRule="exact"/>
        <w:rPr>
          <w:rFonts w:ascii="Times New Roman" w:cs="Times New Roman" w:eastAsia="Times New Roman" w:hAnsi="Times New Roman"/>
          <w:sz w:val="20"/>
          <w:szCs w:val="20"/>
          <w:color w:val="auto"/>
        </w:rPr>
      </w:pPr>
    </w:p>
    <w:p>
      <w:pPr>
        <w:jc w:val="both"/>
        <w:ind w:left="2560" w:hanging="634"/>
        <w:spacing w:after="0" w:line="249" w:lineRule="auto"/>
        <w:tabs>
          <w:tab w:leader="none" w:pos="2542"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spacing w:after="0" w:line="153"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Treaty Lender and the Company is able to demonstrate that the payment could have been made to the Lender without the Tax Deduction had that Lender complied with its obligations under paragraph (g) or (h) (as applicable) below.</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required to make a Tax Deduction, it shall make that Tax Deduction and any payment required in connection with that Tax Deduction within the time allowed and in the minimum amount required by law.</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days of making either a Tax Deduction or any payment required in connection with that Tax Deduction, the Company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(g)</w:t>
      </w:r>
    </w:p>
    <w:p>
      <w:pPr>
        <w:spacing w:after="0" w:line="189" w:lineRule="exact"/>
        <w:rPr>
          <w:sz w:val="20"/>
          <w:szCs w:val="20"/>
          <w:color w:val="auto"/>
        </w:rPr>
      </w:pPr>
    </w:p>
    <w:p>
      <w:pPr>
        <w:jc w:val="both"/>
        <w:ind w:left="1920" w:hanging="642"/>
        <w:spacing w:after="0" w:line="254" w:lineRule="auto"/>
        <w:tabs>
          <w:tab w:leader="none" w:pos="192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(ii) below, a Treaty Lender and the Company shall co-operate in completing any procedural formalities necessary for the Company to obtain authorisation to make payments under the Finance Documents to which that Treaty Lender is entitled without a Tax Deduction.</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(ii)</w:t>
      </w:r>
    </w:p>
    <w:p>
      <w:pPr>
        <w:spacing w:after="0" w:line="189" w:lineRule="exact"/>
        <w:rPr>
          <w:sz w:val="20"/>
          <w:szCs w:val="20"/>
          <w:color w:val="auto"/>
        </w:rPr>
      </w:pPr>
    </w:p>
    <w:p>
      <w:pPr>
        <w:jc w:val="both"/>
        <w:ind w:left="2560" w:hanging="634"/>
        <w:spacing w:after="0" w:line="254" w:lineRule="auto"/>
        <w:tabs>
          <w:tab w:leader="none" w:pos="254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which is an Original Lender and that holds a passport under the HMRC DT Treaty Passport scheme, and which wishes that scheme to apply to this Agreement, shall confirm its scheme reference number and its jurisdiction of tax residence opposite its name in Schedule 1 (</w:t>
      </w:r>
      <w:r>
        <w:rPr>
          <w:rFonts w:ascii="Times New Roman" w:cs="Times New Roman" w:eastAsia="Times New Roman" w:hAnsi="Times New Roman"/>
          <w:sz w:val="20"/>
          <w:szCs w:val="20"/>
          <w:i w:val="1"/>
          <w:iCs w:val="1"/>
          <w:color w:val="auto"/>
        </w:rPr>
        <w:t>The Original Lenders</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jc w:val="both"/>
        <w:ind w:left="2560" w:hanging="634"/>
        <w:spacing w:after="0" w:line="274" w:lineRule="auto"/>
        <w:tabs>
          <w:tab w:leader="none" w:pos="2542"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Treaty Lender which is not an Original Lender and that holds a passport under the HMRC DT Treaty Passport scheme, and which wishes that scheme to apply to this Agreement, shall confirm its scheme reference number and its jurisdiction of tax residence in the documentation which it executes on becoming a Party as a Lender,</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and, having done so, that Lender shall be under no obligation pursuant to paragraph (i) above.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42" w:name="page43"/>
    <w:bookmarkEnd w:id="42"/>
    <w:p>
      <w:pPr>
        <w:ind w:left="1280" w:hanging="624"/>
        <w:spacing w:after="0" w:line="269" w:lineRule="auto"/>
        <w:tabs>
          <w:tab w:leader="none" w:pos="126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confirmed its scheme reference number and its jurisdiction of tax residence in accordance with paragraph (g)(ii) above and:</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made a Borrower DTTP Filing in respect of that Lender;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made a Borrower DTTP Filing in respect of that Lender but:</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Borrower DTTP Filing has been rejected by HM Revenue &amp; Customs; or</w:t>
      </w:r>
    </w:p>
    <w:p>
      <w:pPr>
        <w:spacing w:after="0" w:line="188"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2"/>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HM Revenue &amp; Customs has not given the Company authority to make payments to that Lender without a Tax Deduction within 60 days of the date of the Borrower DTTP Filing,</w:t>
      </w:r>
    </w:p>
    <w:p>
      <w:pPr>
        <w:spacing w:after="0" w:line="13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20"/>
          <w:szCs w:val="20"/>
          <w:color w:val="auto"/>
        </w:rPr>
        <w:t>and in each case, the Company has notified that Lender in writing, that Lender and the Company shall co-operate in completing any additional procedural formalities necessary for the Company to obtain authorisation to make that payment without a Tax Deduction.</w:t>
      </w:r>
    </w:p>
    <w:p>
      <w:pPr>
        <w:spacing w:after="0" w:line="148" w:lineRule="exact"/>
        <w:rPr>
          <w:sz w:val="20"/>
          <w:szCs w:val="20"/>
          <w:color w:val="auto"/>
        </w:rPr>
      </w:pPr>
    </w:p>
    <w:p>
      <w:pPr>
        <w:ind w:left="1260" w:hanging="604"/>
        <w:spacing w:after="0"/>
        <w:tabs>
          <w:tab w:leader="none" w:pos="126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Lender has not confirmed its scheme reference number and jurisdiction of tax residence in accordance with paragraph (g)</w:t>
      </w:r>
    </w:p>
    <w:p>
      <w:pPr>
        <w:spacing w:after="0" w:line="21" w:lineRule="exact"/>
        <w:rPr>
          <w:rFonts w:ascii="Times New Roman" w:cs="Times New Roman" w:eastAsia="Times New Roman" w:hAnsi="Times New Roman"/>
          <w:sz w:val="20"/>
          <w:szCs w:val="20"/>
          <w:color w:val="auto"/>
        </w:rPr>
      </w:pPr>
    </w:p>
    <w:p>
      <w:pPr>
        <w:ind w:left="1280" w:right="20" w:firstLine="2"/>
        <w:spacing w:after="0" w:line="246" w:lineRule="auto"/>
        <w:tabs>
          <w:tab w:leader="none" w:pos="1599"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the Company shall not make a Borrower DTTP Filing or file any other form relating to the HMRC DT Treaty Passport scheme in respect of that Lender's Commitment or its participation in any Loan unless the Lender otherwise agrees.</w:t>
      </w:r>
    </w:p>
    <w:p>
      <w:pPr>
        <w:spacing w:after="0" w:line="155" w:lineRule="exact"/>
        <w:rPr>
          <w:sz w:val="20"/>
          <w:szCs w:val="20"/>
          <w:color w:val="auto"/>
        </w:rPr>
      </w:pPr>
    </w:p>
    <w:p>
      <w:pPr>
        <w:ind w:left="1280" w:hanging="624"/>
        <w:spacing w:after="0" w:line="269" w:lineRule="auto"/>
        <w:tabs>
          <w:tab w:leader="none" w:pos="126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on making a Borrower DTTP Filing, deliver a copy of that Borrower DTTP Filing to the Agent for delivery to the relevant Lender.</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Non-Bank Lender shall promptly notify the Company and the Agent if there is any change in the position from that set out in the Tax Confirmation.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b w:val="1"/>
          <w:bCs w:val="1"/>
          <w:color w:val="auto"/>
        </w:rPr>
        <w:t>Tax indemnity</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above shall not apply: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 assessed on a Finance Party:</w:t>
      </w:r>
    </w:p>
    <w:p>
      <w:pPr>
        <w:spacing w:after="0" w:line="188"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law of the jurisdiction in which that Finance Party is incorporated or, if different, the jurisdiction (or jurisdictions) in which that Finance Party is treated as resident for tax purposes; or</w:t>
      </w:r>
    </w:p>
    <w:p>
      <w:pPr>
        <w:spacing w:after="0" w:line="132"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law of the jurisdiction in which that Finance Party's Facility Office is located in respect of amounts received or receivable in that jurisdiction,</w:t>
      </w:r>
    </w:p>
    <w:p>
      <w:pPr>
        <w:spacing w:after="0" w:line="133" w:lineRule="exact"/>
        <w:rPr>
          <w:sz w:val="20"/>
          <w:szCs w:val="20"/>
          <w:color w:val="auto"/>
        </w:rPr>
      </w:pPr>
    </w:p>
    <w:p>
      <w:pPr>
        <w:ind w:left="1280"/>
        <w:spacing w:after="0" w:line="269" w:lineRule="auto"/>
        <w:rPr>
          <w:sz w:val="20"/>
          <w:szCs w:val="20"/>
          <w:color w:val="auto"/>
        </w:rPr>
      </w:pPr>
      <w:r>
        <w:rPr>
          <w:rFonts w:ascii="Times New Roman" w:cs="Times New Roman" w:eastAsia="Times New Roman" w:hAnsi="Times New Roman"/>
          <w:sz w:val="20"/>
          <w:szCs w:val="20"/>
          <w:color w:val="auto"/>
        </w:rPr>
        <w:t>if that Tax is imposed on or calculated by reference to the net income received or receivable (but not any sum deemed to be received or receivable) by that Finance Party; or</w:t>
      </w:r>
    </w:p>
    <w:p>
      <w:pPr>
        <w:spacing w:after="0" w:line="133" w:lineRule="exact"/>
        <w:rPr>
          <w:sz w:val="20"/>
          <w:szCs w:val="20"/>
          <w:color w:val="auto"/>
        </w:rPr>
      </w:pPr>
    </w:p>
    <w:p>
      <w:pPr>
        <w:ind w:left="1920" w:hanging="642"/>
        <w:spacing w:after="0"/>
        <w:tabs>
          <w:tab w:leader="none" w:pos="19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loss, liability or cost: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43" w:name="page44"/>
    <w:bookmarkEnd w:id="43"/>
    <w:p>
      <w:pPr>
        <w:ind w:left="2540" w:hanging="614"/>
        <w:spacing w:after="0"/>
        <w:tabs>
          <w:tab w:leader="none" w:pos="254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compensated for by an increased payment under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2560" w:hanging="634"/>
        <w:spacing w:after="0" w:line="273" w:lineRule="auto"/>
        <w:tabs>
          <w:tab w:leader="none" w:pos="2542"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have been compensated for by an increased payment under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but was not so compensated solely because one of the exclusions in paragraph (d) of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applied; or</w:t>
      </w:r>
    </w:p>
    <w:p>
      <w:pPr>
        <w:spacing w:after="0" w:line="129"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 FATCA Deduction required to be made by a Party.</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Protected Party making, or intending to make a claim under paragraph (a) above shall promptly notify the Agent of the event which will give, or has given, rise to the claim, following which the Agent shall notify the Company.</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Protected Party shall, on receiving a payment from the Company under this Clause 12.3, notify the Agent.</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b w:val="1"/>
          <w:bCs w:val="1"/>
          <w:color w:val="auto"/>
        </w:rPr>
        <w:t>Tax Credit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the Company makes a Tax Payment and the relevant Finance Party determines that:</w:t>
      </w:r>
    </w:p>
    <w:p>
      <w:pPr>
        <w:spacing w:after="0" w:line="189" w:lineRule="exact"/>
        <w:rPr>
          <w:sz w:val="20"/>
          <w:szCs w:val="20"/>
          <w:color w:val="auto"/>
        </w:rPr>
      </w:pPr>
    </w:p>
    <w:p>
      <w:pPr>
        <w:ind w:left="1280" w:hanging="624"/>
        <w:spacing w:after="0" w:line="269" w:lineRule="auto"/>
        <w:tabs>
          <w:tab w:leader="none" w:pos="126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Tax Credit is attributable to an increased payment of which that Tax Payment forms part, to that Tax Payment or to a Tax Deduction in consequence of which that Tax Payment was required; and</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Finance Party has obtained and utilised that Tax Credit,</w:t>
      </w:r>
    </w:p>
    <w:p>
      <w:pPr>
        <w:spacing w:after="0" w:line="189"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Finance Party shall pay an amount to the Company which that Finance Party determines will leave it (after that payment) in the same after-Tax position as it would have been in had the Tax Payment not been required to be made by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b w:val="1"/>
          <w:bCs w:val="1"/>
          <w:color w:val="auto"/>
        </w:rPr>
        <w:t>Lender status confirmation</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Each Lender which is not an Original Lender shall indicate, in the documentation which it executes on becoming a Party as a Lender, and for the benefit of the Agent and without liability to the Company, which of the following categories it falls in:</w:t>
      </w:r>
    </w:p>
    <w:p>
      <w:pPr>
        <w:spacing w:after="0" w:line="133" w:lineRule="exact"/>
        <w:rPr>
          <w:sz w:val="20"/>
          <w:szCs w:val="20"/>
          <w:color w:val="auto"/>
        </w:rPr>
      </w:pPr>
    </w:p>
    <w:p>
      <w:pPr>
        <w:ind w:left="1260" w:hanging="604"/>
        <w:spacing w:after="0"/>
        <w:tabs>
          <w:tab w:leader="none" w:pos="12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 Qualifying Lender;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Lender (other than a Treaty Lender); or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44" w:name="page45"/>
    <w:bookmarkEnd w:id="44"/>
    <w:p>
      <w:pPr>
        <w:ind w:left="1260" w:hanging="604"/>
        <w:spacing w:after="0"/>
        <w:tabs>
          <w:tab w:leader="none" w:pos="12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w:t>
      </w:r>
    </w:p>
    <w:p>
      <w:pPr>
        <w:spacing w:after="0" w:line="189"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If such a Lender fails to indicate its status in accordance with this Clause 12.5 then that Lender shall be treated for the purposes of this Agreement as if it is not a Qualifying Lender until such time as it notifies the Agent which category applies (and the Agent, upon receipt of such notification, shall inform the Company). For the avoidance of doubt, the documentation which a Lender executes on becoming a Party as a Lender shall not be invalidated by any failure of a Lender to comply with this Clause 12.5.</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20"/>
          <w:szCs w:val="20"/>
          <w:b w:val="1"/>
          <w:bCs w:val="1"/>
          <w:color w:val="auto"/>
        </w:rPr>
        <w:t>Stamp taxes</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The Company shall pay and, within three Business Days of demand, indemnify each Finance Party against any cost, loss or liability that Finance Party incurs in relation to all stamp duty, registration and other similar Taxes payable in respect of any Finance Document, provided that this Clause 12.6 shall not apply in respect of any stamp duty, registration or other similar Taxes payable in respect of an assignment or transfer by a Lender of any of its rights and/or obligations under a Finance Document. save to the extent such assignment or transfer is entered into pursuant to Clause 15.1 (</w:t>
      </w:r>
      <w:r>
        <w:rPr>
          <w:rFonts w:ascii="Times New Roman" w:cs="Times New Roman" w:eastAsia="Times New Roman" w:hAnsi="Times New Roman"/>
          <w:sz w:val="20"/>
          <w:szCs w:val="20"/>
          <w:i w:val="1"/>
          <w:iCs w:val="1"/>
          <w:color w:val="auto"/>
        </w:rPr>
        <w:t>Mitigation</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8"/>
          <w:szCs w:val="18"/>
          <w:b w:val="1"/>
          <w:bCs w:val="1"/>
          <w:color w:val="auto"/>
        </w:rPr>
        <w:t>VAT</w:t>
      </w:r>
    </w:p>
    <w:p>
      <w:pPr>
        <w:spacing w:after="0" w:line="193" w:lineRule="exact"/>
        <w:rPr>
          <w:sz w:val="20"/>
          <w:szCs w:val="20"/>
          <w:color w:val="auto"/>
        </w:rPr>
      </w:pPr>
    </w:p>
    <w:p>
      <w:pPr>
        <w:jc w:val="both"/>
        <w:ind w:left="1280" w:hanging="624"/>
        <w:spacing w:after="0" w:line="244" w:lineRule="auto"/>
        <w:tabs>
          <w:tab w:leader="none" w:pos="126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55" w:lineRule="exact"/>
        <w:rPr>
          <w:rFonts w:ascii="Times New Roman" w:cs="Times New Roman" w:eastAsia="Times New Roman" w:hAnsi="Times New Roman"/>
          <w:sz w:val="20"/>
          <w:szCs w:val="20"/>
          <w:color w:val="auto"/>
        </w:rPr>
      </w:pPr>
    </w:p>
    <w:p>
      <w:pPr>
        <w:jc w:val="both"/>
        <w:ind w:left="1280" w:hanging="624"/>
        <w:spacing w:after="0" w:line="250" w:lineRule="auto"/>
        <w:tabs>
          <w:tab w:leader="none" w:pos="126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VAT is or becomes chargeable on any supply made by any Finance Party (the “</w:t>
      </w:r>
      <w:r>
        <w:rPr>
          <w:rFonts w:ascii="Times New Roman" w:cs="Times New Roman" w:eastAsia="Times New Roman" w:hAnsi="Times New Roman"/>
          <w:sz w:val="20"/>
          <w:szCs w:val="20"/>
          <w:b w:val="1"/>
          <w:bCs w:val="1"/>
          <w:color w:val="auto"/>
        </w:rPr>
        <w:t>Supplier</w:t>
      </w:r>
      <w:r>
        <w:rPr>
          <w:rFonts w:ascii="Times New Roman" w:cs="Times New Roman" w:eastAsia="Times New Roman" w:hAnsi="Times New Roman"/>
          <w:sz w:val="20"/>
          <w:szCs w:val="20"/>
          <w:color w:val="auto"/>
        </w:rPr>
        <w:t>”) to any other Finance Party (the “</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under a Finance Document, and any Party other than the Recipient (the “</w:t>
      </w:r>
      <w:r>
        <w:rPr>
          <w:rFonts w:ascii="Times New Roman" w:cs="Times New Roman" w:eastAsia="Times New Roman" w:hAnsi="Times New Roman"/>
          <w:sz w:val="20"/>
          <w:szCs w:val="20"/>
          <w:b w:val="1"/>
          <w:bCs w:val="1"/>
          <w:color w:val="auto"/>
        </w:rPr>
        <w:t>Relevant Party</w:t>
      </w:r>
      <w:r>
        <w:rPr>
          <w:rFonts w:ascii="Times New Roman" w:cs="Times New Roman" w:eastAsia="Times New Roman" w:hAnsi="Times New Roman"/>
          <w:sz w:val="20"/>
          <w:szCs w:val="20"/>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153" w:lineRule="exact"/>
        <w:rPr>
          <w:rFonts w:ascii="Times New Roman" w:cs="Times New Roman" w:eastAsia="Times New Roman" w:hAnsi="Times New Roman"/>
          <w:sz w:val="20"/>
          <w:szCs w:val="20"/>
          <w:color w:val="auto"/>
        </w:rPr>
      </w:pPr>
    </w:p>
    <w:p>
      <w:pPr>
        <w:jc w:val="both"/>
        <w:ind w:left="1920" w:hanging="642"/>
        <w:spacing w:after="0" w:line="247" w:lineRule="auto"/>
        <w:tabs>
          <w:tab w:leader="none" w:pos="19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53"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53"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Finance Document requires any Party to reimburse or indemnify a Finance Party for any cost or expense, that Party shall reimburse or indemnify (as the case may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45" w:name="page46"/>
    <w:bookmarkEnd w:id="45"/>
    <w:p>
      <w:pPr>
        <w:jc w:val="both"/>
        <w:ind w:left="1280"/>
        <w:spacing w:after="0" w:line="282" w:lineRule="auto"/>
        <w:rPr>
          <w:sz w:val="20"/>
          <w:szCs w:val="20"/>
          <w:color w:val="auto"/>
        </w:rPr>
      </w:pPr>
      <w:r>
        <w:rPr>
          <w:rFonts w:ascii="Times New Roman" w:cs="Times New Roman" w:eastAsia="Times New Roman" w:hAnsi="Times New Roman"/>
          <w:sz w:val="20"/>
          <w:szCs w:val="20"/>
          <w:color w:val="auto"/>
        </w:rPr>
        <w:t>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35" w:lineRule="exact"/>
        <w:rPr>
          <w:sz w:val="20"/>
          <w:szCs w:val="20"/>
          <w:color w:val="auto"/>
        </w:rPr>
      </w:pPr>
    </w:p>
    <w:p>
      <w:pPr>
        <w:jc w:val="both"/>
        <w:ind w:left="1280" w:hanging="624"/>
        <w:spacing w:after="0" w:line="247" w:lineRule="auto"/>
        <w:tabs>
          <w:tab w:leader="none" w:pos="126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this Clause 12.7 to any Party shall, at any time when such Party is treated as a member of a group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as amended (or as implemented by the relevant member state of the European Union) or any other similar provision in any jurisdiction which is not a member state of the European Union).</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b w:val="1"/>
          <w:bCs w:val="1"/>
          <w:color w:val="auto"/>
        </w:rPr>
        <w:t>FATCA information</w:t>
      </w:r>
    </w:p>
    <w:p>
      <w:pPr>
        <w:spacing w:after="0" w:line="193" w:lineRule="exact"/>
        <w:rPr>
          <w:sz w:val="20"/>
          <w:szCs w:val="20"/>
          <w:color w:val="auto"/>
        </w:rPr>
      </w:pPr>
    </w:p>
    <w:p>
      <w:pPr>
        <w:ind w:left="1260" w:hanging="604"/>
        <w:spacing w:after="0"/>
        <w:tabs>
          <w:tab w:leader="none" w:pos="12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(c) below, each Party shall, within ten Business Days of a reasonable request by another Party: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 to that other Party whether it is:</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FATCA Exempt Party; or</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 FATCA Exempt Party;</w:t>
      </w:r>
    </w:p>
    <w:p>
      <w:pPr>
        <w:spacing w:after="0" w:line="188"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to that other Party such forms, documentation and other information relating to its status under FATCA as that other Party reasonably requests for the purposes of that other Party's compliance with FATCA; and</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47" w:lineRule="exact"/>
        <w:rPr>
          <w:rFonts w:ascii="Times New Roman" w:cs="Times New Roman" w:eastAsia="Times New Roman" w:hAnsi="Times New Roman"/>
          <w:sz w:val="20"/>
          <w:szCs w:val="20"/>
          <w:color w:val="auto"/>
        </w:rPr>
      </w:pPr>
    </w:p>
    <w:p>
      <w:pPr>
        <w:jc w:val="both"/>
        <w:ind w:left="1280" w:right="20" w:hanging="624"/>
        <w:spacing w:after="0" w:line="254" w:lineRule="auto"/>
        <w:tabs>
          <w:tab w:leader="none" w:pos="126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above shall not oblige any Finance Party to do anything, and paragraph (a)(iii) above shall not oblige any other Party to do anything, which would or might in its reasonable opinion constitute a breach of:</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or regulation;</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fiduciary duty;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duty of confidentiality.</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Party fails to confirm whether or not it is a FATCA Exempt Party or to supply forms, documentation or other information requested in accordance with paragraph (a)(i) or (a)(ii) above (including, for the avoidance of doubt, where paragraph (c) above applies),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89" w:right="239" w:bottom="1440" w:gutter="0" w:footer="0" w:header="0"/>
        </w:sectPr>
      </w:pPr>
    </w:p>
    <w:bookmarkStart w:id="46" w:name="page47"/>
    <w:bookmarkEnd w:id="46"/>
    <w:p>
      <w:pPr>
        <w:jc w:val="both"/>
        <w:ind w:left="1280"/>
        <w:spacing w:after="0" w:line="282" w:lineRule="auto"/>
        <w:rPr>
          <w:sz w:val="20"/>
          <w:szCs w:val="20"/>
          <w:color w:val="auto"/>
        </w:rPr>
      </w:pPr>
      <w:r>
        <w:rPr>
          <w:rFonts w:ascii="Times New Roman" w:cs="Times New Roman" w:eastAsia="Times New Roman" w:hAnsi="Times New Roman"/>
          <w:sz w:val="20"/>
          <w:szCs w:val="20"/>
          <w:color w:val="auto"/>
        </w:rPr>
        <w:t>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35" w:lineRule="exact"/>
        <w:rPr>
          <w:sz w:val="20"/>
          <w:szCs w:val="20"/>
          <w:color w:val="auto"/>
        </w:rPr>
      </w:pPr>
    </w:p>
    <w:p>
      <w:pPr>
        <w:ind w:left="1280" w:hanging="624"/>
        <w:spacing w:after="0" w:line="269" w:lineRule="auto"/>
        <w:tabs>
          <w:tab w:leader="none" w:pos="126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a US Tax Obligor or the Agent reasonably believes that its obligations under FATCA or any other applicable law or regulation require it, each Lender shall, within ten Business Days of:</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Company is a US Tax Obligor and the relevant Lender is an Original Lender, the date of this Agreement;</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Company is a US Tax Obligor on a date on which any other Lender becomes a Party as a Lender, that date; or</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Company is not a US Tax Obligor, the date of a request from the Agent,</w:t>
      </w:r>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supply to the Agent:</w:t>
      </w:r>
    </w:p>
    <w:p>
      <w:pPr>
        <w:spacing w:after="0" w:line="189" w:lineRule="exact"/>
        <w:rPr>
          <w:sz w:val="20"/>
          <w:szCs w:val="20"/>
          <w:color w:val="auto"/>
        </w:rPr>
      </w:pPr>
    </w:p>
    <w:p>
      <w:pPr>
        <w:ind w:left="2540" w:hanging="614"/>
        <w:spacing w:after="0"/>
        <w:tabs>
          <w:tab w:leader="none" w:pos="254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withholding certificate on Form W-8, Form W-9 or any other relevant form; or</w:t>
      </w:r>
    </w:p>
    <w:p>
      <w:pPr>
        <w:spacing w:after="0" w:line="188"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withholding statement or other document, authorisation or waiver as the Agent may require to certify or establish the status of such Lender under FATCA or that other law or regulation.</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provide any withholding certificate, withholding statement document, authorisation or waiver it receives from a Lender pursuant to paragraph (e) above to the Company.</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7" w:lineRule="auto"/>
        <w:tabs>
          <w:tab w:leader="none" w:pos="126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Company.</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b w:val="1"/>
          <w:bCs w:val="1"/>
          <w:color w:val="auto"/>
        </w:rPr>
        <w:t>FATCA Deduction</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89" w:right="239" w:bottom="1440" w:gutter="0" w:footer="0" w:header="0"/>
        </w:sectPr>
      </w:pPr>
    </w:p>
    <w:bookmarkStart w:id="47" w:name="page48"/>
    <w:bookmarkEnd w:id="47"/>
    <w:p>
      <w:pPr>
        <w:ind w:left="620" w:hanging="612"/>
        <w:spacing w:after="0"/>
        <w:tabs>
          <w:tab w:leader="none" w:pos="62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INCREASED COSTS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b w:val="1"/>
          <w:bCs w:val="1"/>
          <w:color w:val="auto"/>
        </w:rPr>
        <w:t>Increased costs</w:t>
      </w:r>
    </w:p>
    <w:p>
      <w:pPr>
        <w:spacing w:after="0" w:line="189" w:lineRule="exact"/>
        <w:rPr>
          <w:sz w:val="20"/>
          <w:szCs w:val="20"/>
          <w:color w:val="auto"/>
        </w:rPr>
      </w:pPr>
    </w:p>
    <w:p>
      <w:pPr>
        <w:jc w:val="both"/>
        <w:ind w:left="1280" w:hanging="624"/>
        <w:spacing w:after="0" w:line="257" w:lineRule="auto"/>
        <w:tabs>
          <w:tab w:leader="none" w:pos="1262"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Clause 13.3 (</w:t>
      </w:r>
      <w:r>
        <w:rPr>
          <w:rFonts w:ascii="Times New Roman" w:cs="Times New Roman" w:eastAsia="Times New Roman" w:hAnsi="Times New Roman"/>
          <w:sz w:val="19"/>
          <w:szCs w:val="19"/>
          <w:i w:val="1"/>
          <w:iCs w:val="1"/>
          <w:color w:val="auto"/>
        </w:rPr>
        <w:t>Exceptions</w:t>
      </w:r>
      <w:r>
        <w:rPr>
          <w:rFonts w:ascii="Times New Roman" w:cs="Times New Roman" w:eastAsia="Times New Roman" w:hAnsi="Times New Roman"/>
          <w:sz w:val="19"/>
          <w:szCs w:val="19"/>
          <w:color w:val="auto"/>
        </w:rPr>
        <w:t>) the Company shall, within three Business Days of a demand by the Agent, pay for the account of a Finance Party the amount of any Increased Costs properly incurred by that Finance Party or any of its Affiliates as a result of (i) the introduction of or any change in (or in the interpretation, administration or application of) any law or regulation or (ii) compliance with any law or regulation made after the date of this Agreement or (iii) the implementation of, or compliance with Basel III and/or CRD IV or any law or regulation to the extent that it implements or applies Basel III and/or</w:t>
      </w:r>
    </w:p>
    <w:p>
      <w:pPr>
        <w:spacing w:after="0" w:line="4" w:lineRule="exact"/>
        <w:rPr>
          <w:rFonts w:ascii="Times New Roman" w:cs="Times New Roman" w:eastAsia="Times New Roman" w:hAnsi="Times New Roman"/>
          <w:sz w:val="19"/>
          <w:szCs w:val="19"/>
          <w:color w:val="auto"/>
        </w:rPr>
      </w:pP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CRD IV.</w:t>
      </w:r>
    </w:p>
    <w:p>
      <w:pPr>
        <w:spacing w:after="0" w:line="166" w:lineRule="exact"/>
        <w:rPr>
          <w:rFonts w:ascii="Times New Roman" w:cs="Times New Roman" w:eastAsia="Times New Roman" w:hAnsi="Times New Roman"/>
          <w:sz w:val="19"/>
          <w:szCs w:val="19"/>
          <w:color w:val="auto"/>
        </w:rPr>
      </w:pPr>
    </w:p>
    <w:p>
      <w:pPr>
        <w:jc w:val="both"/>
        <w:ind w:left="1280" w:right="8620" w:hanging="624"/>
        <w:spacing w:after="0" w:line="459" w:lineRule="auto"/>
        <w:tabs>
          <w:tab w:leader="none" w:pos="1266"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this Agreement: “</w:t>
      </w:r>
      <w:r>
        <w:rPr>
          <w:rFonts w:ascii="Times New Roman" w:cs="Times New Roman" w:eastAsia="Times New Roman" w:hAnsi="Times New Roman"/>
          <w:sz w:val="19"/>
          <w:szCs w:val="19"/>
          <w:b w:val="1"/>
          <w:bCs w:val="1"/>
          <w:color w:val="auto"/>
        </w:rPr>
        <w:t>Basel III</w:t>
      </w:r>
      <w:r>
        <w:rPr>
          <w:rFonts w:ascii="Times New Roman" w:cs="Times New Roman" w:eastAsia="Times New Roman" w:hAnsi="Times New Roman"/>
          <w:sz w:val="19"/>
          <w:szCs w:val="19"/>
          <w:color w:val="auto"/>
        </w:rPr>
        <w:t>” means:</w:t>
      </w:r>
    </w:p>
    <w:p>
      <w:pPr>
        <w:spacing w:after="0" w:line="1" w:lineRule="exact"/>
        <w:rPr>
          <w:rFonts w:ascii="Times New Roman" w:cs="Times New Roman" w:eastAsia="Times New Roman" w:hAnsi="Times New Roman"/>
          <w:sz w:val="19"/>
          <w:szCs w:val="19"/>
          <w:color w:val="auto"/>
        </w:rPr>
      </w:pPr>
    </w:p>
    <w:p>
      <w:pPr>
        <w:ind w:left="1920" w:hanging="642"/>
        <w:spacing w:after="0"/>
        <w:tabs>
          <w:tab w:leader="none" w:pos="192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on capital requirements, a leverage ratio and liquidity standards contained in “Basel III: A global</w:t>
      </w:r>
    </w:p>
    <w:p>
      <w:pPr>
        <w:spacing w:after="0" w:line="21" w:lineRule="exact"/>
        <w:rPr>
          <w:rFonts w:ascii="Times New Roman" w:cs="Times New Roman" w:eastAsia="Times New Roman" w:hAnsi="Times New Roman"/>
          <w:sz w:val="20"/>
          <w:szCs w:val="20"/>
          <w:color w:val="auto"/>
        </w:rPr>
      </w:pPr>
    </w:p>
    <w:p>
      <w:pPr>
        <w:jc w:val="both"/>
        <w:ind w:left="192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framework for more resilient banks and banking systems”, “Basel III: International framework for liquidity risk measurement, standards and monitoring” and “Guidance for international authorities operating the countercyclical capital buffer” published by the Basel Committee on Banking Supervision in December 2010, each as amended, supplemented or restated;</w:t>
      </w:r>
    </w:p>
    <w:p>
      <w:pPr>
        <w:spacing w:after="0" w:line="161"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47"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further guidance or standards published by the Basel Committee on Banking Supervision relating to “Basel III”.</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CRD IV</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920" w:hanging="642"/>
        <w:spacing w:after="0" w:line="269" w:lineRule="auto"/>
        <w:tabs>
          <w:tab w:leader="none" w:pos="19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 (EU) No 575/2013 of the European Parliament and of the Council of 26 June 2013 on prudential requirements for credit institutions and investment firms; and</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Directive 2013/36/EU of the European Parliament and of the Council of 26 June 2013 on access to the activity of credit institutions and the prudential supervision of credit institutions and investment.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48" w:name="page49"/>
    <w:bookmarkEnd w:id="48"/>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Increased Costs</w:t>
      </w:r>
      <w:r>
        <w:rPr>
          <w:rFonts w:ascii="Times New Roman" w:cs="Times New Roman" w:eastAsia="Times New Roman" w:hAnsi="Times New Roman"/>
          <w:sz w:val="20"/>
          <w:szCs w:val="20"/>
          <w:color w:val="auto"/>
        </w:rPr>
        <w:t>” means:</w:t>
      </w:r>
    </w:p>
    <w:p>
      <w:pPr>
        <w:spacing w:after="0" w:line="193" w:lineRule="exact"/>
        <w:rPr>
          <w:sz w:val="20"/>
          <w:szCs w:val="20"/>
          <w:color w:val="auto"/>
        </w:rPr>
      </w:pPr>
    </w:p>
    <w:p>
      <w:pPr>
        <w:ind w:left="1920" w:hanging="642"/>
        <w:spacing w:after="0"/>
        <w:tabs>
          <w:tab w:leader="none" w:pos="19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rate of return from the Facility or on a Finance Party's (or its Affiliate's) overall capital;</w:t>
      </w:r>
    </w:p>
    <w:p>
      <w:pPr>
        <w:spacing w:after="0" w:line="188" w:lineRule="exact"/>
        <w:rPr>
          <w:rFonts w:ascii="Times New Roman" w:cs="Times New Roman" w:eastAsia="Times New Roman" w:hAnsi="Times New Roman"/>
          <w:sz w:val="20"/>
          <w:szCs w:val="20"/>
          <w:color w:val="auto"/>
        </w:rPr>
      </w:pPr>
    </w:p>
    <w:p>
      <w:pPr>
        <w:ind w:left="1720" w:hanging="442"/>
        <w:spacing w:after="0"/>
        <w:tabs>
          <w:tab w:leader="none" w:pos="17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or increased cost; or</w:t>
      </w:r>
    </w:p>
    <w:p>
      <w:pPr>
        <w:spacing w:after="0" w:line="188" w:lineRule="exact"/>
        <w:rPr>
          <w:rFonts w:ascii="Times New Roman" w:cs="Times New Roman" w:eastAsia="Times New Roman" w:hAnsi="Times New Roman"/>
          <w:sz w:val="20"/>
          <w:szCs w:val="20"/>
          <w:color w:val="auto"/>
        </w:rPr>
      </w:pPr>
    </w:p>
    <w:p>
      <w:pPr>
        <w:ind w:left="1780" w:hanging="502"/>
        <w:spacing w:after="0"/>
        <w:tabs>
          <w:tab w:leader="none" w:pos="17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of any amount due and payable under any Finance Document,</w:t>
      </w:r>
    </w:p>
    <w:p>
      <w:pPr>
        <w:spacing w:after="0" w:line="189" w:lineRule="exact"/>
        <w:rPr>
          <w:sz w:val="20"/>
          <w:szCs w:val="20"/>
          <w:color w:val="auto"/>
        </w:rPr>
      </w:pPr>
    </w:p>
    <w:p>
      <w:pPr>
        <w:ind w:left="1280"/>
        <w:spacing w:after="0" w:line="269" w:lineRule="auto"/>
        <w:rPr>
          <w:sz w:val="20"/>
          <w:szCs w:val="20"/>
          <w:color w:val="auto"/>
        </w:rPr>
      </w:pPr>
      <w:r>
        <w:rPr>
          <w:rFonts w:ascii="Times New Roman" w:cs="Times New Roman" w:eastAsia="Times New Roman" w:hAnsi="Times New Roman"/>
          <w:sz w:val="20"/>
          <w:szCs w:val="20"/>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b w:val="1"/>
          <w:bCs w:val="1"/>
          <w:color w:val="auto"/>
        </w:rPr>
        <w:t>Increased cost claims</w:t>
      </w:r>
    </w:p>
    <w:p>
      <w:pPr>
        <w:spacing w:after="0" w:line="189" w:lineRule="exact"/>
        <w:rPr>
          <w:sz w:val="20"/>
          <w:szCs w:val="20"/>
          <w:color w:val="auto"/>
        </w:rPr>
      </w:pPr>
    </w:p>
    <w:p>
      <w:pPr>
        <w:ind w:left="1280" w:hanging="624"/>
        <w:spacing w:after="0" w:line="273" w:lineRule="auto"/>
        <w:tabs>
          <w:tab w:leader="none" w:pos="12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Finance Party intending to make a claim pursuant to Clause 13.1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shall notify the Agent of the event giving rise to the claim, following which the Agent shall promptly notify the Company.</w:t>
      </w:r>
    </w:p>
    <w:p>
      <w:pPr>
        <w:spacing w:after="0" w:line="129"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Finance Party shall, as soon as practicable after a demand by the Agent, provide a certificate setting out, in reasonable detail, the amount and the event giving rise to such Increased Costs (and appending (to the extent available and capable of being disclosed) related documentary evidence).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b w:val="1"/>
          <w:bCs w:val="1"/>
          <w:color w:val="auto"/>
        </w:rPr>
        <w:t>Exceptions</w:t>
      </w:r>
    </w:p>
    <w:p>
      <w:pPr>
        <w:spacing w:after="0" w:line="189" w:lineRule="exact"/>
        <w:rPr>
          <w:sz w:val="20"/>
          <w:szCs w:val="20"/>
          <w:color w:val="auto"/>
        </w:rPr>
      </w:pPr>
    </w:p>
    <w:p>
      <w:pPr>
        <w:ind w:left="1260" w:hanging="604"/>
        <w:spacing w:after="0"/>
        <w:tabs>
          <w:tab w:leader="none" w:pos="126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13.1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does not apply to the extent any Increased Cost is:</w:t>
      </w:r>
    </w:p>
    <w:p>
      <w:pPr>
        <w:spacing w:after="0" w:line="19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to a Tax Deduction required by law to be made by the Company;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to a FATCA Deduction required to be made by a Party;</w:t>
      </w:r>
    </w:p>
    <w:p>
      <w:pPr>
        <w:spacing w:after="0" w:line="184" w:lineRule="exact"/>
        <w:rPr>
          <w:rFonts w:ascii="Times New Roman" w:cs="Times New Roman" w:eastAsia="Times New Roman" w:hAnsi="Times New Roman"/>
          <w:sz w:val="20"/>
          <w:szCs w:val="20"/>
          <w:color w:val="auto"/>
        </w:rPr>
      </w:pPr>
    </w:p>
    <w:p>
      <w:pPr>
        <w:jc w:val="both"/>
        <w:ind w:left="1920" w:hanging="642"/>
        <w:spacing w:after="0" w:line="256" w:lineRule="auto"/>
        <w:tabs>
          <w:tab w:leader="none" w:pos="192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compensated for by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(or would have been compensated for under Clause 12.3 (</w:t>
      </w:r>
      <w:r>
        <w:rPr>
          <w:rFonts w:ascii="Times New Roman" w:cs="Times New Roman" w:eastAsia="Times New Roman" w:hAnsi="Times New Roman"/>
          <w:sz w:val="20"/>
          <w:szCs w:val="20"/>
          <w:i w:val="1"/>
          <w:iCs w:val="1"/>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indemnity</w:t>
      </w:r>
      <w:r>
        <w:rPr>
          <w:rFonts w:ascii="Times New Roman" w:cs="Times New Roman" w:eastAsia="Times New Roman" w:hAnsi="Times New Roman"/>
          <w:sz w:val="20"/>
          <w:szCs w:val="20"/>
          <w:color w:val="auto"/>
        </w:rPr>
        <w:t>) but was not so compensated solely because any of the exclusions in paragraph (b) of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applied); or</w:t>
      </w:r>
    </w:p>
    <w:p>
      <w:pPr>
        <w:spacing w:after="0" w:line="14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to the wilful breach by the relevant Finance Party or its Affiliates of any law or regulation.</w:t>
      </w:r>
    </w:p>
    <w:p>
      <w:pPr>
        <w:spacing w:after="0" w:line="184"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Clause 13.3, a reference to a “</w:t>
      </w:r>
      <w:r>
        <w:rPr>
          <w:rFonts w:ascii="Times New Roman" w:cs="Times New Roman" w:eastAsia="Times New Roman" w:hAnsi="Times New Roman"/>
          <w:sz w:val="20"/>
          <w:szCs w:val="20"/>
          <w:b w:val="1"/>
          <w:bCs w:val="1"/>
          <w:color w:val="auto"/>
        </w:rPr>
        <w:t>Tax Deduction</w:t>
      </w:r>
      <w:r>
        <w:rPr>
          <w:rFonts w:ascii="Times New Roman" w:cs="Times New Roman" w:eastAsia="Times New Roman" w:hAnsi="Times New Roman"/>
          <w:sz w:val="20"/>
          <w:szCs w:val="20"/>
          <w:color w:val="auto"/>
        </w:rPr>
        <w:t>” has the same meaning given to that term in Clause 12.1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INDEMNITIES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b w:val="1"/>
          <w:bCs w:val="1"/>
          <w:color w:val="auto"/>
        </w:rPr>
        <w:t>Currency indemnity</w:t>
      </w:r>
    </w:p>
    <w:p>
      <w:pPr>
        <w:spacing w:after="0" w:line="189" w:lineRule="exact"/>
        <w:rPr>
          <w:sz w:val="20"/>
          <w:szCs w:val="20"/>
          <w:color w:val="auto"/>
        </w:rPr>
      </w:pPr>
    </w:p>
    <w:p>
      <w:pPr>
        <w:jc w:val="both"/>
        <w:ind w:left="1280" w:hanging="624"/>
        <w:spacing w:after="0" w:line="256" w:lineRule="auto"/>
        <w:tabs>
          <w:tab w:leader="none" w:pos="126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sum due from the Company under the Finance Documents (a “</w:t>
      </w:r>
      <w:r>
        <w:rPr>
          <w:rFonts w:ascii="Times New Roman" w:cs="Times New Roman" w:eastAsia="Times New Roman" w:hAnsi="Times New Roman"/>
          <w:sz w:val="20"/>
          <w:szCs w:val="20"/>
          <w:b w:val="1"/>
          <w:bCs w:val="1"/>
          <w:color w:val="auto"/>
        </w:rPr>
        <w:t>Sum</w:t>
      </w:r>
      <w:r>
        <w:rPr>
          <w:rFonts w:ascii="Times New Roman" w:cs="Times New Roman" w:eastAsia="Times New Roman" w:hAnsi="Times New Roman"/>
          <w:sz w:val="20"/>
          <w:szCs w:val="20"/>
          <w:color w:val="auto"/>
        </w:rPr>
        <w:t>”), or any order, judgment or award given or made in relation to a Sum, has to be converted from the currency (the “</w:t>
      </w:r>
      <w:r>
        <w:rPr>
          <w:rFonts w:ascii="Times New Roman" w:cs="Times New Roman" w:eastAsia="Times New Roman" w:hAnsi="Times New Roman"/>
          <w:sz w:val="20"/>
          <w:szCs w:val="20"/>
          <w:b w:val="1"/>
          <w:bCs w:val="1"/>
          <w:color w:val="auto"/>
        </w:rPr>
        <w:t>First Currency</w:t>
      </w:r>
      <w:r>
        <w:rPr>
          <w:rFonts w:ascii="Times New Roman" w:cs="Times New Roman" w:eastAsia="Times New Roman" w:hAnsi="Times New Roman"/>
          <w:sz w:val="20"/>
          <w:szCs w:val="20"/>
          <w:color w:val="auto"/>
        </w:rPr>
        <w:t>”) in which that Sum is payable into another currency (the “</w:t>
      </w:r>
      <w:r>
        <w:rPr>
          <w:rFonts w:ascii="Times New Roman" w:cs="Times New Roman" w:eastAsia="Times New Roman" w:hAnsi="Times New Roman"/>
          <w:sz w:val="20"/>
          <w:szCs w:val="20"/>
          <w:b w:val="1"/>
          <w:bCs w:val="1"/>
          <w:color w:val="auto"/>
        </w:rPr>
        <w:t>Second Currency</w:t>
      </w:r>
      <w:r>
        <w:rPr>
          <w:rFonts w:ascii="Times New Roman" w:cs="Times New Roman" w:eastAsia="Times New Roman" w:hAnsi="Times New Roman"/>
          <w:sz w:val="20"/>
          <w:szCs w:val="20"/>
          <w:color w:val="auto"/>
        </w:rPr>
        <w:t>”) for the purpose of:</w:t>
      </w:r>
    </w:p>
    <w:p>
      <w:pPr>
        <w:spacing w:after="0" w:line="14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or filing a claim or proof against the Company;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or enforcing an order, judgment or award in relation to any litigation or arbitration proceedings,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49" w:name="page50"/>
    <w:bookmarkEnd w:id="49"/>
    <w:p>
      <w:pPr>
        <w:jc w:val="both"/>
        <w:ind w:left="1280"/>
        <w:spacing w:after="0" w:line="249" w:lineRule="auto"/>
        <w:rPr>
          <w:sz w:val="20"/>
          <w:szCs w:val="20"/>
          <w:color w:val="auto"/>
        </w:rPr>
      </w:pPr>
      <w:r>
        <w:rPr>
          <w:rFonts w:ascii="Times New Roman" w:cs="Times New Roman" w:eastAsia="Times New Roman" w:hAnsi="Times New Roman"/>
          <w:sz w:val="20"/>
          <w:szCs w:val="20"/>
          <w:color w:val="auto"/>
        </w:rPr>
        <w:t>the Company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53" w:lineRule="exact"/>
        <w:rPr>
          <w:sz w:val="20"/>
          <w:szCs w:val="20"/>
          <w:color w:val="auto"/>
        </w:rPr>
      </w:pPr>
    </w:p>
    <w:p>
      <w:pPr>
        <w:ind w:left="1280" w:hanging="624"/>
        <w:spacing w:after="0" w:line="269" w:lineRule="auto"/>
        <w:tabs>
          <w:tab w:leader="none" w:pos="12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waives any right it may have in any jurisdiction to pay any amount under the Finance Documents in a currency or currency unit other than that in which it is expressed to be payable.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b w:val="1"/>
          <w:bCs w:val="1"/>
          <w:color w:val="auto"/>
        </w:rPr>
        <w:t>Other indemnities</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The Company shall, within three Business Days of demand, indemnify each Finance Party against any cost, loss or liability incurred by that Finance Party as a result of:</w:t>
      </w:r>
    </w:p>
    <w:p>
      <w:pPr>
        <w:spacing w:after="0" w:line="133" w:lineRule="exact"/>
        <w:rPr>
          <w:sz w:val="20"/>
          <w:szCs w:val="20"/>
          <w:color w:val="auto"/>
        </w:rPr>
      </w:pPr>
    </w:p>
    <w:p>
      <w:pPr>
        <w:ind w:left="1260" w:hanging="604"/>
        <w:spacing w:after="0"/>
        <w:tabs>
          <w:tab w:leader="none" w:pos="12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Default;</w:t>
      </w:r>
    </w:p>
    <w:p>
      <w:pPr>
        <w:spacing w:after="0" w:line="188"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failure by the Company to pay any amount due under a Finance Document on its due date, including without limitation, any cost, loss or liability arising as a result of Clause 26 (</w:t>
      </w:r>
      <w:r>
        <w:rPr>
          <w:rFonts w:ascii="Times New Roman" w:cs="Times New Roman" w:eastAsia="Times New Roman" w:hAnsi="Times New Roman"/>
          <w:sz w:val="20"/>
          <w:szCs w:val="20"/>
          <w:i w:val="1"/>
          <w:iCs w:val="1"/>
          <w:color w:val="auto"/>
        </w:rPr>
        <w:t>Sharing among the Finance Parties</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funding, or making arrangements to fund, its participation in a Loan requested by the Company in a Utilisation Request but not made by reason of the operation of any one or more of the provisions of this Agreement (other than by reason of default or negligence by that Finance Party alone); or</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 (or part of a Loan) not being prepaid in accordance with a notice of prepayment given by the Company.</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19"/>
          <w:szCs w:val="19"/>
          <w:b w:val="1"/>
          <w:bCs w:val="1"/>
          <w:color w:val="auto"/>
        </w:rPr>
        <w:t>Indemnity to the Agent</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shall promptly indemnify the Agent against any cost, loss or liability incurred by the Agent (acting reasonably) as a result of:</w:t>
      </w:r>
    </w:p>
    <w:p>
      <w:pPr>
        <w:spacing w:after="0" w:line="133" w:lineRule="exact"/>
        <w:rPr>
          <w:sz w:val="20"/>
          <w:szCs w:val="20"/>
          <w:color w:val="auto"/>
        </w:rPr>
      </w:pPr>
    </w:p>
    <w:p>
      <w:pPr>
        <w:ind w:left="1260" w:hanging="604"/>
        <w:spacing w:after="0"/>
        <w:tabs>
          <w:tab w:leader="none" w:pos="126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investigating any event which it reasonably believes is a Default;</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or relying on any notice, request or instruction which it reasonably believes to be genuine, correct and appropriately authorised; or</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instructing lawyers, accountants, tax advisers, surveyors or other professional advisers or experts as permitted under this Agreement.</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MITIGATION BY THE LENDERS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Mitigation</w:t>
      </w:r>
    </w:p>
    <w:p>
      <w:pPr>
        <w:spacing w:after="0" w:line="193" w:lineRule="exact"/>
        <w:rPr>
          <w:sz w:val="20"/>
          <w:szCs w:val="20"/>
          <w:color w:val="auto"/>
        </w:rPr>
      </w:pPr>
    </w:p>
    <w:p>
      <w:pPr>
        <w:jc w:val="both"/>
        <w:ind w:left="1280" w:hanging="624"/>
        <w:spacing w:after="0" w:line="249" w:lineRule="auto"/>
        <w:tabs>
          <w:tab w:leader="none" w:pos="126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Finance Party shall, in consultation with the Company, take all reasonable steps to mitigate any circumstances which arise and which would result in any amount becoming payable under or pursuant to, or cancelled pursuant to, any of Clause 7.1 (</w:t>
      </w:r>
      <w:r>
        <w:rPr>
          <w:rFonts w:ascii="Times New Roman" w:cs="Times New Roman" w:eastAsia="Times New Roman" w:hAnsi="Times New Roman"/>
          <w:sz w:val="20"/>
          <w:szCs w:val="20"/>
          <w:i w:val="1"/>
          <w:iCs w:val="1"/>
          <w:color w:val="auto"/>
        </w:rPr>
        <w:t>Illegality</w:t>
      </w:r>
      <w:r>
        <w:rPr>
          <w:rFonts w:ascii="Times New Roman" w:cs="Times New Roman" w:eastAsia="Times New Roman" w:hAnsi="Times New Roman"/>
          <w:sz w:val="20"/>
          <w:szCs w:val="20"/>
          <w:color w:val="auto"/>
        </w:rPr>
        <w:t>), Clause 12 (</w:t>
      </w:r>
      <w:r>
        <w:rPr>
          <w:rFonts w:ascii="Times New Roman" w:cs="Times New Roman" w:eastAsia="Times New Roman" w:hAnsi="Times New Roman"/>
          <w:sz w:val="20"/>
          <w:szCs w:val="20"/>
          <w:i w:val="1"/>
          <w:iCs w:val="1"/>
          <w:color w:val="auto"/>
        </w:rPr>
        <w:t>Tax gross-up and indemnities</w:t>
      </w:r>
      <w:r>
        <w:rPr>
          <w:rFonts w:ascii="Times New Roman" w:cs="Times New Roman" w:eastAsia="Times New Roman" w:hAnsi="Times New Roman"/>
          <w:sz w:val="20"/>
          <w:szCs w:val="20"/>
          <w:color w:val="auto"/>
        </w:rPr>
        <w:t>) or Clause 13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including (but not limited to) transferring its rights and obligations under the Finance Documents to another Affiliate or Facility Office.</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above does not in any way limit the obligations of the Company under the Finance Documents.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50" w:name="page51"/>
    <w:bookmarkEnd w:id="50"/>
    <w:p>
      <w:pPr>
        <w:spacing w:after="0"/>
        <w:tabs>
          <w:tab w:leader="none" w:pos="60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Limitation of liability</w:t>
      </w:r>
    </w:p>
    <w:p>
      <w:pPr>
        <w:spacing w:after="0" w:line="193" w:lineRule="exact"/>
        <w:rPr>
          <w:sz w:val="20"/>
          <w:szCs w:val="20"/>
          <w:color w:val="auto"/>
        </w:rPr>
      </w:pPr>
    </w:p>
    <w:p>
      <w:pPr>
        <w:ind w:left="1280" w:hanging="624"/>
        <w:spacing w:after="0" w:line="269" w:lineRule="auto"/>
        <w:tabs>
          <w:tab w:leader="none" w:pos="126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indemnify each Finance Party for all costs and expenses reasonably incurred by that Finance Party as a result of steps taken by it under Clause 15.1 (</w:t>
      </w:r>
      <w:r>
        <w:rPr>
          <w:rFonts w:ascii="Times New Roman" w:cs="Times New Roman" w:eastAsia="Times New Roman" w:hAnsi="Times New Roman"/>
          <w:sz w:val="20"/>
          <w:szCs w:val="20"/>
          <w:i w:val="1"/>
          <w:iCs w:val="1"/>
          <w:color w:val="auto"/>
        </w:rPr>
        <w:t>Mitigation</w:t>
      </w:r>
      <w:r>
        <w:rPr>
          <w:rFonts w:ascii="Times New Roman" w:cs="Times New Roman" w:eastAsia="Times New Roman" w:hAnsi="Times New Roman"/>
          <w:sz w:val="20"/>
          <w:szCs w:val="20"/>
          <w:color w:val="auto"/>
        </w:rPr>
        <w:t>).</w:t>
      </w:r>
    </w:p>
    <w:p>
      <w:pPr>
        <w:spacing w:after="0" w:line="128" w:lineRule="exact"/>
        <w:rPr>
          <w:rFonts w:ascii="Times New Roman" w:cs="Times New Roman" w:eastAsia="Times New Roman" w:hAnsi="Times New Roman"/>
          <w:sz w:val="20"/>
          <w:szCs w:val="20"/>
          <w:color w:val="auto"/>
        </w:rPr>
      </w:pPr>
    </w:p>
    <w:p>
      <w:pPr>
        <w:ind w:left="1280" w:hanging="624"/>
        <w:spacing w:after="0" w:line="273" w:lineRule="auto"/>
        <w:tabs>
          <w:tab w:leader="none" w:pos="126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Finance Party is not obliged to take any steps under Clause 15.1 (</w:t>
      </w:r>
      <w:r>
        <w:rPr>
          <w:rFonts w:ascii="Times New Roman" w:cs="Times New Roman" w:eastAsia="Times New Roman" w:hAnsi="Times New Roman"/>
          <w:sz w:val="20"/>
          <w:szCs w:val="20"/>
          <w:i w:val="1"/>
          <w:iCs w:val="1"/>
          <w:color w:val="auto"/>
        </w:rPr>
        <w:t>Mitigation</w:t>
      </w:r>
      <w:r>
        <w:rPr>
          <w:rFonts w:ascii="Times New Roman" w:cs="Times New Roman" w:eastAsia="Times New Roman" w:hAnsi="Times New Roman"/>
          <w:sz w:val="20"/>
          <w:szCs w:val="20"/>
          <w:color w:val="auto"/>
        </w:rPr>
        <w:t>) if, in the opinion of that Finance Party (acting reasonably), to do so might be prejudicial to it.</w:t>
      </w:r>
    </w:p>
    <w:p>
      <w:pPr>
        <w:spacing w:after="0" w:line="125"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COSTS AND EXPENSES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b w:val="1"/>
          <w:bCs w:val="1"/>
          <w:color w:val="auto"/>
        </w:rPr>
        <w:t>Transaction expenses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 shall promptly on demand pay the Agent and the Arranger, subject to any agreed caps, the amount of all costs and expenses (including legal fees) reasonably incurred by any of them in connection with the negotiation, preparation, printing, execution and syndication of:</w:t>
      </w:r>
    </w:p>
    <w:p>
      <w:pPr>
        <w:spacing w:after="0" w:line="148" w:lineRule="exact"/>
        <w:rPr>
          <w:sz w:val="20"/>
          <w:szCs w:val="20"/>
          <w:color w:val="auto"/>
        </w:rPr>
      </w:pPr>
    </w:p>
    <w:p>
      <w:pPr>
        <w:ind w:left="1260" w:hanging="604"/>
        <w:spacing w:after="0"/>
        <w:tabs>
          <w:tab w:leader="none" w:pos="1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any other documents referred to in this Agreement; and</w:t>
      </w:r>
    </w:p>
    <w:p>
      <w:pPr>
        <w:spacing w:after="0" w:line="188" w:lineRule="exact"/>
        <w:rPr>
          <w:rFonts w:ascii="Times New Roman" w:cs="Times New Roman" w:eastAsia="Times New Roman" w:hAnsi="Times New Roman"/>
          <w:sz w:val="20"/>
          <w:szCs w:val="20"/>
          <w:color w:val="auto"/>
        </w:rPr>
      </w:pPr>
    </w:p>
    <w:p>
      <w:pPr>
        <w:ind w:right="4420" w:firstLine="656"/>
        <w:spacing w:after="0" w:line="436" w:lineRule="auto"/>
        <w:tabs>
          <w:tab w:leader="none" w:pos="125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Finance Documents executed after the date of this Agreement. 16.2 </w:t>
      </w:r>
      <w:r>
        <w:rPr>
          <w:rFonts w:ascii="Times New Roman" w:cs="Times New Roman" w:eastAsia="Times New Roman" w:hAnsi="Times New Roman"/>
          <w:sz w:val="20"/>
          <w:szCs w:val="20"/>
          <w:b w:val="1"/>
          <w:bCs w:val="1"/>
          <w:color w:val="auto"/>
        </w:rPr>
        <w:t>Amendment costs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w:t>
      </w:r>
    </w:p>
    <w:p>
      <w:pPr>
        <w:spacing w:after="0" w:line="189" w:lineRule="exact"/>
        <w:rPr>
          <w:sz w:val="20"/>
          <w:szCs w:val="20"/>
          <w:color w:val="auto"/>
        </w:rPr>
      </w:pPr>
    </w:p>
    <w:p>
      <w:pPr>
        <w:ind w:left="1260" w:hanging="604"/>
        <w:spacing w:after="0"/>
        <w:tabs>
          <w:tab w:leader="none" w:pos="12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requests an amendment, waiver or consent; or</w:t>
      </w:r>
    </w:p>
    <w:p>
      <w:pPr>
        <w:spacing w:after="0" w:line="184"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amendment is required pursuant to Clause 27.9 (</w:t>
      </w:r>
      <w:r>
        <w:rPr>
          <w:rFonts w:ascii="Times New Roman" w:cs="Times New Roman" w:eastAsia="Times New Roman" w:hAnsi="Times New Roman"/>
          <w:sz w:val="20"/>
          <w:szCs w:val="20"/>
          <w:i w:val="1"/>
          <w:iCs w:val="1"/>
          <w:color w:val="auto"/>
        </w:rPr>
        <w:t>Change of currency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the Company shall, within three Business Days of demand, reimburse the Agent for the amount of all costs and expenses (including legal fees) reasonably incurred by the Agent in responding to, evaluating, negotiating or complying with that request or requirement.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19"/>
          <w:szCs w:val="19"/>
          <w:b w:val="1"/>
          <w:bCs w:val="1"/>
          <w:color w:val="auto"/>
        </w:rPr>
        <w:t>Enforcement costs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 shall, within three Business Days of demand, pay to each Finance Party the amount of all costs and expenses (including legal fees) incurred by that Finance Party in connection with the enforcement of, or the preservation of any rights under, any Finance Document.</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UNDERTAKINGS AND EVENTS OF DEFAULT</w:t>
      </w:r>
    </w:p>
    <w:p>
      <w:pPr>
        <w:spacing w:after="0" w:line="163" w:lineRule="exact"/>
        <w:rPr>
          <w:sz w:val="20"/>
          <w:szCs w:val="20"/>
          <w:color w:val="auto"/>
        </w:rPr>
      </w:pPr>
    </w:p>
    <w:p>
      <w:pPr>
        <w:ind w:left="620" w:hanging="612"/>
        <w:spacing w:after="0"/>
        <w:tabs>
          <w:tab w:leader="none" w:pos="62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w:t>
      </w:r>
    </w:p>
    <w:p>
      <w:pPr>
        <w:spacing w:after="0" w:line="192" w:lineRule="exact"/>
        <w:rPr>
          <w:rFonts w:ascii="Times New Roman" w:cs="Times New Roman" w:eastAsia="Times New Roman" w:hAnsi="Times New Roman"/>
          <w:sz w:val="20"/>
          <w:szCs w:val="20"/>
          <w:b w:val="1"/>
          <w:bCs w:val="1"/>
          <w:color w:val="auto"/>
        </w:rPr>
      </w:pPr>
    </w:p>
    <w:p>
      <w:pPr>
        <w:ind w:left="1280" w:hanging="624"/>
        <w:spacing w:after="0" w:line="269" w:lineRule="auto"/>
        <w:tabs>
          <w:tab w:leader="none" w:pos="1262"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(b) below, the Company makes the representations and warranties set out in this Clause 17 to each Finance Party on the date of this Agreement.</w:t>
      </w:r>
    </w:p>
    <w:p>
      <w:pPr>
        <w:spacing w:after="0" w:line="128" w:lineRule="exact"/>
        <w:rPr>
          <w:rFonts w:ascii="Times New Roman" w:cs="Times New Roman" w:eastAsia="Times New Roman" w:hAnsi="Times New Roman"/>
          <w:sz w:val="20"/>
          <w:szCs w:val="20"/>
          <w:color w:val="auto"/>
        </w:rPr>
      </w:pPr>
    </w:p>
    <w:p>
      <w:pPr>
        <w:ind w:left="1280" w:hanging="624"/>
        <w:spacing w:after="0" w:line="273" w:lineRule="auto"/>
        <w:tabs>
          <w:tab w:leader="none" w:pos="1262"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out in paragraphs (a) and (b) of Clause 17.12 (</w:t>
      </w:r>
      <w:r>
        <w:rPr>
          <w:rFonts w:ascii="Times New Roman" w:cs="Times New Roman" w:eastAsia="Times New Roman" w:hAnsi="Times New Roman"/>
          <w:sz w:val="20"/>
          <w:szCs w:val="20"/>
          <w:i w:val="1"/>
          <w:iCs w:val="1"/>
          <w:color w:val="auto"/>
        </w:rPr>
        <w:t>No misleading information</w:t>
      </w:r>
      <w:r>
        <w:rPr>
          <w:rFonts w:ascii="Times New Roman" w:cs="Times New Roman" w:eastAsia="Times New Roman" w:hAnsi="Times New Roman"/>
          <w:sz w:val="20"/>
          <w:szCs w:val="20"/>
          <w:color w:val="auto"/>
        </w:rPr>
        <w:t>) are made by the Company on the date of this Agreement or, if later, on the date such information or projections are delivered.</w:t>
      </w:r>
    </w:p>
    <w:p>
      <w:pPr>
        <w:spacing w:after="0" w:line="1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20"/>
          <w:szCs w:val="20"/>
          <w:b w:val="1"/>
          <w:bCs w:val="1"/>
          <w:color w:val="auto"/>
        </w:rPr>
        <w:t>Status</w:t>
      </w:r>
    </w:p>
    <w:p>
      <w:pPr>
        <w:spacing w:after="0" w:line="193" w:lineRule="exact"/>
        <w:rPr>
          <w:sz w:val="20"/>
          <w:szCs w:val="20"/>
          <w:color w:val="auto"/>
        </w:rPr>
      </w:pPr>
    </w:p>
    <w:p>
      <w:pPr>
        <w:ind w:left="1260" w:hanging="604"/>
        <w:spacing w:after="0"/>
        <w:tabs>
          <w:tab w:leader="none" w:pos="12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corporation, duly incorporated and validly existing under the law of its jurisdiction of incorporation.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51" w:name="page52"/>
    <w:bookmarkEnd w:id="51"/>
    <w:p>
      <w:pPr>
        <w:ind w:right="1380" w:firstLine="656"/>
        <w:spacing w:after="0" w:line="436" w:lineRule="auto"/>
        <w:tabs>
          <w:tab w:leader="none" w:pos="125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and each of its Subsidiaries has the power to own its assets and carry on its business as it is being conducted. 17.3 </w:t>
      </w:r>
      <w:r>
        <w:rPr>
          <w:rFonts w:ascii="Times New Roman" w:cs="Times New Roman" w:eastAsia="Times New Roman" w:hAnsi="Times New Roman"/>
          <w:sz w:val="20"/>
          <w:szCs w:val="20"/>
          <w:b w:val="1"/>
          <w:bCs w:val="1"/>
          <w:color w:val="auto"/>
        </w:rPr>
        <w:t>Binding obligations</w:t>
      </w:r>
    </w:p>
    <w:p>
      <w:pPr>
        <w:spacing w:after="0" w:line="2"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The obligations expressed to be assumed by it in each Finance Document are, subject to the Legal Reservations, legal, valid, binding and enforceable obligations.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9"/>
          <w:szCs w:val="19"/>
          <w:b w:val="1"/>
          <w:bCs w:val="1"/>
          <w:color w:val="auto"/>
        </w:rPr>
        <w:t>Non-conflict with other obligations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Subject to the Legal Reservations, the entry into and performance by it of, and the transactions contemplated by, the Finance Documents do not and will not conflict with:</w:t>
      </w:r>
    </w:p>
    <w:p>
      <w:pPr>
        <w:spacing w:after="0" w:line="133" w:lineRule="exact"/>
        <w:rPr>
          <w:sz w:val="20"/>
          <w:szCs w:val="20"/>
          <w:color w:val="auto"/>
        </w:rPr>
      </w:pPr>
    </w:p>
    <w:p>
      <w:pPr>
        <w:ind w:left="1260" w:hanging="604"/>
        <w:spacing w:after="0"/>
        <w:tabs>
          <w:tab w:leader="none" w:pos="12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or regulation applicable to it;</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or any of its Subsidiaries' constitutional documents; or</w:t>
      </w:r>
    </w:p>
    <w:p>
      <w:pPr>
        <w:spacing w:after="0" w:line="188" w:lineRule="exact"/>
        <w:rPr>
          <w:rFonts w:ascii="Times New Roman" w:cs="Times New Roman" w:eastAsia="Times New Roman" w:hAnsi="Times New Roman"/>
          <w:sz w:val="20"/>
          <w:szCs w:val="20"/>
          <w:color w:val="auto"/>
        </w:rPr>
      </w:pPr>
    </w:p>
    <w:p>
      <w:pPr>
        <w:ind w:right="1000" w:firstLine="656"/>
        <w:spacing w:after="0" w:line="436" w:lineRule="auto"/>
        <w:tabs>
          <w:tab w:leader="none" w:pos="125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binding upon it or any of its Subsidiaries or any of its or any of its Subsidiaries' assets. 17.5 </w:t>
      </w:r>
      <w:r>
        <w:rPr>
          <w:rFonts w:ascii="Times New Roman" w:cs="Times New Roman" w:eastAsia="Times New Roman" w:hAnsi="Times New Roman"/>
          <w:sz w:val="20"/>
          <w:szCs w:val="20"/>
          <w:b w:val="1"/>
          <w:bCs w:val="1"/>
          <w:color w:val="auto"/>
        </w:rPr>
        <w:t>Power and authority</w:t>
      </w:r>
    </w:p>
    <w:p>
      <w:pPr>
        <w:spacing w:after="0" w:line="2"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19"/>
          <w:szCs w:val="19"/>
          <w:b w:val="1"/>
          <w:bCs w:val="1"/>
          <w:color w:val="auto"/>
        </w:rPr>
        <w:t>Validity and admissibility in evidence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All Authorisations required:</w:t>
      </w:r>
    </w:p>
    <w:p>
      <w:pPr>
        <w:spacing w:after="0" w:line="189" w:lineRule="exact"/>
        <w:rPr>
          <w:sz w:val="20"/>
          <w:szCs w:val="20"/>
          <w:color w:val="auto"/>
        </w:rPr>
      </w:pPr>
    </w:p>
    <w:p>
      <w:pPr>
        <w:ind w:left="1260" w:hanging="604"/>
        <w:spacing w:after="0"/>
        <w:tabs>
          <w:tab w:leader="none" w:pos="12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enable it lawfully to enter into, exercise its rights and comply with its obligations in the Finance Documents;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the Finance Documents admissible in evidence in its jurisdiction of incorporation,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have been obtained or effected and are in full force and effect.</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17.7</w:t>
      </w:r>
      <w:r>
        <w:rPr>
          <w:sz w:val="20"/>
          <w:szCs w:val="20"/>
          <w:color w:val="auto"/>
        </w:rPr>
        <w:tab/>
      </w:r>
      <w:r>
        <w:rPr>
          <w:rFonts w:ascii="Times New Roman" w:cs="Times New Roman" w:eastAsia="Times New Roman" w:hAnsi="Times New Roman"/>
          <w:sz w:val="19"/>
          <w:szCs w:val="19"/>
          <w:b w:val="1"/>
          <w:bCs w:val="1"/>
          <w:color w:val="auto"/>
        </w:rPr>
        <w:t>Governing law and enforcement</w:t>
      </w:r>
    </w:p>
    <w:p>
      <w:pPr>
        <w:spacing w:after="0" w:line="193" w:lineRule="exact"/>
        <w:rPr>
          <w:sz w:val="20"/>
          <w:szCs w:val="20"/>
          <w:color w:val="auto"/>
        </w:rPr>
      </w:pPr>
    </w:p>
    <w:p>
      <w:pPr>
        <w:ind w:left="1260" w:hanging="604"/>
        <w:spacing w:after="0"/>
        <w:tabs>
          <w:tab w:leader="none" w:pos="12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Legal Reservations:</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choice of English law as the governing law of the Finance Documents will be recognised and enforced in its jurisdiction of incorporation; and</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judgment obtained in England in relation to a Finance Document will be recognised and enforced in its jurisdiction of incorporation.</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17.8</w:t>
      </w:r>
      <w:r>
        <w:rPr>
          <w:sz w:val="20"/>
          <w:szCs w:val="20"/>
          <w:color w:val="auto"/>
        </w:rPr>
        <w:tab/>
      </w:r>
      <w:r>
        <w:rPr>
          <w:rFonts w:ascii="Times New Roman" w:cs="Times New Roman" w:eastAsia="Times New Roman" w:hAnsi="Times New Roman"/>
          <w:sz w:val="20"/>
          <w:szCs w:val="20"/>
          <w:b w:val="1"/>
          <w:bCs w:val="1"/>
          <w:color w:val="auto"/>
        </w:rPr>
        <w:t>Insolvency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t>
      </w:r>
    </w:p>
    <w:p>
      <w:pPr>
        <w:spacing w:after="0" w:line="212" w:lineRule="exact"/>
        <w:rPr>
          <w:sz w:val="20"/>
          <w:szCs w:val="20"/>
          <w:color w:val="auto"/>
        </w:rPr>
      </w:pPr>
    </w:p>
    <w:p>
      <w:pPr>
        <w:ind w:left="1300" w:hanging="644"/>
        <w:spacing w:after="0" w:line="273" w:lineRule="auto"/>
        <w:tabs>
          <w:tab w:leader="none" w:pos="13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action, legal proceeding or other procedure or step described in paragraph (a) of Clause 21.7 (</w:t>
      </w:r>
      <w:r>
        <w:rPr>
          <w:rFonts w:ascii="Times New Roman" w:cs="Times New Roman" w:eastAsia="Times New Roman" w:hAnsi="Times New Roman"/>
          <w:sz w:val="20"/>
          <w:szCs w:val="20"/>
          <w:i w:val="1"/>
          <w:iCs w:val="1"/>
          <w:color w:val="auto"/>
        </w:rPr>
        <w:t>Insolvency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Proceedings</w:t>
      </w:r>
      <w:r>
        <w:rPr>
          <w:rFonts w:ascii="Times New Roman" w:cs="Times New Roman" w:eastAsia="Times New Roman" w:hAnsi="Times New Roman"/>
          <w:sz w:val="20"/>
          <w:szCs w:val="20"/>
          <w:color w:val="auto"/>
        </w:rPr>
        <w:t>); or</w:t>
      </w:r>
    </w:p>
    <w:p>
      <w:pPr>
        <w:spacing w:after="0" w:line="1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creditors' process described in Clause 21.8 (</w:t>
      </w:r>
      <w:r>
        <w:rPr>
          <w:rFonts w:ascii="Times New Roman" w:cs="Times New Roman" w:eastAsia="Times New Roman" w:hAnsi="Times New Roman"/>
          <w:sz w:val="20"/>
          <w:szCs w:val="20"/>
          <w:i w:val="1"/>
          <w:iCs w:val="1"/>
          <w:color w:val="auto"/>
        </w:rPr>
        <w:t>Creditor’s process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52" w:name="page53"/>
    <w:bookmarkEnd w:id="52"/>
    <w:p>
      <w:pPr>
        <w:ind w:left="660" w:right="220"/>
        <w:spacing w:after="0" w:line="269" w:lineRule="auto"/>
        <w:rPr>
          <w:sz w:val="20"/>
          <w:szCs w:val="20"/>
          <w:color w:val="auto"/>
        </w:rPr>
      </w:pPr>
      <w:r>
        <w:rPr>
          <w:rFonts w:ascii="Times New Roman" w:cs="Times New Roman" w:eastAsia="Times New Roman" w:hAnsi="Times New Roman"/>
          <w:sz w:val="20"/>
          <w:szCs w:val="20"/>
          <w:color w:val="auto"/>
        </w:rPr>
        <w:t>has been taken or, to its knowledge, threatened in relation to the Company or any Material Subsidiary; and none of the circumstances described in Clause 21.6 (</w:t>
      </w:r>
      <w:r>
        <w:rPr>
          <w:rFonts w:ascii="Times New Roman" w:cs="Times New Roman" w:eastAsia="Times New Roman" w:hAnsi="Times New Roman"/>
          <w:sz w:val="20"/>
          <w:szCs w:val="20"/>
          <w:i w:val="1"/>
          <w:iCs w:val="1"/>
          <w:color w:val="auto"/>
        </w:rPr>
        <w:t>Insolvency</w:t>
      </w:r>
      <w:r>
        <w:rPr>
          <w:rFonts w:ascii="Times New Roman" w:cs="Times New Roman" w:eastAsia="Times New Roman" w:hAnsi="Times New Roman"/>
          <w:sz w:val="20"/>
          <w:szCs w:val="20"/>
          <w:color w:val="auto"/>
        </w:rPr>
        <w:t>) applies to a the Company or any Material Subsidiary.</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17.9</w:t>
      </w:r>
      <w:r>
        <w:rPr>
          <w:sz w:val="20"/>
          <w:szCs w:val="20"/>
          <w:color w:val="auto"/>
        </w:rPr>
        <w:tab/>
      </w:r>
      <w:r>
        <w:rPr>
          <w:rFonts w:ascii="Times New Roman" w:cs="Times New Roman" w:eastAsia="Times New Roman" w:hAnsi="Times New Roman"/>
          <w:sz w:val="19"/>
          <w:szCs w:val="19"/>
          <w:b w:val="1"/>
          <w:bCs w:val="1"/>
          <w:color w:val="auto"/>
        </w:rPr>
        <w:t>No filing or stamp taxes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17.10</w:t>
      </w:r>
      <w:r>
        <w:rPr>
          <w:sz w:val="20"/>
          <w:szCs w:val="20"/>
          <w:color w:val="auto"/>
        </w:rPr>
        <w:tab/>
      </w:r>
      <w:r>
        <w:rPr>
          <w:rFonts w:ascii="Times New Roman" w:cs="Times New Roman" w:eastAsia="Times New Roman" w:hAnsi="Times New Roman"/>
          <w:sz w:val="19"/>
          <w:szCs w:val="19"/>
          <w:b w:val="1"/>
          <w:bCs w:val="1"/>
          <w:color w:val="auto"/>
        </w:rPr>
        <w:t>Deduction of Tax</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is not required to make any Tax Deduction (as defined in Clause 12.1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from any payment it may make under any</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Finance Document to any Lender which is:</w:t>
      </w:r>
    </w:p>
    <w:p>
      <w:pPr>
        <w:spacing w:after="0" w:line="194" w:lineRule="exact"/>
        <w:rPr>
          <w:sz w:val="20"/>
          <w:szCs w:val="20"/>
          <w:color w:val="auto"/>
        </w:rPr>
      </w:pPr>
    </w:p>
    <w:p>
      <w:pPr>
        <w:ind w:left="1300" w:hanging="644"/>
        <w:spacing w:after="0"/>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Lender:</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falling within paragraph (a)(i) of the definition of “Qualifying Lender”; or</w:t>
      </w:r>
    </w:p>
    <w:p>
      <w:pPr>
        <w:spacing w:after="0" w:line="188"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a Direction has been given under section 931 of the ITA in relation to the payment concerned, falling within paragraph (a)(ii) of the definition of “Qualifying Lender”; or</w:t>
      </w:r>
    </w:p>
    <w:p>
      <w:pPr>
        <w:spacing w:after="0" w:line="13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falling within paragraph (b) of the definition of “Qualifying Lender” or;</w:t>
      </w:r>
    </w:p>
    <w:p>
      <w:pPr>
        <w:spacing w:after="0" w:line="188"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and the payment is one specified in a direction given by the Commissioners of Revenue &amp; Customs under Regulation 2 of the Double Taxation Relief (Taxes on Income) (General) Regulations 1970 (SI 1970/488).</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17.11</w:t>
      </w:r>
      <w:r>
        <w:rPr>
          <w:sz w:val="20"/>
          <w:szCs w:val="20"/>
          <w:color w:val="auto"/>
        </w:rPr>
        <w:tab/>
      </w:r>
      <w:r>
        <w:rPr>
          <w:rFonts w:ascii="Times New Roman" w:cs="Times New Roman" w:eastAsia="Times New Roman" w:hAnsi="Times New Roman"/>
          <w:sz w:val="20"/>
          <w:szCs w:val="20"/>
          <w:b w:val="1"/>
          <w:bCs w:val="1"/>
          <w:color w:val="auto"/>
        </w:rPr>
        <w:t>No default</w:t>
      </w:r>
    </w:p>
    <w:p>
      <w:pPr>
        <w:spacing w:after="0" w:line="193" w:lineRule="exact"/>
        <w:rPr>
          <w:sz w:val="20"/>
          <w:szCs w:val="20"/>
          <w:color w:val="auto"/>
        </w:rPr>
      </w:pPr>
    </w:p>
    <w:p>
      <w:pPr>
        <w:ind w:left="1260" w:hanging="604"/>
        <w:spacing w:after="0"/>
        <w:tabs>
          <w:tab w:leader="none" w:pos="12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is continuing or might reasonably be expected to result from the making of any Utilisation.</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event or circumstance is outstanding which constitutes a default under any other agreement or instrument which is binding on it or any of its Material Subsidiaries or to which its (or any of its Material Subsidiaries') assets are subject which would have a Material Adverse Effect.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53" w:name="page54"/>
    <w:bookmarkEnd w:id="53"/>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17.12</w:t>
      </w:r>
      <w:r>
        <w:rPr>
          <w:sz w:val="20"/>
          <w:szCs w:val="20"/>
          <w:color w:val="auto"/>
        </w:rPr>
        <w:tab/>
      </w:r>
      <w:r>
        <w:rPr>
          <w:rFonts w:ascii="Times New Roman" w:cs="Times New Roman" w:eastAsia="Times New Roman" w:hAnsi="Times New Roman"/>
          <w:sz w:val="19"/>
          <w:szCs w:val="19"/>
          <w:b w:val="1"/>
          <w:bCs w:val="1"/>
          <w:color w:val="auto"/>
        </w:rPr>
        <w:t>No misleading information</w:t>
      </w:r>
    </w:p>
    <w:p>
      <w:pPr>
        <w:spacing w:after="0" w:line="193" w:lineRule="exact"/>
        <w:rPr>
          <w:sz w:val="20"/>
          <w:szCs w:val="20"/>
          <w:color w:val="auto"/>
        </w:rPr>
      </w:pPr>
    </w:p>
    <w:p>
      <w:pPr>
        <w:ind w:left="1300" w:hanging="644"/>
        <w:spacing w:after="0" w:line="269" w:lineRule="auto"/>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factual information provided by any member of the Group to any Finance Party was true and accurate in all material respects as at the date it was provided or as at the date (if any) at which it is stated.</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provided by the Group to any Finance Party have been prepared on the basis of recent historical information and on the basis of reasonable assumptions.</w:t>
      </w:r>
    </w:p>
    <w:p>
      <w:pPr>
        <w:spacing w:after="0" w:line="13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has occurred since the date that any such information was provided or been omitted from such information provided and no information has been given or withheld that results in the information provided being untrue or misleading in any material respect.</w:t>
      </w:r>
    </w:p>
    <w:p>
      <w:pPr>
        <w:spacing w:after="0" w:line="148"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representations and warranties in this paragraph are made by the Company only so far as it is aware having made due and careful enquiries.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17.13</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193" w:lineRule="exact"/>
        <w:rPr>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Original Financial Statements were prepared in accordance with the Accounting Principles consistently applied.</w:t>
      </w:r>
    </w:p>
    <w:p>
      <w:pPr>
        <w:spacing w:after="0" w:line="188"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Original Financial Statements fairly represent its financial condition as at the end of the relevant financial year during the relevant financial year (consolidated in the case of the Company).</w:t>
      </w:r>
    </w:p>
    <w:p>
      <w:pPr>
        <w:spacing w:after="0" w:line="13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adverse change in the business or consolidated financial condition of the Group since the date of its Original Financial Statements.</w:t>
      </w:r>
    </w:p>
    <w:p>
      <w:pPr>
        <w:spacing w:after="0" w:line="1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most recent financial statements required to be delivered in accordance with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in accordance with the Accounting Principles as applied to the Original Financial Statements; and</w:t>
      </w:r>
    </w:p>
    <w:p>
      <w:pPr>
        <w:spacing w:after="0" w:line="188"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fairly represent in all material respects its consolidated financial condition as at the end of, and consolidated results of operations for, the period to which they relate.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17.14</w:t>
      </w:r>
      <w:r>
        <w:rPr>
          <w:sz w:val="20"/>
          <w:szCs w:val="20"/>
          <w:color w:val="auto"/>
        </w:rPr>
        <w:tab/>
      </w:r>
      <w:r>
        <w:rPr>
          <w:rFonts w:ascii="Times New Roman" w:cs="Times New Roman" w:eastAsia="Times New Roman" w:hAnsi="Times New Roman"/>
          <w:sz w:val="19"/>
          <w:szCs w:val="19"/>
          <w:b w:val="1"/>
          <w:bCs w:val="1"/>
          <w:color w:val="auto"/>
        </w:rPr>
        <w:t>No proceedings pending or threatened</w:t>
      </w:r>
    </w:p>
    <w:p>
      <w:pPr>
        <w:spacing w:after="0" w:line="193" w:lineRule="exact"/>
        <w:rPr>
          <w:sz w:val="20"/>
          <w:szCs w:val="20"/>
          <w:color w:val="auto"/>
        </w:rPr>
      </w:pPr>
    </w:p>
    <w:p>
      <w:pPr>
        <w:jc w:val="both"/>
        <w:ind w:left="660" w:right="160"/>
        <w:spacing w:after="0" w:line="254" w:lineRule="auto"/>
        <w:rPr>
          <w:sz w:val="20"/>
          <w:szCs w:val="20"/>
          <w:color w:val="auto"/>
        </w:rPr>
      </w:pPr>
      <w:r>
        <w:rPr>
          <w:rFonts w:ascii="Times New Roman" w:cs="Times New Roman" w:eastAsia="Times New Roman" w:hAnsi="Times New Roman"/>
          <w:sz w:val="20"/>
          <w:szCs w:val="20"/>
          <w:color w:val="auto"/>
        </w:rPr>
        <w:t>No litigation, arbitration or administrative proceedings of or before any court, arbitral body or agency which, if adversely determined, are reasonably likely to have a Material Adverse Effect has or have (to the best of its knowledge and belief) been started or threatened against it or any of its Subsidiaries.</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17.15</w:t>
      </w:r>
      <w:r>
        <w:rPr>
          <w:sz w:val="20"/>
          <w:szCs w:val="20"/>
          <w:color w:val="auto"/>
        </w:rPr>
        <w:tab/>
      </w:r>
      <w:r>
        <w:rPr>
          <w:rFonts w:ascii="Times New Roman" w:cs="Times New Roman" w:eastAsia="Times New Roman" w:hAnsi="Times New Roman"/>
          <w:sz w:val="19"/>
          <w:szCs w:val="19"/>
          <w:b w:val="1"/>
          <w:bCs w:val="1"/>
          <w:color w:val="auto"/>
        </w:rPr>
        <w:t>No breach of laws</w:t>
      </w:r>
    </w:p>
    <w:p>
      <w:pPr>
        <w:spacing w:after="0" w:line="193" w:lineRule="exact"/>
        <w:rPr>
          <w:sz w:val="20"/>
          <w:szCs w:val="20"/>
          <w:color w:val="auto"/>
        </w:rPr>
      </w:pPr>
    </w:p>
    <w:p>
      <w:pPr>
        <w:ind w:left="1300" w:hanging="644"/>
        <w:spacing w:after="0" w:line="269" w:lineRule="auto"/>
        <w:tabs>
          <w:tab w:leader="none" w:pos="13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not (and none of its Subsidiaries has) breached any law or regulation which breach has or is reasonably likely to have a Material Adverse Effect.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54" w:name="page55"/>
    <w:bookmarkEnd w:id="54"/>
    <w:p>
      <w:pPr>
        <w:ind w:left="1300" w:hanging="644"/>
        <w:spacing w:after="0" w:line="269" w:lineRule="auto"/>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labour disputes are current or, to the best of its knowledge and belief (having made due and careful enquiry), threatened against any member of the Group which have or are reasonably likely to have a Material Adverse Effect.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17.16</w:t>
      </w:r>
      <w:r>
        <w:rPr>
          <w:sz w:val="20"/>
          <w:szCs w:val="20"/>
          <w:color w:val="auto"/>
        </w:rPr>
        <w:tab/>
      </w:r>
      <w:r>
        <w:rPr>
          <w:rFonts w:ascii="Times New Roman" w:cs="Times New Roman" w:eastAsia="Times New Roman" w:hAnsi="Times New Roman"/>
          <w:sz w:val="19"/>
          <w:szCs w:val="19"/>
          <w:b w:val="1"/>
          <w:bCs w:val="1"/>
          <w:color w:val="auto"/>
        </w:rPr>
        <w:t>Environmental laws</w:t>
      </w:r>
    </w:p>
    <w:p>
      <w:pPr>
        <w:spacing w:after="0" w:line="189" w:lineRule="exact"/>
        <w:rPr>
          <w:sz w:val="20"/>
          <w:szCs w:val="20"/>
          <w:color w:val="auto"/>
        </w:rPr>
      </w:pPr>
    </w:p>
    <w:p>
      <w:pPr>
        <w:jc w:val="both"/>
        <w:ind w:left="1300" w:hanging="644"/>
        <w:spacing w:after="0" w:line="256" w:lineRule="auto"/>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of the Group is in compliance with Clause 20.3 (</w:t>
      </w:r>
      <w:r>
        <w:rPr>
          <w:rFonts w:ascii="Times New Roman" w:cs="Times New Roman" w:eastAsia="Times New Roman" w:hAnsi="Times New Roman"/>
          <w:sz w:val="20"/>
          <w:szCs w:val="20"/>
          <w:i w:val="1"/>
          <w:iCs w:val="1"/>
          <w:color w:val="auto"/>
        </w:rPr>
        <w:t>Environmental Compliance</w:t>
      </w:r>
      <w:r>
        <w:rPr>
          <w:rFonts w:ascii="Times New Roman" w:cs="Times New Roman" w:eastAsia="Times New Roman" w:hAnsi="Times New Roman"/>
          <w:sz w:val="20"/>
          <w:szCs w:val="20"/>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pacing w:after="0" w:line="14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w:t>
      </w:r>
    </w:p>
    <w:p>
      <w:pPr>
        <w:spacing w:after="0" w:line="14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to the Group of compliance with Environmental Laws (including Environmental Permits) is (to the best of its knowledge and belief, having made due and careful enquiry) adequately provided for.</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17.17</w:t>
      </w:r>
      <w:r>
        <w:rPr>
          <w:sz w:val="20"/>
          <w:szCs w:val="20"/>
          <w:color w:val="auto"/>
        </w:rPr>
        <w:tab/>
      </w:r>
      <w:r>
        <w:rPr>
          <w:rFonts w:ascii="Times New Roman" w:cs="Times New Roman" w:eastAsia="Times New Roman" w:hAnsi="Times New Roman"/>
          <w:sz w:val="19"/>
          <w:szCs w:val="19"/>
          <w:b w:val="1"/>
          <w:bCs w:val="1"/>
          <w:color w:val="auto"/>
        </w:rPr>
        <w:t>Taxation</w:t>
      </w:r>
    </w:p>
    <w:p>
      <w:pPr>
        <w:spacing w:after="0" w:line="193" w:lineRule="exact"/>
        <w:rPr>
          <w:sz w:val="20"/>
          <w:szCs w:val="20"/>
          <w:color w:val="auto"/>
        </w:rPr>
      </w:pPr>
    </w:p>
    <w:p>
      <w:pPr>
        <w:jc w:val="both"/>
        <w:ind w:left="1300" w:hanging="644"/>
        <w:spacing w:after="0" w:line="296" w:lineRule="auto"/>
        <w:tabs>
          <w:tab w:leader="none" w:pos="130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not (and none of its Material Subsidiaries is) materially overdue in the filing of any Tax returns and it is not (and none of its Material Subsidiaries is) overdue in the payment of any material amount in respect of Tax unless and only to the extent that:</w:t>
      </w:r>
    </w:p>
    <w:p>
      <w:pPr>
        <w:spacing w:after="0" w:line="109"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is being contested, postponed or compromised in good faith;</w:t>
      </w:r>
    </w:p>
    <w:p>
      <w:pPr>
        <w:spacing w:after="0" w:line="188"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reserves are being maintained for those Taxes and the costs required to contest, postpone or compromise them; and</w:t>
      </w:r>
    </w:p>
    <w:p>
      <w:pPr>
        <w:spacing w:after="0" w:line="132"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can be lawfully withheld and failure to pay those Taxes does not have, or to the Company's knowledge, would not reasonably be expected to have a Material Adverse Effect.</w:t>
      </w:r>
    </w:p>
    <w:p>
      <w:pPr>
        <w:spacing w:after="0" w:line="132"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claims or investigations that are not provided for in its latest financial statements are being made or conducted against it (or any of its Material Subsidiaries) with respect to Taxes such that a liability of the Company or any Material Subsidiary of USD 20,000,000 (or its equivalent in any other currency) or more is reasonably likely to arise upon a final determination of that claim or investigation.</w:t>
      </w:r>
    </w:p>
    <w:p>
      <w:pPr>
        <w:spacing w:after="0" w:line="15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resident for Tax purposes only in the United Kingdom.</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17.18</w:t>
      </w:r>
      <w:r>
        <w:rPr>
          <w:sz w:val="20"/>
          <w:szCs w:val="20"/>
          <w:color w:val="auto"/>
        </w:rPr>
        <w:tab/>
      </w:r>
      <w:r>
        <w:rPr>
          <w:rFonts w:ascii="Times New Roman" w:cs="Times New Roman" w:eastAsia="Times New Roman" w:hAnsi="Times New Roman"/>
          <w:sz w:val="19"/>
          <w:szCs w:val="19"/>
          <w:b w:val="1"/>
          <w:bCs w:val="1"/>
          <w:color w:val="auto"/>
        </w:rPr>
        <w:t>Security and Financial Indebtedness</w:t>
      </w:r>
    </w:p>
    <w:p>
      <w:pPr>
        <w:spacing w:after="0" w:line="193" w:lineRule="exact"/>
        <w:rPr>
          <w:sz w:val="20"/>
          <w:szCs w:val="20"/>
          <w:color w:val="auto"/>
        </w:rPr>
      </w:pPr>
    </w:p>
    <w:p>
      <w:pPr>
        <w:ind w:left="1300" w:hanging="644"/>
        <w:spacing w:after="0" w:line="269" w:lineRule="auto"/>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Security exists over all or any of the present or future assets of any member of the Group other than as permitted by this Agreement.</w:t>
      </w:r>
    </w:p>
    <w:p>
      <w:pPr>
        <w:spacing w:after="0" w:line="128" w:lineRule="exact"/>
        <w:rPr>
          <w:rFonts w:ascii="Times New Roman" w:cs="Times New Roman" w:eastAsia="Times New Roman" w:hAnsi="Times New Roman"/>
          <w:sz w:val="20"/>
          <w:szCs w:val="20"/>
          <w:color w:val="auto"/>
        </w:rPr>
      </w:pPr>
    </w:p>
    <w:p>
      <w:pPr>
        <w:ind w:left="1300" w:hanging="644"/>
        <w:spacing w:after="0" w:line="273" w:lineRule="auto"/>
        <w:tabs>
          <w:tab w:leader="none" w:pos="1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of the Group has any Financial Indebtedness outstanding that is prohibited under Clause 20.18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55" w:name="page56"/>
    <w:bookmarkEnd w:id="55"/>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17.19</w:t>
      </w:r>
      <w:r>
        <w:rPr>
          <w:sz w:val="20"/>
          <w:szCs w:val="20"/>
          <w:color w:val="auto"/>
        </w:rPr>
        <w:tab/>
      </w:r>
      <w:r>
        <w:rPr>
          <w:rFonts w:ascii="Times New Roman" w:cs="Times New Roman" w:eastAsia="Times New Roman" w:hAnsi="Times New Roman"/>
          <w:sz w:val="19"/>
          <w:szCs w:val="19"/>
          <w:b w:val="1"/>
          <w:bCs w:val="1"/>
          <w:color w:val="auto"/>
        </w:rPr>
        <w:t>Pari passu ranking</w:t>
      </w:r>
    </w:p>
    <w:p>
      <w:pPr>
        <w:spacing w:after="0" w:line="193" w:lineRule="exact"/>
        <w:rPr>
          <w:sz w:val="20"/>
          <w:szCs w:val="20"/>
          <w:color w:val="auto"/>
        </w:rPr>
      </w:pPr>
    </w:p>
    <w:p>
      <w:pPr>
        <w:ind w:left="660" w:right="60"/>
        <w:spacing w:after="0" w:line="296" w:lineRule="auto"/>
        <w:rPr>
          <w:sz w:val="20"/>
          <w:szCs w:val="20"/>
          <w:color w:val="auto"/>
        </w:rPr>
      </w:pPr>
      <w:r>
        <w:rPr>
          <w:rFonts w:ascii="Times New Roman" w:cs="Times New Roman" w:eastAsia="Times New Roman" w:hAnsi="Times New Roman"/>
          <w:sz w:val="19"/>
          <w:szCs w:val="19"/>
          <w:color w:val="auto"/>
        </w:rPr>
        <w:t>Subject to the Legal Reservations, its payment obligations under the Finance Documents rank at least pari passu with the claims of all its other unsecured and unsubordinated creditors, except for obligations mandatorily preferred by law applying to companies generally.</w:t>
      </w:r>
    </w:p>
    <w:p>
      <w:pPr>
        <w:spacing w:after="0" w:line="1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17.20</w:t>
      </w:r>
      <w:r>
        <w:rPr>
          <w:sz w:val="20"/>
          <w:szCs w:val="20"/>
          <w:color w:val="auto"/>
        </w:rPr>
        <w:tab/>
      </w:r>
      <w:r>
        <w:rPr>
          <w:rFonts w:ascii="Times New Roman" w:cs="Times New Roman" w:eastAsia="Times New Roman" w:hAnsi="Times New Roman"/>
          <w:sz w:val="19"/>
          <w:szCs w:val="19"/>
          <w:b w:val="1"/>
          <w:bCs w:val="1"/>
          <w:color w:val="auto"/>
        </w:rPr>
        <w:t>Good title to assets</w:t>
      </w:r>
    </w:p>
    <w:p>
      <w:pPr>
        <w:spacing w:after="0" w:line="193"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20"/>
          <w:szCs w:val="20"/>
          <w:color w:val="auto"/>
        </w:rPr>
        <w:t>It and each of its Subsidiaries has a good, valid and marketable title to, or valid leases or licences of, and all appropriate Authorisations to use, the assets necessary to carry on its business as presently conducted other than where a failure to do so could not reasonably be expected to have a Material Adverse Effect.</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17.21</w:t>
      </w:r>
      <w:r>
        <w:rPr>
          <w:sz w:val="20"/>
          <w:szCs w:val="20"/>
          <w:color w:val="auto"/>
        </w:rPr>
        <w:tab/>
      </w:r>
      <w:r>
        <w:rPr>
          <w:rFonts w:ascii="Times New Roman" w:cs="Times New Roman" w:eastAsia="Times New Roman" w:hAnsi="Times New Roman"/>
          <w:sz w:val="19"/>
          <w:szCs w:val="19"/>
          <w:b w:val="1"/>
          <w:bCs w:val="1"/>
          <w:color w:val="auto"/>
        </w:rPr>
        <w:t>Legal and beneficial ownership</w:t>
      </w:r>
    </w:p>
    <w:p>
      <w:pPr>
        <w:spacing w:after="0" w:line="193" w:lineRule="exact"/>
        <w:rPr>
          <w:sz w:val="20"/>
          <w:szCs w:val="20"/>
          <w:color w:val="auto"/>
        </w:rPr>
      </w:pPr>
    </w:p>
    <w:p>
      <w:pPr>
        <w:ind w:left="660" w:right="280"/>
        <w:spacing w:after="0" w:line="254" w:lineRule="auto"/>
        <w:rPr>
          <w:sz w:val="20"/>
          <w:szCs w:val="20"/>
          <w:color w:val="auto"/>
        </w:rPr>
      </w:pPr>
      <w:r>
        <w:rPr>
          <w:rFonts w:ascii="Times New Roman" w:cs="Times New Roman" w:eastAsia="Times New Roman" w:hAnsi="Times New Roman"/>
          <w:sz w:val="20"/>
          <w:szCs w:val="20"/>
          <w:color w:val="auto"/>
        </w:rPr>
        <w:t>It and each of its Subsidiaries is the sole legal and beneficial owner of the assets which are material in the context of its business and which are required by it in order to carry on its business as it is being conducted, other than where a failure to be so could not reasonably be expected to have a Material Adverse Effect.</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17.22</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and each of its Subsidiaries:</w:t>
      </w:r>
    </w:p>
    <w:p>
      <w:pPr>
        <w:spacing w:after="0" w:line="216" w:lineRule="exact"/>
        <w:rPr>
          <w:sz w:val="20"/>
          <w:szCs w:val="20"/>
          <w:color w:val="auto"/>
        </w:rPr>
      </w:pPr>
    </w:p>
    <w:p>
      <w:pPr>
        <w:ind w:left="1300" w:hanging="644"/>
        <w:spacing w:after="0" w:line="269" w:lineRule="auto"/>
        <w:tabs>
          <w:tab w:leader="none" w:pos="13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the sole legal and beneficial owner of or has licensed to it on normal commercial terms all the Intellectual Property which is material in the context of its business and which is required by it in order to carry on its business as it is being conducted;</w:t>
      </w:r>
    </w:p>
    <w:p>
      <w:pPr>
        <w:spacing w:after="0" w:line="13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(nor does any of its Subsidiaries), in carrying on its businesses, infringe any Intellectual Property of any third party in any respect; and</w:t>
      </w:r>
    </w:p>
    <w:p>
      <w:pPr>
        <w:spacing w:after="0" w:line="13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taken all formal or procedural actions (including payment of fees) required to maintain any material Intellectual Property owned by it,</w:t>
      </w:r>
    </w:p>
    <w:p>
      <w:pPr>
        <w:spacing w:after="0" w:line="132" w:lineRule="exact"/>
        <w:rPr>
          <w:rFonts w:ascii="Times New Roman" w:cs="Times New Roman" w:eastAsia="Times New Roman" w:hAnsi="Times New Roman"/>
          <w:sz w:val="20"/>
          <w:szCs w:val="20"/>
          <w:color w:val="auto"/>
        </w:rPr>
      </w:pPr>
    </w:p>
    <w:p>
      <w:pPr>
        <w:ind w:left="660" w:hanging="638"/>
        <w:spacing w:after="0"/>
        <w:tabs>
          <w:tab w:leader="none" w:pos="6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where a failure to be or do so could not reasonably be expected to have a Material Adverse Effect.</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17.23</w:t>
      </w:r>
      <w:r>
        <w:rPr>
          <w:sz w:val="20"/>
          <w:szCs w:val="20"/>
          <w:color w:val="auto"/>
        </w:rPr>
        <w:tab/>
      </w:r>
      <w:r>
        <w:rPr>
          <w:rFonts w:ascii="Times New Roman" w:cs="Times New Roman" w:eastAsia="Times New Roman" w:hAnsi="Times New Roman"/>
          <w:sz w:val="19"/>
          <w:szCs w:val="19"/>
          <w:b w:val="1"/>
          <w:bCs w:val="1"/>
          <w:color w:val="auto"/>
        </w:rPr>
        <w:t>Accounting Reference Date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Accounting Reference Date of each member of the Group is 31 December.</w:t>
      </w: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17.24</w:t>
      </w:r>
      <w:r>
        <w:rPr>
          <w:sz w:val="20"/>
          <w:szCs w:val="20"/>
          <w:color w:val="auto"/>
        </w:rPr>
        <w:tab/>
      </w:r>
      <w:r>
        <w:rPr>
          <w:rFonts w:ascii="Times New Roman" w:cs="Times New Roman" w:eastAsia="Times New Roman" w:hAnsi="Times New Roman"/>
          <w:sz w:val="19"/>
          <w:szCs w:val="19"/>
          <w:b w:val="1"/>
          <w:bCs w:val="1"/>
          <w:color w:val="auto"/>
        </w:rPr>
        <w:t>No adverse consequences</w:t>
      </w:r>
    </w:p>
    <w:p>
      <w:pPr>
        <w:spacing w:after="0" w:line="193" w:lineRule="exact"/>
        <w:rPr>
          <w:sz w:val="20"/>
          <w:szCs w:val="20"/>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necessary under the laws of its Relevant Jurisdictions:</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enable any Finance Party to enforce its rights under any Finance Document; or</w:t>
      </w:r>
    </w:p>
    <w:p>
      <w:pPr>
        <w:spacing w:after="0" w:line="188"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reason of the execution of any Finance Document or the performance by it of its obligations under any Finance Document,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56" w:name="page57"/>
    <w:bookmarkEnd w:id="56"/>
    <w:p>
      <w:pPr>
        <w:ind w:left="1300"/>
        <w:spacing w:after="0" w:line="269" w:lineRule="auto"/>
        <w:rPr>
          <w:sz w:val="20"/>
          <w:szCs w:val="20"/>
          <w:color w:val="auto"/>
        </w:rPr>
      </w:pPr>
      <w:r>
        <w:rPr>
          <w:rFonts w:ascii="Times New Roman" w:cs="Times New Roman" w:eastAsia="Times New Roman" w:hAnsi="Times New Roman"/>
          <w:sz w:val="20"/>
          <w:szCs w:val="20"/>
          <w:color w:val="auto"/>
        </w:rPr>
        <w:t>that any Finance Party should be licensed, qualified or otherwise entitled to carry on business in any of its Relevant Jurisdictions.</w:t>
      </w:r>
    </w:p>
    <w:p>
      <w:pPr>
        <w:spacing w:after="0" w:line="133" w:lineRule="exact"/>
        <w:rPr>
          <w:sz w:val="20"/>
          <w:szCs w:val="20"/>
          <w:color w:val="auto"/>
        </w:rPr>
      </w:pPr>
    </w:p>
    <w:p>
      <w:pPr>
        <w:ind w:left="1300" w:hanging="644"/>
        <w:spacing w:after="0" w:line="269" w:lineRule="auto"/>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Finance Party is or will be deemed to be resident, domiciled or carrying on business in its Relevant Jurisdictions by reason only of the execution, performance and/or enforcement of any Finance Document.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17.25</w:t>
      </w:r>
      <w:r>
        <w:rPr>
          <w:sz w:val="20"/>
          <w:szCs w:val="20"/>
          <w:color w:val="auto"/>
        </w:rPr>
        <w:tab/>
      </w:r>
      <w:r>
        <w:rPr>
          <w:rFonts w:ascii="Times New Roman" w:cs="Times New Roman" w:eastAsia="Times New Roman" w:hAnsi="Times New Roman"/>
          <w:sz w:val="19"/>
          <w:szCs w:val="19"/>
          <w:b w:val="1"/>
          <w:bCs w:val="1"/>
          <w:color w:val="auto"/>
        </w:rPr>
        <w:t>Centre of main interests and establishments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Council of the European Union Regulation No 2015/848 on Insolvency Proceedings (recast) (the</w:t>
      </w:r>
    </w:p>
    <w:p>
      <w:pPr>
        <w:spacing w:after="0" w:line="22" w:lineRule="exact"/>
        <w:rPr>
          <w:sz w:val="20"/>
          <w:szCs w:val="20"/>
          <w:color w:val="auto"/>
        </w:rPr>
      </w:pPr>
    </w:p>
    <w:p>
      <w:pPr>
        <w:ind w:left="660" w:right="6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w:t>
      </w:r>
      <w:r>
        <w:rPr>
          <w:rFonts w:ascii="Times New Roman" w:cs="Times New Roman" w:eastAsia="Times New Roman" w:hAnsi="Times New Roman"/>
          <w:sz w:val="20"/>
          <w:szCs w:val="20"/>
          <w:color w:val="auto"/>
        </w:rPr>
        <w:t>”), its centre of main interest (as that term is used in Article 3(1) of the Regulation) is situated in England and Wales and it has no “</w:t>
      </w:r>
      <w:r>
        <w:rPr>
          <w:rFonts w:ascii="Times New Roman" w:cs="Times New Roman" w:eastAsia="Times New Roman" w:hAnsi="Times New Roman"/>
          <w:sz w:val="20"/>
          <w:szCs w:val="20"/>
          <w:i w:val="1"/>
          <w:iCs w:val="1"/>
          <w:color w:val="auto"/>
        </w:rPr>
        <w:t>establishment</w:t>
      </w:r>
      <w:r>
        <w:rPr>
          <w:rFonts w:ascii="Times New Roman" w:cs="Times New Roman" w:eastAsia="Times New Roman" w:hAnsi="Times New Roman"/>
          <w:sz w:val="20"/>
          <w:szCs w:val="20"/>
          <w:color w:val="auto"/>
        </w:rPr>
        <w:t>” (as that term is used in Article 2(h) of the Regulation) in any other jurisdiction (other than Italy).</w:t>
      </w:r>
    </w:p>
    <w:p>
      <w:pPr>
        <w:spacing w:after="0" w:line="150" w:lineRule="exact"/>
        <w:rPr>
          <w:sz w:val="20"/>
          <w:szCs w:val="20"/>
          <w:color w:val="auto"/>
        </w:rPr>
      </w:pPr>
    </w:p>
    <w:p>
      <w:pPr>
        <w:spacing w:after="0" w:line="230" w:lineRule="exact"/>
        <w:tabs>
          <w:tab w:leader="none" w:pos="600" w:val="left"/>
        </w:tabs>
        <w:rPr>
          <w:sz w:val="20"/>
          <w:szCs w:val="20"/>
          <w:color w:val="auto"/>
        </w:rPr>
      </w:pPr>
      <w:r>
        <w:rPr>
          <w:rFonts w:ascii="Times New Roman" w:cs="Times New Roman" w:eastAsia="Times New Roman" w:hAnsi="Times New Roman"/>
          <w:sz w:val="20"/>
          <w:szCs w:val="20"/>
          <w:color w:val="auto"/>
        </w:rPr>
        <w:t>17.26</w:t>
      </w:r>
      <w:r>
        <w:rPr>
          <w:sz w:val="20"/>
          <w:szCs w:val="20"/>
          <w:color w:val="auto"/>
        </w:rPr>
        <w:tab/>
      </w:r>
      <w:r>
        <w:rPr>
          <w:rFonts w:ascii="Times New Roman" w:cs="Times New Roman" w:eastAsia="Times New Roman" w:hAnsi="Times New Roman"/>
          <w:sz w:val="19"/>
          <w:szCs w:val="19"/>
          <w:b w:val="1"/>
          <w:bCs w:val="1"/>
          <w:color w:val="auto"/>
        </w:rPr>
        <w:t>Anti</w:t>
      </w: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color w:val="auto"/>
        </w:rPr>
        <w:t>corruption and anti-money laundering law</w:t>
      </w:r>
    </w:p>
    <w:p>
      <w:pPr>
        <w:spacing w:after="0" w:line="220" w:lineRule="exact"/>
        <w:rPr>
          <w:sz w:val="20"/>
          <w:szCs w:val="20"/>
          <w:color w:val="auto"/>
        </w:rPr>
      </w:pPr>
    </w:p>
    <w:p>
      <w:pPr>
        <w:ind w:left="660" w:right="80"/>
        <w:spacing w:after="0" w:line="237" w:lineRule="exact"/>
        <w:rPr>
          <w:sz w:val="20"/>
          <w:szCs w:val="20"/>
          <w:color w:val="auto"/>
        </w:rPr>
      </w:pPr>
      <w:r>
        <w:rPr>
          <w:rFonts w:ascii="Times New Roman" w:cs="Times New Roman" w:eastAsia="Times New Roman" w:hAnsi="Times New Roman"/>
          <w:sz w:val="20"/>
          <w:szCs w:val="20"/>
          <w:color w:val="auto"/>
        </w:rPr>
        <w:t>To the best of its knowledge and belief (after due and careful enquiry), each member of the Group has conducted its businesses in compliance with applicable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corruption laws and all applicable laws and regulations that relate to anti-money laundering, counter-terrorist financing or record keeping or reporting requirements relating to anti-money laundering or counter-terrorist financing, and has instituted and maintained policies and procedures designed to promote and achieve compliance with such laws.</w:t>
      </w:r>
    </w:p>
    <w:p>
      <w:pPr>
        <w:spacing w:after="0" w:line="1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17.27</w:t>
      </w:r>
      <w:r>
        <w:rPr>
          <w:sz w:val="20"/>
          <w:szCs w:val="20"/>
          <w:color w:val="auto"/>
        </w:rPr>
        <w:tab/>
      </w:r>
      <w:r>
        <w:rPr>
          <w:rFonts w:ascii="Times New Roman" w:cs="Times New Roman" w:eastAsia="Times New Roman" w:hAnsi="Times New Roman"/>
          <w:sz w:val="19"/>
          <w:szCs w:val="19"/>
          <w:b w:val="1"/>
          <w:bCs w:val="1"/>
          <w:color w:val="auto"/>
        </w:rPr>
        <w:t>Sanctions</w:t>
      </w:r>
    </w:p>
    <w:p>
      <w:pPr>
        <w:spacing w:after="0" w:line="193" w:lineRule="exact"/>
        <w:rPr>
          <w:sz w:val="20"/>
          <w:szCs w:val="20"/>
          <w:color w:val="auto"/>
        </w:rPr>
      </w:pPr>
    </w:p>
    <w:p>
      <w:pPr>
        <w:ind w:left="1300" w:hanging="644"/>
        <w:spacing w:after="0" w:line="269" w:lineRule="auto"/>
        <w:tabs>
          <w:tab w:leader="none" w:pos="1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of its knowledge and belief (after due and careful enquiry), neither it nor any of its Subsidiaries, nor any directors, officers or employees of it or any of its Subsidiaries:</w:t>
      </w:r>
    </w:p>
    <w:p>
      <w:pPr>
        <w:spacing w:after="0" w:line="132"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Restricted Party or is engaging in or has engaged in any transaction or conduct that could result in it becoming a Restricted Party;</w:t>
      </w:r>
    </w:p>
    <w:p>
      <w:pPr>
        <w:spacing w:after="0" w:line="13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subject to any claim, proceeding, formal notice or investigation with respect to Sanctions;</w:t>
      </w:r>
    </w:p>
    <w:p>
      <w:pPr>
        <w:spacing w:after="0" w:line="188"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engaging in any transaction that evades or avoids, or has the purpose of evading or avoiding, or breaches or attempts to breach, directly or indirectly, any Sanctions applicable to it; or</w:t>
      </w:r>
    </w:p>
    <w:p>
      <w:pPr>
        <w:spacing w:after="0" w:line="132"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engaging, directly or indirectly, in any trade, business or other activities with or for the benefit of any Restricted Party where such trade, business or activity is in breach of Sanctions.</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Utilisation, nor the proceeds from any Utilisation, has been used, directly or (knowingly) indirectly, to lend, contribute, provide or has otherwise been made to fund or finance any business activities or transactions:</w:t>
      </w:r>
    </w:p>
    <w:p>
      <w:pPr>
        <w:spacing w:after="0" w:line="13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or with a Restricted Party; or</w:t>
      </w:r>
    </w:p>
    <w:p>
      <w:pPr>
        <w:spacing w:after="0" w:line="188"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manner which would result in any member of the Group or any Finance Party being in breach of any Sanctions or becoming a Restricted Party.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57" w:name="page58"/>
    <w:bookmarkEnd w:id="57"/>
    <w:p>
      <w:pPr>
        <w:spacing w:after="0"/>
        <w:tabs>
          <w:tab w:leader="none" w:pos="600" w:val="left"/>
        </w:tabs>
        <w:rPr>
          <w:sz w:val="20"/>
          <w:szCs w:val="20"/>
          <w:color w:val="auto"/>
        </w:rPr>
      </w:pPr>
      <w:r>
        <w:rPr>
          <w:rFonts w:ascii="Times New Roman" w:cs="Times New Roman" w:eastAsia="Times New Roman" w:hAnsi="Times New Roman"/>
          <w:sz w:val="20"/>
          <w:szCs w:val="20"/>
          <w:color w:val="auto"/>
        </w:rPr>
        <w:t>17.28</w:t>
      </w:r>
      <w:r>
        <w:rPr>
          <w:sz w:val="20"/>
          <w:szCs w:val="20"/>
          <w:color w:val="auto"/>
        </w:rPr>
        <w:tab/>
      </w:r>
      <w:r>
        <w:rPr>
          <w:rFonts w:ascii="Times New Roman" w:cs="Times New Roman" w:eastAsia="Times New Roman" w:hAnsi="Times New Roman"/>
          <w:sz w:val="19"/>
          <w:szCs w:val="19"/>
          <w:b w:val="1"/>
          <w:bCs w:val="1"/>
          <w:color w:val="auto"/>
        </w:rPr>
        <w:t>Repetition</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Repeating Representations are deemed to be made by the Company by reference to the facts and circumstances then existing on the date of each Utilisation Request and the first day of each Interest Period.</w:t>
      </w:r>
    </w:p>
    <w:p>
      <w:pPr>
        <w:spacing w:after="0" w:line="129" w:lineRule="exact"/>
        <w:rPr>
          <w:sz w:val="20"/>
          <w:szCs w:val="20"/>
          <w:color w:val="auto"/>
        </w:rPr>
      </w:pPr>
    </w:p>
    <w:p>
      <w:pPr>
        <w:ind w:left="620" w:hanging="612"/>
        <w:spacing w:after="0"/>
        <w:tabs>
          <w:tab w:leader="none" w:pos="620"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INFORMATION UNDERTAKINGS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undertakings in this Clause 18 remain in force from the date of this Agreement for so long as any amount is outstanding under the Finance Documents or any Commitment is in force.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supply to the Agent in sufficient copies for all the Lenders:</w:t>
      </w:r>
    </w:p>
    <w:p>
      <w:pPr>
        <w:spacing w:after="0" w:line="189" w:lineRule="exact"/>
        <w:rPr>
          <w:sz w:val="20"/>
          <w:szCs w:val="20"/>
          <w:color w:val="auto"/>
        </w:rPr>
      </w:pPr>
    </w:p>
    <w:p>
      <w:pPr>
        <w:ind w:left="1280" w:hanging="624"/>
        <w:spacing w:after="0" w:line="269" w:lineRule="auto"/>
        <w:tabs>
          <w:tab w:leader="none" w:pos="1262"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the same become available, but in any event within 180 days after the end of each of its financial years, its audited consolidated financial statements for that financial year; and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the same become available, but in any event within 90 days after the end of the first half of each of its financial years, its consolidated financial statements for that financial half year.</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19"/>
          <w:szCs w:val="19"/>
          <w:b w:val="1"/>
          <w:bCs w:val="1"/>
          <w:color w:val="auto"/>
        </w:rPr>
        <w:t>Compliance Certificate</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supply to the Agent, with each set of financial statements delivered pursuant to paragraph (a) or (b) of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a Compliance Certificate setting out (in reasonable detail) computations as to compliance with Clause 19 (</w:t>
      </w: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as at the date as at which those financial statements were drawn up.</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Compliance Certificate shall be signed by the Chief Executive Officer or two directors of the Company.</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19"/>
          <w:szCs w:val="19"/>
          <w:b w:val="1"/>
          <w:bCs w:val="1"/>
          <w:color w:val="auto"/>
        </w:rPr>
        <w:t>Requirements as to financial statements</w:t>
      </w:r>
    </w:p>
    <w:p>
      <w:pPr>
        <w:spacing w:after="0" w:line="189" w:lineRule="exact"/>
        <w:rPr>
          <w:sz w:val="20"/>
          <w:szCs w:val="20"/>
          <w:color w:val="auto"/>
        </w:rPr>
      </w:pPr>
    </w:p>
    <w:p>
      <w:pPr>
        <w:ind w:left="1280" w:hanging="624"/>
        <w:spacing w:after="0" w:line="273" w:lineRule="auto"/>
        <w:tabs>
          <w:tab w:leader="none" w:pos="126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set of financial statements delivered by the Company pursuant to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shall be certified in accordance with applicable laws and the rules of any relevant stock exchange.</w:t>
      </w:r>
    </w:p>
    <w:p>
      <w:pPr>
        <w:spacing w:after="0" w:line="125" w:lineRule="exact"/>
        <w:rPr>
          <w:rFonts w:ascii="Times New Roman" w:cs="Times New Roman" w:eastAsia="Times New Roman" w:hAnsi="Times New Roman"/>
          <w:sz w:val="20"/>
          <w:szCs w:val="20"/>
          <w:color w:val="auto"/>
        </w:rPr>
      </w:pPr>
    </w:p>
    <w:p>
      <w:pPr>
        <w:jc w:val="both"/>
        <w:ind w:left="1280" w:hanging="624"/>
        <w:spacing w:after="0" w:line="248" w:lineRule="auto"/>
        <w:tabs>
          <w:tab w:leader="none" w:pos="126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procure that each set of financial statements of the Company delivered pursuant to Clause 18.1 (</w:t>
      </w:r>
      <w:r>
        <w:rPr>
          <w:rFonts w:ascii="Times New Roman" w:cs="Times New Roman" w:eastAsia="Times New Roman" w:hAnsi="Times New Roman"/>
          <w:sz w:val="20"/>
          <w:szCs w:val="20"/>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statements</w:t>
      </w:r>
      <w:r>
        <w:rPr>
          <w:rFonts w:ascii="Times New Roman" w:cs="Times New Roman" w:eastAsia="Times New Roman" w:hAnsi="Times New Roman"/>
          <w:sz w:val="20"/>
          <w:szCs w:val="20"/>
          <w:color w:val="auto"/>
        </w:rPr>
        <w:t>) is prepared using the Accounting Principles, accounting practices and financial reference periods consistent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those applied in the preparation of the Original Financial Statements unless, in relation to any set of financial statements, it notifies the Agent that there has been a change in the Accounting Principles, the accounting practices or reference periods and its auditors deliver to the Agent:</w:t>
      </w:r>
    </w:p>
    <w:p>
      <w:pPr>
        <w:spacing w:after="0" w:line="15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change necessary for those financial statements to reflect the Accounting Principles, accounting practices and reference periods upon which the Original Financial Statements were prepared;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58" w:name="page59"/>
    <w:bookmarkEnd w:id="58"/>
    <w:p>
      <w:pPr>
        <w:jc w:val="both"/>
        <w:ind w:left="1920" w:hanging="642"/>
        <w:spacing w:after="0" w:line="254" w:lineRule="auto"/>
        <w:tabs>
          <w:tab w:leader="none" w:pos="192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sufficient information, in form and substance as may be reasonably required by the Agent, to enable the Lenders to determine whether Clause 19 (</w:t>
      </w: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has been complied with and make an accurate comparison between the financial position indicated in those financial statements and the Original Financial Statements.</w:t>
      </w:r>
    </w:p>
    <w:p>
      <w:pPr>
        <w:spacing w:after="0" w:line="148" w:lineRule="exact"/>
        <w:rPr>
          <w:sz w:val="20"/>
          <w:szCs w:val="20"/>
          <w:color w:val="auto"/>
        </w:rPr>
      </w:pPr>
    </w:p>
    <w:p>
      <w:pPr>
        <w:ind w:left="1280"/>
        <w:spacing w:after="0" w:line="269" w:lineRule="auto"/>
        <w:rPr>
          <w:sz w:val="20"/>
          <w:szCs w:val="20"/>
          <w:color w:val="auto"/>
        </w:rPr>
      </w:pPr>
      <w:r>
        <w:rPr>
          <w:rFonts w:ascii="Times New Roman" w:cs="Times New Roman" w:eastAsia="Times New Roman" w:hAnsi="Times New Roman"/>
          <w:sz w:val="20"/>
          <w:szCs w:val="20"/>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19"/>
          <w:szCs w:val="19"/>
          <w:b w:val="1"/>
          <w:bCs w:val="1"/>
          <w:color w:val="auto"/>
        </w:rPr>
        <w:t>Information: miscellaneous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supply to the Agent (in sufficient copies for all the Lenders, if the Agent so requests):</w:t>
      </w:r>
    </w:p>
    <w:p>
      <w:pPr>
        <w:spacing w:after="0" w:line="189" w:lineRule="exact"/>
        <w:rPr>
          <w:sz w:val="20"/>
          <w:szCs w:val="20"/>
          <w:color w:val="auto"/>
        </w:rPr>
      </w:pPr>
    </w:p>
    <w:p>
      <w:pPr>
        <w:ind w:left="1280" w:right="20" w:hanging="624"/>
        <w:spacing w:after="0" w:line="269" w:lineRule="auto"/>
        <w:tabs>
          <w:tab w:leader="none" w:pos="126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documents dispatched by the Company to its shareholders (or any class of them) or its creditors (or any class of them) at the same time as they are dispatched;</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becoming aware of them, the details of any material litigation, arbitration or administrative proceedings which are current, threatened or pending against any member of the Group, and which are likely to be adversely determined and if adversely determined, would have a Material Adverse Effect; and</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further information regarding the financial condition, assets, business and operations of any member of the Group as any Finance Party may reasonably request.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18.5</w:t>
      </w:r>
      <w:r>
        <w:rPr>
          <w:sz w:val="20"/>
          <w:szCs w:val="20"/>
          <w:color w:val="auto"/>
        </w:rPr>
        <w:tab/>
      </w:r>
      <w:r>
        <w:rPr>
          <w:rFonts w:ascii="Times New Roman" w:cs="Times New Roman" w:eastAsia="Times New Roman" w:hAnsi="Times New Roman"/>
          <w:sz w:val="19"/>
          <w:szCs w:val="19"/>
          <w:b w:val="1"/>
          <w:bCs w:val="1"/>
          <w:color w:val="auto"/>
        </w:rPr>
        <w:t>Notification of default</w:t>
      </w:r>
    </w:p>
    <w:p>
      <w:pPr>
        <w:spacing w:after="0" w:line="193" w:lineRule="exact"/>
        <w:rPr>
          <w:sz w:val="20"/>
          <w:szCs w:val="20"/>
          <w:color w:val="auto"/>
        </w:rPr>
      </w:pPr>
    </w:p>
    <w:p>
      <w:pPr>
        <w:ind w:left="1280" w:hanging="624"/>
        <w:spacing w:after="0" w:line="269" w:lineRule="auto"/>
        <w:tabs>
          <w:tab w:leader="none" w:pos="126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notify the Agent of any Default (and the steps, if any, being taken to remedy it) promptly upon becoming aware of its occurrence.</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a request by the Agent, the Company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18.6</w:t>
      </w:r>
      <w:r>
        <w:rPr>
          <w:sz w:val="20"/>
          <w:szCs w:val="20"/>
          <w:color w:val="auto"/>
        </w:rPr>
        <w:tab/>
      </w:r>
      <w:r>
        <w:rPr>
          <w:rFonts w:ascii="Times New Roman" w:cs="Times New Roman" w:eastAsia="Times New Roman" w:hAnsi="Times New Roman"/>
          <w:sz w:val="19"/>
          <w:szCs w:val="19"/>
          <w:b w:val="1"/>
          <w:bCs w:val="1"/>
          <w:color w:val="auto"/>
        </w:rPr>
        <w:t>Use of websites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satisfy its obligation under this Agreement to deliver any information in relation to those Lenders (the "</w:t>
      </w:r>
      <w:r>
        <w:rPr>
          <w:rFonts w:ascii="Times New Roman" w:cs="Times New Roman" w:eastAsia="Times New Roman" w:hAnsi="Times New Roman"/>
          <w:sz w:val="20"/>
          <w:szCs w:val="20"/>
          <w:b w:val="1"/>
          <w:bCs w:val="1"/>
          <w:color w:val="auto"/>
        </w:rPr>
        <w:t>Website Lenders</w:t>
      </w:r>
      <w:r>
        <w:rPr>
          <w:rFonts w:ascii="Times New Roman" w:cs="Times New Roman" w:eastAsia="Times New Roman" w:hAnsi="Times New Roman"/>
          <w:sz w:val="20"/>
          <w:szCs w:val="20"/>
          <w:color w:val="auto"/>
        </w:rPr>
        <w:t>") who accept this method of communication by posting this information onto an electronic website designated by the Company and the Agent (the "</w:t>
      </w:r>
      <w:r>
        <w:rPr>
          <w:rFonts w:ascii="Times New Roman" w:cs="Times New Roman" w:eastAsia="Times New Roman" w:hAnsi="Times New Roman"/>
          <w:sz w:val="20"/>
          <w:szCs w:val="20"/>
          <w:b w:val="1"/>
          <w:bCs w:val="1"/>
          <w:color w:val="auto"/>
        </w:rPr>
        <w:t>Designated Website</w:t>
      </w:r>
      <w:r>
        <w:rPr>
          <w:rFonts w:ascii="Times New Roman" w:cs="Times New Roman" w:eastAsia="Times New Roman" w:hAnsi="Times New Roman"/>
          <w:sz w:val="20"/>
          <w:szCs w:val="20"/>
          <w:color w:val="auto"/>
        </w:rPr>
        <w:t>") if:</w:t>
      </w:r>
    </w:p>
    <w:p>
      <w:pPr>
        <w:spacing w:after="0" w:line="147"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expressly agrees (after consultation with each of the Lenders) that it will accept communication of the information by this method;</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the Company and the Agent are aware of the address of and any relevant password specifications for the Designated Website; and</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is in a format previously agreed between the Company and the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59" w:name="page60"/>
    <w:bookmarkEnd w:id="59"/>
    <w:p>
      <w:pPr>
        <w:jc w:val="both"/>
        <w:ind w:left="1280"/>
        <w:spacing w:after="0" w:line="250" w:lineRule="auto"/>
        <w:rPr>
          <w:sz w:val="20"/>
          <w:szCs w:val="20"/>
          <w:color w:val="auto"/>
        </w:rPr>
      </w:pPr>
      <w:r>
        <w:rPr>
          <w:rFonts w:ascii="Times New Roman" w:cs="Times New Roman" w:eastAsia="Times New Roman" w:hAnsi="Times New Roman"/>
          <w:sz w:val="20"/>
          <w:szCs w:val="20"/>
          <w:color w:val="auto"/>
        </w:rPr>
        <w:t>If any Lender (a "</w:t>
      </w:r>
      <w:r>
        <w:rPr>
          <w:rFonts w:ascii="Times New Roman" w:cs="Times New Roman" w:eastAsia="Times New Roman" w:hAnsi="Times New Roman"/>
          <w:sz w:val="20"/>
          <w:szCs w:val="20"/>
          <w:b w:val="1"/>
          <w:bCs w:val="1"/>
          <w:color w:val="auto"/>
        </w:rPr>
        <w:t>Paper Form Lender</w:t>
      </w:r>
      <w:r>
        <w:rPr>
          <w:rFonts w:ascii="Times New Roman" w:cs="Times New Roman" w:eastAsia="Times New Roman" w:hAnsi="Times New Roman"/>
          <w:sz w:val="20"/>
          <w:szCs w:val="20"/>
          <w:color w:val="auto"/>
        </w:rPr>
        <w:t>") does not agree to the delivery of information electronically then the Agent shall notify the Company accordingly and the Company shall supply the information to the Agent (in sufficient copies for each Paper Form Lender) in paper form. In any event the Company shall supply the Agent with at least one copy in paper form of any information required to be provided by it.</w:t>
      </w:r>
    </w:p>
    <w:p>
      <w:pPr>
        <w:spacing w:after="0" w:line="153" w:lineRule="exact"/>
        <w:rPr>
          <w:sz w:val="20"/>
          <w:szCs w:val="20"/>
          <w:color w:val="auto"/>
        </w:rPr>
      </w:pPr>
    </w:p>
    <w:p>
      <w:pPr>
        <w:ind w:left="1280" w:right="20" w:hanging="624"/>
        <w:spacing w:after="0" w:line="269" w:lineRule="auto"/>
        <w:tabs>
          <w:tab w:leader="none" w:pos="126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supply each Website Lender with the address of and any relevant password specifications for the Designated Website following designation of that website by the Company and the Agent.</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upon becoming aware of its occurrence notify the Agent if:</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Designated Website cannot be accessed due to technical failure;</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password specifications for the Designated Website change;</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information which is required to be provided under this Agreement is posted onto the Designated Website;</w:t>
      </w:r>
    </w:p>
    <w:p>
      <w:pPr>
        <w:spacing w:after="0" w:line="188"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existing information which has been provided under this Agreement and posted onto the Designated Website is amended; or</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becomes aware that the Designated Website or any information posted onto the Designated Website is or has been infected by any electronic virus or similar software.</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notifies the Agent under paragraph (c)(i) or paragraph (c)(v) above, all information to be provided by the Company under this Agreement after the date of that notice shall be supplied in paper form unless and until the Agent and each Website Lender is satisfied that the circumstances giving rise to the notification are no longer continuing.</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Website Lender may request, through the Agent, one paper copy of any information required to be provided under this Agreement which is posted onto the Designated Website. The Company shall comply with any such request within ten Business Days.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18.7</w:t>
      </w:r>
      <w:r>
        <w:rPr>
          <w:sz w:val="20"/>
          <w:szCs w:val="20"/>
          <w:color w:val="auto"/>
        </w:rPr>
        <w:tab/>
      </w:r>
      <w:r>
        <w:rPr>
          <w:rFonts w:ascii="Times New Roman" w:cs="Times New Roman" w:eastAsia="Times New Roman" w:hAnsi="Times New Roman"/>
          <w:sz w:val="19"/>
          <w:szCs w:val="19"/>
          <w:b w:val="1"/>
          <w:bCs w:val="1"/>
          <w:color w:val="auto"/>
        </w:rPr>
        <w:t>“Know your customer” checks</w:t>
      </w:r>
    </w:p>
    <w:p>
      <w:pPr>
        <w:spacing w:after="0" w:line="193" w:lineRule="exact"/>
        <w:rPr>
          <w:sz w:val="20"/>
          <w:szCs w:val="20"/>
          <w:color w:val="auto"/>
        </w:rPr>
      </w:pPr>
    </w:p>
    <w:p>
      <w:pPr>
        <w:ind w:left="1260" w:hanging="604"/>
        <w:spacing w:after="0"/>
        <w:tabs>
          <w:tab w:leader="none" w:pos="12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w:t>
      </w:r>
    </w:p>
    <w:p>
      <w:pPr>
        <w:spacing w:after="0" w:line="188"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or any change in (or in the interpretation, administration or application of) any law or regulation made after the date of this Agreement;</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status of the Company after the date of this Agreement; or</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proposed assignment or transfer by a Lender of any of its rights and obligations under this Agreement to a party that is not a Lender prior to such assignment or transfer,</w:t>
      </w:r>
    </w:p>
    <w:p>
      <w:pPr>
        <w:spacing w:after="0" w:line="133" w:lineRule="exact"/>
        <w:rPr>
          <w:sz w:val="20"/>
          <w:szCs w:val="20"/>
          <w:color w:val="auto"/>
        </w:rPr>
      </w:pPr>
    </w:p>
    <w:p>
      <w:pPr>
        <w:jc w:val="both"/>
        <w:ind w:left="1280"/>
        <w:spacing w:after="0" w:line="247" w:lineRule="auto"/>
        <w:rPr>
          <w:sz w:val="20"/>
          <w:szCs w:val="20"/>
          <w:color w:val="auto"/>
        </w:rPr>
      </w:pPr>
      <w:r>
        <w:rPr>
          <w:rFonts w:ascii="Times New Roman" w:cs="Times New Roman" w:eastAsia="Times New Roman" w:hAnsi="Times New Roman"/>
          <w:sz w:val="20"/>
          <w:szCs w:val="20"/>
          <w:color w:val="auto"/>
        </w:rPr>
        <w:t>obliges the Agent or any Lender (or, in the case of paragraph (iii) above, any prospective new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in the case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60" w:name="page61"/>
    <w:bookmarkEnd w:id="60"/>
    <w:p>
      <w:pPr>
        <w:jc w:val="both"/>
        <w:ind w:left="1280"/>
        <w:spacing w:after="0" w:line="249" w:lineRule="auto"/>
        <w:rPr>
          <w:sz w:val="20"/>
          <w:szCs w:val="20"/>
          <w:color w:val="auto"/>
        </w:rPr>
      </w:pPr>
      <w:r>
        <w:rPr>
          <w:rFonts w:ascii="Times New Roman" w:cs="Times New Roman" w:eastAsia="Times New Roman" w:hAnsi="Times New Roman"/>
          <w:sz w:val="20"/>
          <w:szCs w:val="20"/>
          <w:color w:val="auto"/>
        </w:rPr>
        <w:t>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53" w:lineRule="exact"/>
        <w:rPr>
          <w:sz w:val="20"/>
          <w:szCs w:val="20"/>
          <w:color w:val="auto"/>
        </w:rPr>
      </w:pPr>
    </w:p>
    <w:p>
      <w:pPr>
        <w:jc w:val="both"/>
        <w:ind w:left="1280" w:hanging="624"/>
        <w:spacing w:after="0" w:line="249" w:lineRule="auto"/>
        <w:tabs>
          <w:tab w:leader="none" w:pos="1262"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49"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COVENANTS</w:t>
      </w:r>
    </w:p>
    <w:p>
      <w:pPr>
        <w:spacing w:after="0" w:line="192" w:lineRule="exact"/>
        <w:rPr>
          <w:rFonts w:ascii="Times New Roman" w:cs="Times New Roman" w:eastAsia="Times New Roman" w:hAnsi="Times New Roman"/>
          <w:sz w:val="20"/>
          <w:szCs w:val="20"/>
          <w:b w:val="1"/>
          <w:bCs w:val="1"/>
          <w:color w:val="auto"/>
        </w:rPr>
      </w:pPr>
    </w:p>
    <w:p>
      <w:pPr>
        <w:ind w:left="6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financial undertakings set out in this Clause 19 shall remain in force from the date of this Agreement for so long as any amount is outstanding under the Finance Documents or any Commitment is in force (unless indicated otherwise).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b w:val="1"/>
          <w:bCs w:val="1"/>
          <w:color w:val="auto"/>
        </w:rPr>
        <w:t>Financial condition</w:t>
      </w:r>
    </w:p>
    <w:p>
      <w:pPr>
        <w:spacing w:after="0" w:line="189" w:lineRule="exact"/>
        <w:rPr>
          <w:sz w:val="20"/>
          <w:szCs w:val="20"/>
          <w:color w:val="auto"/>
        </w:rPr>
      </w:pPr>
    </w:p>
    <w:p>
      <w:pPr>
        <w:jc w:val="both"/>
        <w:ind w:left="1300" w:hanging="644"/>
        <w:spacing w:after="0" w:line="256" w:lineRule="auto"/>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Consolidated Net Financial Indebtedness to Consolidated EBITDA: </w:t>
      </w:r>
      <w:r>
        <w:rPr>
          <w:rFonts w:ascii="Times New Roman" w:cs="Times New Roman" w:eastAsia="Times New Roman" w:hAnsi="Times New Roman"/>
          <w:sz w:val="20"/>
          <w:szCs w:val="20"/>
          <w:color w:val="auto"/>
        </w:rPr>
        <w:t>The Company shall ensure that Consolidated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Indebtedness as at any Accounting Date shall not be more than 2.50 times the Consolidated EBITDA for the applicable Test Period ending on that Accounting Date.</w:t>
      </w:r>
    </w:p>
    <w:p>
      <w:pPr>
        <w:spacing w:after="0" w:line="141" w:lineRule="exact"/>
        <w:rPr>
          <w:rFonts w:ascii="Times New Roman" w:cs="Times New Roman" w:eastAsia="Times New Roman" w:hAnsi="Times New Roman"/>
          <w:sz w:val="20"/>
          <w:szCs w:val="20"/>
          <w:color w:val="auto"/>
        </w:rPr>
      </w:pPr>
    </w:p>
    <w:p>
      <w:pPr>
        <w:jc w:val="both"/>
        <w:ind w:left="1300" w:hanging="644"/>
        <w:spacing w:after="0" w:line="256" w:lineRule="auto"/>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Consolidated EBITDA to Consolidated Total Net Interest Payable: </w:t>
      </w:r>
      <w:r>
        <w:rPr>
          <w:rFonts w:ascii="Times New Roman" w:cs="Times New Roman" w:eastAsia="Times New Roman" w:hAnsi="Times New Roman"/>
          <w:sz w:val="20"/>
          <w:szCs w:val="20"/>
          <w:color w:val="auto"/>
        </w:rPr>
        <w:t>Consolidated EBITDA for the applicable Test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on an Accounting Date shall not be lower than 6.30 times the Consolidated Total Net Interest Payable for that Test Period.</w:t>
      </w:r>
    </w:p>
    <w:p>
      <w:pPr>
        <w:spacing w:after="0" w:line="141" w:lineRule="exact"/>
        <w:rPr>
          <w:rFonts w:ascii="Times New Roman" w:cs="Times New Roman" w:eastAsia="Times New Roman" w:hAnsi="Times New Roman"/>
          <w:sz w:val="20"/>
          <w:szCs w:val="20"/>
          <w:color w:val="auto"/>
        </w:rPr>
      </w:pPr>
    </w:p>
    <w:p>
      <w:pPr>
        <w:ind w:left="1300" w:hanging="644"/>
        <w:spacing w:after="0" w:line="273" w:lineRule="auto"/>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Consolidated Net Financial Indebtedness to Consolidated Net Worth: </w:t>
      </w:r>
      <w:r>
        <w:rPr>
          <w:rFonts w:ascii="Times New Roman" w:cs="Times New Roman" w:eastAsia="Times New Roman" w:hAnsi="Times New Roman"/>
          <w:sz w:val="20"/>
          <w:szCs w:val="20"/>
          <w:color w:val="auto"/>
        </w:rPr>
        <w:t>Consolidated Net Financial Indebtedness as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Date shall not be more than 0.50 times the Consolidated Net Worth as at that Accounting Date.</w:t>
      </w:r>
    </w:p>
    <w:p>
      <w:pPr>
        <w:spacing w:after="0" w:line="1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Consolidated Net Worth</w:t>
      </w:r>
      <w:r>
        <w:rPr>
          <w:rFonts w:ascii="Times New Roman" w:cs="Times New Roman" w:eastAsia="Times New Roman" w:hAnsi="Times New Roman"/>
          <w:sz w:val="20"/>
          <w:szCs w:val="20"/>
          <w:color w:val="auto"/>
        </w:rPr>
        <w:t>: the Consolidated Net Worth shall at no time be lower than USD 725,000,000.</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19"/>
          <w:szCs w:val="19"/>
          <w:b w:val="1"/>
          <w:bCs w:val="1"/>
          <w:color w:val="auto"/>
        </w:rPr>
        <w:t>Financial covenant calculations</w:t>
      </w:r>
    </w:p>
    <w:p>
      <w:pPr>
        <w:spacing w:after="0" w:line="193"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 financial ratios shall be calculated in accordance with the Accounting Principles and tested by reference to each of the financial statements and each compliance certificate to be delivered as set out in Clause 18 (</w:t>
      </w:r>
      <w:r>
        <w:rPr>
          <w:rFonts w:ascii="Times New Roman" w:cs="Times New Roman" w:eastAsia="Times New Roman" w:hAnsi="Times New Roman"/>
          <w:sz w:val="20"/>
          <w:szCs w:val="20"/>
          <w:i w:val="1"/>
          <w:iCs w:val="1"/>
          <w:color w:val="auto"/>
        </w:rPr>
        <w:t>Compliance Certificate</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Clause 19:</w:t>
      </w:r>
    </w:p>
    <w:p>
      <w:pPr>
        <w:spacing w:after="0" w:line="212" w:lineRule="exact"/>
        <w:rPr>
          <w:sz w:val="20"/>
          <w:szCs w:val="20"/>
          <w:color w:val="auto"/>
        </w:rPr>
      </w:pPr>
    </w:p>
    <w:p>
      <w:pPr>
        <w:ind w:left="62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shall mean in relation to the Group the consolidated profit and loss statement of the Group and determined in accordance with the Accounting Principles: the amount of the consolidated operating income of the Group: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61" w:name="page62"/>
    <w:bookmarkEnd w:id="61"/>
    <w:p>
      <w:pPr>
        <w:ind w:left="1300" w:hanging="644"/>
        <w:spacing w:after="0"/>
        <w:tabs>
          <w:tab w:leader="none" w:pos="1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depreciation and amortization expenses for plant, property and equipment; and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amortization of intangible assets and impairment losses; and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restructuring, merger and integration expenses; and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litigation expenses; and</w:t>
      </w:r>
    </w:p>
    <w:p>
      <w:pPr>
        <w:spacing w:after="0" w:line="188"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 extraordinary and non-cash items of expense, but only to the extent such items have been deducted in the determination of operating income;</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minus extraordinary and non-cash items of income, but only to the extent such items are included in the operating income.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Financial Indebtedness</w:t>
      </w:r>
      <w:r>
        <w:rPr>
          <w:rFonts w:ascii="Times New Roman" w:cs="Times New Roman" w:eastAsia="Times New Roman" w:hAnsi="Times New Roman"/>
          <w:sz w:val="20"/>
          <w:szCs w:val="20"/>
          <w:color w:val="auto"/>
        </w:rPr>
        <w:t>” shall mean at any time:</w:t>
      </w:r>
    </w:p>
    <w:p>
      <w:pPr>
        <w:spacing w:after="0" w:line="220" w:lineRule="exact"/>
        <w:rPr>
          <w:sz w:val="20"/>
          <w:szCs w:val="20"/>
          <w:color w:val="auto"/>
        </w:rPr>
      </w:pPr>
    </w:p>
    <w:p>
      <w:pPr>
        <w:ind w:left="1300" w:right="20" w:hanging="644"/>
        <w:spacing w:after="0" w:line="269" w:lineRule="auto"/>
        <w:tabs>
          <w:tab w:leader="none" w:pos="13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at that time of Financial Indebtedness of the members of the Group from sources external to the Group (including guarantees for an aggregate amount exceeding USD 40,000,000.00 (forty million US dollars) at that time); less</w:t>
      </w:r>
    </w:p>
    <w:p>
      <w:pPr>
        <w:spacing w:after="0" w:line="13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at that time of: (i) cash; (ii) debt securities issued or guaranteed by any member state of the OECD that benefit from an investment grade rating; and (iii) receivables from any derivative transaction entered into in connection with protection against or benefit from fluctuation in any rate or price.</w:t>
      </w:r>
    </w:p>
    <w:p>
      <w:pPr>
        <w:spacing w:after="0" w:line="144" w:lineRule="exact"/>
        <w:rPr>
          <w:sz w:val="20"/>
          <w:szCs w:val="20"/>
          <w:color w:val="auto"/>
        </w:rPr>
      </w:pPr>
    </w:p>
    <w:p>
      <w:pPr>
        <w:ind w:left="620" w:right="1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Worth</w:t>
      </w:r>
      <w:r>
        <w:rPr>
          <w:rFonts w:ascii="Times New Roman" w:cs="Times New Roman" w:eastAsia="Times New Roman" w:hAnsi="Times New Roman"/>
          <w:sz w:val="20"/>
          <w:szCs w:val="20"/>
          <w:color w:val="auto"/>
        </w:rPr>
        <w:t>” in respect of the Group shall mean the consolidated net worth of the Group determined in accordance with the Accounting Principles.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Net Interest Payable</w:t>
      </w:r>
      <w:r>
        <w:rPr>
          <w:rFonts w:ascii="Times New Roman" w:cs="Times New Roman" w:eastAsia="Times New Roman" w:hAnsi="Times New Roman"/>
          <w:sz w:val="20"/>
          <w:szCs w:val="20"/>
          <w:color w:val="auto"/>
        </w:rPr>
        <w:t>” shall mean for a period in relation to the Group:</w:t>
      </w:r>
    </w:p>
    <w:p>
      <w:pPr>
        <w:spacing w:after="0" w:line="220" w:lineRule="exact"/>
        <w:rPr>
          <w:sz w:val="20"/>
          <w:szCs w:val="20"/>
          <w:color w:val="auto"/>
        </w:rPr>
      </w:pPr>
    </w:p>
    <w:p>
      <w:pPr>
        <w:ind w:left="1300" w:right="20" w:hanging="644"/>
        <w:spacing w:after="0" w:line="269" w:lineRule="auto"/>
        <w:tabs>
          <w:tab w:leader="none" w:pos="13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such period as an obligation of any member of the Group (whether or not paid or capitalised during or deferred for payment after such period); less</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received or receivable by any member of the Group (after deducting any applicable withholding tax) in such period.</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shall mean:</w:t>
      </w:r>
    </w:p>
    <w:p>
      <w:pPr>
        <w:spacing w:after="0" w:line="220" w:lineRule="exact"/>
        <w:rPr>
          <w:sz w:val="20"/>
          <w:szCs w:val="20"/>
          <w:color w:val="auto"/>
        </w:rPr>
      </w:pPr>
    </w:p>
    <w:p>
      <w:pPr>
        <w:ind w:left="1300" w:hanging="644"/>
        <w:spacing w:after="0"/>
        <w:tabs>
          <w:tab w:leader="none" w:pos="130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Clause 19.1(a), each period of twelve months ending on an Accounting Date; and</w:t>
      </w:r>
    </w:p>
    <w:p>
      <w:pPr>
        <w:spacing w:after="0" w:line="188"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Clause 19.1(b), a period of six or, as the case may be, twelve months starting on 1 January of a financial year and ending on an Accounting Date in that financial year.</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UNDERTAKINGS</w:t>
      </w:r>
    </w:p>
    <w:p>
      <w:pPr>
        <w:spacing w:after="0" w:line="192" w:lineRule="exact"/>
        <w:rPr>
          <w:rFonts w:ascii="Times New Roman" w:cs="Times New Roman" w:eastAsia="Times New Roman" w:hAnsi="Times New Roman"/>
          <w:sz w:val="20"/>
          <w:szCs w:val="20"/>
          <w:b w:val="1"/>
          <w:bCs w:val="1"/>
          <w:color w:val="auto"/>
        </w:rPr>
      </w:pPr>
    </w:p>
    <w:p>
      <w:pPr>
        <w:ind w:left="6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undertakings in this Clause 20 remain in force from the date of this Agreement for so long as any amount is outstanding under the Finance Documents or any Commitment is in force.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62" w:name="page63"/>
    <w:bookmarkEnd w:id="62"/>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b w:val="1"/>
          <w:bCs w:val="1"/>
          <w:color w:val="auto"/>
        </w:rPr>
        <w:t>Authorisations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shall promptly:</w:t>
      </w:r>
    </w:p>
    <w:p>
      <w:pPr>
        <w:spacing w:after="0" w:line="22" w:lineRule="exact"/>
        <w:rPr>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comply with and do all that is necessary to maintain in full force and effect; and</w:t>
      </w:r>
    </w:p>
    <w:p>
      <w:pPr>
        <w:spacing w:after="0" w:line="16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certified copies to the Agent of,</w:t>
      </w:r>
    </w:p>
    <w:p>
      <w:pPr>
        <w:spacing w:after="0" w:line="189"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b w:val="1"/>
          <w:bCs w:val="1"/>
          <w:color w:val="auto"/>
        </w:rPr>
        <w:t>Compliance with laws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 shall comply in all respects with all laws to which it may be subject, if failure so to comply would materially impair its ability to perform its obligations under the Finance Documents to which it is a party or would reasonably be expected to have a Material Adverse Effect.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b w:val="1"/>
          <w:bCs w:val="1"/>
          <w:color w:val="auto"/>
        </w:rPr>
        <w:t>Environmental compliance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(and it shall ensure that each other member of the Group will):</w:t>
      </w:r>
    </w:p>
    <w:p>
      <w:pPr>
        <w:spacing w:after="0" w:line="189" w:lineRule="exact"/>
        <w:rPr>
          <w:sz w:val="20"/>
          <w:szCs w:val="20"/>
          <w:color w:val="auto"/>
        </w:rPr>
      </w:pPr>
    </w:p>
    <w:p>
      <w:pPr>
        <w:ind w:left="1300" w:hanging="644"/>
        <w:spacing w:after="0"/>
        <w:tabs>
          <w:tab w:leader="none" w:pos="13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Environmental Law;</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and ensure compliance with all requisite Environmental Permits;</w:t>
      </w:r>
    </w:p>
    <w:p>
      <w:pPr>
        <w:spacing w:after="0" w:line="188" w:lineRule="exact"/>
        <w:rPr>
          <w:rFonts w:ascii="Times New Roman" w:cs="Times New Roman" w:eastAsia="Times New Roman" w:hAnsi="Times New Roman"/>
          <w:sz w:val="20"/>
          <w:szCs w:val="20"/>
          <w:color w:val="auto"/>
        </w:rPr>
      </w:pPr>
    </w:p>
    <w:p>
      <w:pPr>
        <w:ind w:left="620" w:right="1760" w:firstLine="36"/>
        <w:spacing w:after="0" w:line="434" w:lineRule="auto"/>
        <w:tabs>
          <w:tab w:leader="none" w:pos="129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procedures to monitor compliance with and to prevent liability under any Environmental Law, where failure to do so has or is reasonably likely to have a Material Adverse Effect.</w:t>
      </w:r>
    </w:p>
    <w:p>
      <w:pPr>
        <w:spacing w:after="0" w:line="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b w:val="1"/>
          <w:bCs w:val="1"/>
          <w:color w:val="auto"/>
        </w:rPr>
        <w:t>Environmental claims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promptly upon becoming aware of the same, inform the Agent in writing of:</w:t>
      </w:r>
    </w:p>
    <w:p>
      <w:pPr>
        <w:spacing w:after="0" w:line="189"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against any member of the Group which is current, pending or threatened; and</w:t>
      </w:r>
    </w:p>
    <w:p>
      <w:pPr>
        <w:spacing w:after="0" w:line="188"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facts or circumstances which are reasonably likely to result in any Environmental Claim being commenced or threatened against any member of the Group,</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where the claim, if determined against that member of the Group, has or is reasonably likely to have a Material Adverse Effect.</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b w:val="1"/>
          <w:bCs w:val="1"/>
          <w:color w:val="auto"/>
        </w:rPr>
        <w:t>Pari passu ranking</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 shall ensure that at all times any unsecured and unsubordinated claims of a Finance Party against it under the Finance Documents rank at least pari passu with the claims of all its other unsecured and unsubordinated creditors except those creditors whose claims are mandatorily preferred by laws of general application to companies.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63" w:name="page64"/>
    <w:bookmarkEnd w:id="63"/>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20"/>
          <w:szCs w:val="20"/>
          <w:b w:val="1"/>
          <w:bCs w:val="1"/>
          <w:color w:val="auto"/>
        </w:rPr>
        <w:t>Insurance</w:t>
      </w:r>
    </w:p>
    <w:p>
      <w:pPr>
        <w:spacing w:after="0" w:line="193" w:lineRule="exact"/>
        <w:rPr>
          <w:sz w:val="20"/>
          <w:szCs w:val="20"/>
          <w:color w:val="auto"/>
        </w:rPr>
      </w:pPr>
    </w:p>
    <w:p>
      <w:pPr>
        <w:jc w:val="both"/>
        <w:ind w:left="1300" w:hanging="644"/>
        <w:spacing w:after="0" w:line="254" w:lineRule="auto"/>
        <w:tabs>
          <w:tab w:leader="none" w:pos="13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(and it shall ensure that each other member of the Group will) maintain insurances on and in relation to its business and assets against those risks and to the extent as is usual for companies carrying on the same or substantially similar business.</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insurances must be with reputable independent insurance companies or underwriters.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(and it shall procure that each other member of the Group will):</w:t>
      </w:r>
    </w:p>
    <w:p>
      <w:pPr>
        <w:spacing w:after="0" w:line="189" w:lineRule="exact"/>
        <w:rPr>
          <w:sz w:val="20"/>
          <w:szCs w:val="20"/>
          <w:color w:val="auto"/>
        </w:rPr>
      </w:pPr>
    </w:p>
    <w:p>
      <w:pPr>
        <w:ind w:left="1300" w:right="20" w:hanging="644"/>
        <w:spacing w:after="0" w:line="269" w:lineRule="auto"/>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and maintain the subsistence and validity of its material Intellectual Property necessary for the business of the relevant Group member;</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reasonable endeavours to prevent any infringement in any material respect of such Intellectual Property;</w:t>
      </w:r>
    </w:p>
    <w:p>
      <w:pPr>
        <w:spacing w:after="0" w:line="188"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registrations and pay all registration fees and taxes necessary to maintain such Intellectual Property in full force and effect and record its interest in that Intellectual Property;</w:t>
      </w:r>
    </w:p>
    <w:p>
      <w:pPr>
        <w:spacing w:after="0" w:line="13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use or permit such Intellectual Property to be used in a way or take any step or omit to take any step in respect of that Intellectual Property which may materially and adversely affect the existence or value of such Intellectual Property or imperil the right of any member of the Group to use such property;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discontinue the use of such Intellectual Property,</w:t>
      </w:r>
    </w:p>
    <w:p>
      <w:pPr>
        <w:spacing w:after="0" w:line="189"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where failure to do so, in the case of paragraph (a) and (b), or, in the case of paragraph (d) and (e), such use, permission to use, omission or discontinuation, is reasonably likely to have a Material Adverse Effect.</w:t>
      </w:r>
    </w:p>
    <w:p>
      <w:pPr>
        <w:spacing w:after="0" w:line="1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b w:val="1"/>
          <w:bCs w:val="1"/>
          <w:color w:val="auto"/>
        </w:rPr>
        <w:t>Access</w:t>
      </w:r>
    </w:p>
    <w:p>
      <w:pPr>
        <w:spacing w:after="0" w:line="193"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If an Event of Default is continuing or the Agent reasonably suspects an Event of Default is continuing, the Company shall, and it shall ensure that each Material Subsidiary will permit the Agent and/or its accountants or other professional advisers and contractors free access at all reasonable times and on reasonable notice at the risk and cost of the Company (provided such access shall be at the cost of the Lenders if such access is granted and it transpires that an Event of Default is not continuing) to (a) the premises, assets, books, accounts and records of the Company and each Material Subsidiary and (b) meet and discuss matters with senior management.</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19"/>
          <w:szCs w:val="19"/>
          <w:b w:val="1"/>
          <w:bCs w:val="1"/>
          <w:color w:val="auto"/>
        </w:rPr>
        <w:t>Preservation of assets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 shall (and it shall ensure that each other member of the Group will) maintain in good working order and condition (ordinary wear and tear excepted) all of its assets necessary or desirable in the conduct of its business where a failure to do so would have or would be reasonably likely to have a Material Adverse Effect.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64" w:name="page65"/>
    <w:bookmarkEnd w:id="64"/>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20.10</w:t>
      </w:r>
      <w:r>
        <w:rPr>
          <w:sz w:val="20"/>
          <w:szCs w:val="20"/>
          <w:color w:val="auto"/>
        </w:rPr>
        <w:tab/>
      </w:r>
      <w:r>
        <w:rPr>
          <w:rFonts w:ascii="Times New Roman" w:cs="Times New Roman" w:eastAsia="Times New Roman" w:hAnsi="Times New Roman"/>
          <w:sz w:val="19"/>
          <w:szCs w:val="19"/>
          <w:b w:val="1"/>
          <w:bCs w:val="1"/>
          <w:color w:val="auto"/>
        </w:rPr>
        <w:t>Taxation</w:t>
      </w:r>
    </w:p>
    <w:p>
      <w:pPr>
        <w:spacing w:after="0" w:line="193" w:lineRule="exact"/>
        <w:rPr>
          <w:sz w:val="20"/>
          <w:szCs w:val="20"/>
          <w:color w:val="auto"/>
        </w:rPr>
      </w:pPr>
    </w:p>
    <w:p>
      <w:pPr>
        <w:jc w:val="both"/>
        <w:ind w:left="1300" w:hanging="644"/>
        <w:spacing w:after="0" w:line="254" w:lineRule="auto"/>
        <w:tabs>
          <w:tab w:leader="none" w:pos="13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(and it shall ensure that each other member of the Group will) pay and discharge all Taxes of a material amount imposed upon it or its assets within the time period allowed without incurring penalties unless and only to the extent that:</w:t>
      </w:r>
    </w:p>
    <w:p>
      <w:pPr>
        <w:spacing w:after="0" w:line="147"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is being contested in good faith;</w:t>
      </w:r>
    </w:p>
    <w:p>
      <w:pPr>
        <w:spacing w:after="0" w:line="188" w:lineRule="exact"/>
        <w:rPr>
          <w:rFonts w:ascii="Times New Roman" w:cs="Times New Roman" w:eastAsia="Times New Roman" w:hAnsi="Times New Roman"/>
          <w:sz w:val="20"/>
          <w:szCs w:val="20"/>
          <w:color w:val="auto"/>
        </w:rPr>
      </w:pPr>
    </w:p>
    <w:p>
      <w:pPr>
        <w:jc w:val="both"/>
        <w:ind w:left="1960" w:hanging="655"/>
        <w:spacing w:after="0" w:line="254" w:lineRule="auto"/>
        <w:tabs>
          <w:tab w:leader="none" w:pos="19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reserves are being maintained for those Taxes and the costs required to contest them which have been disclosed in its latest financial statements required to be delivered to the Agent in accordance with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ind w:left="1960" w:hanging="655"/>
        <w:spacing w:after="0" w:line="269" w:lineRule="auto"/>
        <w:tabs>
          <w:tab w:leader="none" w:pos="19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can be lawfully withheld and failure to pay those Taxes does not have or is not reasonably likely to have a Material Adverse Effect.</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it shall ensure that each member of the Group will not) change its residence for Tax purposes.</w:t>
      </w:r>
    </w:p>
    <w:p>
      <w:pPr>
        <w:spacing w:after="0" w:line="157" w:lineRule="exact"/>
        <w:rPr>
          <w:sz w:val="20"/>
          <w:szCs w:val="20"/>
          <w:color w:val="auto"/>
        </w:rPr>
      </w:pPr>
    </w:p>
    <w:p>
      <w:pPr>
        <w:spacing w:after="0" w:line="230" w:lineRule="exact"/>
        <w:tabs>
          <w:tab w:leader="none" w:pos="600" w:val="left"/>
        </w:tabs>
        <w:rPr>
          <w:sz w:val="20"/>
          <w:szCs w:val="20"/>
          <w:color w:val="auto"/>
        </w:rPr>
      </w:pPr>
      <w:r>
        <w:rPr>
          <w:rFonts w:ascii="Times New Roman" w:cs="Times New Roman" w:eastAsia="Times New Roman" w:hAnsi="Times New Roman"/>
          <w:sz w:val="20"/>
          <w:szCs w:val="20"/>
          <w:color w:val="auto"/>
        </w:rPr>
        <w:t>20.11</w:t>
      </w:r>
      <w:r>
        <w:rPr>
          <w:sz w:val="20"/>
          <w:szCs w:val="20"/>
          <w:color w:val="auto"/>
        </w:rPr>
        <w:tab/>
      </w:r>
      <w:r>
        <w:rPr>
          <w:rFonts w:ascii="Times New Roman" w:cs="Times New Roman" w:eastAsia="Times New Roman" w:hAnsi="Times New Roman"/>
          <w:sz w:val="19"/>
          <w:szCs w:val="19"/>
          <w:b w:val="1"/>
          <w:bCs w:val="1"/>
          <w:color w:val="auto"/>
        </w:rPr>
        <w:t>Anti</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corruption and anti-money laundering law</w:t>
      </w:r>
    </w:p>
    <w:p>
      <w:pPr>
        <w:spacing w:after="0" w:line="220" w:lineRule="exact"/>
        <w:rPr>
          <w:sz w:val="20"/>
          <w:szCs w:val="20"/>
          <w:color w:val="auto"/>
        </w:rPr>
      </w:pPr>
    </w:p>
    <w:p>
      <w:pPr>
        <w:jc w:val="both"/>
        <w:ind w:left="1300" w:hanging="644"/>
        <w:spacing w:after="0" w:line="254" w:lineRule="auto"/>
        <w:tabs>
          <w:tab w:leader="none" w:pos="13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it shall ensure that no other member of the Group will) directly or indirectly use the proceeds of the Facilities for any purpose which would breach the Bribery Act 2010, the United States Foreign Corrupt Practices Act of 1977 or other similar legislation in other jurisdictions.</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(and it shall ensure that each other member of the Group will):</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businesses in compliance with:</w:t>
      </w:r>
    </w:p>
    <w:p>
      <w:pPr>
        <w:spacing w:after="0" w:line="157" w:lineRule="exact"/>
        <w:rPr>
          <w:rFonts w:ascii="Times New Roman" w:cs="Times New Roman" w:eastAsia="Times New Roman" w:hAnsi="Times New Roman"/>
          <w:sz w:val="20"/>
          <w:szCs w:val="20"/>
          <w:color w:val="auto"/>
        </w:rPr>
      </w:pPr>
    </w:p>
    <w:p>
      <w:pPr>
        <w:ind w:left="2600" w:right="20" w:hanging="647"/>
        <w:spacing w:after="0" w:line="259" w:lineRule="exact"/>
        <w:tabs>
          <w:tab w:leader="none" w:pos="2600" w:val="left"/>
        </w:tabs>
        <w:numPr>
          <w:ilvl w:val="2"/>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respect of matters referred to in paragraph (B) below) applicable anti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corruption laws and all applicable anti-money laundering and counter-terrorist financing laws and regulations; and</w:t>
      </w:r>
    </w:p>
    <w:p>
      <w:pPr>
        <w:spacing w:after="0" w:line="162" w:lineRule="exact"/>
        <w:rPr>
          <w:rFonts w:ascii="Times New Roman" w:cs="Times New Roman" w:eastAsia="Times New Roman" w:hAnsi="Times New Roman"/>
          <w:sz w:val="20"/>
          <w:szCs w:val="20"/>
          <w:color w:val="auto"/>
        </w:rPr>
      </w:pPr>
    </w:p>
    <w:p>
      <w:pPr>
        <w:ind w:left="2600" w:hanging="647"/>
        <w:spacing w:after="0" w:line="269" w:lineRule="auto"/>
        <w:tabs>
          <w:tab w:leader="none" w:pos="2600" w:val="left"/>
        </w:tabs>
        <w:numPr>
          <w:ilvl w:val="2"/>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record keeping or reporting requirements required pursuant to any applicable anti-money laundering or counter-terrorist financing laws or regulations in each case in all material respects; and</w:t>
      </w:r>
    </w:p>
    <w:p>
      <w:pPr>
        <w:spacing w:after="0" w:line="13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policies and procedures designed to promote and achieve compliance with such laws.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20.12</w:t>
      </w:r>
      <w:r>
        <w:rPr>
          <w:sz w:val="20"/>
          <w:szCs w:val="20"/>
          <w:color w:val="auto"/>
        </w:rPr>
        <w:tab/>
      </w:r>
      <w:r>
        <w:rPr>
          <w:rFonts w:ascii="Times New Roman" w:cs="Times New Roman" w:eastAsia="Times New Roman" w:hAnsi="Times New Roman"/>
          <w:sz w:val="19"/>
          <w:szCs w:val="19"/>
          <w:b w:val="1"/>
          <w:bCs w:val="1"/>
          <w:color w:val="auto"/>
        </w:rPr>
        <w:t>Sanctions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shall ensure that no member of the Group may:</w:t>
      </w:r>
    </w:p>
    <w:p>
      <w:pPr>
        <w:spacing w:after="0" w:line="189" w:lineRule="exact"/>
        <w:rPr>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lend, contribute or otherwise make available any part of the proceeds of any Utilisation or other transaction contemplated:</w:t>
      </w:r>
    </w:p>
    <w:p>
      <w:pPr>
        <w:spacing w:after="0" w:line="200" w:lineRule="exact"/>
        <w:rPr>
          <w:rFonts w:ascii="Times New Roman" w:cs="Times New Roman" w:eastAsia="Times New Roman" w:hAnsi="Times New Roman"/>
          <w:sz w:val="19"/>
          <w:szCs w:val="19"/>
          <w:color w:val="auto"/>
        </w:rPr>
      </w:pPr>
    </w:p>
    <w:p>
      <w:pPr>
        <w:ind w:left="1960" w:hanging="655"/>
        <w:spacing w:after="0" w:line="269" w:lineRule="auto"/>
        <w:tabs>
          <w:tab w:leader="none" w:pos="196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financing any trade, business or other activities involving, or for the benefit of, any Restricted Party; or</w:t>
      </w:r>
    </w:p>
    <w:p>
      <w:pPr>
        <w:spacing w:after="0" w:line="13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manner that would result in any person being in breach of any Sanctions or becoming a Restricted Party;</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engage in any transaction that evades or avoids or breaches directly or indirectly, any Sanctions applicable to it;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65" w:name="page66"/>
    <w:bookmarkEnd w:id="65"/>
    <w:p>
      <w:pPr>
        <w:ind w:left="1300" w:hanging="644"/>
        <w:spacing w:after="0" w:line="269" w:lineRule="auto"/>
        <w:tabs>
          <w:tab w:leader="none" w:pos="13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fund all or part of any payment in connection with a Finance Document out of proceeds derived from business or transactions with a Restricted Party, or from any action which is in breach of any Sanctions.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20.13</w:t>
      </w:r>
      <w:r>
        <w:rPr>
          <w:sz w:val="20"/>
          <w:szCs w:val="20"/>
          <w:color w:val="auto"/>
        </w:rPr>
        <w:tab/>
      </w:r>
      <w:r>
        <w:rPr>
          <w:rFonts w:ascii="Times New Roman" w:cs="Times New Roman" w:eastAsia="Times New Roman" w:hAnsi="Times New Roman"/>
          <w:sz w:val="19"/>
          <w:szCs w:val="19"/>
          <w:b w:val="1"/>
          <w:bCs w:val="1"/>
          <w:color w:val="auto"/>
        </w:rPr>
        <w:t>Negative pledge</w:t>
      </w:r>
    </w:p>
    <w:p>
      <w:pPr>
        <w:spacing w:after="0" w:line="193" w:lineRule="exact"/>
        <w:rPr>
          <w:sz w:val="20"/>
          <w:szCs w:val="20"/>
          <w:color w:val="auto"/>
        </w:rPr>
      </w:pPr>
    </w:p>
    <w:p>
      <w:pPr>
        <w:ind w:left="1300" w:hanging="644"/>
        <w:spacing w:after="0" w:line="269" w:lineRule="auto"/>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it shall ensure that no other member of the Group will) create or permit to subsist any Security over any of its assets.</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it shall ensure that no other member of the Group will):</w:t>
      </w:r>
    </w:p>
    <w:p>
      <w:pPr>
        <w:spacing w:after="0" w:line="157" w:lineRule="exact"/>
        <w:rPr>
          <w:rFonts w:ascii="Times New Roman" w:cs="Times New Roman" w:eastAsia="Times New Roman" w:hAnsi="Times New Roman"/>
          <w:sz w:val="20"/>
          <w:szCs w:val="20"/>
          <w:color w:val="auto"/>
        </w:rPr>
      </w:pPr>
    </w:p>
    <w:p>
      <w:pPr>
        <w:ind w:left="1960" w:hanging="655"/>
        <w:spacing w:after="0" w:line="259" w:lineRule="exact"/>
        <w:tabs>
          <w:tab w:leader="none" w:pos="19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transfer or otherwise dispose of any of its assets on terms whereby they are or may be leased to or 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acquired by the Company or any other member of the Group;</w:t>
      </w:r>
    </w:p>
    <w:p>
      <w:pPr>
        <w:spacing w:after="0" w:line="16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transfer or otherwise dispose of any of its receivables on recourse terms;</w:t>
      </w:r>
    </w:p>
    <w:p>
      <w:pPr>
        <w:spacing w:after="0" w:line="157" w:lineRule="exact"/>
        <w:rPr>
          <w:rFonts w:ascii="Times New Roman" w:cs="Times New Roman" w:eastAsia="Times New Roman" w:hAnsi="Times New Roman"/>
          <w:sz w:val="20"/>
          <w:szCs w:val="20"/>
          <w:color w:val="auto"/>
        </w:rPr>
      </w:pPr>
    </w:p>
    <w:p>
      <w:pPr>
        <w:ind w:left="1960" w:hanging="655"/>
        <w:spacing w:after="0" w:line="259" w:lineRule="exact"/>
        <w:tabs>
          <w:tab w:leader="none" w:pos="19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arrangement under which money or the benefit of a bank or other account may be applied,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or made subject to a combination of accounts; or</w:t>
      </w:r>
    </w:p>
    <w:p>
      <w:pPr>
        <w:spacing w:after="0" w:line="162"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other preferential arrangement having a similar effect,</w:t>
      </w:r>
    </w:p>
    <w:p>
      <w:pPr>
        <w:spacing w:after="0" w:line="188" w:lineRule="exact"/>
        <w:rPr>
          <w:rFonts w:ascii="Times New Roman" w:cs="Times New Roman" w:eastAsia="Times New Roman" w:hAnsi="Times New Roman"/>
          <w:sz w:val="20"/>
          <w:szCs w:val="20"/>
          <w:color w:val="auto"/>
        </w:rPr>
      </w:pPr>
    </w:p>
    <w:p>
      <w:pPr>
        <w:ind w:left="1960" w:right="20" w:hanging="655"/>
        <w:spacing w:after="0" w:line="269" w:lineRule="auto"/>
        <w:tabs>
          <w:tab w:leader="none" w:pos="196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circumstances where the arrangement or transaction is entered into primarily as a method of raising Financial Indebtedness or of financing the acquisition of an asset.</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Paragraphs (a) and (b) do not apply to any Permitted Security or any Permitted Receivables Disposal.</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20.14</w:t>
      </w:r>
      <w:r>
        <w:rPr>
          <w:sz w:val="20"/>
          <w:szCs w:val="20"/>
          <w:color w:val="auto"/>
        </w:rPr>
        <w:tab/>
      </w:r>
      <w:r>
        <w:rPr>
          <w:rFonts w:ascii="Times New Roman" w:cs="Times New Roman" w:eastAsia="Times New Roman" w:hAnsi="Times New Roman"/>
          <w:sz w:val="19"/>
          <w:szCs w:val="19"/>
          <w:b w:val="1"/>
          <w:bCs w:val="1"/>
          <w:color w:val="auto"/>
        </w:rPr>
        <w:t>Loans or credit</w:t>
      </w:r>
    </w:p>
    <w:p>
      <w:pPr>
        <w:spacing w:after="0" w:line="193" w:lineRule="exact"/>
        <w:rPr>
          <w:sz w:val="20"/>
          <w:szCs w:val="20"/>
          <w:color w:val="auto"/>
        </w:rPr>
      </w:pPr>
    </w:p>
    <w:p>
      <w:pPr>
        <w:ind w:left="1300" w:hanging="644"/>
        <w:spacing w:after="0" w:line="269" w:lineRule="auto"/>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(b), the Company shall not (and it shall ensure that no other member of the Group will) be a creditor in respect of any Financial Indebtedness.</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does not apply to a Permitted Loan.</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20.15</w:t>
      </w:r>
      <w:r>
        <w:rPr>
          <w:sz w:val="20"/>
          <w:szCs w:val="20"/>
          <w:color w:val="auto"/>
        </w:rPr>
        <w:tab/>
      </w:r>
      <w:r>
        <w:rPr>
          <w:rFonts w:ascii="Times New Roman" w:cs="Times New Roman" w:eastAsia="Times New Roman" w:hAnsi="Times New Roman"/>
          <w:sz w:val="20"/>
          <w:szCs w:val="20"/>
          <w:b w:val="1"/>
          <w:bCs w:val="1"/>
          <w:color w:val="auto"/>
        </w:rPr>
        <w:t>Acquisitions</w:t>
      </w:r>
    </w:p>
    <w:p>
      <w:pPr>
        <w:spacing w:after="0" w:line="193" w:lineRule="exact"/>
        <w:rPr>
          <w:sz w:val="20"/>
          <w:szCs w:val="20"/>
          <w:color w:val="auto"/>
        </w:rPr>
      </w:pPr>
    </w:p>
    <w:p>
      <w:pPr>
        <w:ind w:left="1300" w:right="20" w:hanging="644"/>
        <w:spacing w:after="0" w:line="269" w:lineRule="auto"/>
        <w:tabs>
          <w:tab w:leader="none" w:pos="13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(b), the Company shall not (and it shall ensure that no other member of the Group will) acquire a company or any shares or securities or a business or undertaking (or any interest in any of them).</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does not apply to an acquisition that is a Permitted Acquisition.</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20.16</w:t>
      </w:r>
      <w:r>
        <w:rPr>
          <w:sz w:val="20"/>
          <w:szCs w:val="20"/>
          <w:color w:val="auto"/>
        </w:rPr>
        <w:tab/>
      </w:r>
      <w:r>
        <w:rPr>
          <w:rFonts w:ascii="Times New Roman" w:cs="Times New Roman" w:eastAsia="Times New Roman" w:hAnsi="Times New Roman"/>
          <w:sz w:val="19"/>
          <w:szCs w:val="19"/>
          <w:b w:val="1"/>
          <w:bCs w:val="1"/>
          <w:color w:val="auto"/>
        </w:rPr>
        <w:t>Merger</w:t>
      </w:r>
    </w:p>
    <w:p>
      <w:pPr>
        <w:spacing w:after="0" w:line="193" w:lineRule="exact"/>
        <w:rPr>
          <w:sz w:val="20"/>
          <w:szCs w:val="20"/>
          <w:color w:val="auto"/>
        </w:rPr>
      </w:pPr>
    </w:p>
    <w:p>
      <w:pPr>
        <w:ind w:left="1300" w:hanging="644"/>
        <w:spacing w:after="0" w:line="269" w:lineRule="auto"/>
        <w:tabs>
          <w:tab w:leader="none" w:pos="13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it shall ensure that no other member of the Group will) enter into any amalgamation, demerger, merger or corporate reconstruction.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66" w:name="page67"/>
    <w:bookmarkEnd w:id="66"/>
    <w:p>
      <w:pPr>
        <w:ind w:right="5460" w:firstLine="656"/>
        <w:spacing w:after="0" w:line="436" w:lineRule="auto"/>
        <w:tabs>
          <w:tab w:leader="none" w:pos="1297"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Paragraph (a) does not apply to any Permitted Transaction. 20.17 </w:t>
      </w:r>
      <w:r>
        <w:rPr>
          <w:rFonts w:ascii="Times New Roman" w:cs="Times New Roman" w:eastAsia="Times New Roman" w:hAnsi="Times New Roman"/>
          <w:sz w:val="20"/>
          <w:szCs w:val="20"/>
          <w:b w:val="1"/>
          <w:bCs w:val="1"/>
          <w:color w:val="auto"/>
        </w:rPr>
        <w:t>No Guarantees or indemnities</w:t>
      </w:r>
    </w:p>
    <w:p>
      <w:pPr>
        <w:spacing w:after="0" w:line="2" w:lineRule="exact"/>
        <w:rPr>
          <w:sz w:val="20"/>
          <w:szCs w:val="20"/>
          <w:color w:val="auto"/>
        </w:rPr>
      </w:pPr>
    </w:p>
    <w:p>
      <w:pPr>
        <w:ind w:left="1300" w:right="20" w:hanging="644"/>
        <w:spacing w:after="0" w:line="269" w:lineRule="auto"/>
        <w:tabs>
          <w:tab w:leader="none" w:pos="13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(b), the Company shall not (and it shall ensure that no other member of the Group will) incur or allow to remain outstanding any guarantee in respect of any obligation of any person.</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does not apply to a guarantee which is a Permitted Guarantee.</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20.18</w:t>
      </w:r>
      <w:r>
        <w:rPr>
          <w:sz w:val="20"/>
          <w:szCs w:val="20"/>
          <w:color w:val="auto"/>
        </w:rPr>
        <w:tab/>
      </w:r>
      <w:r>
        <w:rPr>
          <w:rFonts w:ascii="Times New Roman" w:cs="Times New Roman" w:eastAsia="Times New Roman" w:hAnsi="Times New Roman"/>
          <w:sz w:val="19"/>
          <w:szCs w:val="19"/>
          <w:b w:val="1"/>
          <w:bCs w:val="1"/>
          <w:color w:val="auto"/>
        </w:rPr>
        <w:t>Financial Indebtedness</w:t>
      </w:r>
    </w:p>
    <w:p>
      <w:pPr>
        <w:spacing w:after="0" w:line="193" w:lineRule="exact"/>
        <w:rPr>
          <w:sz w:val="20"/>
          <w:szCs w:val="20"/>
          <w:color w:val="auto"/>
        </w:rPr>
      </w:pPr>
    </w:p>
    <w:p>
      <w:pPr>
        <w:ind w:left="1300" w:right="20" w:hanging="644"/>
        <w:spacing w:after="0" w:line="269" w:lineRule="auto"/>
        <w:tabs>
          <w:tab w:leader="none" w:pos="13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ensure that the Subsidiary Financial Indebtedness does not exceed at any time 35 per cent. of Group Financial Indebtedness.</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Clause 20.18:</w:t>
      </w:r>
    </w:p>
    <w:p>
      <w:pPr>
        <w:spacing w:after="0" w:line="185" w:lineRule="exact"/>
        <w:rPr>
          <w:sz w:val="20"/>
          <w:szCs w:val="20"/>
          <w:color w:val="auto"/>
        </w:rPr>
      </w:pPr>
    </w:p>
    <w:p>
      <w:pPr>
        <w:jc w:val="both"/>
        <w:ind w:left="12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 Financial Indebtedness</w:t>
      </w:r>
      <w:r>
        <w:rPr>
          <w:rFonts w:ascii="Times New Roman" w:cs="Times New Roman" w:eastAsia="Times New Roman" w:hAnsi="Times New Roman"/>
          <w:sz w:val="20"/>
          <w:szCs w:val="20"/>
          <w:color w:val="auto"/>
        </w:rPr>
        <w:t>” means the Financial Indebtedness of the Group excluding, in each case, Financial Indebtedness of the Group incurred under any Excluded Guarantee; and</w:t>
      </w:r>
    </w:p>
    <w:p>
      <w:pPr>
        <w:spacing w:after="0" w:line="125" w:lineRule="exact"/>
        <w:rPr>
          <w:sz w:val="20"/>
          <w:szCs w:val="20"/>
          <w:color w:val="auto"/>
        </w:rPr>
      </w:pPr>
    </w:p>
    <w:p>
      <w:pPr>
        <w:jc w:val="both"/>
        <w:ind w:left="12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Financial Indebtedness</w:t>
      </w:r>
      <w:r>
        <w:rPr>
          <w:rFonts w:ascii="Times New Roman" w:cs="Times New Roman" w:eastAsia="Times New Roman" w:hAnsi="Times New Roman"/>
          <w:sz w:val="20"/>
          <w:szCs w:val="20"/>
          <w:color w:val="auto"/>
        </w:rPr>
        <w:t>” means the aggregate Financial Indebtedness of each Subsidiary excluding, in each case, the Financial Indebtedness of the Company, any Financial Indebtedness comprising of guarantees of Financial Indebtedness of the Company granted by the Italian Subsidiary and the Financial Indebtedness of the Group incurred under any Excluded Guarantee.</w:t>
      </w:r>
    </w:p>
    <w:p>
      <w:pPr>
        <w:spacing w:after="0" w:line="122" w:lineRule="exact"/>
        <w:rPr>
          <w:sz w:val="20"/>
          <w:szCs w:val="20"/>
          <w:color w:val="auto"/>
        </w:rPr>
      </w:pPr>
    </w:p>
    <w:p>
      <w:pPr>
        <w:ind w:left="1300" w:hanging="644"/>
        <w:spacing w:after="0" w:line="259" w:lineRule="exact"/>
        <w:tabs>
          <w:tab w:leader="none" w:pos="13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and notwithstanding anything to the contrary, intra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group debt shall not constitute or in any way be included in the definition of Financial Indebtedness or Subsidiary Financial Indebtedness.</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20.19</w:t>
      </w:r>
      <w:r>
        <w:rPr>
          <w:sz w:val="20"/>
          <w:szCs w:val="20"/>
          <w:color w:val="auto"/>
        </w:rPr>
        <w:tab/>
      </w:r>
      <w:r>
        <w:rPr>
          <w:rFonts w:ascii="Times New Roman" w:cs="Times New Roman" w:eastAsia="Times New Roman" w:hAnsi="Times New Roman"/>
          <w:sz w:val="20"/>
          <w:szCs w:val="20"/>
          <w:b w:val="1"/>
          <w:bCs w:val="1"/>
          <w:color w:val="auto"/>
        </w:rPr>
        <w:t>Disposal of assets</w:t>
      </w:r>
    </w:p>
    <w:p>
      <w:pPr>
        <w:spacing w:after="0" w:line="193" w:lineRule="exact"/>
        <w:rPr>
          <w:sz w:val="20"/>
          <w:szCs w:val="20"/>
          <w:color w:val="auto"/>
        </w:rPr>
      </w:pPr>
    </w:p>
    <w:p>
      <w:pPr>
        <w:jc w:val="both"/>
        <w:ind w:left="1300" w:hanging="644"/>
        <w:spacing w:after="0" w:line="254" w:lineRule="auto"/>
        <w:tabs>
          <w:tab w:leader="none" w:pos="13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permitted under paragraph (b), the Company shall not (and it shall ensure that no other member of the Group will) enter into a single transaction or a series of transactions (whether related or not) and whether voluntary or involuntary to sell, lease, transfer or otherwise dispose of any asset.</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(a) does not apply to any sale, lease, transfer or other disposal for fair market value and at arm’s length:</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in the ordinary course of trading of the disposing entity;</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assets in exchange of other assets comparable or superior as to type, value and quality;</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obsolete or redundant vehicles, plant and equipment for cash;</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receivables being part of Permitted Receivables Disposals; or</w:t>
      </w:r>
    </w:p>
    <w:p>
      <w:pPr>
        <w:spacing w:after="0" w:line="188" w:lineRule="exact"/>
        <w:rPr>
          <w:rFonts w:ascii="Times New Roman" w:cs="Times New Roman" w:eastAsia="Times New Roman" w:hAnsi="Times New Roman"/>
          <w:sz w:val="20"/>
          <w:szCs w:val="20"/>
          <w:color w:val="auto"/>
        </w:rPr>
      </w:pPr>
    </w:p>
    <w:p>
      <w:pPr>
        <w:jc w:val="both"/>
        <w:ind w:left="1960" w:hanging="655"/>
        <w:spacing w:after="0" w:line="254" w:lineRule="auto"/>
        <w:tabs>
          <w:tab w:leader="none" w:pos="1960"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assets not falling within paragraphs (b)(i) to (b)(iv), provided that over the life of the Facility the aggregate value of the disposed assets and other disposals of assets not falling within paragraphs (b)(i) to (b)(iv), shall not exceed 10 per cent. of the total assets of the Group as reports in the latest audited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67" w:name="page68"/>
    <w:bookmarkEnd w:id="67"/>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20.20</w:t>
      </w:r>
      <w:r>
        <w:rPr>
          <w:sz w:val="20"/>
          <w:szCs w:val="20"/>
          <w:color w:val="auto"/>
        </w:rPr>
        <w:tab/>
      </w:r>
      <w:r>
        <w:rPr>
          <w:rFonts w:ascii="Times New Roman" w:cs="Times New Roman" w:eastAsia="Times New Roman" w:hAnsi="Times New Roman"/>
          <w:sz w:val="19"/>
          <w:szCs w:val="19"/>
          <w:b w:val="1"/>
          <w:bCs w:val="1"/>
          <w:color w:val="auto"/>
        </w:rPr>
        <w:t>Change of business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shall procure that no substantial change is made to the general nature of the business of the Company or the Group from that carried on at the date of this Agreement.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20.21</w:t>
      </w:r>
      <w:r>
        <w:rPr>
          <w:sz w:val="20"/>
          <w:szCs w:val="20"/>
          <w:color w:val="auto"/>
        </w:rPr>
        <w:tab/>
      </w:r>
      <w:r>
        <w:rPr>
          <w:rFonts w:ascii="Times New Roman" w:cs="Times New Roman" w:eastAsia="Times New Roman" w:hAnsi="Times New Roman"/>
          <w:sz w:val="19"/>
          <w:szCs w:val="19"/>
          <w:b w:val="1"/>
          <w:bCs w:val="1"/>
          <w:color w:val="auto"/>
        </w:rPr>
        <w:t>Arm's length basis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shall not (and it shall ensure that no other member of the Group will) enter into any material transaction with any person except on arm's length terms and for full market value.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20.22</w:t>
      </w:r>
      <w:r>
        <w:rPr>
          <w:sz w:val="20"/>
          <w:szCs w:val="20"/>
          <w:color w:val="auto"/>
        </w:rPr>
        <w:tab/>
      </w:r>
      <w:r>
        <w:rPr>
          <w:rFonts w:ascii="Times New Roman" w:cs="Times New Roman" w:eastAsia="Times New Roman" w:hAnsi="Times New Roman"/>
          <w:sz w:val="20"/>
          <w:szCs w:val="20"/>
          <w:b w:val="1"/>
          <w:bCs w:val="1"/>
          <w:color w:val="auto"/>
        </w:rPr>
        <w:t>Amendments</w:t>
      </w:r>
    </w:p>
    <w:p>
      <w:pPr>
        <w:spacing w:after="0" w:line="193" w:lineRule="exact"/>
        <w:rPr>
          <w:sz w:val="20"/>
          <w:szCs w:val="20"/>
          <w:color w:val="auto"/>
        </w:rPr>
      </w:pPr>
    </w:p>
    <w:p>
      <w:pPr>
        <w:jc w:val="both"/>
        <w:ind w:left="1300" w:hanging="644"/>
        <w:spacing w:after="0" w:line="254" w:lineRule="auto"/>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(and it shall ensure that no other member of the Group will) amend, vary, novate, supplement, supersede, waive or terminate any term of any document delivered to the Agent pursuant to Schedule 2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except in writing:</w:t>
      </w:r>
    </w:p>
    <w:p>
      <w:pPr>
        <w:spacing w:after="0" w:line="147"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this Agreement;</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or on the first Utilisation Date, with the prior written consent of the Lenders; or</w:t>
      </w:r>
    </w:p>
    <w:p>
      <w:pPr>
        <w:spacing w:after="0" w:line="188" w:lineRule="exact"/>
        <w:rPr>
          <w:rFonts w:ascii="Times New Roman" w:cs="Times New Roman" w:eastAsia="Times New Roman" w:hAnsi="Times New Roman"/>
          <w:sz w:val="20"/>
          <w:szCs w:val="20"/>
          <w:color w:val="auto"/>
        </w:rPr>
      </w:pPr>
    </w:p>
    <w:p>
      <w:pPr>
        <w:ind w:left="1960" w:right="20" w:hanging="655"/>
        <w:spacing w:after="0" w:line="269" w:lineRule="auto"/>
        <w:tabs>
          <w:tab w:leader="none" w:pos="196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first Utilisation Date, in a way which could not be reasonably expected materially and adversely to affect the interests of the Lenders.</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supply to the Agent a copy of any document relating to any of the matters referred to in paragraphs (a)(i) to (a)(iii).</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20.23</w:t>
      </w:r>
      <w:r>
        <w:rPr>
          <w:sz w:val="20"/>
          <w:szCs w:val="20"/>
          <w:color w:val="auto"/>
        </w:rPr>
        <w:tab/>
      </w:r>
      <w:r>
        <w:rPr>
          <w:rFonts w:ascii="Times New Roman" w:cs="Times New Roman" w:eastAsia="Times New Roman" w:hAnsi="Times New Roman"/>
          <w:sz w:val="19"/>
          <w:szCs w:val="19"/>
          <w:b w:val="1"/>
          <w:bCs w:val="1"/>
          <w:color w:val="auto"/>
        </w:rPr>
        <w:t>Accounting practices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shall not change its Accounting Reference Date nor materially change its accounting policies, in each case unless required to do so in order to comply with the Accounting Principles.</w:t>
      </w:r>
    </w:p>
    <w:p>
      <w:pPr>
        <w:spacing w:after="0" w:line="129" w:lineRule="exact"/>
        <w:rPr>
          <w:sz w:val="20"/>
          <w:szCs w:val="20"/>
          <w:color w:val="auto"/>
        </w:rPr>
      </w:pPr>
    </w:p>
    <w:p>
      <w:pPr>
        <w:ind w:left="620" w:hanging="612"/>
        <w:spacing w:after="0"/>
        <w:tabs>
          <w:tab w:leader="none" w:pos="62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EVENTS OF DEFAULT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Each of the events or circumstances set out in Clause 21 is an Event of Default (save for Clause 21.17 (</w:t>
      </w:r>
      <w:r>
        <w:rPr>
          <w:rFonts w:ascii="Times New Roman" w:cs="Times New Roman" w:eastAsia="Times New Roman" w:hAnsi="Times New Roman"/>
          <w:sz w:val="20"/>
          <w:szCs w:val="20"/>
          <w:i w:val="1"/>
          <w:iCs w:val="1"/>
          <w:color w:val="auto"/>
        </w:rPr>
        <w:t>Acceleration</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spacing w:after="0" w:line="230" w:lineRule="exact"/>
        <w:tabs>
          <w:tab w:leader="none" w:pos="6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b w:val="1"/>
          <w:bCs w:val="1"/>
          <w:color w:val="auto"/>
        </w:rPr>
        <w:t>Non</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payment</w:t>
      </w:r>
    </w:p>
    <w:p>
      <w:pPr>
        <w:spacing w:after="0" w:line="220"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Company does not pay on the due date any amount payable pursuant to a Finance Document at the place and in the currency in which it is expressed to be payable unless:</w:t>
      </w:r>
    </w:p>
    <w:p>
      <w:pPr>
        <w:spacing w:after="0" w:line="133" w:lineRule="exact"/>
        <w:rPr>
          <w:sz w:val="20"/>
          <w:szCs w:val="20"/>
          <w:color w:val="auto"/>
        </w:rPr>
      </w:pPr>
    </w:p>
    <w:p>
      <w:pPr>
        <w:ind w:left="1300" w:hanging="644"/>
        <w:spacing w:after="0"/>
        <w:tabs>
          <w:tab w:leader="none" w:pos="130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failure to pay is caused by:</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or technical error; or</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Event;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68" w:name="page69"/>
    <w:bookmarkEnd w:id="68"/>
    <w:p>
      <w:pPr>
        <w:ind w:right="5440" w:firstLine="656"/>
        <w:spacing w:after="0" w:line="434" w:lineRule="auto"/>
        <w:tabs>
          <w:tab w:leader="none" w:pos="129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is made within five Business Days of its due date. 21.2 </w:t>
      </w:r>
      <w:r>
        <w:rPr>
          <w:rFonts w:ascii="Times New Roman" w:cs="Times New Roman" w:eastAsia="Times New Roman" w:hAnsi="Times New Roman"/>
          <w:sz w:val="20"/>
          <w:szCs w:val="20"/>
          <w:b w:val="1"/>
          <w:bCs w:val="1"/>
          <w:color w:val="auto"/>
        </w:rPr>
        <w:t>Financial covenants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Any requirement of Clause 19 (</w:t>
      </w: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 is not satisfied.</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b w:val="1"/>
          <w:bCs w:val="1"/>
          <w:color w:val="auto"/>
        </w:rPr>
        <w:t>Other obligations</w:t>
      </w:r>
    </w:p>
    <w:p>
      <w:pPr>
        <w:spacing w:after="0" w:line="189" w:lineRule="exact"/>
        <w:rPr>
          <w:sz w:val="20"/>
          <w:szCs w:val="20"/>
          <w:color w:val="auto"/>
        </w:rPr>
      </w:pPr>
    </w:p>
    <w:p>
      <w:pPr>
        <w:ind w:left="1300" w:hanging="644"/>
        <w:spacing w:after="0" w:line="273" w:lineRule="auto"/>
        <w:tabs>
          <w:tab w:leader="none" w:pos="13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comply with any provision of the Finance Documents (other than those referred to in Clause 21.1 (</w:t>
      </w:r>
      <w:r>
        <w:rPr>
          <w:rFonts w:ascii="Times New Roman" w:cs="Times New Roman" w:eastAsia="Times New Roman" w:hAnsi="Times New Roman"/>
          <w:sz w:val="20"/>
          <w:szCs w:val="20"/>
          <w:i w:val="1"/>
          <w:iCs w:val="1"/>
          <w:color w:val="auto"/>
        </w:rPr>
        <w:t>Non-payment</w:t>
      </w:r>
      <w:r>
        <w:rPr>
          <w:rFonts w:ascii="Times New Roman" w:cs="Times New Roman" w:eastAsia="Times New Roman" w:hAnsi="Times New Roman"/>
          <w:sz w:val="20"/>
          <w:szCs w:val="20"/>
          <w:color w:val="auto"/>
        </w:rPr>
        <w:t>) and Clause 19 (</w:t>
      </w:r>
      <w:r>
        <w:rPr>
          <w:rFonts w:ascii="Times New Roman" w:cs="Times New Roman" w:eastAsia="Times New Roman" w:hAnsi="Times New Roman"/>
          <w:sz w:val="20"/>
          <w:szCs w:val="20"/>
          <w:i w:val="1"/>
          <w:iCs w:val="1"/>
          <w:color w:val="auto"/>
        </w:rPr>
        <w:t>Financial Covenants</w:t>
      </w:r>
      <w:r>
        <w:rPr>
          <w:rFonts w:ascii="Times New Roman" w:cs="Times New Roman" w:eastAsia="Times New Roman" w:hAnsi="Times New Roman"/>
          <w:sz w:val="20"/>
          <w:szCs w:val="20"/>
          <w:color w:val="auto"/>
        </w:rPr>
        <w:t>).</w:t>
      </w:r>
    </w:p>
    <w:p>
      <w:pPr>
        <w:spacing w:after="0" w:line="12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under paragraph (a) will occur if the failure to comply is capable of remedy and is remedied within 15 Business Days, of the earlier of (A) the Agent giving notice to the Company and (B) the Company becoming aware of the failure to comply.</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b w:val="1"/>
          <w:bCs w:val="1"/>
          <w:color w:val="auto"/>
        </w:rPr>
        <w:t>Misrepresentation</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Any representation or statement made or deemed to be made by the Company in the Finance Documents or any other document delivered by or on its behalf under or in connection with any Finance Document is or proves to have been incorrect or misleading in any material respect when made or deemed to be made.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20"/>
          <w:szCs w:val="20"/>
          <w:b w:val="1"/>
          <w:bCs w:val="1"/>
          <w:color w:val="auto"/>
        </w:rPr>
        <w:t>Cross default</w:t>
      </w:r>
    </w:p>
    <w:p>
      <w:pPr>
        <w:spacing w:after="0" w:line="193" w:lineRule="exact"/>
        <w:rPr>
          <w:sz w:val="20"/>
          <w:szCs w:val="20"/>
          <w:color w:val="auto"/>
        </w:rPr>
      </w:pPr>
    </w:p>
    <w:p>
      <w:pPr>
        <w:ind w:left="1300" w:hanging="644"/>
        <w:spacing w:after="0" w:line="269" w:lineRule="auto"/>
        <w:tabs>
          <w:tab w:leader="none" w:pos="13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Indebtedness of the Company or any Material Subsidiary is not paid when due nor within any originally applicable grace period.</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Indebtedness of the Company or any Material Subsidiary is declared to be or otherwise becomes due and payable prior to its specified maturity as a result of an event of default (however described).</w:t>
      </w:r>
    </w:p>
    <w:p>
      <w:pPr>
        <w:spacing w:after="0" w:line="13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commitment for any Financial Indebtedness of any member the Company or any Material Subsidiary is cancelled or suspended by a creditor of the Company or any Material Subsidiary as a result of an event of default (however described).</w:t>
      </w:r>
    </w:p>
    <w:p>
      <w:pPr>
        <w:spacing w:after="0" w:line="13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creditor of any member of the Group becomes entitled to declare any Financial Indebtedness of any member of the Group due and payable prior to its specified maturity as a result of an event of default.</w:t>
      </w:r>
    </w:p>
    <w:p>
      <w:pPr>
        <w:spacing w:after="0" w:line="13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will occur under this Clause 21.5 if the aggregate amount of Financial Indebtedness or commitment for Financial Indebtedness falling within paragraphs (a) to (d) is less than USD 7,500,000 (or its equivalent in any other currency or currencies).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20"/>
          <w:szCs w:val="20"/>
          <w:b w:val="1"/>
          <w:bCs w:val="1"/>
          <w:color w:val="auto"/>
        </w:rPr>
        <w:t>Insolvency</w:t>
      </w:r>
    </w:p>
    <w:p>
      <w:pPr>
        <w:spacing w:after="0" w:line="193" w:lineRule="exact"/>
        <w:rPr>
          <w:sz w:val="20"/>
          <w:szCs w:val="20"/>
          <w:color w:val="auto"/>
        </w:rPr>
      </w:pPr>
    </w:p>
    <w:p>
      <w:pPr>
        <w:ind w:left="1300" w:hanging="644"/>
        <w:spacing w:after="0"/>
        <w:tabs>
          <w:tab w:leader="none" w:pos="130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Material Subsidiary:</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unable or admits inability to pay its debts as they fall due;</w:t>
      </w:r>
    </w:p>
    <w:p>
      <w:pPr>
        <w:spacing w:after="0" w:line="188"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suspends making payments on any of its debts;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69" w:name="page70"/>
    <w:bookmarkEnd w:id="69"/>
    <w:p>
      <w:pPr>
        <w:ind w:left="1960" w:right="20" w:hanging="655"/>
        <w:spacing w:after="0" w:line="269" w:lineRule="auto"/>
        <w:tabs>
          <w:tab w:leader="none" w:pos="196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reason of actual or anticipated financial difficulties, commences negotiations with one or more of its creditors (excluding the Lenders) with a view to rescheduling any of its indebtedness.</w:t>
      </w:r>
    </w:p>
    <w:p>
      <w:pPr>
        <w:spacing w:after="0" w:line="13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the assets of any the Company or any Material Subsidiary is less than its liabilities (taking into account contingent and prospective liabilities).</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moratorium is declared in respect of any indebtedness of the Company or any Material Subsidiary.</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b w:val="1"/>
          <w:bCs w:val="1"/>
          <w:color w:val="auto"/>
        </w:rPr>
        <w:t>Insolvency proceedings</w:t>
      </w:r>
    </w:p>
    <w:p>
      <w:pPr>
        <w:spacing w:after="0" w:line="193" w:lineRule="exact"/>
        <w:rPr>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corporate action, legal proceedings or other procedure or step is taken in relation to:</w:t>
      </w:r>
    </w:p>
    <w:p>
      <w:pPr>
        <w:spacing w:after="0" w:line="157" w:lineRule="exact"/>
        <w:rPr>
          <w:rFonts w:ascii="Times New Roman" w:cs="Times New Roman" w:eastAsia="Times New Roman" w:hAnsi="Times New Roman"/>
          <w:sz w:val="20"/>
          <w:szCs w:val="20"/>
          <w:color w:val="auto"/>
        </w:rPr>
      </w:pPr>
    </w:p>
    <w:p>
      <w:pPr>
        <w:jc w:val="both"/>
        <w:ind w:left="1960" w:hanging="655"/>
        <w:spacing w:after="0" w:line="250" w:lineRule="exact"/>
        <w:tabs>
          <w:tab w:leader="none" w:pos="19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suspension of payments, a moratorium of any indebtedness, winding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dissolution, administration or reorganisation (by way of voluntary arrangement, scheme of arrangement or otherwise) of the Company or any Material Subsidiary other than a solvent liquidation or reorganisation of any Material Subsidiary;</w:t>
      </w:r>
    </w:p>
    <w:p>
      <w:pPr>
        <w:spacing w:after="0" w:line="161"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composition, compromise, assignment or arrangement with any creditor of the Company or any Material Subsidiary;</w:t>
      </w:r>
    </w:p>
    <w:p>
      <w:pPr>
        <w:spacing w:after="0" w:line="200" w:lineRule="exact"/>
        <w:rPr>
          <w:rFonts w:ascii="Times New Roman" w:cs="Times New Roman" w:eastAsia="Times New Roman" w:hAnsi="Times New Roman"/>
          <w:sz w:val="19"/>
          <w:szCs w:val="19"/>
          <w:color w:val="auto"/>
        </w:rPr>
      </w:pPr>
    </w:p>
    <w:p>
      <w:pPr>
        <w:jc w:val="both"/>
        <w:ind w:left="1960" w:hanging="655"/>
        <w:spacing w:after="0" w:line="254" w:lineRule="auto"/>
        <w:tabs>
          <w:tab w:leader="none" w:pos="19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liquidator (other than in respect of a solvent liquidation of a Material Subsidiary), receiver, administrative receiver, administrator, compulsory manager or other similar officer in respect of the Company or any Material Subsidiary or any of its assets; or</w:t>
      </w:r>
    </w:p>
    <w:p>
      <w:pPr>
        <w:spacing w:after="0" w:line="147"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of any Security over any assets of the Company or any Material Subsidiary,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or any analogous procedure or step is taken in any jurisdiction.</w:t>
      </w:r>
    </w:p>
    <w:p>
      <w:pPr>
        <w:spacing w:after="0" w:line="157" w:lineRule="exact"/>
        <w:rPr>
          <w:sz w:val="20"/>
          <w:szCs w:val="20"/>
          <w:color w:val="auto"/>
        </w:rPr>
      </w:pPr>
    </w:p>
    <w:p>
      <w:pPr>
        <w:ind w:left="1300" w:hanging="644"/>
        <w:spacing w:after="0" w:line="259" w:lineRule="exact"/>
        <w:tabs>
          <w:tab w:leader="none" w:pos="13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Clause 21.7 shall not apply to any winding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petition which is frivolous or vexatious and is discharged, stayed or dismissed within 10 Business Days of commencement.</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b w:val="1"/>
          <w:bCs w:val="1"/>
          <w:color w:val="auto"/>
        </w:rPr>
        <w:t>Creditors' process</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Any expropriation, attachment, sequestration, distress or execution affects any asset or assets of the Company or any Material Subsidiary and is not discharged within 10 Business Days of commencement.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b w:val="1"/>
          <w:bCs w:val="1"/>
          <w:color w:val="auto"/>
        </w:rPr>
        <w:t>Unlawfulness and invalidity</w:t>
      </w:r>
    </w:p>
    <w:p>
      <w:pPr>
        <w:spacing w:after="0" w:line="193" w:lineRule="exact"/>
        <w:rPr>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becomes unlawful for the Company to perform any of its obligations under the Finance Documents.</w:t>
      </w:r>
    </w:p>
    <w:p>
      <w:pPr>
        <w:spacing w:after="0" w:line="188"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or obligations of the Company under any Finance Documents are not (subject to the Legal Reservations) or cease to be legal, valid, binding or enforceable.</w:t>
      </w:r>
    </w:p>
    <w:p>
      <w:pPr>
        <w:spacing w:after="0" w:line="13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Finance Document ceases to be in full force.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70" w:name="page71"/>
    <w:bookmarkEnd w:id="70"/>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21.10</w:t>
      </w:r>
      <w:r>
        <w:rPr>
          <w:sz w:val="20"/>
          <w:szCs w:val="20"/>
          <w:color w:val="auto"/>
        </w:rPr>
        <w:tab/>
      </w:r>
      <w:r>
        <w:rPr>
          <w:rFonts w:ascii="Times New Roman" w:cs="Times New Roman" w:eastAsia="Times New Roman" w:hAnsi="Times New Roman"/>
          <w:sz w:val="19"/>
          <w:szCs w:val="19"/>
          <w:b w:val="1"/>
          <w:bCs w:val="1"/>
          <w:color w:val="auto"/>
        </w:rPr>
        <w:t>Cessation of business</w:t>
      </w:r>
    </w:p>
    <w:p>
      <w:pPr>
        <w:spacing w:after="0" w:line="193" w:lineRule="exact"/>
        <w:rPr>
          <w:sz w:val="20"/>
          <w:szCs w:val="20"/>
          <w:color w:val="auto"/>
        </w:rPr>
      </w:pPr>
    </w:p>
    <w:p>
      <w:pPr>
        <w:jc w:val="both"/>
        <w:ind w:left="620" w:right="20"/>
        <w:spacing w:after="0" w:line="269" w:lineRule="auto"/>
        <w:rPr>
          <w:sz w:val="20"/>
          <w:szCs w:val="20"/>
          <w:color w:val="auto"/>
        </w:rPr>
      </w:pPr>
      <w:r>
        <w:rPr>
          <w:rFonts w:ascii="Times New Roman" w:cs="Times New Roman" w:eastAsia="Times New Roman" w:hAnsi="Times New Roman"/>
          <w:sz w:val="20"/>
          <w:szCs w:val="20"/>
          <w:color w:val="auto"/>
        </w:rPr>
        <w:t>Any Material Subsidiary suspends or ceases to carry on (or threatens to suspend or cease to carry on) all or a material part of its business.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21.11</w:t>
      </w:r>
      <w:r>
        <w:rPr>
          <w:sz w:val="20"/>
          <w:szCs w:val="20"/>
          <w:color w:val="auto"/>
        </w:rPr>
        <w:tab/>
      </w:r>
      <w:r>
        <w:rPr>
          <w:rFonts w:ascii="Times New Roman" w:cs="Times New Roman" w:eastAsia="Times New Roman" w:hAnsi="Times New Roman"/>
          <w:sz w:val="19"/>
          <w:szCs w:val="19"/>
          <w:b w:val="1"/>
          <w:bCs w:val="1"/>
          <w:color w:val="auto"/>
        </w:rPr>
        <w:t>Change of ownership</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Company ceases to be the beneficial owner directly or indirectly through wholly owned subsidiaries of more than 50 fifty per cent.</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of the issued share capital of the Italian Subsidiary.</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21.12</w:t>
      </w:r>
      <w:r>
        <w:rPr>
          <w:sz w:val="20"/>
          <w:szCs w:val="20"/>
          <w:color w:val="auto"/>
        </w:rPr>
        <w:tab/>
      </w:r>
      <w:r>
        <w:rPr>
          <w:rFonts w:ascii="Times New Roman" w:cs="Times New Roman" w:eastAsia="Times New Roman" w:hAnsi="Times New Roman"/>
          <w:sz w:val="19"/>
          <w:szCs w:val="19"/>
          <w:b w:val="1"/>
          <w:bCs w:val="1"/>
          <w:color w:val="auto"/>
        </w:rPr>
        <w:t>Audit qualification</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Company’s auditors qualify the audited annual consolidated financial statements of the Company on the grounds of inadequate or unreliable information or being unable to prepare the accounts on a going concern basis, in each case which would have or would be reasonably likely to have a Material Adverse Effect.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21.13</w:t>
      </w:r>
      <w:r>
        <w:rPr>
          <w:sz w:val="20"/>
          <w:szCs w:val="20"/>
          <w:color w:val="auto"/>
        </w:rPr>
        <w:tab/>
      </w:r>
      <w:r>
        <w:rPr>
          <w:rFonts w:ascii="Times New Roman" w:cs="Times New Roman" w:eastAsia="Times New Roman" w:hAnsi="Times New Roman"/>
          <w:sz w:val="19"/>
          <w:szCs w:val="19"/>
          <w:b w:val="1"/>
          <w:bCs w:val="1"/>
          <w:color w:val="auto"/>
        </w:rPr>
        <w:t>Expropriation</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The authority or ability of any Material Subsidiary to conduct its business is limited or wholly or substantially curtailed by any seizure, expropriation, nationalisation, intervention, restriction or other action by or on behalf of any governmental, regulatory or other authority or other person in relation to any Material Subsidiary or any of its assets where such limitation or curtailment has or is reasonably likely to have a Material Adverse Effect.</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21.14</w:t>
      </w:r>
      <w:r>
        <w:rPr>
          <w:sz w:val="20"/>
          <w:szCs w:val="20"/>
          <w:color w:val="auto"/>
        </w:rPr>
        <w:tab/>
      </w:r>
      <w:r>
        <w:rPr>
          <w:rFonts w:ascii="Times New Roman" w:cs="Times New Roman" w:eastAsia="Times New Roman" w:hAnsi="Times New Roman"/>
          <w:sz w:val="19"/>
          <w:szCs w:val="19"/>
          <w:b w:val="1"/>
          <w:bCs w:val="1"/>
          <w:color w:val="auto"/>
        </w:rPr>
        <w:t>Repudiation and rescission of agreements</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The Company rescinds or purports to rescind or repudiates or purports to repudiate a Finance Document or evidences an intention to rescind or repudiate a Finance Document.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21.15</w:t>
      </w:r>
      <w:r>
        <w:rPr>
          <w:sz w:val="20"/>
          <w:szCs w:val="20"/>
          <w:color w:val="auto"/>
        </w:rPr>
        <w:tab/>
      </w:r>
      <w:r>
        <w:rPr>
          <w:rFonts w:ascii="Times New Roman" w:cs="Times New Roman" w:eastAsia="Times New Roman" w:hAnsi="Times New Roman"/>
          <w:sz w:val="19"/>
          <w:szCs w:val="19"/>
          <w:b w:val="1"/>
          <w:bCs w:val="1"/>
          <w:color w:val="auto"/>
        </w:rPr>
        <w:t>Litigation</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Any litigation, arbitration, administrative, governmental, regulatory or other investigations, proceedings or disputes are commenced or threatened in relation to the Transaction Documents or the transactions contemplated in the Transaction Documents or against the Company or any Material Subsidiary or its assets which have or are reasonably likely to have a Material Adverse Effect.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21.16</w:t>
      </w:r>
      <w:r>
        <w:rPr>
          <w:sz w:val="20"/>
          <w:szCs w:val="20"/>
          <w:color w:val="auto"/>
        </w:rPr>
        <w:tab/>
      </w:r>
      <w:r>
        <w:rPr>
          <w:rFonts w:ascii="Times New Roman" w:cs="Times New Roman" w:eastAsia="Times New Roman" w:hAnsi="Times New Roman"/>
          <w:sz w:val="19"/>
          <w:szCs w:val="19"/>
          <w:b w:val="1"/>
          <w:bCs w:val="1"/>
          <w:color w:val="auto"/>
        </w:rPr>
        <w:t>Material adverse change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Any event or circumstance occurs which has or will have a Material Adverse Effect.</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21.17</w:t>
      </w:r>
      <w:r>
        <w:rPr>
          <w:sz w:val="20"/>
          <w:szCs w:val="20"/>
          <w:color w:val="auto"/>
        </w:rPr>
        <w:tab/>
      </w:r>
      <w:r>
        <w:rPr>
          <w:rFonts w:ascii="Times New Roman" w:cs="Times New Roman" w:eastAsia="Times New Roman" w:hAnsi="Times New Roman"/>
          <w:sz w:val="20"/>
          <w:szCs w:val="20"/>
          <w:b w:val="1"/>
          <w:bCs w:val="1"/>
          <w:color w:val="auto"/>
        </w:rPr>
        <w:t>Acceleration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On and at any time after the occurrence of an Event of Default which is continuing the Agent may, and shall if so directed by the</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Majority Lenders, by notice to the Company:</w:t>
      </w:r>
    </w:p>
    <w:p>
      <w:pPr>
        <w:spacing w:after="0" w:line="167" w:lineRule="exact"/>
        <w:rPr>
          <w:sz w:val="20"/>
          <w:szCs w:val="20"/>
          <w:color w:val="auto"/>
        </w:rPr>
      </w:pPr>
    </w:p>
    <w:p>
      <w:pPr>
        <w:ind w:left="1260" w:hanging="604"/>
        <w:spacing w:after="0"/>
        <w:tabs>
          <w:tab w:leader="none" w:pos="12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the Total Commitments whereupon they shall immediately be cancelled;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that all or part of the Loans be payable on demand, whereupon they shall immediately become payable on demand by the Agent on the instructions of the Majority Lenders.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CHANGES TO PARTIES</w:t>
      </w:r>
    </w:p>
    <w:p>
      <w:pPr>
        <w:spacing w:after="0" w:line="163" w:lineRule="exact"/>
        <w:rPr>
          <w:sz w:val="20"/>
          <w:szCs w:val="20"/>
          <w:color w:val="auto"/>
        </w:rPr>
      </w:pPr>
    </w:p>
    <w:p>
      <w:pPr>
        <w:ind w:left="620" w:hanging="612"/>
        <w:spacing w:after="0"/>
        <w:tabs>
          <w:tab w:leader="none" w:pos="62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TO THE LENDERS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b w:val="1"/>
          <w:bCs w:val="1"/>
          <w:color w:val="auto"/>
        </w:rPr>
        <w:t>Assignments and transfers by the Lenders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Subject to this Clause 22, a Lender (the “</w:t>
      </w:r>
      <w:r>
        <w:rPr>
          <w:rFonts w:ascii="Times New Roman" w:cs="Times New Roman" w:eastAsia="Times New Roman" w:hAnsi="Times New Roman"/>
          <w:sz w:val="20"/>
          <w:szCs w:val="20"/>
          <w:b w:val="1"/>
          <w:bCs w:val="1"/>
          <w:color w:val="auto"/>
        </w:rPr>
        <w:t>Existing Lender</w:t>
      </w:r>
      <w:r>
        <w:rPr>
          <w:rFonts w:ascii="Times New Roman" w:cs="Times New Roman" w:eastAsia="Times New Roman" w:hAnsi="Times New Roman"/>
          <w:sz w:val="20"/>
          <w:szCs w:val="20"/>
          <w:color w:val="auto"/>
        </w:rPr>
        <w:t>”) may:</w:t>
      </w:r>
    </w:p>
    <w:p>
      <w:pPr>
        <w:spacing w:after="0" w:line="193" w:lineRule="exact"/>
        <w:rPr>
          <w:sz w:val="20"/>
          <w:szCs w:val="20"/>
          <w:color w:val="auto"/>
        </w:rPr>
      </w:pPr>
    </w:p>
    <w:p>
      <w:pPr>
        <w:ind w:left="1260" w:hanging="604"/>
        <w:spacing w:after="0"/>
        <w:tabs>
          <w:tab w:leader="none" w:pos="126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 any of its rights;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by novation any of its rights and obligations,</w:t>
      </w:r>
    </w:p>
    <w:p>
      <w:pPr>
        <w:spacing w:after="0" w:line="189"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b w:val="1"/>
          <w:bCs w:val="1"/>
          <w:color w:val="auto"/>
        </w:rPr>
        <w:t>Company consent</w:t>
      </w:r>
    </w:p>
    <w:p>
      <w:pPr>
        <w:spacing w:after="0" w:line="193" w:lineRule="exact"/>
        <w:rPr>
          <w:sz w:val="20"/>
          <w:szCs w:val="20"/>
          <w:color w:val="auto"/>
        </w:rPr>
      </w:pPr>
    </w:p>
    <w:p>
      <w:pPr>
        <w:ind w:left="1280" w:right="20" w:hanging="624"/>
        <w:spacing w:after="0" w:line="269" w:lineRule="auto"/>
        <w:tabs>
          <w:tab w:leader="none" w:pos="126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(c) below, the consent of the Company is required for an assignment or transfer by an Existing Lender, unless the assignment or transfer is:</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another Lender or an Affiliate of any Lender or a Related Fund of a Lender;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at a time when an Event of Default is continuing.</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Company to an assignment or transfer must not be unreasonably withheld or delayed. The Company will be deemed to have given its consent five Business Days after the Existing Lender has requested it unless consent is expressly refused by the Company within that time.</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 or assignment may be made by a Lender to any person whose business is similar or related to the business carried on by the Group as a whole (or to an Affiliate of any such person or any such person acting on behalf of or on the instructions of any such person) or to a Distressed Fund without the prior written consent of the Company (in its sole discretion).</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b w:val="1"/>
          <w:bCs w:val="1"/>
          <w:color w:val="auto"/>
        </w:rPr>
        <w:t>Other conditions of assignment or transfer</w:t>
      </w:r>
    </w:p>
    <w:p>
      <w:pPr>
        <w:spacing w:after="0" w:line="193" w:lineRule="exact"/>
        <w:rPr>
          <w:sz w:val="20"/>
          <w:szCs w:val="20"/>
          <w:color w:val="auto"/>
        </w:rPr>
      </w:pPr>
    </w:p>
    <w:p>
      <w:pPr>
        <w:ind w:left="1260" w:hanging="604"/>
        <w:spacing w:after="0"/>
        <w:tabs>
          <w:tab w:leader="none" w:pos="12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will only be effective on:</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147"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14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will only be effective if the procedure set out in Clause 22.6 (</w:t>
      </w:r>
      <w:r>
        <w:rPr>
          <w:rFonts w:ascii="Times New Roman" w:cs="Times New Roman" w:eastAsia="Times New Roman" w:hAnsi="Times New Roman"/>
          <w:sz w:val="20"/>
          <w:szCs w:val="20"/>
          <w:i w:val="1"/>
          <w:iCs w:val="1"/>
          <w:color w:val="auto"/>
        </w:rPr>
        <w:t>Procedure for transfer</w:t>
      </w:r>
      <w:r>
        <w:rPr>
          <w:rFonts w:ascii="Times New Roman" w:cs="Times New Roman" w:eastAsia="Times New Roman" w:hAnsi="Times New Roman"/>
          <w:sz w:val="20"/>
          <w:szCs w:val="20"/>
          <w:color w:val="auto"/>
        </w:rPr>
        <w:t>) is complied 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72" w:name="page73"/>
    <w:bookmarkEnd w:id="72"/>
    <w:p>
      <w:pPr>
        <w:jc w:val="both"/>
        <w:ind w:left="1280" w:right="20" w:hanging="624"/>
        <w:spacing w:after="0" w:line="254" w:lineRule="auto"/>
        <w:tabs>
          <w:tab w:leader="none" w:pos="1262"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assignment or transfer by an Existing Lender to a New Lender shall only be effective if it transfers or assigns the Existing Lender's share of the relevant Tranche pro rata against the Existing Lender's Available Commitment and its participations in Loans under that Tranche.</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assigns or transfers any of its rights or obligations under the Finance Documents or changes its Facility Office; and</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circumstances existing at the date the assignment, transfer or change occurs, the Company would be obliged to make a payment to the New Lender or Lender acting through its new Facility Office under Clause 12 (</w:t>
      </w:r>
      <w:r>
        <w:rPr>
          <w:rFonts w:ascii="Times New Roman" w:cs="Times New Roman" w:eastAsia="Times New Roman" w:hAnsi="Times New Roman"/>
          <w:sz w:val="20"/>
          <w:szCs w:val="20"/>
          <w:i w:val="1"/>
          <w:iCs w:val="1"/>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gross-up and indemnities</w:t>
      </w:r>
      <w:r>
        <w:rPr>
          <w:rFonts w:ascii="Times New Roman" w:cs="Times New Roman" w:eastAsia="Times New Roman" w:hAnsi="Times New Roman"/>
          <w:sz w:val="20"/>
          <w:szCs w:val="20"/>
          <w:color w:val="auto"/>
        </w:rPr>
        <w:t>) or Clause 13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left="1280"/>
        <w:spacing w:after="0" w:line="245" w:lineRule="auto"/>
        <w:rPr>
          <w:sz w:val="20"/>
          <w:szCs w:val="20"/>
          <w:color w:val="auto"/>
        </w:rPr>
      </w:pPr>
      <w:r>
        <w:rPr>
          <w:rFonts w:ascii="Times New Roman" w:cs="Times New Roman" w:eastAsia="Times New Roman" w:hAnsi="Times New Roman"/>
          <w:sz w:val="20"/>
          <w:szCs w:val="20"/>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(d) shall not apply in relation to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to a Treaty Lender that has included a confirmation of its scheme reference number and its jurisdiction of tax residence in accordance with paragraph (g)(ii)(B) of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if the Company has not made a Borrower DTTP Filing in respect of that Treaty Lender unless:</w:t>
      </w:r>
    </w:p>
    <w:p>
      <w:pPr>
        <w:spacing w:after="0" w:line="158" w:lineRule="exact"/>
        <w:rPr>
          <w:sz w:val="20"/>
          <w:szCs w:val="20"/>
          <w:color w:val="auto"/>
        </w:rPr>
      </w:pPr>
    </w:p>
    <w:p>
      <w:pPr>
        <w:ind w:left="2540" w:hanging="614"/>
        <w:spacing w:after="0"/>
        <w:tabs>
          <w:tab w:leader="none" w:pos="254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payment falls due before the Company first receives a copy of the confirmation; or</w:t>
      </w:r>
    </w:p>
    <w:p>
      <w:pPr>
        <w:spacing w:after="0" w:line="188"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first receives a copy of the relevant confirmation less than five Business Days before the end of an Interest Period.</w:t>
      </w:r>
    </w:p>
    <w:p>
      <w:pPr>
        <w:spacing w:after="0" w:line="133" w:lineRule="exact"/>
        <w:rPr>
          <w:sz w:val="20"/>
          <w:szCs w:val="20"/>
          <w:color w:val="auto"/>
        </w:rPr>
      </w:pPr>
    </w:p>
    <w:p>
      <w:pPr>
        <w:jc w:val="both"/>
        <w:ind w:left="1280"/>
        <w:spacing w:after="0" w:line="247" w:lineRule="auto"/>
        <w:rPr>
          <w:sz w:val="20"/>
          <w:szCs w:val="20"/>
          <w:color w:val="auto"/>
        </w:rPr>
      </w:pPr>
      <w:r>
        <w:rPr>
          <w:rFonts w:ascii="Times New Roman" w:cs="Times New Roman" w:eastAsia="Times New Roman" w:hAnsi="Times New Roman"/>
          <w:sz w:val="20"/>
          <w:szCs w:val="20"/>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b w:val="1"/>
          <w:bCs w:val="1"/>
          <w:color w:val="auto"/>
        </w:rPr>
        <w:t>Assignment or transfer fee</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New Lender shall, on the date upon which an assignment or transfer takes effect, pay to the Agent (for its own account) a fee of £2,500.</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73" w:name="page74"/>
    <w:bookmarkEnd w:id="73"/>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b w:val="1"/>
          <w:bCs w:val="1"/>
          <w:color w:val="auto"/>
        </w:rPr>
        <w:t>Limitation of responsibility of Existing Lenders</w:t>
      </w:r>
    </w:p>
    <w:p>
      <w:pPr>
        <w:spacing w:after="0" w:line="193" w:lineRule="exact"/>
        <w:rPr>
          <w:sz w:val="20"/>
          <w:szCs w:val="20"/>
          <w:color w:val="auto"/>
        </w:rPr>
      </w:pPr>
    </w:p>
    <w:p>
      <w:pPr>
        <w:ind w:left="1280" w:hanging="624"/>
        <w:spacing w:after="0" w:line="269" w:lineRule="auto"/>
        <w:tabs>
          <w:tab w:leader="none" w:pos="126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expressly agreed to the contrary, an Existing Lender makes no representation or warranty and assumes no responsibility to a New Lender for:</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effectiveness, adequacy or enforceability of the Finance Documents or any other documents;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condition of the Company;</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and observance by the Company of its obligations under the Finance Documents or any other documents; or</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any statements (whether written or oral) made in or in connection with any Finance Document or any other document,</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and any representations or warranties implied by law are excluded.</w:t>
      </w:r>
    </w:p>
    <w:p>
      <w:pPr>
        <w:spacing w:after="0" w:line="189" w:lineRule="exact"/>
        <w:rPr>
          <w:sz w:val="20"/>
          <w:szCs w:val="20"/>
          <w:color w:val="auto"/>
        </w:rPr>
      </w:pPr>
    </w:p>
    <w:p>
      <w:pPr>
        <w:ind w:left="1260" w:hanging="604"/>
        <w:spacing w:after="0"/>
        <w:tabs>
          <w:tab w:leader="none" w:pos="126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New Lender confirms to the Existing Lender and the other Finance Parties that it:</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74" w:lineRule="auto"/>
        <w:tabs>
          <w:tab w:leader="none" w:pos="1920" w:val="left"/>
        </w:tabs>
        <w:numPr>
          <w:ilvl w:val="1"/>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made (and shall continue to make) its own independent investigation and assessment of the financial condition and affairs of the Company and its related entities in connection with its participation in this Agreement and has not relied exclusively on any information provided to it by the Existing Lender in connection with any Finance Document; and</w:t>
      </w:r>
    </w:p>
    <w:p>
      <w:pPr>
        <w:spacing w:after="0" w:line="129" w:lineRule="exact"/>
        <w:rPr>
          <w:rFonts w:ascii="Times New Roman" w:cs="Times New Roman" w:eastAsia="Times New Roman" w:hAnsi="Times New Roman"/>
          <w:sz w:val="19"/>
          <w:szCs w:val="19"/>
          <w:color w:val="auto"/>
        </w:rPr>
      </w:pPr>
    </w:p>
    <w:p>
      <w:pPr>
        <w:ind w:left="1920" w:hanging="642"/>
        <w:spacing w:after="0" w:line="269" w:lineRule="auto"/>
        <w:tabs>
          <w:tab w:leader="none" w:pos="192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continue to make its own independent appraisal of the creditworthiness of the Company and its related entities whilst any amount is or may be outstanding under the Finance Documents or any Commitment is in force.</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any Finance Document obliges an Existing Lender to:</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a re-transfer or re-assignment from a New Lender of any of the rights and obligations assigned or transferred under this Clause 22; or</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any losses directly or indirectly incurred by the New Lender by reason of the non-performance by the Company of its obligations under the Finance Documents or otherwise.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b w:val="1"/>
          <w:bCs w:val="1"/>
          <w:color w:val="auto"/>
        </w:rPr>
        <w:t>Procedure for transfer</w:t>
      </w:r>
    </w:p>
    <w:p>
      <w:pPr>
        <w:spacing w:after="0" w:line="189" w:lineRule="exact"/>
        <w:rPr>
          <w:sz w:val="20"/>
          <w:szCs w:val="20"/>
          <w:color w:val="auto"/>
        </w:rPr>
      </w:pPr>
    </w:p>
    <w:p>
      <w:pPr>
        <w:jc w:val="both"/>
        <w:ind w:left="1280" w:hanging="624"/>
        <w:spacing w:after="0" w:line="246" w:lineRule="auto"/>
        <w:tabs>
          <w:tab w:leader="none" w:pos="1262"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conditions set out in Clause 22.2 (</w:t>
      </w:r>
      <w:r>
        <w:rPr>
          <w:rFonts w:ascii="Times New Roman" w:cs="Times New Roman" w:eastAsia="Times New Roman" w:hAnsi="Times New Roman"/>
          <w:sz w:val="20"/>
          <w:szCs w:val="20"/>
          <w:i w:val="1"/>
          <w:iCs w:val="1"/>
          <w:color w:val="auto"/>
        </w:rPr>
        <w:t>Company consent</w:t>
      </w:r>
      <w:r>
        <w:rPr>
          <w:rFonts w:ascii="Times New Roman" w:cs="Times New Roman" w:eastAsia="Times New Roman" w:hAnsi="Times New Roman"/>
          <w:sz w:val="20"/>
          <w:szCs w:val="20"/>
          <w:color w:val="auto"/>
        </w:rPr>
        <w:t>) and Clause 22.3 (</w:t>
      </w:r>
      <w:r>
        <w:rPr>
          <w:rFonts w:ascii="Times New Roman" w:cs="Times New Roman" w:eastAsia="Times New Roman" w:hAnsi="Times New Roman"/>
          <w:sz w:val="20"/>
          <w:szCs w:val="20"/>
          <w:i w:val="1"/>
          <w:iCs w:val="1"/>
          <w:color w:val="auto"/>
        </w:rPr>
        <w:t>Other conditions of assignment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 a transfer is effected in accordance with paragraph (c) below when the Agent executes an otherwise duly completed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56"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4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22.10 (</w:t>
      </w:r>
      <w:r>
        <w:rPr>
          <w:rFonts w:ascii="Times New Roman" w:cs="Times New Roman" w:eastAsia="Times New Roman" w:hAnsi="Times New Roman"/>
          <w:sz w:val="20"/>
          <w:szCs w:val="20"/>
          <w:i w:val="1"/>
          <w:iCs w:val="1"/>
          <w:color w:val="auto"/>
        </w:rPr>
        <w:t>Pro rata interest settlement</w:t>
      </w:r>
      <w:r>
        <w:rPr>
          <w:rFonts w:ascii="Times New Roman" w:cs="Times New Roman" w:eastAsia="Times New Roman" w:hAnsi="Times New Roman"/>
          <w:sz w:val="20"/>
          <w:szCs w:val="20"/>
          <w:color w:val="auto"/>
        </w:rPr>
        <w:t>), on the Transfer Date: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74" w:name="page75"/>
    <w:bookmarkEnd w:id="74"/>
    <w:p>
      <w:pPr>
        <w:jc w:val="both"/>
        <w:ind w:left="1920" w:hanging="642"/>
        <w:spacing w:after="0" w:line="249" w:lineRule="auto"/>
        <w:tabs>
          <w:tab w:leader="none" w:pos="19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in the Transfer Certificate the Existing Lender seeks to transfer by novation its rights and obligations under the Finance Documents each of the Company and the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20"/>
          <w:szCs w:val="20"/>
          <w:b w:val="1"/>
          <w:bCs w:val="1"/>
          <w:color w:val="auto"/>
        </w:rPr>
        <w:t>Discharged Rights and Obligations</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New Lender shall assume obligations towards one another and/or acquire rights against one another which differ from the Discharged Rights and Obligations only insofar as the Company and the New Lender have assumed and/or acquired the same in place of the Company and the Existing Lender;</w:t>
      </w:r>
    </w:p>
    <w:p>
      <w:pPr>
        <w:spacing w:after="0" w:line="147" w:lineRule="exact"/>
        <w:rPr>
          <w:rFonts w:ascii="Times New Roman" w:cs="Times New Roman" w:eastAsia="Times New Roman" w:hAnsi="Times New Roman"/>
          <w:sz w:val="20"/>
          <w:szCs w:val="20"/>
          <w:color w:val="auto"/>
        </w:rPr>
      </w:pPr>
    </w:p>
    <w:p>
      <w:pPr>
        <w:jc w:val="both"/>
        <w:ind w:left="1920" w:hanging="642"/>
        <w:spacing w:after="0" w:line="247" w:lineRule="auto"/>
        <w:tabs>
          <w:tab w:leader="none" w:pos="19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the Arranger, the Documentation Agent and Co-ordinator,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 the Documentation Agent and Co-ordinator and the Existing Lender shall each be released from further obligations to each other under the Finance Documents; and</w:t>
      </w:r>
    </w:p>
    <w:p>
      <w:pPr>
        <w:spacing w:after="0" w:line="149"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shall become a Party as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b w:val="1"/>
          <w:bCs w:val="1"/>
          <w:color w:val="auto"/>
        </w:rPr>
        <w:t>Procedure for assignment</w:t>
      </w:r>
    </w:p>
    <w:p>
      <w:pPr>
        <w:spacing w:after="0" w:line="189" w:lineRule="exact"/>
        <w:rPr>
          <w:sz w:val="20"/>
          <w:szCs w:val="20"/>
          <w:color w:val="auto"/>
        </w:rPr>
      </w:pPr>
    </w:p>
    <w:p>
      <w:pPr>
        <w:jc w:val="both"/>
        <w:ind w:left="1280" w:hanging="624"/>
        <w:spacing w:after="0" w:line="246" w:lineRule="auto"/>
        <w:tabs>
          <w:tab w:leader="none" w:pos="1262"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conditions set out in Clause 22.2 (</w:t>
      </w:r>
      <w:r>
        <w:rPr>
          <w:rFonts w:ascii="Times New Roman" w:cs="Times New Roman" w:eastAsia="Times New Roman" w:hAnsi="Times New Roman"/>
          <w:sz w:val="20"/>
          <w:szCs w:val="20"/>
          <w:i w:val="1"/>
          <w:iCs w:val="1"/>
          <w:color w:val="auto"/>
        </w:rPr>
        <w:t>Company consent</w:t>
      </w:r>
      <w:r>
        <w:rPr>
          <w:rFonts w:ascii="Times New Roman" w:cs="Times New Roman" w:eastAsia="Times New Roman" w:hAnsi="Times New Roman"/>
          <w:sz w:val="20"/>
          <w:szCs w:val="20"/>
          <w:color w:val="auto"/>
        </w:rPr>
        <w:t>) and Clause 22.3 (</w:t>
      </w:r>
      <w:r>
        <w:rPr>
          <w:rFonts w:ascii="Times New Roman" w:cs="Times New Roman" w:eastAsia="Times New Roman" w:hAnsi="Times New Roman"/>
          <w:sz w:val="20"/>
          <w:szCs w:val="20"/>
          <w:i w:val="1"/>
          <w:iCs w:val="1"/>
          <w:color w:val="auto"/>
        </w:rPr>
        <w:t>Other conditions of assignment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transfer</w:t>
      </w:r>
      <w:r>
        <w:rPr>
          <w:rFonts w:ascii="Times New Roman" w:cs="Times New Roman" w:eastAsia="Times New Roman" w:hAnsi="Times New Roman"/>
          <w:sz w:val="20"/>
          <w:szCs w:val="20"/>
          <w:color w:val="auto"/>
        </w:rPr>
        <w:t>) an assignment may be effected in accordance with paragraph (c) below when the Agent executes an otherwise duly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56"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4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22.10 (</w:t>
      </w:r>
      <w:r>
        <w:rPr>
          <w:rFonts w:ascii="Times New Roman" w:cs="Times New Roman" w:eastAsia="Times New Roman" w:hAnsi="Times New Roman"/>
          <w:sz w:val="20"/>
          <w:szCs w:val="20"/>
          <w:i w:val="1"/>
          <w:iCs w:val="1"/>
          <w:color w:val="auto"/>
        </w:rPr>
        <w:t>Pro rata interest settlement</w:t>
      </w:r>
      <w:r>
        <w:rPr>
          <w:rFonts w:ascii="Times New Roman" w:cs="Times New Roman" w:eastAsia="Times New Roman" w:hAnsi="Times New Roman"/>
          <w:sz w:val="20"/>
          <w:szCs w:val="20"/>
          <w:color w:val="auto"/>
        </w:rPr>
        <w:t>), on the Transfer Date:</w:t>
      </w:r>
    </w:p>
    <w:p>
      <w:pPr>
        <w:spacing w:after="0" w:line="192"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Lender will assign absolutely to the New Lender the rights under the Finance Documents expressed to be the subject of the assignment in the Assignment Agreement;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75" w:name="page76"/>
    <w:bookmarkEnd w:id="75"/>
    <w:p>
      <w:pPr>
        <w:ind w:left="1920" w:right="20" w:hanging="642"/>
        <w:spacing w:after="0" w:line="269" w:lineRule="auto"/>
        <w:tabs>
          <w:tab w:leader="none" w:pos="19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Lender will be released by the Company and the other Finance Parties from the obligations owed by it (the “</w:t>
      </w:r>
      <w:r>
        <w:rPr>
          <w:rFonts w:ascii="Times New Roman" w:cs="Times New Roman" w:eastAsia="Times New Roman" w:hAnsi="Times New Roman"/>
          <w:sz w:val="20"/>
          <w:szCs w:val="20"/>
          <w:b w:val="1"/>
          <w:bCs w:val="1"/>
          <w:color w:val="auto"/>
        </w:rPr>
        <w:t>Relevant Obligations</w:t>
      </w:r>
      <w:r>
        <w:rPr>
          <w:rFonts w:ascii="Times New Roman" w:cs="Times New Roman" w:eastAsia="Times New Roman" w:hAnsi="Times New Roman"/>
          <w:sz w:val="20"/>
          <w:szCs w:val="20"/>
          <w:color w:val="auto"/>
        </w:rPr>
        <w:t>”) and expressed to be the subject of the release in the Assignment Agreement; and</w:t>
      </w:r>
    </w:p>
    <w:p>
      <w:pPr>
        <w:spacing w:after="0" w:line="128" w:lineRule="exact"/>
        <w:rPr>
          <w:rFonts w:ascii="Times New Roman" w:cs="Times New Roman" w:eastAsia="Times New Roman" w:hAnsi="Times New Roman"/>
          <w:sz w:val="20"/>
          <w:szCs w:val="20"/>
          <w:color w:val="auto"/>
        </w:rPr>
      </w:pPr>
    </w:p>
    <w:p>
      <w:pPr>
        <w:ind w:left="1920" w:hanging="642"/>
        <w:spacing w:after="0" w:line="273" w:lineRule="auto"/>
        <w:tabs>
          <w:tab w:leader="none" w:pos="19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shall become a Party as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and will be bound by obligations equivalent to the Relevant Obligations.</w:t>
      </w:r>
    </w:p>
    <w:p>
      <w:pPr>
        <w:spacing w:after="0" w:line="129" w:lineRule="exact"/>
        <w:rPr>
          <w:sz w:val="20"/>
          <w:szCs w:val="20"/>
          <w:color w:val="auto"/>
        </w:rPr>
      </w:pPr>
    </w:p>
    <w:p>
      <w:pPr>
        <w:jc w:val="both"/>
        <w:ind w:left="1280" w:hanging="624"/>
        <w:spacing w:after="0" w:line="247" w:lineRule="auto"/>
        <w:tabs>
          <w:tab w:leader="none" w:pos="1262"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may utilise procedures other than those set out in this Clause 22.7 to assign their rights under the Finance Documents (but not, without the consent of the Company or unless in accordance with Clause 22.6 (</w:t>
      </w:r>
      <w:r>
        <w:rPr>
          <w:rFonts w:ascii="Times New Roman" w:cs="Times New Roman" w:eastAsia="Times New Roman" w:hAnsi="Times New Roman"/>
          <w:sz w:val="20"/>
          <w:szCs w:val="20"/>
          <w:i w:val="1"/>
          <w:iCs w:val="1"/>
          <w:color w:val="auto"/>
        </w:rPr>
        <w:t>Procedure for transfer</w:t>
      </w:r>
      <w:r>
        <w:rPr>
          <w:rFonts w:ascii="Times New Roman" w:cs="Times New Roman" w:eastAsia="Times New Roman" w:hAnsi="Times New Roman"/>
          <w:sz w:val="20"/>
          <w:szCs w:val="20"/>
          <w:color w:val="auto"/>
        </w:rPr>
        <w:t xml:space="preserve">), to obtain a release by the Company from the obligations owed to the Company by the Lenders nor the assumption of equivalent obligations by a New Lender) </w:t>
      </w:r>
      <w:r>
        <w:rPr>
          <w:rFonts w:ascii="Times New Roman" w:cs="Times New Roman" w:eastAsia="Times New Roman" w:hAnsi="Times New Roman"/>
          <w:sz w:val="20"/>
          <w:szCs w:val="20"/>
          <w:b w:val="1"/>
          <w:bCs w:val="1"/>
          <w:color w:val="auto"/>
        </w:rPr>
        <w:t>provided that</w:t>
      </w:r>
      <w:r>
        <w:rPr>
          <w:rFonts w:ascii="Times New Roman" w:cs="Times New Roman" w:eastAsia="Times New Roman" w:hAnsi="Times New Roman"/>
          <w:sz w:val="20"/>
          <w:szCs w:val="20"/>
          <w:color w:val="auto"/>
        </w:rPr>
        <w:t xml:space="preserve"> they comply with the conditions set out in Clause 22.2 (</w:t>
      </w:r>
      <w:r>
        <w:rPr>
          <w:rFonts w:ascii="Times New Roman" w:cs="Times New Roman" w:eastAsia="Times New Roman" w:hAnsi="Times New Roman"/>
          <w:sz w:val="20"/>
          <w:szCs w:val="20"/>
          <w:i w:val="1"/>
          <w:iCs w:val="1"/>
          <w:color w:val="auto"/>
        </w:rPr>
        <w:t>Company consent</w:t>
      </w:r>
      <w:r>
        <w:rPr>
          <w:rFonts w:ascii="Times New Roman" w:cs="Times New Roman" w:eastAsia="Times New Roman" w:hAnsi="Times New Roman"/>
          <w:sz w:val="20"/>
          <w:szCs w:val="20"/>
          <w:color w:val="auto"/>
        </w:rPr>
        <w:t>) and Clause 22.3 (</w:t>
      </w:r>
      <w:r>
        <w:rPr>
          <w:rFonts w:ascii="Times New Roman" w:cs="Times New Roman" w:eastAsia="Times New Roman" w:hAnsi="Times New Roman"/>
          <w:sz w:val="20"/>
          <w:szCs w:val="20"/>
          <w:i w:val="1"/>
          <w:iCs w:val="1"/>
          <w:color w:val="auto"/>
        </w:rPr>
        <w:t>Other conditions of assignment or transfer</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b w:val="1"/>
          <w:bCs w:val="1"/>
          <w:color w:val="auto"/>
        </w:rPr>
        <w:t>Copy of Transfer Certificate or Assignment Agreement to Company</w:t>
      </w:r>
    </w:p>
    <w:p>
      <w:pPr>
        <w:spacing w:after="0" w:line="193"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20"/>
          <w:szCs w:val="20"/>
          <w:color w:val="auto"/>
        </w:rPr>
        <w:t>The Agent shall, as soon as reasonably practicable after it has executed a Transfer Certificate, or Assignment Agreement, send to the Company a copy of that Transfer Certificate or Assignment Agreement.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b w:val="1"/>
          <w:bCs w:val="1"/>
          <w:color w:val="auto"/>
        </w:rPr>
        <w:t>Security over Lenders' rights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In addition to the other rights provided to Lenders under this Clause 22, each Lender may without consulting with or obtaining consent from the Company, at any time charge, assign or otherwise create Security in or over (whether by way of collateral or otherwise) all or any of its rights under any Finance Document to secure obligations of that Lender including, without limitation:</w:t>
      </w:r>
    </w:p>
    <w:p>
      <w:pPr>
        <w:spacing w:after="0" w:line="148" w:lineRule="exact"/>
        <w:rPr>
          <w:sz w:val="20"/>
          <w:szCs w:val="20"/>
          <w:color w:val="auto"/>
        </w:rPr>
      </w:pPr>
    </w:p>
    <w:p>
      <w:pPr>
        <w:ind w:left="1260" w:hanging="604"/>
        <w:spacing w:after="0"/>
        <w:tabs>
          <w:tab w:leader="none" w:pos="12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charge, assignment or other Security to secure obligations to a federal reserve or central bank; and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charge, assignment or other Security granted to any holders (or trustee or representatives of holders) of obligations owed, or securities issued, by that Lender as security for those obligations or securities,</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except that no such charge, assignment or Security shall:</w:t>
      </w:r>
    </w:p>
    <w:p>
      <w:pPr>
        <w:spacing w:after="0" w:line="189" w:lineRule="exact"/>
        <w:rPr>
          <w:sz w:val="20"/>
          <w:szCs w:val="20"/>
          <w:color w:val="auto"/>
        </w:rPr>
      </w:pPr>
    </w:p>
    <w:p>
      <w:pPr>
        <w:ind w:left="1920" w:hanging="642"/>
        <w:spacing w:after="0" w:line="269" w:lineRule="auto"/>
        <w:tabs>
          <w:tab w:leader="none" w:pos="192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 Lender from any of its obligations under the Finance Documents or substitute the beneficiary of the relevant charge, assignment or Security for the Lender as a party to any of the Finance Documents; or</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any payments to be made by the Company other than or in excess of, or grant to any person any more extensive rights than, those required to be made or granted to the relevant Lender under the Finance Documents.</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22.10</w:t>
      </w:r>
      <w:r>
        <w:rPr>
          <w:sz w:val="20"/>
          <w:szCs w:val="20"/>
          <w:color w:val="auto"/>
        </w:rPr>
        <w:tab/>
      </w:r>
      <w:r>
        <w:rPr>
          <w:rFonts w:ascii="Times New Roman" w:cs="Times New Roman" w:eastAsia="Times New Roman" w:hAnsi="Times New Roman"/>
          <w:sz w:val="19"/>
          <w:szCs w:val="19"/>
          <w:b w:val="1"/>
          <w:bCs w:val="1"/>
          <w:color w:val="auto"/>
        </w:rPr>
        <w:t>Pro rata interest settlement</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has notified the Lenders that it is able to distribute interest payments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Existing Lenders and New Lenders then (in respect of any transfer pursuant to Clause 22.6 (</w:t>
      </w:r>
      <w:r>
        <w:rPr>
          <w:rFonts w:ascii="Times New Roman" w:cs="Times New Roman" w:eastAsia="Times New Roman" w:hAnsi="Times New Roman"/>
          <w:sz w:val="20"/>
          <w:szCs w:val="20"/>
          <w:i w:val="1"/>
          <w:iCs w:val="1"/>
          <w:color w:val="auto"/>
        </w:rPr>
        <w:t>Procedure for transfer</w:t>
      </w:r>
      <w:r>
        <w:rPr>
          <w:rFonts w:ascii="Times New Roman" w:cs="Times New Roman" w:eastAsia="Times New Roman" w:hAnsi="Times New Roman"/>
          <w:sz w:val="20"/>
          <w:szCs w:val="20"/>
          <w:color w:val="auto"/>
        </w:rPr>
        <w:t>) or any assignment pursuant to Clause 22.7 (</w:t>
      </w:r>
      <w:r>
        <w:rPr>
          <w:rFonts w:ascii="Times New Roman" w:cs="Times New Roman" w:eastAsia="Times New Roman" w:hAnsi="Times New Roman"/>
          <w:sz w:val="20"/>
          <w:szCs w:val="20"/>
          <w:i w:val="1"/>
          <w:iCs w:val="1"/>
          <w:color w:val="auto"/>
        </w:rPr>
        <w:t>Procedure for assignment</w:t>
      </w:r>
      <w:r>
        <w:rPr>
          <w:rFonts w:ascii="Times New Roman" w:cs="Times New Roman" w:eastAsia="Times New Roman" w:hAnsi="Times New Roman"/>
          <w:sz w:val="20"/>
          <w:szCs w:val="20"/>
          <w:color w:val="auto"/>
        </w:rPr>
        <w:t>) the Transfer Date of which, in each case, is after the date of such notification and is not on the last day of an Interest Period):</w:t>
      </w:r>
    </w:p>
    <w:p>
      <w:pPr>
        <w:spacing w:after="0" w:line="153"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20"/>
          <w:szCs w:val="20"/>
          <w:b w:val="1"/>
          <w:bCs w:val="1"/>
          <w:color w:val="auto"/>
        </w:rPr>
        <w:t>Accrued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76" w:name="page77"/>
    <w:bookmarkEnd w:id="76"/>
    <w:p>
      <w:pPr>
        <w:jc w:val="both"/>
        <w:ind w:left="1920"/>
        <w:spacing w:after="0" w:line="284" w:lineRule="auto"/>
        <w:rPr>
          <w:sz w:val="20"/>
          <w:szCs w:val="20"/>
          <w:color w:val="auto"/>
        </w:rPr>
      </w:pPr>
      <w:r>
        <w:rPr>
          <w:rFonts w:ascii="Times New Roman" w:cs="Times New Roman" w:eastAsia="Times New Roman" w:hAnsi="Times New Roman"/>
          <w:sz w:val="20"/>
          <w:szCs w:val="20"/>
          <w:b w:val="1"/>
          <w:bCs w:val="1"/>
          <w:color w:val="auto"/>
        </w:rPr>
        <w:t>Amounts</w:t>
      </w:r>
      <w:r>
        <w:rPr>
          <w:rFonts w:ascii="Times New Roman" w:cs="Times New Roman" w:eastAsia="Times New Roman" w:hAnsi="Times New Roman"/>
          <w:sz w:val="20"/>
          <w:szCs w:val="20"/>
          <w:color w:val="auto"/>
        </w:rPr>
        <w:t>”) and shall become due and payable to the Existing Lender (without further interest accruing on them)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last day of the current Interest Period (or, if the Interest Period is longer than six Months, on the next of the dates which falls at six Monthly intervals after the first day of that Interest Period); and</w:t>
      </w:r>
    </w:p>
    <w:p>
      <w:pPr>
        <w:spacing w:after="0" w:line="133" w:lineRule="exact"/>
        <w:rPr>
          <w:sz w:val="20"/>
          <w:szCs w:val="20"/>
          <w:color w:val="auto"/>
        </w:rPr>
      </w:pPr>
    </w:p>
    <w:p>
      <w:pPr>
        <w:ind w:left="1920" w:hanging="642"/>
        <w:spacing w:after="0" w:line="269" w:lineRule="auto"/>
        <w:tabs>
          <w:tab w:leader="none" w:pos="1920"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assigned or transferred by the Existing Lender will not include the right to the Accrued Amounts, so that, for the avoidance of doubt:</w:t>
      </w:r>
    </w:p>
    <w:p>
      <w:pPr>
        <w:spacing w:after="0" w:line="132" w:lineRule="exact"/>
        <w:rPr>
          <w:rFonts w:ascii="Times New Roman" w:cs="Times New Roman" w:eastAsia="Times New Roman" w:hAnsi="Times New Roman"/>
          <w:sz w:val="20"/>
          <w:szCs w:val="20"/>
          <w:color w:val="auto"/>
        </w:rPr>
      </w:pPr>
    </w:p>
    <w:p>
      <w:pPr>
        <w:ind w:left="2560" w:right="20" w:hanging="634"/>
        <w:spacing w:after="0" w:line="269" w:lineRule="auto"/>
        <w:tabs>
          <w:tab w:leader="none" w:pos="254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Accrued Amounts become payable, those Accrued Amounts will be payable to the Existing Lender; and</w:t>
      </w:r>
    </w:p>
    <w:p>
      <w:pPr>
        <w:spacing w:after="0" w:line="132"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3"/>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payable to the New Lender on that date will be the amount which would, but for the application of this Clause 22.10, have been payable to it on that date, but after deduction of the Accrued Amounts.</w:t>
      </w:r>
    </w:p>
    <w:p>
      <w:pPr>
        <w:spacing w:after="0" w:line="128" w:lineRule="exact"/>
        <w:rPr>
          <w:rFonts w:ascii="Times New Roman" w:cs="Times New Roman" w:eastAsia="Times New Roman" w:hAnsi="Times New Roman"/>
          <w:sz w:val="20"/>
          <w:szCs w:val="20"/>
          <w:color w:val="auto"/>
        </w:rPr>
      </w:pPr>
    </w:p>
    <w:p>
      <w:pPr>
        <w:ind w:left="1280" w:hanging="624"/>
        <w:spacing w:after="0" w:line="273" w:lineRule="auto"/>
        <w:tabs>
          <w:tab w:leader="none" w:pos="1262"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Clause 22.10 references to “</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shall be construed to include a reference to any other period for accrual of fees.</w:t>
      </w:r>
    </w:p>
    <w:p>
      <w:pPr>
        <w:spacing w:after="0" w:line="129"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Existing Lender which retains the right to the Accrued Amounts pursuant to this Clause 22.10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49"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2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TO THE COMPANY</w:t>
      </w:r>
    </w:p>
    <w:p>
      <w:pPr>
        <w:spacing w:after="0" w:line="192" w:lineRule="exact"/>
        <w:rPr>
          <w:rFonts w:ascii="Times New Roman" w:cs="Times New Roman" w:eastAsia="Times New Roman" w:hAnsi="Times New Roman"/>
          <w:sz w:val="20"/>
          <w:szCs w:val="20"/>
          <w:b w:val="1"/>
          <w:bCs w:val="1"/>
          <w:color w:val="auto"/>
        </w:rPr>
      </w:pPr>
    </w:p>
    <w:p>
      <w:pPr>
        <w:ind w:left="6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not assign any of its rights or transfer any of its rights or obligations under the Finance Documents.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FINANCE PARTIES</w:t>
      </w:r>
    </w:p>
    <w:p>
      <w:pPr>
        <w:spacing w:after="0" w:line="163" w:lineRule="exact"/>
        <w:rPr>
          <w:sz w:val="20"/>
          <w:szCs w:val="20"/>
          <w:color w:val="auto"/>
        </w:rPr>
      </w:pPr>
    </w:p>
    <w:p>
      <w:pPr>
        <w:ind w:left="620" w:hanging="612"/>
        <w:spacing w:after="0"/>
        <w:tabs>
          <w:tab w:leader="none" w:pos="620"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ROLE OF THE AGENT, THE ARRANGER AND THE DOCUMENTATION AGENT AND CO-ORDINATOR</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9"/>
          <w:szCs w:val="19"/>
          <w:b w:val="1"/>
          <w:bCs w:val="1"/>
          <w:color w:val="auto"/>
        </w:rPr>
        <w:t>Appointment of the Agent</w:t>
      </w:r>
    </w:p>
    <w:p>
      <w:pPr>
        <w:spacing w:after="0" w:line="193" w:lineRule="exact"/>
        <w:rPr>
          <w:sz w:val="20"/>
          <w:szCs w:val="20"/>
          <w:color w:val="auto"/>
        </w:rPr>
      </w:pPr>
    </w:p>
    <w:p>
      <w:pPr>
        <w:ind w:left="1280" w:hanging="624"/>
        <w:spacing w:after="0" w:line="269" w:lineRule="auto"/>
        <w:tabs>
          <w:tab w:leader="none" w:pos="1262"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Arranger, the Documentation Agent and Co-ordinator and the Lenders appoints the Agent to act as its agent under and in connection with the Finance Documents.</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Arranger, the Documentation Agent and Co-ordinator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20"/>
          <w:szCs w:val="20"/>
          <w:b w:val="1"/>
          <w:bCs w:val="1"/>
          <w:color w:val="auto"/>
        </w:rPr>
        <w:t>Instructions</w:t>
      </w:r>
    </w:p>
    <w:p>
      <w:pPr>
        <w:spacing w:after="0" w:line="193" w:lineRule="exact"/>
        <w:rPr>
          <w:sz w:val="20"/>
          <w:szCs w:val="20"/>
          <w:color w:val="auto"/>
        </w:rPr>
      </w:pPr>
    </w:p>
    <w:p>
      <w:pPr>
        <w:ind w:left="1260" w:hanging="604"/>
        <w:spacing w:after="0"/>
        <w:tabs>
          <w:tab w:leader="none" w:pos="126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w:t>
      </w:r>
    </w:p>
    <w:p>
      <w:pPr>
        <w:spacing w:after="0" w:line="188"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contrary indication appears in a Finance Document, exercise or refrain from exercising any right, power, authority or discretion vested in it as Agent in accordance with any instructions given to it by: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85" w:right="239" w:bottom="1440" w:gutter="0" w:footer="0" w:header="0"/>
        </w:sectPr>
      </w:pPr>
    </w:p>
    <w:bookmarkStart w:id="77" w:name="page78"/>
    <w:bookmarkEnd w:id="77"/>
    <w:p>
      <w:pPr>
        <w:ind w:left="2540" w:hanging="614"/>
        <w:spacing w:after="0"/>
        <w:tabs>
          <w:tab w:leader="none" w:pos="2540"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Lenders if the relevant Finance Document stipulates the matter is an all Lender decision; and</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other cases, the Majority Lenders;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liable for any act (or omission) if it acts (or refrains from acting) in accordance with paragraph (i) above.</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47" w:lineRule="auto"/>
        <w:tabs>
          <w:tab w:leader="none" w:pos="1262"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74" w:lineRule="auto"/>
        <w:tabs>
          <w:tab w:leader="none" w:pos="1262"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29" w:lineRule="exact"/>
        <w:rPr>
          <w:rFonts w:ascii="Times New Roman" w:cs="Times New Roman" w:eastAsia="Times New Roman" w:hAnsi="Times New Roman"/>
          <w:sz w:val="19"/>
          <w:szCs w:val="19"/>
          <w:color w:val="auto"/>
        </w:rPr>
      </w:pPr>
    </w:p>
    <w:p>
      <w:pPr>
        <w:jc w:val="both"/>
        <w:ind w:left="1280" w:hanging="624"/>
        <w:spacing w:after="0" w:line="249" w:lineRule="auto"/>
        <w:tabs>
          <w:tab w:leader="none" w:pos="1262"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absence of instructions, the Agent may act (or refrain from acting) as it considers to be in the best interest of the Lenders.</w:t>
      </w:r>
    </w:p>
    <w:p>
      <w:pPr>
        <w:spacing w:after="0" w:line="200" w:lineRule="exact"/>
        <w:rPr>
          <w:rFonts w:ascii="Times New Roman" w:cs="Times New Roman" w:eastAsia="Times New Roman" w:hAnsi="Times New Roman"/>
          <w:sz w:val="19"/>
          <w:szCs w:val="19"/>
          <w:color w:val="auto"/>
        </w:rPr>
      </w:pPr>
    </w:p>
    <w:p>
      <w:pPr>
        <w:ind w:left="1280" w:hanging="624"/>
        <w:spacing w:after="0" w:line="269" w:lineRule="auto"/>
        <w:tabs>
          <w:tab w:leader="none" w:pos="1262"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is not authorised to act on behalf of a Lender (without first obtaining that Lender's consent) in any legal or arbitration proceedings relating to any Finance Document.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20"/>
          <w:szCs w:val="20"/>
          <w:b w:val="1"/>
          <w:bCs w:val="1"/>
          <w:color w:val="auto"/>
        </w:rPr>
        <w:t>Duties of the Agent</w:t>
      </w:r>
    </w:p>
    <w:p>
      <w:pPr>
        <w:spacing w:after="0" w:line="193" w:lineRule="exact"/>
        <w:rPr>
          <w:sz w:val="20"/>
          <w:szCs w:val="20"/>
          <w:color w:val="auto"/>
        </w:rPr>
      </w:pPr>
    </w:p>
    <w:p>
      <w:pPr>
        <w:ind w:left="1260" w:hanging="604"/>
        <w:spacing w:after="0"/>
        <w:tabs>
          <w:tab w:leader="none" w:pos="126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duties under the Finance Documents are solely mechanical and administrative in nature.</w:t>
      </w:r>
    </w:p>
    <w:p>
      <w:pPr>
        <w:spacing w:after="0" w:line="188"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 (c) below, the Agent shall promptly forward to a Party the original or a copy of any document which is delivered to the Agent for that Party by any other Party.</w:t>
      </w:r>
    </w:p>
    <w:p>
      <w:pPr>
        <w:spacing w:after="0" w:line="128" w:lineRule="exact"/>
        <w:rPr>
          <w:rFonts w:ascii="Times New Roman" w:cs="Times New Roman" w:eastAsia="Times New Roman" w:hAnsi="Times New Roman"/>
          <w:sz w:val="20"/>
          <w:szCs w:val="20"/>
          <w:color w:val="auto"/>
        </w:rPr>
      </w:pPr>
    </w:p>
    <w:p>
      <w:pPr>
        <w:ind w:left="1280" w:hanging="624"/>
        <w:spacing w:after="0" w:line="273" w:lineRule="auto"/>
        <w:tabs>
          <w:tab w:leader="none" w:pos="1262"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Clause 22.8 (</w:t>
      </w:r>
      <w:r>
        <w:rPr>
          <w:rFonts w:ascii="Times New Roman" w:cs="Times New Roman" w:eastAsia="Times New Roman" w:hAnsi="Times New Roman"/>
          <w:sz w:val="20"/>
          <w:szCs w:val="20"/>
          <w:i w:val="1"/>
          <w:iCs w:val="1"/>
          <w:color w:val="auto"/>
        </w:rPr>
        <w:t>Copy of Transfer Certificate or Assignment Agreement to Company</w:t>
      </w:r>
      <w:r>
        <w:rPr>
          <w:rFonts w:ascii="Times New Roman" w:cs="Times New Roman" w:eastAsia="Times New Roman" w:hAnsi="Times New Roman"/>
          <w:sz w:val="20"/>
          <w:szCs w:val="20"/>
          <w:color w:val="auto"/>
        </w:rPr>
        <w:t>), paragraph (b) above shall not apply to any Transfer Certificate or any Assignment Agreement.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78" w:name="page79"/>
    <w:bookmarkEnd w:id="78"/>
    <w:p>
      <w:pPr>
        <w:ind w:left="1280" w:hanging="624"/>
        <w:spacing w:after="0" w:line="269" w:lineRule="auto"/>
        <w:tabs>
          <w:tab w:leader="none" w:pos="126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a Finance Document specifically provides otherwise, the Agent is not obliged to review or check the adequacy, accuracy or completeness of any document it forwards to another Party.</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receives notice from a Party referring to this Agreement, describing a Default and stating that the circumstance described is a Default, it shall promptly notify the other Finance Parties.</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is aware of the non-payment of any principal, interest, commitment fee or other fee payable to a Finance Party (other than the Agent, the Arranger or the Documentation Agent and Co-ordinator) under this Agreement, it shall promptly notify the other Finance Parties.</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only those duties, obligations and responsibilities expressly specified in the Finance Documents to which it is expressed to be a party (and no others shall be implied).</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19"/>
          <w:szCs w:val="19"/>
          <w:b w:val="1"/>
          <w:bCs w:val="1"/>
          <w:color w:val="auto"/>
        </w:rPr>
        <w:t>Role of the Arranger and the Documentation Agent and Co-ordinator</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Except as specifically provided in the Finance Documents, neither the Arranger nor the Documentation Agent and Co-ordinator has any obligations of any kind to any other Party under or in connection with any Finance Document.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24.5</w:t>
      </w:r>
      <w:r>
        <w:rPr>
          <w:sz w:val="20"/>
          <w:szCs w:val="20"/>
          <w:color w:val="auto"/>
        </w:rPr>
        <w:tab/>
      </w:r>
      <w:r>
        <w:rPr>
          <w:rFonts w:ascii="Times New Roman" w:cs="Times New Roman" w:eastAsia="Times New Roman" w:hAnsi="Times New Roman"/>
          <w:sz w:val="19"/>
          <w:szCs w:val="19"/>
          <w:b w:val="1"/>
          <w:bCs w:val="1"/>
          <w:color w:val="auto"/>
        </w:rPr>
        <w:t>No fiduciary duties</w:t>
      </w:r>
    </w:p>
    <w:p>
      <w:pPr>
        <w:spacing w:after="0" w:line="193" w:lineRule="exact"/>
        <w:rPr>
          <w:sz w:val="20"/>
          <w:szCs w:val="20"/>
          <w:color w:val="auto"/>
        </w:rPr>
      </w:pPr>
    </w:p>
    <w:p>
      <w:pPr>
        <w:ind w:left="1280" w:right="20" w:hanging="624"/>
        <w:spacing w:after="0" w:line="269" w:lineRule="auto"/>
        <w:tabs>
          <w:tab w:leader="none" w:pos="1262"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any Finance Document constitutes the Agent, the Arranger or the Documentation Agent and Co-ordinator as a trustee or fiduciary of any other person.</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Agent, the Arranger or the Documentation Agent and Co-ordinator shall be bound to account to any Lender for any sum or the profit element of any sum received by it for its own account.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24.6</w:t>
      </w:r>
      <w:r>
        <w:rPr>
          <w:sz w:val="20"/>
          <w:szCs w:val="20"/>
          <w:color w:val="auto"/>
        </w:rPr>
        <w:tab/>
      </w:r>
      <w:r>
        <w:rPr>
          <w:rFonts w:ascii="Times New Roman" w:cs="Times New Roman" w:eastAsia="Times New Roman" w:hAnsi="Times New Roman"/>
          <w:sz w:val="19"/>
          <w:szCs w:val="19"/>
          <w:b w:val="1"/>
          <w:bCs w:val="1"/>
          <w:color w:val="auto"/>
        </w:rPr>
        <w:t>Business with the Group</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The Agent, the Arranger and the Documentation Agent and Co-ordinator may accept deposits from, lend money to and generally engage in any kind of banking or other business with any member of the Group.</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24.7</w:t>
      </w:r>
      <w:r>
        <w:rPr>
          <w:sz w:val="20"/>
          <w:szCs w:val="20"/>
          <w:color w:val="auto"/>
        </w:rPr>
        <w:tab/>
      </w:r>
      <w:r>
        <w:rPr>
          <w:rFonts w:ascii="Times New Roman" w:cs="Times New Roman" w:eastAsia="Times New Roman" w:hAnsi="Times New Roman"/>
          <w:sz w:val="19"/>
          <w:szCs w:val="19"/>
          <w:b w:val="1"/>
          <w:bCs w:val="1"/>
          <w:color w:val="auto"/>
        </w:rPr>
        <w:t>Rights and discretions</w:t>
      </w:r>
    </w:p>
    <w:p>
      <w:pPr>
        <w:spacing w:after="0" w:line="193" w:lineRule="exact"/>
        <w:rPr>
          <w:sz w:val="20"/>
          <w:szCs w:val="20"/>
          <w:color w:val="auto"/>
        </w:rPr>
      </w:pPr>
    </w:p>
    <w:p>
      <w:pPr>
        <w:ind w:left="1260" w:hanging="604"/>
        <w:spacing w:after="0"/>
        <w:tabs>
          <w:tab w:leader="none" w:pos="12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rely on any representation, communication, notice or document believed by it to be genuine, correct and appropriately authorised;</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assume that:</w:t>
      </w:r>
    </w:p>
    <w:p>
      <w:pPr>
        <w:spacing w:after="0" w:line="188" w:lineRule="exact"/>
        <w:rPr>
          <w:rFonts w:ascii="Times New Roman" w:cs="Times New Roman" w:eastAsia="Times New Roman" w:hAnsi="Times New Roman"/>
          <w:sz w:val="20"/>
          <w:szCs w:val="20"/>
          <w:color w:val="auto"/>
        </w:rPr>
      </w:pPr>
    </w:p>
    <w:p>
      <w:pPr>
        <w:ind w:left="2560" w:hanging="634"/>
        <w:spacing w:after="0" w:line="269" w:lineRule="auto"/>
        <w:tabs>
          <w:tab w:leader="none" w:pos="2542" w:val="left"/>
        </w:tabs>
        <w:numPr>
          <w:ilvl w:val="2"/>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instructions received by it from the Majority Lenders, any Lenders or any group of Lenders are duly given in accordance with the terms of the Finance Documents; and</w:t>
      </w:r>
    </w:p>
    <w:p>
      <w:pPr>
        <w:spacing w:after="0" w:line="132"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it has received notice of revocation, that those instructions have not been revoked;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rely on a certificate from any person: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79" w:name="page80"/>
    <w:bookmarkEnd w:id="79"/>
    <w:p>
      <w:pPr>
        <w:ind w:left="2560" w:hanging="634"/>
        <w:spacing w:after="0" w:line="269" w:lineRule="auto"/>
        <w:tabs>
          <w:tab w:leader="none" w:pos="2542"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matter of fact or circumstance which might reasonably be expected to be within the knowledge of that person; or</w:t>
      </w:r>
    </w:p>
    <w:p>
      <w:pPr>
        <w:spacing w:after="0" w:line="132"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effect that such person approves of any particular dealing, transaction, step, action or thing,</w:t>
      </w:r>
    </w:p>
    <w:p>
      <w:pPr>
        <w:spacing w:after="0" w:line="189" w:lineRule="exact"/>
        <w:rPr>
          <w:sz w:val="20"/>
          <w:szCs w:val="20"/>
          <w:color w:val="auto"/>
        </w:rPr>
      </w:pPr>
    </w:p>
    <w:p>
      <w:pPr>
        <w:ind w:left="1280" w:right="20"/>
        <w:spacing w:after="0" w:line="269" w:lineRule="auto"/>
        <w:rPr>
          <w:sz w:val="20"/>
          <w:szCs w:val="20"/>
          <w:color w:val="auto"/>
        </w:rPr>
      </w:pPr>
      <w:r>
        <w:rPr>
          <w:rFonts w:ascii="Times New Roman" w:cs="Times New Roman" w:eastAsia="Times New Roman" w:hAnsi="Times New Roman"/>
          <w:sz w:val="20"/>
          <w:szCs w:val="20"/>
          <w:color w:val="auto"/>
        </w:rPr>
        <w:t>as sufficient evidence that that is the case and, in the case of paragraph (A) above, may assume the truth and accuracy of that certificate.</w:t>
      </w:r>
    </w:p>
    <w:p>
      <w:pPr>
        <w:spacing w:after="0" w:line="133" w:lineRule="exact"/>
        <w:rPr>
          <w:sz w:val="20"/>
          <w:szCs w:val="20"/>
          <w:color w:val="auto"/>
        </w:rPr>
      </w:pPr>
    </w:p>
    <w:p>
      <w:pPr>
        <w:ind w:left="1260" w:hanging="604"/>
        <w:spacing w:after="0"/>
        <w:tabs>
          <w:tab w:leader="none" w:pos="12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assume (unless it has received notice to the contrary in its capacity as agent for the Lenders) that:</w:t>
      </w:r>
    </w:p>
    <w:p>
      <w:pPr>
        <w:spacing w:after="0" w:line="184"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has occurred (unless it has actual knowledge of a Default arising under Clause 21.1 (</w:t>
      </w:r>
      <w:r>
        <w:rPr>
          <w:rFonts w:ascii="Times New Roman" w:cs="Times New Roman" w:eastAsia="Times New Roman" w:hAnsi="Times New Roman"/>
          <w:sz w:val="20"/>
          <w:szCs w:val="20"/>
          <w:i w:val="1"/>
          <w:iCs w:val="1"/>
          <w:color w:val="auto"/>
        </w:rPr>
        <w:t>Non-payment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power, authority or discretion vested in any Party or any group of Lenders has not been exercised.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engage and pay for the advice or services of any lawyers, accountants, tax advisers, surveyors or other professional advisers or experts.</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act in relation to the Finance Documents through its officers, employees and agents.</w:t>
      </w:r>
    </w:p>
    <w:p>
      <w:pPr>
        <w:spacing w:after="0" w:line="188"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Finance Document expressly provides otherwise the Agent may disclose to any other Party any information it reasonably believes it has received as agent under this Agreement.</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any Finance Document to the contrary, none of the Agent, the Arranger or the Documentation Agent and Co-ordinator is obliged to do or omit to do anything if it would or might in its reasonable opinion constitute a breach of any law or regulation or a breach of a fiduciary duty or duty of confidentiality.</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80" w:name="page81"/>
    <w:bookmarkEnd w:id="80"/>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24.8</w:t>
      </w:r>
      <w:r>
        <w:rPr>
          <w:sz w:val="20"/>
          <w:szCs w:val="20"/>
          <w:color w:val="auto"/>
        </w:rPr>
        <w:tab/>
      </w:r>
      <w:r>
        <w:rPr>
          <w:rFonts w:ascii="Times New Roman" w:cs="Times New Roman" w:eastAsia="Times New Roman" w:hAnsi="Times New Roman"/>
          <w:sz w:val="19"/>
          <w:szCs w:val="19"/>
          <w:b w:val="1"/>
          <w:bCs w:val="1"/>
          <w:color w:val="auto"/>
        </w:rPr>
        <w:t>Responsibility for documentation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 of the Agent, the Arranger or the Documentation Agent and Co-ordinator is responsible or liable for:</w:t>
      </w:r>
    </w:p>
    <w:p>
      <w:pPr>
        <w:spacing w:after="0" w:line="189" w:lineRule="exact"/>
        <w:rPr>
          <w:sz w:val="20"/>
          <w:szCs w:val="20"/>
          <w:color w:val="auto"/>
        </w:rPr>
      </w:pPr>
    </w:p>
    <w:p>
      <w:pPr>
        <w:jc w:val="both"/>
        <w:ind w:left="1280" w:hanging="624"/>
        <w:spacing w:after="0" w:line="266" w:lineRule="auto"/>
        <w:tabs>
          <w:tab w:leader="none" w:pos="1262"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adequacy, accuracy or completeness of any information (whether oral or written) supplied by the Agent, the Arranger, the Documentation Agent and Co-ordinator, the Company or any other person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w:t>
      </w:r>
    </w:p>
    <w:p>
      <w:pPr>
        <w:spacing w:after="0" w:line="138" w:lineRule="exact"/>
        <w:rPr>
          <w:rFonts w:ascii="Times New Roman" w:cs="Times New Roman" w:eastAsia="Times New Roman" w:hAnsi="Times New Roman"/>
          <w:sz w:val="19"/>
          <w:szCs w:val="19"/>
          <w:color w:val="auto"/>
        </w:rPr>
      </w:pPr>
    </w:p>
    <w:p>
      <w:pPr>
        <w:ind w:left="1280" w:right="20" w:hanging="624"/>
        <w:spacing w:after="0" w:line="269" w:lineRule="auto"/>
        <w:tabs>
          <w:tab w:leader="none" w:pos="126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24.9</w:t>
      </w:r>
      <w:r>
        <w:rPr>
          <w:sz w:val="20"/>
          <w:szCs w:val="20"/>
          <w:color w:val="auto"/>
        </w:rPr>
        <w:tab/>
      </w:r>
      <w:r>
        <w:rPr>
          <w:rFonts w:ascii="Times New Roman" w:cs="Times New Roman" w:eastAsia="Times New Roman" w:hAnsi="Times New Roman"/>
          <w:sz w:val="20"/>
          <w:szCs w:val="20"/>
          <w:b w:val="1"/>
          <w:bCs w:val="1"/>
          <w:color w:val="auto"/>
        </w:rPr>
        <w:t>No duty to monitor</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Agent shall not be bound to enquire:</w:t>
      </w:r>
    </w:p>
    <w:p>
      <w:pPr>
        <w:spacing w:after="0" w:line="189" w:lineRule="exact"/>
        <w:rPr>
          <w:sz w:val="20"/>
          <w:szCs w:val="20"/>
          <w:color w:val="auto"/>
        </w:rPr>
      </w:pPr>
    </w:p>
    <w:p>
      <w:pPr>
        <w:ind w:left="1260" w:hanging="604"/>
        <w:spacing w:after="0"/>
        <w:tabs>
          <w:tab w:leader="none" w:pos="126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any Default has occurred;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performance, default or any breach by any Party of its obligations under any Finance Document; or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any other event specified in any Finance Document has occurred.</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24.10</w:t>
      </w:r>
      <w:r>
        <w:rPr>
          <w:sz w:val="20"/>
          <w:szCs w:val="20"/>
          <w:color w:val="auto"/>
        </w:rPr>
        <w:tab/>
      </w:r>
      <w:r>
        <w:rPr>
          <w:rFonts w:ascii="Times New Roman" w:cs="Times New Roman" w:eastAsia="Times New Roman" w:hAnsi="Times New Roman"/>
          <w:sz w:val="19"/>
          <w:szCs w:val="19"/>
          <w:b w:val="1"/>
          <w:bCs w:val="1"/>
          <w:color w:val="auto"/>
        </w:rPr>
        <w:t>Exclusion of liability</w:t>
      </w:r>
    </w:p>
    <w:p>
      <w:pPr>
        <w:spacing w:after="0" w:line="193" w:lineRule="exact"/>
        <w:rPr>
          <w:sz w:val="20"/>
          <w:szCs w:val="20"/>
          <w:color w:val="auto"/>
        </w:rPr>
      </w:pPr>
    </w:p>
    <w:p>
      <w:pPr>
        <w:ind w:left="1280" w:hanging="624"/>
        <w:spacing w:after="0" w:line="269" w:lineRule="auto"/>
        <w:tabs>
          <w:tab w:leader="none" w:pos="1262"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paragraph (b) below (and without prejudice to any other provision of any Finance Document excluding or limiting the liability of the Agent), the Agent will not be liable for:</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47" w:lineRule="exact"/>
        <w:rPr>
          <w:rFonts w:ascii="Times New Roman" w:cs="Times New Roman" w:eastAsia="Times New Roman" w:hAnsi="Times New Roman"/>
          <w:sz w:val="20"/>
          <w:szCs w:val="20"/>
          <w:color w:val="auto"/>
        </w:rPr>
      </w:pPr>
    </w:p>
    <w:p>
      <w:pPr>
        <w:jc w:val="both"/>
        <w:ind w:left="1920" w:hanging="642"/>
        <w:spacing w:after="0" w:line="274" w:lineRule="auto"/>
        <w:tabs>
          <w:tab w:leader="none" w:pos="1920" w:val="left"/>
        </w:tabs>
        <w:numPr>
          <w:ilvl w:val="1"/>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129" w:lineRule="exact"/>
        <w:rPr>
          <w:rFonts w:ascii="Times New Roman" w:cs="Times New Roman" w:eastAsia="Times New Roman" w:hAnsi="Times New Roman"/>
          <w:sz w:val="19"/>
          <w:szCs w:val="19"/>
          <w:color w:val="auto"/>
        </w:rPr>
      </w:pPr>
    </w:p>
    <w:p>
      <w:pPr>
        <w:jc w:val="both"/>
        <w:ind w:left="1920" w:hanging="642"/>
        <w:spacing w:after="0" w:line="254" w:lineRule="auto"/>
        <w:tabs>
          <w:tab w:leader="none" w:pos="192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147"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2"/>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event or circumstance not reasonably within its control;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81" w:name="page82"/>
    <w:bookmarkEnd w:id="81"/>
    <w:p>
      <w:pPr>
        <w:ind w:left="2540" w:hanging="614"/>
        <w:spacing w:after="0"/>
        <w:tabs>
          <w:tab w:leader="none" w:pos="254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risks of investment in, or the holding of assets in, any jurisdiction,</w:t>
      </w:r>
    </w:p>
    <w:p>
      <w:pPr>
        <w:spacing w:after="0" w:line="189" w:lineRule="exact"/>
        <w:rPr>
          <w:sz w:val="20"/>
          <w:szCs w:val="20"/>
          <w:color w:val="auto"/>
        </w:rPr>
      </w:pPr>
    </w:p>
    <w:p>
      <w:pPr>
        <w:jc w:val="both"/>
        <w:ind w:left="1280"/>
        <w:spacing w:after="0" w:line="247" w:lineRule="auto"/>
        <w:rPr>
          <w:sz w:val="20"/>
          <w:szCs w:val="20"/>
          <w:color w:val="auto"/>
        </w:rPr>
      </w:pPr>
      <w:r>
        <w:rPr>
          <w:rFonts w:ascii="Times New Roman" w:cs="Times New Roman" w:eastAsia="Times New Roman" w:hAnsi="Times New Roman"/>
          <w:sz w:val="20"/>
          <w:szCs w:val="20"/>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54" w:lineRule="exact"/>
        <w:rPr>
          <w:sz w:val="20"/>
          <w:szCs w:val="20"/>
          <w:color w:val="auto"/>
        </w:rPr>
      </w:pPr>
    </w:p>
    <w:p>
      <w:pPr>
        <w:jc w:val="both"/>
        <w:ind w:left="1280" w:hanging="624"/>
        <w:spacing w:after="0" w:line="249" w:lineRule="auto"/>
        <w:tabs>
          <w:tab w:leader="none" w:pos="1262"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subject to Clause 1.4 (</w:t>
      </w:r>
      <w:r>
        <w:rPr>
          <w:rFonts w:ascii="Times New Roman" w:cs="Times New Roman" w:eastAsia="Times New Roman" w:hAnsi="Times New Roman"/>
          <w:sz w:val="20"/>
          <w:szCs w:val="20"/>
          <w:i w:val="1"/>
          <w:iCs w:val="1"/>
          <w:color w:val="auto"/>
        </w:rPr>
        <w:t>Third party rights</w:t>
      </w:r>
      <w:r>
        <w:rPr>
          <w:rFonts w:ascii="Times New Roman" w:cs="Times New Roman" w:eastAsia="Times New Roman" w:hAnsi="Times New Roman"/>
          <w:sz w:val="20"/>
          <w:szCs w:val="20"/>
          <w:color w:val="auto"/>
        </w:rPr>
        <w:t>) and the provisions of the Third Parties Act.</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shall oblige the Agent, the Arranger or the Documentation Agent and Co-ordinator to carry out:</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“know your customer” or other checks in relation to any person; or</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check on the extent to which any transaction contemplated by this Agreement might be unlawful for any Lender or for any Affiliate of any Lender,</w:t>
      </w:r>
    </w:p>
    <w:p>
      <w:pPr>
        <w:spacing w:after="0" w:line="13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20"/>
          <w:szCs w:val="20"/>
          <w:color w:val="auto"/>
        </w:rPr>
        <w:t>on behalf of any Lender and each Lender confirms to the Agent, the Arranger and the Documentation Agent and Co-ordinator that it is solely responsible for any such checks it is required to carry out and that it may not rely on any statement in relation to such checks made by the Agent, the Arranger or the Documentation Agent and Co-ordinator.</w:t>
      </w:r>
    </w:p>
    <w:p>
      <w:pPr>
        <w:spacing w:after="0" w:line="148" w:lineRule="exact"/>
        <w:rPr>
          <w:sz w:val="20"/>
          <w:szCs w:val="20"/>
          <w:color w:val="auto"/>
        </w:rPr>
      </w:pPr>
    </w:p>
    <w:p>
      <w:pPr>
        <w:jc w:val="both"/>
        <w:ind w:left="1280" w:hanging="624"/>
        <w:spacing w:after="0" w:line="244" w:lineRule="auto"/>
        <w:tabs>
          <w:tab w:leader="none" w:pos="1262"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82" w:name="page83"/>
    <w:bookmarkEnd w:id="82"/>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24.11</w:t>
      </w:r>
      <w:r>
        <w:rPr>
          <w:sz w:val="20"/>
          <w:szCs w:val="20"/>
          <w:color w:val="auto"/>
        </w:rPr>
        <w:tab/>
      </w:r>
      <w:r>
        <w:rPr>
          <w:rFonts w:ascii="Times New Roman" w:cs="Times New Roman" w:eastAsia="Times New Roman" w:hAnsi="Times New Roman"/>
          <w:sz w:val="19"/>
          <w:szCs w:val="19"/>
          <w:b w:val="1"/>
          <w:bCs w:val="1"/>
          <w:color w:val="auto"/>
        </w:rPr>
        <w:t>Lenders' indemnity to the Agent</w:t>
      </w:r>
    </w:p>
    <w:p>
      <w:pPr>
        <w:spacing w:after="0" w:line="193" w:lineRule="exact"/>
        <w:rPr>
          <w:sz w:val="20"/>
          <w:szCs w:val="20"/>
          <w:color w:val="auto"/>
        </w:rPr>
      </w:pPr>
    </w:p>
    <w:p>
      <w:pPr>
        <w:jc w:val="both"/>
        <w:ind w:left="620"/>
        <w:spacing w:after="0" w:line="244" w:lineRule="auto"/>
        <w:rPr>
          <w:sz w:val="20"/>
          <w:szCs w:val="20"/>
          <w:color w:val="auto"/>
        </w:rPr>
      </w:pPr>
      <w:r>
        <w:rPr>
          <w:rFonts w:ascii="Times New Roman" w:cs="Times New Roman" w:eastAsia="Times New Roman" w:hAnsi="Times New Roman"/>
          <w:sz w:val="20"/>
          <w:szCs w:val="20"/>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27.10 (</w:t>
      </w:r>
      <w:r>
        <w:rPr>
          <w:rFonts w:ascii="Times New Roman" w:cs="Times New Roman" w:eastAsia="Times New Roman" w:hAnsi="Times New Roman"/>
          <w:sz w:val="20"/>
          <w:szCs w:val="20"/>
          <w:i w:val="1"/>
          <w:iCs w:val="1"/>
          <w:color w:val="auto"/>
        </w:rPr>
        <w:t>Disruption to payment systems etc.</w:t>
      </w:r>
      <w:r>
        <w:rPr>
          <w:rFonts w:ascii="Times New Roman" w:cs="Times New Roman" w:eastAsia="Times New Roman" w:hAnsi="Times New Roman"/>
          <w:sz w:val="20"/>
          <w:szCs w:val="20"/>
          <w:color w:val="auto"/>
        </w:rPr>
        <w:t>), notwithstanding the Agent's negligence, gross negligence or any other category of liability whatsoever but not including any claim based on the fraud of the Agent) in acting as Agent under the Finance Documents (unless the Agent has been reimbursed by the Company pursuant to a Finance Document).</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24.12</w:t>
      </w:r>
      <w:r>
        <w:rPr>
          <w:sz w:val="20"/>
          <w:szCs w:val="20"/>
          <w:color w:val="auto"/>
        </w:rPr>
        <w:tab/>
      </w:r>
      <w:r>
        <w:rPr>
          <w:rFonts w:ascii="Times New Roman" w:cs="Times New Roman" w:eastAsia="Times New Roman" w:hAnsi="Times New Roman"/>
          <w:sz w:val="19"/>
          <w:szCs w:val="19"/>
          <w:b w:val="1"/>
          <w:bCs w:val="1"/>
          <w:color w:val="auto"/>
        </w:rPr>
        <w:t>Resignation of the Agent</w:t>
      </w:r>
    </w:p>
    <w:p>
      <w:pPr>
        <w:spacing w:after="0" w:line="193" w:lineRule="exact"/>
        <w:rPr>
          <w:sz w:val="20"/>
          <w:szCs w:val="20"/>
          <w:color w:val="auto"/>
        </w:rPr>
      </w:pPr>
    </w:p>
    <w:p>
      <w:pPr>
        <w:ind w:left="1280" w:right="20" w:hanging="624"/>
        <w:spacing w:after="0" w:line="269" w:lineRule="auto"/>
        <w:tabs>
          <w:tab w:leader="none" w:pos="126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resign and appoint one of its Affiliates acting through an office in the United Kingdom as successor by giving notice to the Lenders and the Company.</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74" w:lineRule="auto"/>
        <w:tabs>
          <w:tab w:leader="none" w:pos="1262"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Alternatively the Agent may resign by giving 30 days' notice to the Lenders and the Company, in which case the Majority Lenders (after consultation with the Company) may appoint a successor Agent acting through an office in the United Kingdom, or with the Company’s consent, any member state of the European Economic Area or any Participating Member State.</w:t>
      </w:r>
    </w:p>
    <w:p>
      <w:pPr>
        <w:spacing w:after="0" w:line="129" w:lineRule="exact"/>
        <w:rPr>
          <w:rFonts w:ascii="Times New Roman" w:cs="Times New Roman" w:eastAsia="Times New Roman" w:hAnsi="Times New Roman"/>
          <w:sz w:val="19"/>
          <w:szCs w:val="19"/>
          <w:color w:val="auto"/>
        </w:rPr>
      </w:pPr>
    </w:p>
    <w:p>
      <w:pPr>
        <w:jc w:val="both"/>
        <w:ind w:left="1280" w:hanging="624"/>
        <w:spacing w:after="0" w:line="249" w:lineRule="auto"/>
        <w:tabs>
          <w:tab w:leader="none" w:pos="126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Majority Lenders have not appointed a successor Agent in accordance with paragraph (b) above within 20 days after notice of resignation was given, the retiring Agent (after consultation with the Company) may appoint a successor Agent acting through an office in the United Kingdom, or with the Company’s consent, any member state of the European Economic Area or any Participating Member State.</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retiring Agent shall (at its own cost or, where it is required to resign by the Majority Lenders pursuant to paragraph (g) below,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resignation notice shall only take effect upon the appointment of a successor.</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47" w:lineRule="auto"/>
        <w:tabs>
          <w:tab w:leader="none" w:pos="126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appointment of a successor, the retiring Agent shall be discharged from any further obligation in respect of the Finance Documents (other than its obligations under paragraph (d) above) but shall remain entitled to the benefit of Clause 14.3 (</w:t>
      </w:r>
      <w:r>
        <w:rPr>
          <w:rFonts w:ascii="Times New Roman" w:cs="Times New Roman" w:eastAsia="Times New Roman" w:hAnsi="Times New Roman"/>
          <w:sz w:val="20"/>
          <w:szCs w:val="20"/>
          <w:i w:val="1"/>
          <w:iCs w:val="1"/>
          <w:color w:val="auto"/>
        </w:rPr>
        <w:t>Indemnity to the Agent</w:t>
      </w:r>
      <w:r>
        <w:rPr>
          <w:rFonts w:ascii="Times New Roman" w:cs="Times New Roman" w:eastAsia="Times New Roman" w:hAnsi="Times New Roman"/>
          <w:sz w:val="20"/>
          <w:szCs w:val="20"/>
          <w:color w:val="auto"/>
        </w:rPr>
        <w:t>) and this Clause 24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53"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consultation with the Company, the Majority Lenders may, by notice to the Agent, require it to resign in accordance with paragraph (b) above. In this event, the Agent shall resign in accordance with paragraph (b) above.</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83" w:name="page84"/>
    <w:bookmarkEnd w:id="83"/>
    <w:p>
      <w:pPr>
        <w:jc w:val="both"/>
        <w:ind w:left="1920" w:hanging="642"/>
        <w:spacing w:after="0" w:line="256" w:lineRule="auto"/>
        <w:tabs>
          <w:tab w:leader="none" w:pos="192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fails to respond to a request under Clause 12.8 (</w:t>
      </w:r>
      <w:r>
        <w:rPr>
          <w:rFonts w:ascii="Times New Roman" w:cs="Times New Roman" w:eastAsia="Times New Roman" w:hAnsi="Times New Roman"/>
          <w:sz w:val="20"/>
          <w:szCs w:val="20"/>
          <w:i w:val="1"/>
          <w:iCs w:val="1"/>
          <w:color w:val="auto"/>
        </w:rPr>
        <w:t>FATCA information</w:t>
      </w:r>
      <w:r>
        <w:rPr>
          <w:rFonts w:ascii="Times New Roman" w:cs="Times New Roman" w:eastAsia="Times New Roman" w:hAnsi="Times New Roman"/>
          <w:sz w:val="20"/>
          <w:szCs w:val="20"/>
          <w:color w:val="auto"/>
        </w:rPr>
        <w:t>) and the Company or a Lender reasonably believes that the Agent will not be (or will have ceased to be) a FATCA Exempt Party on or after that FATCA Application Date;</w:t>
      </w:r>
    </w:p>
    <w:p>
      <w:pPr>
        <w:spacing w:after="0" w:line="141" w:lineRule="exact"/>
        <w:rPr>
          <w:rFonts w:ascii="Times New Roman" w:cs="Times New Roman" w:eastAsia="Times New Roman" w:hAnsi="Times New Roman"/>
          <w:sz w:val="20"/>
          <w:szCs w:val="20"/>
          <w:color w:val="auto"/>
        </w:rPr>
      </w:pPr>
    </w:p>
    <w:p>
      <w:pPr>
        <w:ind w:left="1920" w:hanging="642"/>
        <w:spacing w:after="0" w:line="273" w:lineRule="auto"/>
        <w:tabs>
          <w:tab w:leader="none" w:pos="192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supplied by the Agent pursuant to Clause 12.8 (</w:t>
      </w:r>
      <w:r>
        <w:rPr>
          <w:rFonts w:ascii="Times New Roman" w:cs="Times New Roman" w:eastAsia="Times New Roman" w:hAnsi="Times New Roman"/>
          <w:sz w:val="20"/>
          <w:szCs w:val="20"/>
          <w:i w:val="1"/>
          <w:iCs w:val="1"/>
          <w:color w:val="auto"/>
        </w:rPr>
        <w:t>FATCA information</w:t>
      </w:r>
      <w:r>
        <w:rPr>
          <w:rFonts w:ascii="Times New Roman" w:cs="Times New Roman" w:eastAsia="Times New Roman" w:hAnsi="Times New Roman"/>
          <w:sz w:val="20"/>
          <w:szCs w:val="20"/>
          <w:color w:val="auto"/>
        </w:rPr>
        <w:t>) indicates that the Agent will not be (or will have ceased to be) a FATCA Exempt Party on or after that FATCA Application Date; or</w:t>
      </w:r>
    </w:p>
    <w:p>
      <w:pPr>
        <w:spacing w:after="0" w:line="129"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notifies the Company and the Lenders that the Agent will not be (or will have ceased to be) a FATCA Exempt Party on or after that FATCA Application Date,</w:t>
      </w:r>
    </w:p>
    <w:p>
      <w:pPr>
        <w:spacing w:after="0" w:line="133"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20"/>
          <w:szCs w:val="20"/>
          <w:color w:val="auto"/>
        </w:rPr>
        <w:t>and (in each case) the Company or a Lender reasonably believes that a Party will be required to make a FATCA Deduction that would not be required if the Agent were a FATCA Exempt Party, and the Company or that Lender, by notice to the Agent, requires it to resign.</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24.13</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193" w:lineRule="exact"/>
        <w:rPr>
          <w:sz w:val="20"/>
          <w:szCs w:val="20"/>
          <w:color w:val="auto"/>
        </w:rPr>
      </w:pPr>
    </w:p>
    <w:p>
      <w:pPr>
        <w:ind w:left="1280" w:hanging="624"/>
        <w:spacing w:after="0" w:line="269" w:lineRule="auto"/>
        <w:tabs>
          <w:tab w:leader="none" w:pos="126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acting as agent for the Finance Parties, the Agent shall be regarded as acting through its agency division which shall be treated as a separate entity from any other of its divisions or departments.</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information is received by another division or department of the Agent, it may be treated as confidential to that division or department and the Agent shall not be deemed to have notice of it.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24.14</w:t>
      </w:r>
      <w:r>
        <w:rPr>
          <w:sz w:val="20"/>
          <w:szCs w:val="20"/>
          <w:color w:val="auto"/>
        </w:rPr>
        <w:tab/>
      </w:r>
      <w:r>
        <w:rPr>
          <w:rFonts w:ascii="Times New Roman" w:cs="Times New Roman" w:eastAsia="Times New Roman" w:hAnsi="Times New Roman"/>
          <w:sz w:val="19"/>
          <w:szCs w:val="19"/>
          <w:b w:val="1"/>
          <w:bCs w:val="1"/>
          <w:color w:val="auto"/>
        </w:rPr>
        <w:t>Relationship with the Lenders</w:t>
      </w:r>
    </w:p>
    <w:p>
      <w:pPr>
        <w:spacing w:after="0" w:line="189" w:lineRule="exact"/>
        <w:rPr>
          <w:sz w:val="20"/>
          <w:szCs w:val="20"/>
          <w:color w:val="auto"/>
        </w:rPr>
      </w:pPr>
    </w:p>
    <w:p>
      <w:pPr>
        <w:jc w:val="both"/>
        <w:ind w:left="1280" w:hanging="624"/>
        <w:spacing w:after="0" w:line="256" w:lineRule="auto"/>
        <w:tabs>
          <w:tab w:leader="none" w:pos="1262"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22.10 (</w:t>
      </w:r>
      <w:r>
        <w:rPr>
          <w:rFonts w:ascii="Times New Roman" w:cs="Times New Roman" w:eastAsia="Times New Roman" w:hAnsi="Times New Roman"/>
          <w:sz w:val="20"/>
          <w:szCs w:val="20"/>
          <w:i w:val="1"/>
          <w:iCs w:val="1"/>
          <w:color w:val="auto"/>
        </w:rPr>
        <w:t>Pro rata interest settlement</w:t>
      </w:r>
      <w:r>
        <w:rPr>
          <w:rFonts w:ascii="Times New Roman" w:cs="Times New Roman" w:eastAsia="Times New Roman" w:hAnsi="Times New Roman"/>
          <w:sz w:val="20"/>
          <w:szCs w:val="20"/>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14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entitled to or liable for any payment due under any Finance Document on that day; and</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entitled to receive and act upon any notice, request, document or communication or make any decision or determination under any Finance Document made or delivered on that day,</w:t>
      </w:r>
    </w:p>
    <w:p>
      <w:pPr>
        <w:spacing w:after="0" w:line="133" w:lineRule="exact"/>
        <w:rPr>
          <w:sz w:val="20"/>
          <w:szCs w:val="20"/>
          <w:color w:val="auto"/>
        </w:rPr>
      </w:pPr>
    </w:p>
    <w:p>
      <w:pPr>
        <w:ind w:left="1280" w:right="20"/>
        <w:spacing w:after="0" w:line="269" w:lineRule="auto"/>
        <w:rPr>
          <w:sz w:val="20"/>
          <w:szCs w:val="20"/>
          <w:color w:val="auto"/>
        </w:rPr>
      </w:pPr>
      <w:r>
        <w:rPr>
          <w:rFonts w:ascii="Times New Roman" w:cs="Times New Roman" w:eastAsia="Times New Roman" w:hAnsi="Times New Roman"/>
          <w:sz w:val="20"/>
          <w:szCs w:val="20"/>
          <w:color w:val="auto"/>
        </w:rPr>
        <w:t>unless it has received not less than five Business Days' prior notice from that Lender to the contrary in accordance with the terms of this Agreement.</w:t>
      </w:r>
    </w:p>
    <w:p>
      <w:pPr>
        <w:spacing w:after="0" w:line="133" w:lineRule="exact"/>
        <w:rPr>
          <w:sz w:val="20"/>
          <w:szCs w:val="20"/>
          <w:color w:val="auto"/>
        </w:rPr>
      </w:pPr>
    </w:p>
    <w:p>
      <w:pPr>
        <w:jc w:val="both"/>
        <w:ind w:left="1280" w:hanging="624"/>
        <w:spacing w:after="0" w:line="244" w:lineRule="auto"/>
        <w:tabs>
          <w:tab w:leader="none" w:pos="1262"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29.5 (</w:t>
      </w:r>
      <w:r>
        <w:rPr>
          <w:rFonts w:ascii="Times New Roman" w:cs="Times New Roman" w:eastAsia="Times New Roman" w:hAnsi="Times New Roman"/>
          <w:sz w:val="20"/>
          <w:szCs w:val="20"/>
          <w:i w:val="1"/>
          <w:iCs w:val="1"/>
          <w:color w:val="auto"/>
        </w:rPr>
        <w:t>Electronic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communication</w:t>
      </w:r>
      <w:r>
        <w:rPr>
          <w:rFonts w:ascii="Times New Roman" w:cs="Times New Roman" w:eastAsia="Times New Roman" w:hAnsi="Times New Roman"/>
          <w:sz w:val="20"/>
          <w:szCs w:val="20"/>
          <w:color w:val="auto"/>
        </w:rPr>
        <w:t>)) electronic mail address and/or any other information required to enable the transmission of information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29.2 (</w:t>
      </w:r>
      <w:r>
        <w:rPr>
          <w:rFonts w:ascii="Times New Roman" w:cs="Times New Roman" w:eastAsia="Times New Roman" w:hAnsi="Times New Roman"/>
          <w:sz w:val="20"/>
          <w:szCs w:val="20"/>
          <w:i w:val="1"/>
          <w:iCs w:val="1"/>
          <w:color w:val="auto"/>
        </w:rPr>
        <w:t>Addresses</w:t>
      </w:r>
      <w:r>
        <w:rPr>
          <w:rFonts w:ascii="Times New Roman" w:cs="Times New Roman" w:eastAsia="Times New Roman" w:hAnsi="Times New Roman"/>
          <w:sz w:val="20"/>
          <w:szCs w:val="20"/>
          <w:color w:val="auto"/>
        </w:rPr>
        <w:t>) and paragraph (a)(ii) of Clause 29.5 (</w:t>
      </w:r>
      <w:r>
        <w:rPr>
          <w:rFonts w:ascii="Times New Roman" w:cs="Times New Roman" w:eastAsia="Times New Roman" w:hAnsi="Times New Roman"/>
          <w:sz w:val="20"/>
          <w:szCs w:val="20"/>
          <w:i w:val="1"/>
          <w:iCs w:val="1"/>
          <w:color w:val="auto"/>
        </w:rPr>
        <w:t>Electronic</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84" w:name="page85"/>
    <w:bookmarkEnd w:id="84"/>
    <w:p>
      <w:pPr>
        <w:ind w:left="1280" w:right="20"/>
        <w:spacing w:after="0" w:line="301" w:lineRule="auto"/>
        <w:rPr>
          <w:sz w:val="20"/>
          <w:szCs w:val="20"/>
          <w:color w:val="auto"/>
        </w:rPr>
      </w:pPr>
      <w:r>
        <w:rPr>
          <w:rFonts w:ascii="Times New Roman" w:cs="Times New Roman" w:eastAsia="Times New Roman" w:hAnsi="Times New Roman"/>
          <w:sz w:val="20"/>
          <w:szCs w:val="20"/>
          <w:i w:val="1"/>
          <w:iCs w:val="1"/>
          <w:color w:val="auto"/>
        </w:rPr>
        <w:t>communication</w:t>
      </w:r>
      <w:r>
        <w:rPr>
          <w:rFonts w:ascii="Times New Roman" w:cs="Times New Roman" w:eastAsia="Times New Roman" w:hAnsi="Times New Roman"/>
          <w:sz w:val="20"/>
          <w:szCs w:val="20"/>
          <w:color w:val="auto"/>
        </w:rPr>
        <w:t>) and the Agent shall be entitled to treat such person as the person entitled to receive all such notices,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communications, information and documents as though that person were that Lender.</w:t>
      </w:r>
    </w:p>
    <w:p>
      <w:pPr>
        <w:spacing w:after="0" w:line="1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24.15</w:t>
      </w:r>
      <w:r>
        <w:rPr>
          <w:sz w:val="20"/>
          <w:szCs w:val="20"/>
          <w:color w:val="auto"/>
        </w:rPr>
        <w:tab/>
      </w:r>
      <w:r>
        <w:rPr>
          <w:rFonts w:ascii="Times New Roman" w:cs="Times New Roman" w:eastAsia="Times New Roman" w:hAnsi="Times New Roman"/>
          <w:sz w:val="19"/>
          <w:szCs w:val="19"/>
          <w:b w:val="1"/>
          <w:bCs w:val="1"/>
          <w:color w:val="auto"/>
        </w:rPr>
        <w:t>Credit appraisal by the Lenders</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Without affecting the responsibility of the Company for information supplied by it or on its behalf in connection with any Finance Document, each Lender confirms to the Agent, the Arranger and the Documentation Agent and Co-ordinator that it has been, and will continue to be, solely responsible for making its own independent appraisal and investigation of all risks arising under or in connection with any Finance Document including but not limited to:</w:t>
      </w:r>
    </w:p>
    <w:p>
      <w:pPr>
        <w:spacing w:after="0" w:line="153" w:lineRule="exact"/>
        <w:rPr>
          <w:sz w:val="20"/>
          <w:szCs w:val="20"/>
          <w:color w:val="auto"/>
        </w:rPr>
      </w:pPr>
    </w:p>
    <w:p>
      <w:pPr>
        <w:ind w:left="1260" w:hanging="604"/>
        <w:spacing w:after="0"/>
        <w:tabs>
          <w:tab w:leader="none" w:pos="126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condition, status and nature of each member of the Group;</w:t>
      </w:r>
    </w:p>
    <w:p>
      <w:pPr>
        <w:spacing w:after="0" w:line="188" w:lineRule="exact"/>
        <w:rPr>
          <w:rFonts w:ascii="Times New Roman" w:cs="Times New Roman" w:eastAsia="Times New Roman" w:hAnsi="Times New Roman"/>
          <w:sz w:val="20"/>
          <w:szCs w:val="20"/>
          <w:color w:val="auto"/>
        </w:rPr>
      </w:pPr>
    </w:p>
    <w:p>
      <w:pPr>
        <w:ind w:left="1280" w:right="20" w:hanging="624"/>
        <w:spacing w:after="0" w:line="296" w:lineRule="auto"/>
        <w:tabs>
          <w:tab w:leader="none" w:pos="1262"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09" w:lineRule="exact"/>
        <w:rPr>
          <w:rFonts w:ascii="Times New Roman" w:cs="Times New Roman" w:eastAsia="Times New Roman" w:hAnsi="Times New Roman"/>
          <w:sz w:val="19"/>
          <w:szCs w:val="19"/>
          <w:color w:val="auto"/>
        </w:rPr>
      </w:pPr>
    </w:p>
    <w:p>
      <w:pPr>
        <w:jc w:val="both"/>
        <w:ind w:left="1280" w:hanging="624"/>
        <w:spacing w:after="0" w:line="249" w:lineRule="auto"/>
        <w:tabs>
          <w:tab w:leader="none" w:pos="126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accuracy or completeness of the Information Memorandum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24.16</w:t>
      </w:r>
      <w:r>
        <w:rPr>
          <w:sz w:val="20"/>
          <w:szCs w:val="20"/>
          <w:color w:val="auto"/>
        </w:rPr>
        <w:tab/>
      </w:r>
      <w:r>
        <w:rPr>
          <w:rFonts w:ascii="Times New Roman" w:cs="Times New Roman" w:eastAsia="Times New Roman" w:hAnsi="Times New Roman"/>
          <w:sz w:val="19"/>
          <w:szCs w:val="19"/>
          <w:b w:val="1"/>
          <w:bCs w:val="1"/>
          <w:color w:val="auto"/>
        </w:rPr>
        <w:t>Agent's management time</w:t>
      </w:r>
    </w:p>
    <w:p>
      <w:pPr>
        <w:spacing w:after="0" w:line="189"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20"/>
          <w:szCs w:val="20"/>
          <w:color w:val="auto"/>
        </w:rPr>
        <w:t>Any amount payable to the Agent under Clause 14.3(a) (</w:t>
      </w:r>
      <w:r>
        <w:rPr>
          <w:rFonts w:ascii="Times New Roman" w:cs="Times New Roman" w:eastAsia="Times New Roman" w:hAnsi="Times New Roman"/>
          <w:sz w:val="20"/>
          <w:szCs w:val="20"/>
          <w:i w:val="1"/>
          <w:iCs w:val="1"/>
          <w:color w:val="auto"/>
        </w:rPr>
        <w:t>Indemnity to the Agent</w:t>
      </w:r>
      <w:r>
        <w:rPr>
          <w:rFonts w:ascii="Times New Roman" w:cs="Times New Roman" w:eastAsia="Times New Roman" w:hAnsi="Times New Roman"/>
          <w:sz w:val="20"/>
          <w:szCs w:val="20"/>
          <w:color w:val="auto"/>
        </w:rPr>
        <w:t>) and Clause 16.3 (</w:t>
      </w:r>
      <w:r>
        <w:rPr>
          <w:rFonts w:ascii="Times New Roman" w:cs="Times New Roman" w:eastAsia="Times New Roman" w:hAnsi="Times New Roman"/>
          <w:sz w:val="20"/>
          <w:szCs w:val="20"/>
          <w:i w:val="1"/>
          <w:iCs w:val="1"/>
          <w:color w:val="auto"/>
        </w:rPr>
        <w:t>Enforcement costs</w:t>
      </w:r>
      <w:r>
        <w:rPr>
          <w:rFonts w:ascii="Times New Roman" w:cs="Times New Roman" w:eastAsia="Times New Roman" w:hAnsi="Times New Roman"/>
          <w:sz w:val="20"/>
          <w:szCs w:val="20"/>
          <w:color w:val="auto"/>
        </w:rPr>
        <w:t>) shall include the cost of utilising the Agent's management time or other resources and will be calculated on the basis of such reasonable daily or hourly rates as the Agent may notify to the Company and the Lenders, and is in addition to any fee paid or payable to the Agent under Clause</w:t>
      </w:r>
    </w:p>
    <w:p>
      <w:pPr>
        <w:spacing w:after="0" w:line="2" w:lineRule="exact"/>
        <w:rPr>
          <w:sz w:val="20"/>
          <w:szCs w:val="20"/>
          <w:color w:val="auto"/>
        </w:rPr>
      </w:pPr>
    </w:p>
    <w:p>
      <w:pPr>
        <w:ind w:left="860" w:hanging="231"/>
        <w:spacing w:after="0"/>
        <w:tabs>
          <w:tab w:leader="none" w:pos="86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24.17</w:t>
      </w:r>
      <w:r>
        <w:rPr>
          <w:sz w:val="20"/>
          <w:szCs w:val="20"/>
          <w:color w:val="auto"/>
        </w:rPr>
        <w:tab/>
      </w:r>
      <w:r>
        <w:rPr>
          <w:rFonts w:ascii="Times New Roman" w:cs="Times New Roman" w:eastAsia="Times New Roman" w:hAnsi="Times New Roman"/>
          <w:sz w:val="19"/>
          <w:szCs w:val="19"/>
          <w:b w:val="1"/>
          <w:bCs w:val="1"/>
          <w:color w:val="auto"/>
        </w:rPr>
        <w:t>Deduction from amounts payable by the Agent</w:t>
      </w:r>
    </w:p>
    <w:p>
      <w:pPr>
        <w:spacing w:after="0" w:line="193" w:lineRule="exact"/>
        <w:rPr>
          <w:sz w:val="20"/>
          <w:szCs w:val="20"/>
          <w:color w:val="auto"/>
        </w:rPr>
      </w:pPr>
    </w:p>
    <w:p>
      <w:pPr>
        <w:jc w:val="both"/>
        <w:ind w:left="1280" w:hanging="624"/>
        <w:spacing w:after="0" w:line="249" w:lineRule="auto"/>
        <w:tabs>
          <w:tab w:leader="none" w:pos="126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85" w:right="239" w:bottom="1440" w:gutter="0" w:footer="0" w:header="0"/>
        </w:sectPr>
      </w:pPr>
    </w:p>
    <w:bookmarkStart w:id="85" w:name="page86"/>
    <w:bookmarkEnd w:id="85"/>
    <w:p>
      <w:pPr>
        <w:ind w:left="620" w:right="5820" w:hanging="612"/>
        <w:spacing w:after="0" w:line="438" w:lineRule="auto"/>
        <w:tabs>
          <w:tab w:leader="none" w:pos="620" w:val="left"/>
        </w:tabs>
        <w:numPr>
          <w:ilvl w:val="0"/>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CONDUCT OF BUSINESS BY THE FINANCE PARTIES </w:t>
      </w:r>
      <w:r>
        <w:rPr>
          <w:rFonts w:ascii="Times New Roman" w:cs="Times New Roman" w:eastAsia="Times New Roman" w:hAnsi="Times New Roman"/>
          <w:sz w:val="20"/>
          <w:szCs w:val="20"/>
          <w:color w:val="auto"/>
        </w:rPr>
        <w:t>No provision of this Agreement will:</w:t>
      </w:r>
    </w:p>
    <w:p>
      <w:pPr>
        <w:spacing w:after="0" w:line="1" w:lineRule="exact"/>
        <w:rPr>
          <w:rFonts w:ascii="Times New Roman" w:cs="Times New Roman" w:eastAsia="Times New Roman" w:hAnsi="Times New Roman"/>
          <w:sz w:val="20"/>
          <w:szCs w:val="20"/>
          <w:b w:val="1"/>
          <w:bCs w:val="1"/>
          <w:color w:val="auto"/>
        </w:rPr>
      </w:pPr>
    </w:p>
    <w:p>
      <w:pPr>
        <w:ind w:left="1260" w:hanging="604"/>
        <w:spacing w:after="0"/>
        <w:tabs>
          <w:tab w:leader="none" w:pos="1260"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interfere with the right of any Finance Party to arrange its affairs (tax or otherwise) in whatever manner it thinks fit;</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oblige any Finance Party to investigate or claim any credit, relief, remission or repayment available to it or the extent, order and manner of any claim; or</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oblige any Finance Party to disclose any information relating to its affairs (tax or otherwise) or any computations in respect of Tax.</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SHARING AMONG THE FINANCE PARTIES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b w:val="1"/>
          <w:bCs w:val="1"/>
          <w:color w:val="auto"/>
        </w:rPr>
        <w:t>Payments to Finance Parties</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If a Finance Party (a “</w:t>
      </w:r>
      <w:r>
        <w:rPr>
          <w:rFonts w:ascii="Times New Roman" w:cs="Times New Roman" w:eastAsia="Times New Roman" w:hAnsi="Times New Roman"/>
          <w:sz w:val="20"/>
          <w:szCs w:val="20"/>
          <w:b w:val="1"/>
          <w:bCs w:val="1"/>
          <w:color w:val="auto"/>
        </w:rPr>
        <w:t>Recovering Finance Party</w:t>
      </w:r>
      <w:r>
        <w:rPr>
          <w:rFonts w:ascii="Times New Roman" w:cs="Times New Roman" w:eastAsia="Times New Roman" w:hAnsi="Times New Roman"/>
          <w:sz w:val="20"/>
          <w:szCs w:val="20"/>
          <w:color w:val="auto"/>
        </w:rPr>
        <w:t>”) receives or recovers any amount from the Company other than in accordance with Clause 27 (</w:t>
      </w:r>
      <w:r>
        <w:rPr>
          <w:rFonts w:ascii="Times New Roman" w:cs="Times New Roman" w:eastAsia="Times New Roman" w:hAnsi="Times New Roman"/>
          <w:sz w:val="20"/>
          <w:szCs w:val="20"/>
          <w:i w:val="1"/>
          <w:iCs w:val="1"/>
          <w:color w:val="auto"/>
        </w:rPr>
        <w:t>Payment mechanics</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Recovered Amount</w:t>
      </w:r>
      <w:r>
        <w:rPr>
          <w:rFonts w:ascii="Times New Roman" w:cs="Times New Roman" w:eastAsia="Times New Roman" w:hAnsi="Times New Roman"/>
          <w:sz w:val="20"/>
          <w:szCs w:val="20"/>
          <w:color w:val="auto"/>
        </w:rPr>
        <w:t>”) and applies that amount to a payment due under the Finance Documents then:</w:t>
      </w:r>
    </w:p>
    <w:p>
      <w:pPr>
        <w:spacing w:after="0" w:line="146" w:lineRule="exact"/>
        <w:rPr>
          <w:sz w:val="20"/>
          <w:szCs w:val="20"/>
          <w:color w:val="auto"/>
        </w:rPr>
      </w:pPr>
    </w:p>
    <w:p>
      <w:pPr>
        <w:ind w:left="1260" w:hanging="604"/>
        <w:spacing w:after="0"/>
        <w:tabs>
          <w:tab w:leader="none" w:pos="126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Recovering Finance Party shall, within three Business Days, notify details of the receipt or recovery to the Agent;</w:t>
      </w:r>
    </w:p>
    <w:p>
      <w:pPr>
        <w:spacing w:after="0" w:line="188"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determine whether the receipt or recovery is in excess of the amount the Recovering Finance Party would have been paid had the receipt or recovery been received or made by the Agent and distributed in accordance with Clause 27 (</w:t>
      </w:r>
      <w:r>
        <w:rPr>
          <w:rFonts w:ascii="Times New Roman" w:cs="Times New Roman" w:eastAsia="Times New Roman" w:hAnsi="Times New Roman"/>
          <w:sz w:val="20"/>
          <w:szCs w:val="20"/>
          <w:i w:val="1"/>
          <w:iCs w:val="1"/>
          <w:color w:val="auto"/>
        </w:rPr>
        <w:t>Payment mechanics</w:t>
      </w:r>
      <w:r>
        <w:rPr>
          <w:rFonts w:ascii="Times New Roman" w:cs="Times New Roman" w:eastAsia="Times New Roman" w:hAnsi="Times New Roman"/>
          <w:sz w:val="20"/>
          <w:szCs w:val="20"/>
          <w:color w:val="auto"/>
        </w:rPr>
        <w:t>), without taking account of any Tax which would be imposed on the Agent in relation to the receipt, recovery or distribution; and</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Recovering Finance Party shall, within three Business Days of demand by the Agent, pay to the Agent an amount (the “</w:t>
      </w:r>
      <w:r>
        <w:rPr>
          <w:rFonts w:ascii="Times New Roman" w:cs="Times New Roman" w:eastAsia="Times New Roman" w:hAnsi="Times New Roman"/>
          <w:sz w:val="20"/>
          <w:szCs w:val="20"/>
          <w:b w:val="1"/>
          <w:bCs w:val="1"/>
          <w:color w:val="auto"/>
        </w:rPr>
        <w:t>Sharing Payment</w:t>
      </w:r>
      <w:r>
        <w:rPr>
          <w:rFonts w:ascii="Times New Roman" w:cs="Times New Roman" w:eastAsia="Times New Roman" w:hAnsi="Times New Roman"/>
          <w:sz w:val="20"/>
          <w:szCs w:val="20"/>
          <w:color w:val="auto"/>
        </w:rPr>
        <w:t>”) equal to such receipt or recovery less any amount which the Agent determines may be retained by the Recovering Finance Party as its share of any payment to be made, in accordance with Clause 27.5 (</w:t>
      </w:r>
      <w:r>
        <w:rPr>
          <w:rFonts w:ascii="Times New Roman" w:cs="Times New Roman" w:eastAsia="Times New Roman" w:hAnsi="Times New Roman"/>
          <w:sz w:val="20"/>
          <w:szCs w:val="20"/>
          <w:i w:val="1"/>
          <w:iCs w:val="1"/>
          <w:color w:val="auto"/>
        </w:rPr>
        <w:t>Partial payments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26.2</w:t>
      </w:r>
      <w:r>
        <w:rPr>
          <w:sz w:val="20"/>
          <w:szCs w:val="20"/>
          <w:color w:val="auto"/>
        </w:rPr>
        <w:tab/>
      </w:r>
      <w:r>
        <w:rPr>
          <w:rFonts w:ascii="Times New Roman" w:cs="Times New Roman" w:eastAsia="Times New Roman" w:hAnsi="Times New Roman"/>
          <w:sz w:val="19"/>
          <w:szCs w:val="19"/>
          <w:b w:val="1"/>
          <w:bCs w:val="1"/>
          <w:color w:val="auto"/>
        </w:rPr>
        <w:t>Redistribution of payments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The Agent shall treat the Sharing Payment as if it had been paid by the Company and distribute it between the Finance Parties (other than the Recovering Finance Party) (the “</w:t>
      </w:r>
      <w:r>
        <w:rPr>
          <w:rFonts w:ascii="Times New Roman" w:cs="Times New Roman" w:eastAsia="Times New Roman" w:hAnsi="Times New Roman"/>
          <w:sz w:val="20"/>
          <w:szCs w:val="20"/>
          <w:b w:val="1"/>
          <w:bCs w:val="1"/>
          <w:color w:val="auto"/>
        </w:rPr>
        <w:t>Sharing Finance Parties</w:t>
      </w:r>
      <w:r>
        <w:rPr>
          <w:rFonts w:ascii="Times New Roman" w:cs="Times New Roman" w:eastAsia="Times New Roman" w:hAnsi="Times New Roman"/>
          <w:sz w:val="20"/>
          <w:szCs w:val="20"/>
          <w:color w:val="auto"/>
        </w:rPr>
        <w:t>”) in accordance with Clause 27.5 (</w:t>
      </w:r>
      <w:r>
        <w:rPr>
          <w:rFonts w:ascii="Times New Roman" w:cs="Times New Roman" w:eastAsia="Times New Roman" w:hAnsi="Times New Roman"/>
          <w:sz w:val="20"/>
          <w:szCs w:val="20"/>
          <w:i w:val="1"/>
          <w:iCs w:val="1"/>
          <w:color w:val="auto"/>
        </w:rPr>
        <w:t>Partial payments</w:t>
      </w:r>
      <w:r>
        <w:rPr>
          <w:rFonts w:ascii="Times New Roman" w:cs="Times New Roman" w:eastAsia="Times New Roman" w:hAnsi="Times New Roman"/>
          <w:sz w:val="20"/>
          <w:szCs w:val="20"/>
          <w:color w:val="auto"/>
        </w:rPr>
        <w:t>) towards the obligations of the Company to the Sharing Finance Parties.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26.3</w:t>
      </w:r>
      <w:r>
        <w:rPr>
          <w:sz w:val="20"/>
          <w:szCs w:val="20"/>
          <w:color w:val="auto"/>
        </w:rPr>
        <w:tab/>
      </w:r>
      <w:r>
        <w:rPr>
          <w:rFonts w:ascii="Times New Roman" w:cs="Times New Roman" w:eastAsia="Times New Roman" w:hAnsi="Times New Roman"/>
          <w:sz w:val="19"/>
          <w:szCs w:val="19"/>
          <w:b w:val="1"/>
          <w:bCs w:val="1"/>
          <w:color w:val="auto"/>
        </w:rPr>
        <w:t>Recovering Finance Party's rights</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On a distribution by the Agent under Clause 26.2 (</w:t>
      </w:r>
      <w:r>
        <w:rPr>
          <w:rFonts w:ascii="Times New Roman" w:cs="Times New Roman" w:eastAsia="Times New Roman" w:hAnsi="Times New Roman"/>
          <w:sz w:val="20"/>
          <w:szCs w:val="20"/>
          <w:i w:val="1"/>
          <w:iCs w:val="1"/>
          <w:color w:val="auto"/>
        </w:rPr>
        <w:t>Redistribution of payments</w:t>
      </w:r>
      <w:r>
        <w:rPr>
          <w:rFonts w:ascii="Times New Roman" w:cs="Times New Roman" w:eastAsia="Times New Roman" w:hAnsi="Times New Roman"/>
          <w:sz w:val="20"/>
          <w:szCs w:val="20"/>
          <w:color w:val="auto"/>
        </w:rPr>
        <w:t>) of a payment received by a Recovering Finance Party from the Company, as between the Company and the Recovering Finance Party, an amount of the Recovered Amount equal to the Sharing Payment will be treated as not having been paid by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86" w:name="page87"/>
    <w:bookmarkEnd w:id="86"/>
    <w:p>
      <w:pPr>
        <w:spacing w:after="0"/>
        <w:tabs>
          <w:tab w:leader="none" w:pos="600" w:val="left"/>
        </w:tabs>
        <w:rPr>
          <w:sz w:val="20"/>
          <w:szCs w:val="20"/>
          <w:color w:val="auto"/>
        </w:rPr>
      </w:pPr>
      <w:r>
        <w:rPr>
          <w:rFonts w:ascii="Times New Roman" w:cs="Times New Roman" w:eastAsia="Times New Roman" w:hAnsi="Times New Roman"/>
          <w:sz w:val="20"/>
          <w:szCs w:val="20"/>
          <w:color w:val="auto"/>
        </w:rPr>
        <w:t>26.4</w:t>
      </w:r>
      <w:r>
        <w:rPr>
          <w:sz w:val="20"/>
          <w:szCs w:val="20"/>
          <w:color w:val="auto"/>
        </w:rPr>
        <w:tab/>
      </w:r>
      <w:r>
        <w:rPr>
          <w:rFonts w:ascii="Times New Roman" w:cs="Times New Roman" w:eastAsia="Times New Roman" w:hAnsi="Times New Roman"/>
          <w:sz w:val="19"/>
          <w:szCs w:val="19"/>
          <w:b w:val="1"/>
          <w:bCs w:val="1"/>
          <w:color w:val="auto"/>
        </w:rPr>
        <w:t>Reversal of redistribution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any part of the Sharing Payment received or recovered by a Recovering Finance Party becomes repayable and is repaid by that</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Recovering Finance Party, then:</w:t>
      </w:r>
    </w:p>
    <w:p>
      <w:pPr>
        <w:spacing w:after="0" w:line="167" w:lineRule="exact"/>
        <w:rPr>
          <w:sz w:val="20"/>
          <w:szCs w:val="20"/>
          <w:color w:val="auto"/>
        </w:rPr>
      </w:pPr>
    </w:p>
    <w:p>
      <w:pPr>
        <w:jc w:val="both"/>
        <w:ind w:left="1280" w:hanging="624"/>
        <w:spacing w:after="0" w:line="249" w:lineRule="auto"/>
        <w:tabs>
          <w:tab w:leader="none" w:pos="1262"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20"/>
          <w:szCs w:val="20"/>
          <w:b w:val="1"/>
          <w:bCs w:val="1"/>
          <w:color w:val="auto"/>
        </w:rPr>
        <w:t>Redistributed Amount</w:t>
      </w:r>
      <w:r>
        <w:rPr>
          <w:rFonts w:ascii="Times New Roman" w:cs="Times New Roman" w:eastAsia="Times New Roman" w:hAnsi="Times New Roman"/>
          <w:sz w:val="20"/>
          <w:szCs w:val="20"/>
          <w:color w:val="auto"/>
        </w:rPr>
        <w:t>”); and</w:t>
      </w:r>
    </w:p>
    <w:p>
      <w:pPr>
        <w:spacing w:after="0" w:line="153"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Company and each relevant Sharing Finance Party, an amount equal to the relevant Redistributed Amount will be treated as not having been paid by the Company.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26.5</w:t>
      </w:r>
      <w:r>
        <w:rPr>
          <w:sz w:val="20"/>
          <w:szCs w:val="20"/>
          <w:color w:val="auto"/>
        </w:rPr>
        <w:tab/>
      </w:r>
      <w:r>
        <w:rPr>
          <w:rFonts w:ascii="Times New Roman" w:cs="Times New Roman" w:eastAsia="Times New Roman" w:hAnsi="Times New Roman"/>
          <w:sz w:val="20"/>
          <w:szCs w:val="20"/>
          <w:b w:val="1"/>
          <w:bCs w:val="1"/>
          <w:color w:val="auto"/>
        </w:rPr>
        <w:t>Exceptions</w:t>
      </w:r>
    </w:p>
    <w:p>
      <w:pPr>
        <w:spacing w:after="0" w:line="193" w:lineRule="exact"/>
        <w:rPr>
          <w:sz w:val="20"/>
          <w:szCs w:val="20"/>
          <w:color w:val="auto"/>
        </w:rPr>
      </w:pPr>
    </w:p>
    <w:p>
      <w:pPr>
        <w:ind w:left="1280" w:hanging="624"/>
        <w:spacing w:after="0" w:line="269" w:lineRule="auto"/>
        <w:tabs>
          <w:tab w:leader="none" w:pos="1262"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Clause 26 shall not apply to the extent that the Recovering Finance Party would not, after making any payment pursuant to this Clause, have a valid and enforceable claim against the Company.</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Recovering Finance Party is not obliged to share with any other Finance Party any amount which the Recovering Finance Party has received or recovered as a result of taking legal or arbitration proceedings, if:</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notified that other Finance Party of the legal or arbitration proceedings; and</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SECTION 11</w:t>
      </w:r>
    </w:p>
    <w:p>
      <w:pPr>
        <w:spacing w:after="0" w:line="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63" w:lineRule="exact"/>
        <w:rPr>
          <w:sz w:val="20"/>
          <w:szCs w:val="20"/>
          <w:color w:val="auto"/>
        </w:rPr>
      </w:pPr>
    </w:p>
    <w:p>
      <w:pPr>
        <w:ind w:left="620" w:hanging="612"/>
        <w:spacing w:after="0"/>
        <w:tabs>
          <w:tab w:leader="none" w:pos="620"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MECHANICS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19"/>
          <w:szCs w:val="19"/>
          <w:b w:val="1"/>
          <w:bCs w:val="1"/>
          <w:color w:val="auto"/>
        </w:rPr>
        <w:t>Payments to the Agent</w:t>
      </w:r>
    </w:p>
    <w:p>
      <w:pPr>
        <w:spacing w:after="0" w:line="193" w:lineRule="exact"/>
        <w:rPr>
          <w:sz w:val="20"/>
          <w:szCs w:val="20"/>
          <w:color w:val="auto"/>
        </w:rPr>
      </w:pPr>
    </w:p>
    <w:p>
      <w:pPr>
        <w:jc w:val="both"/>
        <w:ind w:left="1280" w:hanging="624"/>
        <w:spacing w:after="0" w:line="249" w:lineRule="auto"/>
        <w:tabs>
          <w:tab w:leader="none" w:pos="1262"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date on which the Company or a Lender is required to make a payment under a Finance Document, the Company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19"/>
          <w:szCs w:val="19"/>
          <w:b w:val="1"/>
          <w:bCs w:val="1"/>
          <w:color w:val="auto"/>
        </w:rPr>
        <w:t>Distributions by the Agent</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Each payment received by the Agent under the Finance Documents for another Party shall, subject to Clause 27.3 (</w:t>
      </w:r>
      <w:r>
        <w:rPr>
          <w:rFonts w:ascii="Times New Roman" w:cs="Times New Roman" w:eastAsia="Times New Roman" w:hAnsi="Times New Roman"/>
          <w:sz w:val="20"/>
          <w:szCs w:val="20"/>
          <w:i w:val="1"/>
          <w:iCs w:val="1"/>
          <w:color w:val="auto"/>
        </w:rPr>
        <w:t>Distributions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and Clause 27.4 (</w:t>
      </w:r>
      <w:r>
        <w:rPr>
          <w:rFonts w:ascii="Times New Roman" w:cs="Times New Roman" w:eastAsia="Times New Roman" w:hAnsi="Times New Roman"/>
          <w:sz w:val="20"/>
          <w:szCs w:val="20"/>
          <w:i w:val="1"/>
          <w:iCs w:val="1"/>
          <w:color w:val="auto"/>
        </w:rPr>
        <w:t>Clawback and pre-funding</w:t>
      </w:r>
      <w:r>
        <w:rPr>
          <w:rFonts w:ascii="Times New Roman" w:cs="Times New Roman" w:eastAsia="Times New Roman" w:hAnsi="Times New Roman"/>
          <w:sz w:val="20"/>
          <w:szCs w:val="20"/>
          <w:color w:val="auto"/>
        </w:rPr>
        <w:t>) be made available by the Agent as soon as practicable after receipt to the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entitled to receive payment in accordance with this Agreement (in the case of a Lender, for the account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87" w:name="page88"/>
    <w:bookmarkEnd w:id="87"/>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27.3</w:t>
      </w:r>
      <w:r>
        <w:rPr>
          <w:sz w:val="20"/>
          <w:szCs w:val="20"/>
          <w:color w:val="auto"/>
        </w:rPr>
        <w:tab/>
      </w:r>
      <w:r>
        <w:rPr>
          <w:rFonts w:ascii="Times New Roman" w:cs="Times New Roman" w:eastAsia="Times New Roman" w:hAnsi="Times New Roman"/>
          <w:sz w:val="19"/>
          <w:szCs w:val="19"/>
          <w:b w:val="1"/>
          <w:bCs w:val="1"/>
          <w:color w:val="auto"/>
        </w:rPr>
        <w:t>Distributions to the Company</w:t>
      </w:r>
    </w:p>
    <w:p>
      <w:pPr>
        <w:spacing w:after="0" w:line="189"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0"/>
          <w:szCs w:val="20"/>
          <w:color w:val="auto"/>
        </w:rPr>
        <w:t>The Agent may (with the consent of the Company or in accordance with Clause 28 (</w:t>
      </w:r>
      <w:r>
        <w:rPr>
          <w:rFonts w:ascii="Times New Roman" w:cs="Times New Roman" w:eastAsia="Times New Roman" w:hAnsi="Times New Roman"/>
          <w:sz w:val="20"/>
          <w:szCs w:val="20"/>
          <w:i w:val="1"/>
          <w:iCs w:val="1"/>
          <w:color w:val="auto"/>
        </w:rPr>
        <w:t>Set-off</w:t>
      </w:r>
      <w:r>
        <w:rPr>
          <w:rFonts w:ascii="Times New Roman" w:cs="Times New Roman" w:eastAsia="Times New Roman" w:hAnsi="Times New Roman"/>
          <w:sz w:val="20"/>
          <w:szCs w:val="20"/>
          <w:color w:val="auto"/>
        </w:rPr>
        <w:t>)) apply any amount received by it for the Company in or towards payment (on the date and in the currency and funds of receipt) of any amount due from the Company under the Finance Documents or in or towards purchase of any amount of any currency to be so applied.</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27.4</w:t>
      </w:r>
      <w:r>
        <w:rPr>
          <w:sz w:val="20"/>
          <w:szCs w:val="20"/>
          <w:color w:val="auto"/>
        </w:rPr>
        <w:tab/>
      </w:r>
      <w:r>
        <w:rPr>
          <w:rFonts w:ascii="Times New Roman" w:cs="Times New Roman" w:eastAsia="Times New Roman" w:hAnsi="Times New Roman"/>
          <w:sz w:val="19"/>
          <w:szCs w:val="19"/>
          <w:b w:val="1"/>
          <w:bCs w:val="1"/>
          <w:color w:val="auto"/>
        </w:rPr>
        <w:t>Clawback and pre-funding</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27.5</w:t>
      </w:r>
      <w:r>
        <w:rPr>
          <w:sz w:val="20"/>
          <w:szCs w:val="20"/>
          <w:color w:val="auto"/>
        </w:rPr>
        <w:tab/>
      </w:r>
      <w:r>
        <w:rPr>
          <w:rFonts w:ascii="Times New Roman" w:cs="Times New Roman" w:eastAsia="Times New Roman" w:hAnsi="Times New Roman"/>
          <w:sz w:val="19"/>
          <w:szCs w:val="19"/>
          <w:b w:val="1"/>
          <w:bCs w:val="1"/>
          <w:color w:val="auto"/>
        </w:rPr>
        <w:t>Partial payments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Agent receives a payment that is insufficient to discharge all the amounts then due and payable by the Company under the Finance Documents, the Agent shall apply that payment towards the obligations of the Company under the Finance Documents in the following order:</w:t>
      </w:r>
    </w:p>
    <w:p>
      <w:pPr>
        <w:spacing w:after="0" w:line="143"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0"/>
          <w:szCs w:val="20"/>
          <w:color w:val="auto"/>
        </w:rPr>
        <w:t>, in or towards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unpaid amount owing to the Agent under the Finance Documents;</w:t>
      </w:r>
    </w:p>
    <w:p>
      <w:pPr>
        <w:spacing w:after="0" w:line="188" w:lineRule="exact"/>
        <w:rPr>
          <w:rFonts w:ascii="Times New Roman" w:cs="Times New Roman" w:eastAsia="Times New Roman" w:hAnsi="Times New Roman"/>
          <w:sz w:val="20"/>
          <w:szCs w:val="20"/>
          <w:color w:val="auto"/>
        </w:rPr>
      </w:pPr>
    </w:p>
    <w:p>
      <w:pPr>
        <w:ind w:left="1920" w:right="20" w:hanging="642"/>
        <w:spacing w:after="0" w:line="273" w:lineRule="auto"/>
        <w:tabs>
          <w:tab w:leader="none" w:pos="192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secondly</w:t>
      </w:r>
      <w:r>
        <w:rPr>
          <w:rFonts w:ascii="Times New Roman" w:cs="Times New Roman" w:eastAsia="Times New Roman" w:hAnsi="Times New Roman"/>
          <w:sz w:val="20"/>
          <w:szCs w:val="20"/>
          <w:color w:val="auto"/>
        </w:rPr>
        <w:t>, in or towards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accrued interest, fee or commission due but unpaid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2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thirdly</w:t>
      </w:r>
      <w:r>
        <w:rPr>
          <w:rFonts w:ascii="Times New Roman" w:cs="Times New Roman" w:eastAsia="Times New Roman" w:hAnsi="Times New Roman"/>
          <w:sz w:val="20"/>
          <w:szCs w:val="20"/>
          <w:color w:val="auto"/>
        </w:rPr>
        <w:t>, in or towards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principal due but unpaid under this Agreement;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fourthly</w:t>
      </w:r>
      <w:r>
        <w:rPr>
          <w:rFonts w:ascii="Times New Roman" w:cs="Times New Roman" w:eastAsia="Times New Roman" w:hAnsi="Times New Roman"/>
          <w:sz w:val="20"/>
          <w:szCs w:val="20"/>
          <w:color w:val="auto"/>
        </w:rPr>
        <w:t>, in or towards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other sum due but unpaid under the Finance Documents.</w:t>
      </w:r>
    </w:p>
    <w:p>
      <w:pPr>
        <w:spacing w:after="0" w:line="19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if so directed by the Majority Lenders, vary the order set out in paragraphs (a)(ii) to (a)(iv) above.</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Paragraphs (a) and (b) above will override any appropriation made by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88" w:name="page89"/>
    <w:bookmarkEnd w:id="88"/>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27.6</w:t>
      </w:r>
      <w:r>
        <w:rPr>
          <w:sz w:val="20"/>
          <w:szCs w:val="20"/>
          <w:color w:val="auto"/>
        </w:rPr>
        <w:tab/>
      </w:r>
      <w:r>
        <w:rPr>
          <w:rFonts w:ascii="Times New Roman" w:cs="Times New Roman" w:eastAsia="Times New Roman" w:hAnsi="Times New Roman"/>
          <w:sz w:val="19"/>
          <w:szCs w:val="19"/>
          <w:b w:val="1"/>
          <w:bCs w:val="1"/>
          <w:color w:val="auto"/>
        </w:rPr>
        <w:t>No set-off by the Company</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All payments to be made by the Company under the Finance Documents shall be calculated and be made without (and free and clear of any deduction for) set-off or counterclaim.</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27.7</w:t>
      </w:r>
      <w:r>
        <w:rPr>
          <w:sz w:val="20"/>
          <w:szCs w:val="20"/>
          <w:color w:val="auto"/>
        </w:rPr>
        <w:tab/>
      </w:r>
      <w:r>
        <w:rPr>
          <w:rFonts w:ascii="Times New Roman" w:cs="Times New Roman" w:eastAsia="Times New Roman" w:hAnsi="Times New Roman"/>
          <w:sz w:val="19"/>
          <w:szCs w:val="19"/>
          <w:b w:val="1"/>
          <w:bCs w:val="1"/>
          <w:color w:val="auto"/>
        </w:rPr>
        <w:t>Business Days</w:t>
      </w:r>
    </w:p>
    <w:p>
      <w:pPr>
        <w:spacing w:after="0" w:line="193" w:lineRule="exact"/>
        <w:rPr>
          <w:sz w:val="20"/>
          <w:szCs w:val="20"/>
          <w:color w:val="auto"/>
        </w:rPr>
      </w:pPr>
    </w:p>
    <w:p>
      <w:pPr>
        <w:ind w:left="1280" w:right="20" w:hanging="624"/>
        <w:spacing w:after="0" w:line="269" w:lineRule="auto"/>
        <w:tabs>
          <w:tab w:leader="none" w:pos="1262"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extension of the due date for payment of any principal or Unpaid Sum under this Agreement interest is payable on the principal or Unpaid Sum at the rate payable on the original due date.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27.8</w:t>
      </w:r>
      <w:r>
        <w:rPr>
          <w:sz w:val="20"/>
          <w:szCs w:val="20"/>
          <w:color w:val="auto"/>
        </w:rPr>
        <w:tab/>
      </w:r>
      <w:r>
        <w:rPr>
          <w:rFonts w:ascii="Times New Roman" w:cs="Times New Roman" w:eastAsia="Times New Roman" w:hAnsi="Times New Roman"/>
          <w:sz w:val="19"/>
          <w:szCs w:val="19"/>
          <w:b w:val="1"/>
          <w:bCs w:val="1"/>
          <w:color w:val="auto"/>
        </w:rPr>
        <w:t>Currency of account</w:t>
      </w:r>
    </w:p>
    <w:p>
      <w:pPr>
        <w:spacing w:after="0" w:line="193" w:lineRule="exact"/>
        <w:rPr>
          <w:sz w:val="20"/>
          <w:szCs w:val="20"/>
          <w:color w:val="auto"/>
        </w:rPr>
      </w:pPr>
    </w:p>
    <w:p>
      <w:pPr>
        <w:ind w:left="1280" w:hanging="624"/>
        <w:spacing w:after="0" w:line="269" w:lineRule="auto"/>
        <w:tabs>
          <w:tab w:leader="none" w:pos="126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paragraphs (b) to (e) below, USD is the currency of account and payment for any sum due from the Company under any Finance Document.</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repayment of a Loan or Unpaid Sum or a part of a Loan or Unpaid Sum shall be made in the currency in which that Loan or Unpaid Sum is denominated, pursuant to this Agreement, on its due date.</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of interest shall be made in the currency in which the sum in respect of which the interest is payable was denominated, pursuant to this Agreement, when that interest accrued.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 respect of costs, expenses or Taxes shall be made in the currency in which the costs, expenses or Taxes are incurred.</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expressed to be payable in a currency other than USD shall be paid in that other currency.</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27.9</w:t>
      </w:r>
      <w:r>
        <w:rPr>
          <w:sz w:val="20"/>
          <w:szCs w:val="20"/>
          <w:color w:val="auto"/>
        </w:rPr>
        <w:tab/>
      </w:r>
      <w:r>
        <w:rPr>
          <w:rFonts w:ascii="Times New Roman" w:cs="Times New Roman" w:eastAsia="Times New Roman" w:hAnsi="Times New Roman"/>
          <w:sz w:val="19"/>
          <w:szCs w:val="19"/>
          <w:b w:val="1"/>
          <w:bCs w:val="1"/>
          <w:color w:val="auto"/>
        </w:rPr>
        <w:t>Change of currency</w:t>
      </w:r>
    </w:p>
    <w:p>
      <w:pPr>
        <w:spacing w:after="0" w:line="193" w:lineRule="exact"/>
        <w:rPr>
          <w:sz w:val="20"/>
          <w:szCs w:val="20"/>
          <w:color w:val="auto"/>
        </w:rPr>
      </w:pPr>
    </w:p>
    <w:p>
      <w:pPr>
        <w:ind w:left="1280" w:right="20" w:hanging="624"/>
        <w:spacing w:after="0" w:line="269" w:lineRule="auto"/>
        <w:tabs>
          <w:tab w:leader="none" w:pos="126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prohibited by law, if more than one currency or currency unit are at the same time recognised by the central bank of any country as the lawful currency of that country, then:</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Company); and</w:t>
      </w:r>
    </w:p>
    <w:p>
      <w:pPr>
        <w:spacing w:after="0" w:line="147"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27.10</w:t>
      </w:r>
      <w:r>
        <w:rPr>
          <w:sz w:val="20"/>
          <w:szCs w:val="20"/>
          <w:color w:val="auto"/>
        </w:rPr>
        <w:tab/>
      </w:r>
      <w:r>
        <w:rPr>
          <w:rFonts w:ascii="Times New Roman" w:cs="Times New Roman" w:eastAsia="Times New Roman" w:hAnsi="Times New Roman"/>
          <w:sz w:val="19"/>
          <w:szCs w:val="19"/>
          <w:b w:val="1"/>
          <w:bCs w:val="1"/>
          <w:color w:val="auto"/>
        </w:rPr>
        <w:t>Disruption to payment systems etc.</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89" w:name="page90"/>
    <w:bookmarkEnd w:id="89"/>
    <w:p>
      <w:pPr>
        <w:ind w:left="620"/>
        <w:spacing w:after="0"/>
        <w:rPr>
          <w:sz w:val="20"/>
          <w:szCs w:val="20"/>
          <w:color w:val="auto"/>
        </w:rPr>
      </w:pPr>
      <w:r>
        <w:rPr>
          <w:rFonts w:ascii="Times New Roman" w:cs="Times New Roman" w:eastAsia="Times New Roman" w:hAnsi="Times New Roman"/>
          <w:sz w:val="20"/>
          <w:szCs w:val="20"/>
          <w:color w:val="auto"/>
        </w:rPr>
        <w:t>If either the Agent determines (in its discretion) that a Disruption Event has occurred or the Agent is notified by the Company that a</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Disruption Event has occurred:</w:t>
      </w:r>
    </w:p>
    <w:p>
      <w:pPr>
        <w:spacing w:after="0" w:line="167" w:lineRule="exact"/>
        <w:rPr>
          <w:sz w:val="20"/>
          <w:szCs w:val="20"/>
          <w:color w:val="auto"/>
        </w:rPr>
      </w:pPr>
    </w:p>
    <w:p>
      <w:pPr>
        <w:jc w:val="both"/>
        <w:ind w:left="1280" w:hanging="624"/>
        <w:spacing w:after="0" w:line="254" w:lineRule="auto"/>
        <w:tabs>
          <w:tab w:leader="none" w:pos="1262"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and shall if requested to do so by the Company, consult with the Company with a view to agreeing with the Company such changes to the operation or administration of the Facility as the Agent may deem necessary in the circumstances;</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obliged to consult with the Company in relation to any changes mentioned in paragraph (a) above if, in its opinion, it is not practicable to do so in the circumstances and, in any event, shall have no obligation to agree to such changes;</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consult with the Finance Parties in relation to any changes mentioned in paragraph (a) above but shall not be obliged to do so if, in its opinion, it is not practicable to do so in the circumstances;</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33 (</w:t>
      </w:r>
      <w:r>
        <w:rPr>
          <w:rFonts w:ascii="Times New Roman" w:cs="Times New Roman" w:eastAsia="Times New Roman" w:hAnsi="Times New Roman"/>
          <w:sz w:val="20"/>
          <w:szCs w:val="20"/>
          <w:i w:val="1"/>
          <w:iCs w:val="1"/>
          <w:color w:val="auto"/>
        </w:rPr>
        <w:t>Amendments and Waivers</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27.10; and</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notify the Finance Parties of all changes agreed pursuant to paragraph (d) above.</w:t>
      </w:r>
    </w:p>
    <w:p>
      <w:pPr>
        <w:spacing w:after="0" w:line="184"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SET-OFF</w:t>
      </w:r>
    </w:p>
    <w:p>
      <w:pPr>
        <w:spacing w:after="0" w:line="192" w:lineRule="exact"/>
        <w:rPr>
          <w:rFonts w:ascii="Times New Roman" w:cs="Times New Roman" w:eastAsia="Times New Roman" w:hAnsi="Times New Roman"/>
          <w:sz w:val="20"/>
          <w:szCs w:val="20"/>
          <w:b w:val="1"/>
          <w:bCs w:val="1"/>
          <w:color w:val="auto"/>
        </w:rPr>
      </w:pPr>
    </w:p>
    <w:p>
      <w:pPr>
        <w:jc w:val="both"/>
        <w:ind w:left="62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Finance Party may set off any matured obligation due from the Company under the Finance Documents (to the extent beneficially owned by that Finance Party) against any matured obligation owed by that Finance Party to the Company,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49"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29.1</w:t>
      </w:r>
      <w:r>
        <w:rPr>
          <w:sz w:val="20"/>
          <w:szCs w:val="20"/>
          <w:color w:val="auto"/>
        </w:rPr>
        <w:tab/>
      </w:r>
      <w:r>
        <w:rPr>
          <w:rFonts w:ascii="Times New Roman" w:cs="Times New Roman" w:eastAsia="Times New Roman" w:hAnsi="Times New Roman"/>
          <w:sz w:val="19"/>
          <w:szCs w:val="19"/>
          <w:b w:val="1"/>
          <w:bCs w:val="1"/>
          <w:color w:val="auto"/>
        </w:rPr>
        <w:t>Communications in writing</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Any communication to be made under or in connection with the Finance Documents shall be made in writing and, unless otherwise stated, may be made by fax or letter.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0" w:name="page91"/>
    <w:bookmarkEnd w:id="90"/>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29.2</w:t>
      </w:r>
      <w:r>
        <w:rPr>
          <w:sz w:val="20"/>
          <w:szCs w:val="20"/>
          <w:color w:val="auto"/>
        </w:rPr>
        <w:tab/>
      </w:r>
      <w:r>
        <w:rPr>
          <w:rFonts w:ascii="Times New Roman" w:cs="Times New Roman" w:eastAsia="Times New Roman" w:hAnsi="Times New Roman"/>
          <w:sz w:val="19"/>
          <w:szCs w:val="19"/>
          <w:b w:val="1"/>
          <w:bCs w:val="1"/>
          <w:color w:val="auto"/>
        </w:rPr>
        <w:t>Addresses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33" w:lineRule="exact"/>
        <w:rPr>
          <w:sz w:val="20"/>
          <w:szCs w:val="20"/>
          <w:color w:val="auto"/>
        </w:rPr>
      </w:pPr>
    </w:p>
    <w:p>
      <w:pPr>
        <w:ind w:left="1260" w:hanging="604"/>
        <w:spacing w:after="0"/>
        <w:tabs>
          <w:tab w:leader="none" w:pos="126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Company, that identified with its name below;</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Lender, that notified in writing to the Agent on or prior to the date on which it becomes a Party; and</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Agent, that identified with its name below,</w:t>
      </w:r>
    </w:p>
    <w:p>
      <w:pPr>
        <w:spacing w:after="0" w:line="189"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or any substitute address or fax number or department or officer as the Party may notify to the Agent (or the Agent may notify to the other Parties, if a change is made by the Agent) by not less than five Business Days' notice.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29.3</w:t>
      </w:r>
      <w:r>
        <w:rPr>
          <w:sz w:val="20"/>
          <w:szCs w:val="20"/>
          <w:color w:val="auto"/>
        </w:rPr>
        <w:tab/>
      </w:r>
      <w:r>
        <w:rPr>
          <w:rFonts w:ascii="Times New Roman" w:cs="Times New Roman" w:eastAsia="Times New Roman" w:hAnsi="Times New Roman"/>
          <w:sz w:val="19"/>
          <w:szCs w:val="19"/>
          <w:b w:val="1"/>
          <w:bCs w:val="1"/>
          <w:color w:val="auto"/>
        </w:rPr>
        <w:t>Delivery</w:t>
      </w:r>
    </w:p>
    <w:p>
      <w:pPr>
        <w:spacing w:after="0" w:line="193" w:lineRule="exact"/>
        <w:rPr>
          <w:sz w:val="20"/>
          <w:szCs w:val="20"/>
          <w:color w:val="auto"/>
        </w:rPr>
      </w:pPr>
    </w:p>
    <w:p>
      <w:pPr>
        <w:ind w:left="1280" w:hanging="624"/>
        <w:spacing w:after="0" w:line="269" w:lineRule="auto"/>
        <w:tabs>
          <w:tab w:leader="none" w:pos="1262"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communication or document made or delivered by one person to another under or in connection with the Finance Documents will only be effective:</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way of fax, when received in legible form; or</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way of letter, when it has been left at the relevant address or five Business Days after being deposited in the post postage prepaid in an envelope addressed to it at that address;</w:t>
      </w:r>
    </w:p>
    <w:p>
      <w:pPr>
        <w:spacing w:after="0" w:line="129" w:lineRule="exact"/>
        <w:rPr>
          <w:sz w:val="20"/>
          <w:szCs w:val="20"/>
          <w:color w:val="auto"/>
        </w:rPr>
      </w:pPr>
    </w:p>
    <w:p>
      <w:pPr>
        <w:ind w:left="1280"/>
        <w:spacing w:after="0" w:line="273" w:lineRule="auto"/>
        <w:rPr>
          <w:sz w:val="20"/>
          <w:szCs w:val="20"/>
          <w:color w:val="auto"/>
        </w:rPr>
      </w:pPr>
      <w:r>
        <w:rPr>
          <w:rFonts w:ascii="Times New Roman" w:cs="Times New Roman" w:eastAsia="Times New Roman" w:hAnsi="Times New Roman"/>
          <w:sz w:val="20"/>
          <w:szCs w:val="20"/>
          <w:color w:val="auto"/>
        </w:rPr>
        <w:t>and, if a particular department or officer is specified as part of its address details provided under Clause 29.2 (</w:t>
      </w:r>
      <w:r>
        <w:rPr>
          <w:rFonts w:ascii="Times New Roman" w:cs="Times New Roman" w:eastAsia="Times New Roman" w:hAnsi="Times New Roman"/>
          <w:sz w:val="20"/>
          <w:szCs w:val="20"/>
          <w:i w:val="1"/>
          <w:iCs w:val="1"/>
          <w:color w:val="auto"/>
        </w:rPr>
        <w:t>Addresses</w:t>
      </w:r>
      <w:r>
        <w:rPr>
          <w:rFonts w:ascii="Times New Roman" w:cs="Times New Roman" w:eastAsia="Times New Roman" w:hAnsi="Times New Roman"/>
          <w:sz w:val="20"/>
          <w:szCs w:val="20"/>
          <w:color w:val="auto"/>
        </w:rPr>
        <w:t>), if addressed to that department or officer.</w:t>
      </w:r>
    </w:p>
    <w:p>
      <w:pPr>
        <w:spacing w:after="0" w:line="129" w:lineRule="exact"/>
        <w:rPr>
          <w:sz w:val="20"/>
          <w:szCs w:val="20"/>
          <w:color w:val="auto"/>
        </w:rPr>
      </w:pPr>
    </w:p>
    <w:p>
      <w:pPr>
        <w:jc w:val="both"/>
        <w:ind w:left="1280" w:hanging="624"/>
        <w:spacing w:after="0" w:line="254" w:lineRule="auto"/>
        <w:tabs>
          <w:tab w:leader="none" w:pos="126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from or to the Company shall be sent through the Agent.</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communication or document which becomes effective, in accordance with paragraphs (a) to (c) above, after 5:00 p.m. in the place of receipt shall be deemed only to become effective on the following day.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29.4</w:t>
      </w:r>
      <w:r>
        <w:rPr>
          <w:sz w:val="20"/>
          <w:szCs w:val="20"/>
          <w:color w:val="auto"/>
        </w:rPr>
        <w:tab/>
      </w:r>
      <w:r>
        <w:rPr>
          <w:rFonts w:ascii="Times New Roman" w:cs="Times New Roman" w:eastAsia="Times New Roman" w:hAnsi="Times New Roman"/>
          <w:sz w:val="19"/>
          <w:szCs w:val="19"/>
          <w:b w:val="1"/>
          <w:bCs w:val="1"/>
          <w:color w:val="auto"/>
        </w:rPr>
        <w:t>Notification of address and fax number</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Promptly upon changing its address or fax number, the Agent shall notify the other Parties.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29.5</w:t>
      </w:r>
      <w:r>
        <w:rPr>
          <w:sz w:val="20"/>
          <w:szCs w:val="20"/>
          <w:color w:val="auto"/>
        </w:rPr>
        <w:tab/>
      </w:r>
      <w:r>
        <w:rPr>
          <w:rFonts w:ascii="Times New Roman" w:cs="Times New Roman" w:eastAsia="Times New Roman" w:hAnsi="Times New Roman"/>
          <w:sz w:val="19"/>
          <w:szCs w:val="19"/>
          <w:b w:val="1"/>
          <w:bCs w:val="1"/>
          <w:color w:val="auto"/>
        </w:rPr>
        <w:t>Electronic communication</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147" w:lineRule="exact"/>
        <w:rPr>
          <w:rFonts w:ascii="Times New Roman" w:cs="Times New Roman" w:eastAsia="Times New Roman" w:hAnsi="Times New Roman"/>
          <w:sz w:val="20"/>
          <w:szCs w:val="20"/>
          <w:color w:val="auto"/>
        </w:rPr>
      </w:pPr>
    </w:p>
    <w:p>
      <w:pPr>
        <w:ind w:left="1920" w:right="20" w:hanging="642"/>
        <w:spacing w:after="0" w:line="269" w:lineRule="auto"/>
        <w:tabs>
          <w:tab w:leader="none" w:pos="192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each other in writing of their electronic mail address and/or any other information required to enable the transmission of information by that means;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91" w:name="page92"/>
    <w:bookmarkEnd w:id="91"/>
    <w:p>
      <w:pPr>
        <w:ind w:left="1920" w:hanging="642"/>
        <w:spacing w:after="0" w:line="269" w:lineRule="auto"/>
        <w:tabs>
          <w:tab w:leader="none" w:pos="192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each other of any change to their address or any other such information supplied by them by not less than five Business Days' notice.</w:t>
      </w:r>
    </w:p>
    <w:p>
      <w:pPr>
        <w:spacing w:after="0" w:line="13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electronic communication as specified in paragraph (a) above to be made between the Company and a Finance Party may only be made in that way to the extent that those two Parties agree that, unless and until notified to the contrary, this is to be an accepted form of communication.</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electronic communication as specified in paragraph (a) above made between any two Parties will be effective only when actually received (or made available) in readable form and in the case of any electronic communication made by a Party to the Agent only if it is addressed in such a manner as the Agent shall specify for this purpose.</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4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a Finance Document to a communication being sent or received shall be construed to include that communication being made available in accordance with this Clause 29.5.</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29.6</w:t>
      </w:r>
      <w:r>
        <w:rPr>
          <w:sz w:val="20"/>
          <w:szCs w:val="20"/>
          <w:color w:val="auto"/>
        </w:rPr>
        <w:tab/>
      </w:r>
      <w:r>
        <w:rPr>
          <w:rFonts w:ascii="Times New Roman" w:cs="Times New Roman" w:eastAsia="Times New Roman" w:hAnsi="Times New Roman"/>
          <w:sz w:val="19"/>
          <w:szCs w:val="19"/>
          <w:b w:val="1"/>
          <w:bCs w:val="1"/>
          <w:color w:val="auto"/>
        </w:rPr>
        <w:t>English language</w:t>
      </w:r>
    </w:p>
    <w:p>
      <w:pPr>
        <w:spacing w:after="0" w:line="193" w:lineRule="exact"/>
        <w:rPr>
          <w:sz w:val="20"/>
          <w:szCs w:val="20"/>
          <w:color w:val="auto"/>
        </w:rPr>
      </w:pPr>
    </w:p>
    <w:p>
      <w:pPr>
        <w:ind w:left="1260" w:hanging="604"/>
        <w:spacing w:after="0"/>
        <w:tabs>
          <w:tab w:leader="none" w:pos="126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given under or in connection with any Finance Document must be in English.</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documents provided under or in connection with any Finance Document must be:</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English; or</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2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CALCULATIONS AND CERTIFICATES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20"/>
          <w:szCs w:val="20"/>
          <w:b w:val="1"/>
          <w:bCs w:val="1"/>
          <w:color w:val="auto"/>
        </w:rPr>
        <w:t>Accounts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matters to which they relate.</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b w:val="1"/>
          <w:bCs w:val="1"/>
          <w:color w:val="auto"/>
        </w:rPr>
        <w:t>Certificates and Determinations</w:t>
      </w:r>
    </w:p>
    <w:p>
      <w:pPr>
        <w:spacing w:after="0" w:line="193"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20"/>
          <w:szCs w:val="20"/>
          <w:color w:val="auto"/>
        </w:rPr>
        <w:t>Any certification or determination by a Finance Party of a rate or amount under any Finance Document is, in the absence of manifest error, conclusive evidence of the matters to which it relates.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2" w:name="page93"/>
    <w:bookmarkEnd w:id="92"/>
    <w:p>
      <w:pPr>
        <w:spacing w:after="0"/>
        <w:tabs>
          <w:tab w:leader="none" w:pos="60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b w:val="1"/>
          <w:bCs w:val="1"/>
          <w:color w:val="auto"/>
        </w:rPr>
        <w:t>Day count convention</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44" w:lineRule="exact"/>
        <w:rPr>
          <w:sz w:val="20"/>
          <w:szCs w:val="20"/>
          <w:color w:val="auto"/>
        </w:rPr>
      </w:pPr>
    </w:p>
    <w:p>
      <w:pPr>
        <w:ind w:left="620" w:hanging="612"/>
        <w:spacing w:after="0"/>
        <w:tabs>
          <w:tab w:leader="none" w:pos="620"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PARTIAL INVALIDITY</w:t>
      </w:r>
    </w:p>
    <w:p>
      <w:pPr>
        <w:spacing w:after="0" w:line="192" w:lineRule="exact"/>
        <w:rPr>
          <w:rFonts w:ascii="Times New Roman" w:cs="Times New Roman" w:eastAsia="Times New Roman" w:hAnsi="Times New Roman"/>
          <w:sz w:val="20"/>
          <w:szCs w:val="20"/>
          <w:b w:val="1"/>
          <w:bCs w:val="1"/>
          <w:color w:val="auto"/>
        </w:rPr>
      </w:pPr>
    </w:p>
    <w:p>
      <w:pPr>
        <w:jc w:val="both"/>
        <w:ind w:left="620" w:right="2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43"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 AND WAIVERS</w:t>
      </w:r>
    </w:p>
    <w:p>
      <w:pPr>
        <w:spacing w:after="0" w:line="192" w:lineRule="exact"/>
        <w:rPr>
          <w:rFonts w:ascii="Times New Roman" w:cs="Times New Roman" w:eastAsia="Times New Roman" w:hAnsi="Times New Roman"/>
          <w:sz w:val="20"/>
          <w:szCs w:val="20"/>
          <w:b w:val="1"/>
          <w:bCs w:val="1"/>
          <w:color w:val="auto"/>
        </w:rPr>
      </w:pPr>
    </w:p>
    <w:p>
      <w:pPr>
        <w:jc w:val="both"/>
        <w:ind w:left="62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49"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WAIVERS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33.1</w:t>
      </w:r>
      <w:r>
        <w:rPr>
          <w:sz w:val="20"/>
          <w:szCs w:val="20"/>
          <w:color w:val="auto"/>
        </w:rPr>
        <w:tab/>
      </w:r>
      <w:r>
        <w:rPr>
          <w:rFonts w:ascii="Times New Roman" w:cs="Times New Roman" w:eastAsia="Times New Roman" w:hAnsi="Times New Roman"/>
          <w:sz w:val="19"/>
          <w:szCs w:val="19"/>
          <w:b w:val="1"/>
          <w:bCs w:val="1"/>
          <w:color w:val="auto"/>
        </w:rPr>
        <w:t>Required consents</w:t>
      </w:r>
    </w:p>
    <w:p>
      <w:pPr>
        <w:spacing w:after="0" w:line="189" w:lineRule="exact"/>
        <w:rPr>
          <w:sz w:val="20"/>
          <w:szCs w:val="20"/>
          <w:color w:val="auto"/>
        </w:rPr>
      </w:pPr>
    </w:p>
    <w:p>
      <w:pPr>
        <w:jc w:val="both"/>
        <w:ind w:left="1280" w:hanging="624"/>
        <w:spacing w:after="0" w:line="256" w:lineRule="auto"/>
        <w:tabs>
          <w:tab w:leader="none" w:pos="1262"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33.2 (</w:t>
      </w:r>
      <w:r>
        <w:rPr>
          <w:rFonts w:ascii="Times New Roman" w:cs="Times New Roman" w:eastAsia="Times New Roman" w:hAnsi="Times New Roman"/>
          <w:sz w:val="20"/>
          <w:szCs w:val="20"/>
          <w:i w:val="1"/>
          <w:iCs w:val="1"/>
          <w:color w:val="auto"/>
        </w:rPr>
        <w:t>All Lender matters</w:t>
      </w:r>
      <w:r>
        <w:rPr>
          <w:rFonts w:ascii="Times New Roman" w:cs="Times New Roman" w:eastAsia="Times New Roman" w:hAnsi="Times New Roman"/>
          <w:sz w:val="20"/>
          <w:szCs w:val="20"/>
          <w:color w:val="auto"/>
        </w:rPr>
        <w:t>) and Clause 33.3 (</w:t>
      </w:r>
      <w:r>
        <w:rPr>
          <w:rFonts w:ascii="Times New Roman" w:cs="Times New Roman" w:eastAsia="Times New Roman" w:hAnsi="Times New Roman"/>
          <w:sz w:val="20"/>
          <w:szCs w:val="20"/>
          <w:i w:val="1"/>
          <w:iCs w:val="1"/>
          <w:color w:val="auto"/>
        </w:rPr>
        <w:t>Other exceptions</w:t>
      </w:r>
      <w:r>
        <w:rPr>
          <w:rFonts w:ascii="Times New Roman" w:cs="Times New Roman" w:eastAsia="Times New Roman" w:hAnsi="Times New Roman"/>
          <w:sz w:val="20"/>
          <w:szCs w:val="20"/>
          <w:color w:val="auto"/>
        </w:rPr>
        <w:t>) any term of the Finance Documents may be amended or waived only with the consent of the Majority Lenders and the Company and any such amendment or waiver will be binding on all Parties.</w:t>
      </w:r>
    </w:p>
    <w:p>
      <w:pPr>
        <w:spacing w:after="0" w:line="145"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effect, on behalf of any Finance Party, any amendment or waiver permitted by this Clause 33.</w:t>
      </w:r>
    </w:p>
    <w:p>
      <w:pPr>
        <w:spacing w:after="0" w:line="184"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(c) of Clause 22.10 (</w:t>
      </w:r>
      <w:r>
        <w:rPr>
          <w:rFonts w:ascii="Times New Roman" w:cs="Times New Roman" w:eastAsia="Times New Roman" w:hAnsi="Times New Roman"/>
          <w:sz w:val="20"/>
          <w:szCs w:val="20"/>
          <w:i w:val="1"/>
          <w:iCs w:val="1"/>
          <w:color w:val="auto"/>
        </w:rPr>
        <w:t>Pro rata interest settlement</w:t>
      </w:r>
      <w:r>
        <w:rPr>
          <w:rFonts w:ascii="Times New Roman" w:cs="Times New Roman" w:eastAsia="Times New Roman" w:hAnsi="Times New Roman"/>
          <w:sz w:val="20"/>
          <w:szCs w:val="20"/>
          <w:color w:val="auto"/>
        </w:rPr>
        <w:t>) shall apply to this Clause 33.</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b w:val="1"/>
          <w:bCs w:val="1"/>
          <w:color w:val="auto"/>
        </w:rPr>
        <w:t>All Lender matters</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Subject to Clause 33.4 (</w:t>
      </w:r>
      <w:r>
        <w:rPr>
          <w:rFonts w:ascii="Times New Roman" w:cs="Times New Roman" w:eastAsia="Times New Roman" w:hAnsi="Times New Roman"/>
          <w:sz w:val="20"/>
          <w:szCs w:val="20"/>
          <w:i w:val="1"/>
          <w:iCs w:val="1"/>
          <w:color w:val="auto"/>
        </w:rPr>
        <w:t>Replacement of Screen Rate</w:t>
      </w:r>
      <w:r>
        <w:rPr>
          <w:rFonts w:ascii="Times New Roman" w:cs="Times New Roman" w:eastAsia="Times New Roman" w:hAnsi="Times New Roman"/>
          <w:sz w:val="20"/>
          <w:szCs w:val="20"/>
          <w:color w:val="auto"/>
        </w:rPr>
        <w:t>) an amendment or waiver of any term of any Finance Document that has the effect of changing or which relates to:</w:t>
      </w:r>
    </w:p>
    <w:p>
      <w:pPr>
        <w:spacing w:after="0" w:line="125" w:lineRule="exact"/>
        <w:rPr>
          <w:sz w:val="20"/>
          <w:szCs w:val="20"/>
          <w:color w:val="auto"/>
        </w:rPr>
      </w:pPr>
    </w:p>
    <w:p>
      <w:pPr>
        <w:ind w:left="1260" w:hanging="604"/>
        <w:spacing w:after="0"/>
        <w:tabs>
          <w:tab w:leader="none" w:pos="126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Majority Lenders</w:t>
      </w:r>
      <w:r>
        <w:rPr>
          <w:rFonts w:ascii="Times New Roman" w:cs="Times New Roman" w:eastAsia="Times New Roman" w:hAnsi="Times New Roman"/>
          <w:sz w:val="20"/>
          <w:szCs w:val="20"/>
          <w:color w:val="auto"/>
        </w:rPr>
        <w:t>” in Clause 1.1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extension to the date of payment of any amount under the Finance Documents;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Margin or a reduction in the amount of any payment of principal, interest, fees or commission payable;</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currency of payment of any amount under the Finance Documents;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93" w:name="page94"/>
    <w:bookmarkEnd w:id="93"/>
    <w:p>
      <w:pPr>
        <w:ind w:left="1280" w:hanging="624"/>
        <w:spacing w:after="0" w:line="269" w:lineRule="auto"/>
        <w:tabs>
          <w:tab w:leader="none" w:pos="1262"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in Commitment, an extension of the Availability Period or any requirement that a cancellation of Commitments reduces the Commitments of the Lenders rateably under the Facility;</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to the Company;</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which expressly requires the consent of all the Lenders; or</w:t>
      </w:r>
    </w:p>
    <w:p>
      <w:pPr>
        <w:spacing w:after="0" w:line="184" w:lineRule="exact"/>
        <w:rPr>
          <w:rFonts w:ascii="Times New Roman" w:cs="Times New Roman" w:eastAsia="Times New Roman" w:hAnsi="Times New Roman"/>
          <w:sz w:val="20"/>
          <w:szCs w:val="20"/>
          <w:color w:val="auto"/>
        </w:rPr>
      </w:pPr>
    </w:p>
    <w:p>
      <w:pPr>
        <w:jc w:val="both"/>
        <w:ind w:left="1280" w:hanging="624"/>
        <w:spacing w:after="0" w:line="250" w:lineRule="auto"/>
        <w:tabs>
          <w:tab w:leader="none" w:pos="1262"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2.2 (</w:t>
      </w:r>
      <w:r>
        <w:rPr>
          <w:rFonts w:ascii="Times New Roman" w:cs="Times New Roman" w:eastAsia="Times New Roman" w:hAnsi="Times New Roman"/>
          <w:sz w:val="20"/>
          <w:szCs w:val="20"/>
          <w:i w:val="1"/>
          <w:iCs w:val="1"/>
          <w:color w:val="auto"/>
        </w:rPr>
        <w:t>Finance Parties' rights and obligations</w:t>
      </w:r>
      <w:r>
        <w:rPr>
          <w:rFonts w:ascii="Times New Roman" w:cs="Times New Roman" w:eastAsia="Times New Roman" w:hAnsi="Times New Roman"/>
          <w:sz w:val="20"/>
          <w:szCs w:val="20"/>
          <w:color w:val="auto"/>
        </w:rPr>
        <w:t>), Clause 5.1 (</w:t>
      </w:r>
      <w:r>
        <w:rPr>
          <w:rFonts w:ascii="Times New Roman" w:cs="Times New Roman" w:eastAsia="Times New Roman" w:hAnsi="Times New Roman"/>
          <w:sz w:val="20"/>
          <w:szCs w:val="20"/>
          <w:i w:val="1"/>
          <w:iCs w:val="1"/>
          <w:color w:val="auto"/>
        </w:rPr>
        <w:t>Delivery of a Utilisation Request</w:t>
      </w:r>
      <w:r>
        <w:rPr>
          <w:rFonts w:ascii="Times New Roman" w:cs="Times New Roman" w:eastAsia="Times New Roman" w:hAnsi="Times New Roman"/>
          <w:sz w:val="20"/>
          <w:szCs w:val="20"/>
          <w:color w:val="auto"/>
        </w:rPr>
        <w:t>), Clause 7.1 (</w:t>
      </w:r>
      <w:r>
        <w:rPr>
          <w:rFonts w:ascii="Times New Roman" w:cs="Times New Roman" w:eastAsia="Times New Roman" w:hAnsi="Times New Roman"/>
          <w:sz w:val="20"/>
          <w:szCs w:val="20"/>
          <w:i w:val="1"/>
          <w:iCs w:val="1"/>
          <w:color w:val="auto"/>
        </w:rPr>
        <w:t>Illegality</w:t>
      </w:r>
      <w:r>
        <w:rPr>
          <w:rFonts w:ascii="Times New Roman" w:cs="Times New Roman" w:eastAsia="Times New Roman" w:hAnsi="Times New Roman"/>
          <w:sz w:val="20"/>
          <w:szCs w:val="20"/>
          <w:color w:val="auto"/>
        </w:rPr>
        <w:t>), Clause 7.2 (</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Clause 7.7 (</w:t>
      </w:r>
      <w:r>
        <w:rPr>
          <w:rFonts w:ascii="Times New Roman" w:cs="Times New Roman" w:eastAsia="Times New Roman" w:hAnsi="Times New Roman"/>
          <w:sz w:val="20"/>
          <w:szCs w:val="20"/>
          <w:i w:val="1"/>
          <w:iCs w:val="1"/>
          <w:color w:val="auto"/>
        </w:rPr>
        <w:t>Application of prepayments</w:t>
      </w:r>
      <w:r>
        <w:rPr>
          <w:rFonts w:ascii="Times New Roman" w:cs="Times New Roman" w:eastAsia="Times New Roman" w:hAnsi="Times New Roman"/>
          <w:sz w:val="20"/>
          <w:szCs w:val="20"/>
          <w:color w:val="auto"/>
        </w:rPr>
        <w:t>), Clause 22 (</w:t>
      </w:r>
      <w:r>
        <w:rPr>
          <w:rFonts w:ascii="Times New Roman" w:cs="Times New Roman" w:eastAsia="Times New Roman" w:hAnsi="Times New Roman"/>
          <w:sz w:val="20"/>
          <w:szCs w:val="20"/>
          <w:i w:val="1"/>
          <w:iCs w:val="1"/>
          <w:color w:val="auto"/>
        </w:rPr>
        <w:t>Changes to the Lenders</w:t>
      </w:r>
      <w:r>
        <w:rPr>
          <w:rFonts w:ascii="Times New Roman" w:cs="Times New Roman" w:eastAsia="Times New Roman" w:hAnsi="Times New Roman"/>
          <w:sz w:val="20"/>
          <w:szCs w:val="20"/>
          <w:color w:val="auto"/>
        </w:rPr>
        <w:t>), Clause 23 (</w:t>
      </w:r>
      <w:r>
        <w:rPr>
          <w:rFonts w:ascii="Times New Roman" w:cs="Times New Roman" w:eastAsia="Times New Roman" w:hAnsi="Times New Roman"/>
          <w:sz w:val="20"/>
          <w:szCs w:val="20"/>
          <w:i w:val="1"/>
          <w:iCs w:val="1"/>
          <w:color w:val="auto"/>
        </w:rPr>
        <w:t>Changes to the Company</w:t>
      </w:r>
      <w:r>
        <w:rPr>
          <w:rFonts w:ascii="Times New Roman" w:cs="Times New Roman" w:eastAsia="Times New Roman" w:hAnsi="Times New Roman"/>
          <w:sz w:val="20"/>
          <w:szCs w:val="20"/>
          <w:color w:val="auto"/>
        </w:rPr>
        <w:t>), Clause 26 (</w:t>
      </w:r>
      <w:r>
        <w:rPr>
          <w:rFonts w:ascii="Times New Roman" w:cs="Times New Roman" w:eastAsia="Times New Roman" w:hAnsi="Times New Roman"/>
          <w:sz w:val="20"/>
          <w:szCs w:val="20"/>
          <w:i w:val="1"/>
          <w:iCs w:val="1"/>
          <w:color w:val="auto"/>
        </w:rPr>
        <w:t>Sharing among the Finance Parties</w:t>
      </w:r>
      <w:r>
        <w:rPr>
          <w:rFonts w:ascii="Times New Roman" w:cs="Times New Roman" w:eastAsia="Times New Roman" w:hAnsi="Times New Roman"/>
          <w:sz w:val="20"/>
          <w:szCs w:val="20"/>
          <w:color w:val="auto"/>
        </w:rPr>
        <w:t>), this Clause 33, Clause 38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or Clause 39 (</w:t>
      </w:r>
      <w:r>
        <w:rPr>
          <w:rFonts w:ascii="Times New Roman" w:cs="Times New Roman" w:eastAsia="Times New Roman" w:hAnsi="Times New Roman"/>
          <w:sz w:val="20"/>
          <w:szCs w:val="20"/>
          <w:i w:val="1"/>
          <w:iCs w:val="1"/>
          <w:color w:val="auto"/>
        </w:rPr>
        <w:t>Enforcement</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shall not be made without the prior consent of all the Lenders.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b w:val="1"/>
          <w:bCs w:val="1"/>
          <w:color w:val="auto"/>
        </w:rPr>
        <w:t>Other exceptions</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An amendment or waiver which relates to the rights or obligations of the Agent, the Arranger or the Documentation Agent and Co-ordinator (each in their capacity as such) may not be effected without the consent of the Agent, the Arranger or the Documentation Agent and Co-ordinator, as the case may be.</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33.4</w:t>
      </w:r>
      <w:r>
        <w:rPr>
          <w:sz w:val="20"/>
          <w:szCs w:val="20"/>
          <w:color w:val="auto"/>
        </w:rPr>
        <w:tab/>
      </w:r>
      <w:r>
        <w:rPr>
          <w:rFonts w:ascii="Times New Roman" w:cs="Times New Roman" w:eastAsia="Times New Roman" w:hAnsi="Times New Roman"/>
          <w:sz w:val="19"/>
          <w:szCs w:val="19"/>
          <w:b w:val="1"/>
          <w:bCs w:val="1"/>
          <w:color w:val="auto"/>
        </w:rPr>
        <w:t>Replacement of Screen Rate</w:t>
      </w:r>
    </w:p>
    <w:p>
      <w:pPr>
        <w:spacing w:after="0" w:line="189" w:lineRule="exact"/>
        <w:rPr>
          <w:sz w:val="20"/>
          <w:szCs w:val="20"/>
          <w:color w:val="auto"/>
        </w:rPr>
      </w:pPr>
    </w:p>
    <w:p>
      <w:pPr>
        <w:ind w:left="1260" w:hanging="604"/>
        <w:spacing w:after="0"/>
        <w:tabs>
          <w:tab w:leader="none" w:pos="126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33.3 (</w:t>
      </w:r>
      <w:r>
        <w:rPr>
          <w:rFonts w:ascii="Times New Roman" w:cs="Times New Roman" w:eastAsia="Times New Roman" w:hAnsi="Times New Roman"/>
          <w:sz w:val="20"/>
          <w:szCs w:val="20"/>
          <w:i w:val="1"/>
          <w:iCs w:val="1"/>
          <w:color w:val="auto"/>
        </w:rPr>
        <w:t>Other exceptions</w:t>
      </w:r>
      <w:r>
        <w:rPr>
          <w:rFonts w:ascii="Times New Roman" w:cs="Times New Roman" w:eastAsia="Times New Roman" w:hAnsi="Times New Roman"/>
          <w:sz w:val="20"/>
          <w:szCs w:val="20"/>
          <w:color w:val="auto"/>
        </w:rPr>
        <w:t>), any amendment or waiver which relates to:</w:t>
      </w:r>
    </w:p>
    <w:p>
      <w:pPr>
        <w:spacing w:after="0" w:line="19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the use of a Replacement Benchmark; and</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i w:val="1"/>
          <w:iCs w:val="1"/>
          <w:color w:val="auto"/>
        </w:rPr>
        <w:t>(ii)</w:t>
      </w:r>
    </w:p>
    <w:p>
      <w:pPr>
        <w:spacing w:after="0" w:line="193" w:lineRule="exact"/>
        <w:rPr>
          <w:sz w:val="20"/>
          <w:szCs w:val="20"/>
          <w:color w:val="auto"/>
        </w:rPr>
      </w:pPr>
    </w:p>
    <w:p>
      <w:pPr>
        <w:ind w:left="2540" w:hanging="614"/>
        <w:spacing w:after="0"/>
        <w:tabs>
          <w:tab w:leader="none" w:pos="254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aligning any provision of any Finance Document to the use of that Replacement Benchmark;</w:t>
      </w:r>
    </w:p>
    <w:p>
      <w:pPr>
        <w:spacing w:after="0" w:line="188" w:lineRule="exact"/>
        <w:rPr>
          <w:rFonts w:ascii="Times New Roman" w:cs="Times New Roman" w:eastAsia="Times New Roman" w:hAnsi="Times New Roman"/>
          <w:sz w:val="20"/>
          <w:szCs w:val="20"/>
          <w:color w:val="auto"/>
        </w:rPr>
      </w:pPr>
    </w:p>
    <w:p>
      <w:pPr>
        <w:jc w:val="both"/>
        <w:ind w:left="2560" w:hanging="634"/>
        <w:spacing w:after="0" w:line="254" w:lineRule="auto"/>
        <w:tabs>
          <w:tab w:leader="none" w:pos="254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47"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market conventions applicable to that Replacement Benchmark;</w:t>
      </w:r>
    </w:p>
    <w:p>
      <w:pPr>
        <w:spacing w:after="0" w:line="188" w:lineRule="exact"/>
        <w:rPr>
          <w:rFonts w:ascii="Times New Roman" w:cs="Times New Roman" w:eastAsia="Times New Roman" w:hAnsi="Times New Roman"/>
          <w:sz w:val="20"/>
          <w:szCs w:val="20"/>
          <w:color w:val="auto"/>
        </w:rPr>
      </w:pPr>
    </w:p>
    <w:p>
      <w:pPr>
        <w:ind w:left="2540" w:hanging="614"/>
        <w:spacing w:after="0"/>
        <w:tabs>
          <w:tab w:leader="none" w:pos="2540"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appropriate fallback (and market disruption) provisions for that Replacement Benchmark; or</w:t>
      </w:r>
    </w:p>
    <w:p>
      <w:pPr>
        <w:spacing w:after="0" w:line="188" w:lineRule="exact"/>
        <w:rPr>
          <w:rFonts w:ascii="Times New Roman" w:cs="Times New Roman" w:eastAsia="Times New Roman" w:hAnsi="Times New Roman"/>
          <w:sz w:val="20"/>
          <w:szCs w:val="20"/>
          <w:color w:val="auto"/>
        </w:rPr>
      </w:pPr>
    </w:p>
    <w:p>
      <w:pPr>
        <w:jc w:val="both"/>
        <w:ind w:left="2560" w:hanging="634"/>
        <w:spacing w:after="0" w:line="247" w:lineRule="auto"/>
        <w:tabs>
          <w:tab w:leader="none" w:pos="254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may be made with the consent of the Agent (acting on the instructions of the Majority Lenders) and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4" w:name="page95"/>
    <w:bookmarkEnd w:id="94"/>
    <w:p>
      <w:pPr>
        <w:jc w:val="both"/>
        <w:ind w:left="1280" w:hanging="624"/>
        <w:spacing w:after="0" w:line="254" w:lineRule="auto"/>
        <w:tabs>
          <w:tab w:leader="none" w:pos="1262"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fails to respond to a request for an amendment or waiver described in paragraph (a) above within ten Business Days (or such longer time period in relation to any request which the Company and the Agent may agree) of that request being made:</w:t>
      </w:r>
    </w:p>
    <w:p>
      <w:pPr>
        <w:spacing w:after="0" w:line="148" w:lineRule="exact"/>
        <w:rPr>
          <w:sz w:val="20"/>
          <w:szCs w:val="20"/>
          <w:color w:val="auto"/>
        </w:rPr>
      </w:pPr>
    </w:p>
    <w:p>
      <w:pPr>
        <w:ind w:left="1920" w:hanging="642"/>
        <w:spacing w:after="0" w:line="269" w:lineRule="auto"/>
        <w:tabs>
          <w:tab w:leader="none" w:pos="192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Commitment shall not be included for the purpose of calculating the Total Commitments under the Facility when ascertaining whether any relevant percentage of Total Commitments has been obtained to approve that request; and</w:t>
      </w:r>
    </w:p>
    <w:p>
      <w:pPr>
        <w:spacing w:after="0" w:line="133" w:lineRule="exact"/>
        <w:rPr>
          <w:sz w:val="20"/>
          <w:szCs w:val="20"/>
          <w:color w:val="auto"/>
        </w:rPr>
      </w:pPr>
    </w:p>
    <w:p>
      <w:pPr>
        <w:ind w:left="1920" w:hanging="642"/>
        <w:spacing w:after="0" w:line="269" w:lineRule="auto"/>
        <w:tabs>
          <w:tab w:leader="none" w:pos="192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status as a Lender shall be disregarded for the purpose of ascertaining whether the agreement of any specified group of Lenders has been obtained to approve that request.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33.5</w:t>
      </w:r>
      <w:r>
        <w:rPr>
          <w:sz w:val="20"/>
          <w:szCs w:val="20"/>
          <w:color w:val="auto"/>
        </w:rPr>
        <w:tab/>
      </w:r>
      <w:r>
        <w:rPr>
          <w:rFonts w:ascii="Times New Roman" w:cs="Times New Roman" w:eastAsia="Times New Roman" w:hAnsi="Times New Roman"/>
          <w:sz w:val="19"/>
          <w:szCs w:val="19"/>
          <w:b w:val="1"/>
          <w:bCs w:val="1"/>
          <w:color w:val="auto"/>
        </w:rPr>
        <w:t>Excluded Commitments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w:t>
      </w:r>
    </w:p>
    <w:p>
      <w:pPr>
        <w:spacing w:after="0" w:line="189" w:lineRule="exact"/>
        <w:rPr>
          <w:sz w:val="20"/>
          <w:szCs w:val="20"/>
          <w:color w:val="auto"/>
        </w:rPr>
      </w:pPr>
    </w:p>
    <w:p>
      <w:pPr>
        <w:jc w:val="both"/>
        <w:ind w:left="1300" w:hanging="644"/>
        <w:spacing w:after="0" w:line="254" w:lineRule="auto"/>
        <w:tabs>
          <w:tab w:leader="none" w:pos="1282"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Defaulting Lender fails to respond to a request for a consent, waiver, amendment of or in relation to any term of any Finance Document or any other vote of Lenders under the terms of this Agreement within 10 Business Days of that request being made; or</w:t>
      </w:r>
    </w:p>
    <w:p>
      <w:pPr>
        <w:spacing w:after="0" w:line="147" w:lineRule="exact"/>
        <w:rPr>
          <w:rFonts w:ascii="Times New Roman" w:cs="Times New Roman" w:eastAsia="Times New Roman" w:hAnsi="Times New Roman"/>
          <w:sz w:val="20"/>
          <w:szCs w:val="20"/>
          <w:color w:val="auto"/>
        </w:rPr>
      </w:pPr>
    </w:p>
    <w:p>
      <w:pPr>
        <w:ind w:left="1300" w:hanging="644"/>
        <w:spacing w:after="0" w:line="269" w:lineRule="auto"/>
        <w:tabs>
          <w:tab w:leader="none" w:pos="1282"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which is not a Defaulting Lender fails to respond to such a request (other than an amendment, waiver or consent referred to in Clauses 33.2(b), 33.2(c) or 33.2(e)) or such a vote within 10 Business Days of that request being made,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in either case, the Company and the Agent agree to a longer time period in relation to any request):</w:t>
      </w:r>
    </w:p>
    <w:p>
      <w:pPr>
        <w:spacing w:after="0" w:line="189" w:lineRule="exact"/>
        <w:rPr>
          <w:sz w:val="20"/>
          <w:szCs w:val="20"/>
          <w:color w:val="auto"/>
        </w:rPr>
      </w:pPr>
    </w:p>
    <w:p>
      <w:pPr>
        <w:jc w:val="both"/>
        <w:ind w:left="1920" w:hanging="642"/>
        <w:spacing w:after="0" w:line="254" w:lineRule="auto"/>
        <w:tabs>
          <w:tab w:leader="none" w:pos="192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Commitment(s) shall not be included for the purpose of calculating the Total Commitments when ascertaining whether any relevant percentage (including, for the avoidance of doubt, unanimity) of Total Commitments has been obtained to approve that request; and</w:t>
      </w:r>
    </w:p>
    <w:p>
      <w:pPr>
        <w:spacing w:after="0" w:line="147"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status as a Lender shall be disregarded for the purpose of ascertaining whether the agreement of any specified group of Lenders has been obtained to approve that request.</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19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0"/>
          <w:szCs w:val="20"/>
          <w:color w:val="auto"/>
        </w:rPr>
        <w:t>Each Finance Party agrees to keep all Confidential Information confidential and not to disclose it to anyone, save to the extent permitted by Clause 34.2 (</w:t>
      </w:r>
      <w:r>
        <w:rPr>
          <w:rFonts w:ascii="Times New Roman" w:cs="Times New Roman" w:eastAsia="Times New Roman" w:hAnsi="Times New Roman"/>
          <w:sz w:val="20"/>
          <w:szCs w:val="20"/>
          <w:i w:val="1"/>
          <w:iCs w:val="1"/>
          <w:color w:val="auto"/>
        </w:rPr>
        <w:t>Disclosure of Confidential Information</w:t>
      </w:r>
      <w:r>
        <w:rPr>
          <w:rFonts w:ascii="Times New Roman" w:cs="Times New Roman" w:eastAsia="Times New Roman" w:hAnsi="Times New Roman"/>
          <w:sz w:val="20"/>
          <w:szCs w:val="20"/>
          <w:color w:val="auto"/>
        </w:rPr>
        <w:t>), Clause 34.3 (</w:t>
      </w:r>
      <w:r>
        <w:rPr>
          <w:rFonts w:ascii="Times New Roman" w:cs="Times New Roman" w:eastAsia="Times New Roman" w:hAnsi="Times New Roman"/>
          <w:sz w:val="20"/>
          <w:szCs w:val="20"/>
          <w:i w:val="1"/>
          <w:iCs w:val="1"/>
          <w:color w:val="auto"/>
        </w:rPr>
        <w:t>Disclosure to financial information agencies</w:t>
      </w:r>
      <w:r>
        <w:rPr>
          <w:rFonts w:ascii="Times New Roman" w:cs="Times New Roman" w:eastAsia="Times New Roman" w:hAnsi="Times New Roman"/>
          <w:sz w:val="20"/>
          <w:szCs w:val="20"/>
          <w:color w:val="auto"/>
        </w:rPr>
        <w:t>) and Clause 34.4 (</w:t>
      </w:r>
      <w:r>
        <w:rPr>
          <w:rFonts w:ascii="Times New Roman" w:cs="Times New Roman" w:eastAsia="Times New Roman" w:hAnsi="Times New Roman"/>
          <w:sz w:val="20"/>
          <w:szCs w:val="20"/>
          <w:i w:val="1"/>
          <w:iCs w:val="1"/>
          <w:color w:val="auto"/>
        </w:rPr>
        <w:t>Disclosure to numbering service providers</w:t>
      </w:r>
      <w:r>
        <w:rPr>
          <w:rFonts w:ascii="Times New Roman" w:cs="Times New Roman" w:eastAsia="Times New Roman" w:hAnsi="Times New Roman"/>
          <w:sz w:val="20"/>
          <w:szCs w:val="20"/>
          <w:color w:val="auto"/>
        </w:rPr>
        <w:t>) and to ensure that all Confidential Information is protected with security measures and a degree of care that would apply to its own confidential information.</w:t>
      </w:r>
    </w:p>
    <w:p>
      <w:pPr>
        <w:spacing w:after="0" w:line="149" w:lineRule="exact"/>
        <w:rPr>
          <w:sz w:val="20"/>
          <w:szCs w:val="20"/>
          <w:color w:val="auto"/>
        </w:rPr>
      </w:pPr>
    </w:p>
    <w:p>
      <w:pPr>
        <w:jc w:val="center"/>
        <w:ind w:right="7520"/>
        <w:spacing w:after="0"/>
        <w:tabs>
          <w:tab w:leader="none" w:pos="240" w:val="left"/>
        </w:tabs>
        <w:rPr>
          <w:sz w:val="20"/>
          <w:szCs w:val="20"/>
          <w:color w:val="auto"/>
        </w:rPr>
      </w:pPr>
      <w:r>
        <w:rPr>
          <w:rFonts w:ascii="Times New Roman" w:cs="Times New Roman" w:eastAsia="Times New Roman" w:hAnsi="Times New Roman"/>
          <w:sz w:val="20"/>
          <w:szCs w:val="20"/>
          <w:color w:val="auto"/>
        </w:rPr>
        <w:t>34.2</w:t>
      </w:r>
      <w:r>
        <w:rPr>
          <w:sz w:val="20"/>
          <w:szCs w:val="20"/>
          <w:color w:val="auto"/>
        </w:rPr>
        <w:tab/>
      </w:r>
      <w:r>
        <w:rPr>
          <w:rFonts w:ascii="Times New Roman" w:cs="Times New Roman" w:eastAsia="Times New Roman" w:hAnsi="Times New Roman"/>
          <w:sz w:val="19"/>
          <w:szCs w:val="19"/>
          <w:b w:val="1"/>
          <w:bCs w:val="1"/>
          <w:color w:val="auto"/>
        </w:rPr>
        <w:t>Disclosure of Confidential Information</w:t>
      </w:r>
    </w:p>
    <w:p>
      <w:pPr>
        <w:spacing w:after="0" w:line="193" w:lineRule="exact"/>
        <w:rPr>
          <w:sz w:val="20"/>
          <w:szCs w:val="20"/>
          <w:color w:val="auto"/>
        </w:rPr>
      </w:pPr>
    </w:p>
    <w:p>
      <w:pPr>
        <w:jc w:val="center"/>
        <w:ind w:right="7560"/>
        <w:spacing w:after="0"/>
        <w:rPr>
          <w:sz w:val="20"/>
          <w:szCs w:val="20"/>
          <w:color w:val="auto"/>
        </w:rPr>
      </w:pPr>
      <w:r>
        <w:rPr>
          <w:rFonts w:ascii="Times New Roman" w:cs="Times New Roman" w:eastAsia="Times New Roman" w:hAnsi="Times New Roman"/>
          <w:sz w:val="20"/>
          <w:szCs w:val="20"/>
          <w:color w:val="auto"/>
        </w:rPr>
        <w:t>Any Finance Party may disclose:</w:t>
      </w:r>
    </w:p>
    <w:p>
      <w:pPr>
        <w:spacing w:after="0" w:line="189" w:lineRule="exact"/>
        <w:rPr>
          <w:sz w:val="20"/>
          <w:szCs w:val="20"/>
          <w:color w:val="auto"/>
        </w:rPr>
      </w:pPr>
    </w:p>
    <w:p>
      <w:pPr>
        <w:jc w:val="both"/>
        <w:ind w:left="1280" w:hanging="624"/>
        <w:spacing w:after="0" w:line="254" w:lineRule="auto"/>
        <w:tabs>
          <w:tab w:leader="none" w:pos="1262"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of its Affiliates and Related Funds and any of its or their officers, directors, employees, professional advisers, insurers, auditors, partners and Representatives such Confidential Information as that Finance Party shall consider appropriate if any person to whom the Confidential Information is to be given pursuant to this paragraph (a) is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5" w:name="page96"/>
    <w:bookmarkEnd w:id="95"/>
    <w:p>
      <w:pPr>
        <w:jc w:val="both"/>
        <w:ind w:left="1280"/>
        <w:spacing w:after="0" w:line="277" w:lineRule="auto"/>
        <w:rPr>
          <w:sz w:val="20"/>
          <w:szCs w:val="20"/>
          <w:color w:val="auto"/>
        </w:rPr>
      </w:pPr>
      <w:r>
        <w:rPr>
          <w:rFonts w:ascii="Times New Roman" w:cs="Times New Roman" w:eastAsia="Times New Roman" w:hAnsi="Times New Roman"/>
          <w:sz w:val="20"/>
          <w:szCs w:val="20"/>
          <w:color w:val="auto"/>
        </w:rPr>
        <w:t>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40" w:lineRule="exact"/>
        <w:rPr>
          <w:sz w:val="20"/>
          <w:szCs w:val="20"/>
          <w:color w:val="auto"/>
        </w:rPr>
      </w:pPr>
    </w:p>
    <w:p>
      <w:pPr>
        <w:ind w:left="1260" w:hanging="604"/>
        <w:spacing w:after="0"/>
        <w:tabs>
          <w:tab w:leader="none" w:pos="126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person:</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47"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Company and to any of that person's Affiliates, Related Funds, Representatives and professional advisers;</w:t>
      </w:r>
    </w:p>
    <w:p>
      <w:pPr>
        <w:spacing w:after="0" w:line="153"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24.14 (</w:t>
      </w:r>
      <w:r>
        <w:rPr>
          <w:rFonts w:ascii="Times New Roman" w:cs="Times New Roman" w:eastAsia="Times New Roman" w:hAnsi="Times New Roman"/>
          <w:sz w:val="20"/>
          <w:szCs w:val="20"/>
          <w:i w:val="1"/>
          <w:iCs w:val="1"/>
          <w:color w:val="auto"/>
        </w:rPr>
        <w:t>Relationship with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Lenders</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invests in or otherwise finances (or may potentially invest in or otherwise finance), directly or indirectly, any transaction referred to in paragraph (b)(i) or (b)(ii) above;</w:t>
      </w:r>
    </w:p>
    <w:p>
      <w:pPr>
        <w:spacing w:after="0" w:line="132"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47"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whom information is required to be disclosed in connection with, and for the purposes of, any litigation, arbitration, administrative or other investigations, proceedings or disputes;</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whom or for whose benefit that Finance Party charges, assigns or otherwise creates Security (or may do so) pursuant to Clause 22.9 (</w:t>
      </w:r>
      <w:r>
        <w:rPr>
          <w:rFonts w:ascii="Times New Roman" w:cs="Times New Roman" w:eastAsia="Times New Roman" w:hAnsi="Times New Roman"/>
          <w:sz w:val="20"/>
          <w:szCs w:val="20"/>
          <w:i w:val="1"/>
          <w:iCs w:val="1"/>
          <w:color w:val="auto"/>
        </w:rPr>
        <w:t>Security over Lenders' rights</w:t>
      </w:r>
      <w:r>
        <w:rPr>
          <w:rFonts w:ascii="Times New Roman" w:cs="Times New Roman" w:eastAsia="Times New Roman" w:hAnsi="Times New Roman"/>
          <w:sz w:val="20"/>
          <w:szCs w:val="20"/>
          <w:color w:val="auto"/>
        </w:rPr>
        <w:t>);</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is a Party; or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89" w:right="239" w:bottom="1440" w:gutter="0" w:footer="0" w:header="0"/>
        </w:sectPr>
      </w:pPr>
    </w:p>
    <w:bookmarkStart w:id="96" w:name="page97"/>
    <w:bookmarkEnd w:id="96"/>
    <w:p>
      <w:pPr>
        <w:ind w:left="1280"/>
        <w:spacing w:after="0"/>
        <w:rPr>
          <w:sz w:val="20"/>
          <w:szCs w:val="20"/>
          <w:color w:val="auto"/>
        </w:rPr>
      </w:pPr>
      <w:r>
        <w:rPr>
          <w:rFonts w:ascii="Times New Roman" w:cs="Times New Roman" w:eastAsia="Times New Roman" w:hAnsi="Times New Roman"/>
          <w:sz w:val="20"/>
          <w:szCs w:val="20"/>
          <w:color w:val="auto"/>
        </w:rPr>
        <w:t>in each case, such Confidential Information as that Finance Party shall consider appropriate if:</w:t>
      </w:r>
    </w:p>
    <w:p>
      <w:pPr>
        <w:spacing w:after="0" w:line="189" w:lineRule="exact"/>
        <w:rPr>
          <w:sz w:val="20"/>
          <w:szCs w:val="20"/>
          <w:color w:val="auto"/>
        </w:rPr>
      </w:pPr>
    </w:p>
    <w:p>
      <w:pPr>
        <w:jc w:val="both"/>
        <w:ind w:left="2560" w:hanging="634"/>
        <w:spacing w:after="0" w:line="249" w:lineRule="auto"/>
        <w:tabs>
          <w:tab w:leader="none" w:pos="2542"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53" w:lineRule="exact"/>
        <w:rPr>
          <w:rFonts w:ascii="Times New Roman" w:cs="Times New Roman" w:eastAsia="Times New Roman" w:hAnsi="Times New Roman"/>
          <w:sz w:val="20"/>
          <w:szCs w:val="20"/>
          <w:color w:val="auto"/>
        </w:rPr>
      </w:pPr>
    </w:p>
    <w:p>
      <w:pPr>
        <w:jc w:val="both"/>
        <w:ind w:left="2560" w:hanging="634"/>
        <w:spacing w:after="0" w:line="249" w:lineRule="auto"/>
        <w:tabs>
          <w:tab w:leader="none" w:pos="2542"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53" w:lineRule="exact"/>
        <w:rPr>
          <w:rFonts w:ascii="Times New Roman" w:cs="Times New Roman" w:eastAsia="Times New Roman" w:hAnsi="Times New Roman"/>
          <w:sz w:val="20"/>
          <w:szCs w:val="20"/>
          <w:color w:val="auto"/>
        </w:rPr>
      </w:pPr>
    </w:p>
    <w:p>
      <w:pPr>
        <w:jc w:val="both"/>
        <w:ind w:left="2560" w:hanging="634"/>
        <w:spacing w:after="0" w:line="249" w:lineRule="auto"/>
        <w:tabs>
          <w:tab w:leader="none" w:pos="2542"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relation to paragraphs (b)(v), (b)(vi) </w:t>
      </w:r>
      <w:r>
        <w:rPr>
          <w:rFonts w:ascii="Times New Roman" w:cs="Times New Roman" w:eastAsia="Times New Roman" w:hAnsi="Times New Roman"/>
          <w:sz w:val="20"/>
          <w:szCs w:val="20"/>
          <w:u w:val="single" w:color="auto"/>
          <w:color w:val="auto"/>
        </w:rPr>
        <w:t>and (b)(vii)</w:t>
      </w:r>
      <w:r>
        <w:rPr>
          <w:rFonts w:ascii="Times New Roman" w:cs="Times New Roman" w:eastAsia="Times New Roman" w:hAnsi="Times New Roman"/>
          <w:sz w:val="20"/>
          <w:szCs w:val="20"/>
          <w:color w:val="auto"/>
        </w:rPr>
        <w:t xml:space="preserve">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44" w:lineRule="auto"/>
        <w:tabs>
          <w:tab w:leader="none" w:pos="1262"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Company and the relevant Finance Party; and</w:t>
      </w:r>
    </w:p>
    <w:p>
      <w:pPr>
        <w:spacing w:after="0" w:line="159" w:lineRule="exact"/>
        <w:rPr>
          <w:rFonts w:ascii="Times New Roman" w:cs="Times New Roman" w:eastAsia="Times New Roman" w:hAnsi="Times New Roman"/>
          <w:sz w:val="20"/>
          <w:szCs w:val="20"/>
          <w:color w:val="auto"/>
        </w:rPr>
      </w:pPr>
    </w:p>
    <w:p>
      <w:pPr>
        <w:jc w:val="both"/>
        <w:ind w:left="1280" w:hanging="624"/>
        <w:spacing w:after="0" w:line="249" w:lineRule="auto"/>
        <w:tabs>
          <w:tab w:leader="none" w:pos="1262"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rating agency (including its professional advisers) such Confidential Information as may be required to be disclosed to enable such rating agency to carry out its normal rating activities in relation to the Finance Documents and/or the Company if the person to whom the Confidential Information is to be given is informed of its confidential nature and that some or all of such Confidential Information may be price-sensitive information.</w:t>
      </w:r>
    </w:p>
    <w:p>
      <w:pPr>
        <w:spacing w:after="0" w:line="14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34.3</w:t>
      </w:r>
      <w:r>
        <w:rPr>
          <w:sz w:val="20"/>
          <w:szCs w:val="20"/>
          <w:color w:val="auto"/>
        </w:rPr>
        <w:tab/>
      </w:r>
      <w:r>
        <w:rPr>
          <w:rFonts w:ascii="Times New Roman" w:cs="Times New Roman" w:eastAsia="Times New Roman" w:hAnsi="Times New Roman"/>
          <w:sz w:val="19"/>
          <w:szCs w:val="19"/>
          <w:b w:val="1"/>
          <w:bCs w:val="1"/>
          <w:color w:val="auto"/>
        </w:rPr>
        <w:t>Disclosure to financial information agencies</w:t>
      </w:r>
    </w:p>
    <w:p>
      <w:pPr>
        <w:spacing w:after="0" w:line="193" w:lineRule="exact"/>
        <w:rPr>
          <w:sz w:val="20"/>
          <w:szCs w:val="20"/>
          <w:color w:val="auto"/>
        </w:rPr>
      </w:pPr>
    </w:p>
    <w:p>
      <w:pPr>
        <w:jc w:val="both"/>
        <w:ind w:left="1280" w:hanging="624"/>
        <w:spacing w:after="0" w:line="245" w:lineRule="auto"/>
        <w:tabs>
          <w:tab w:leader="none" w:pos="1262"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Finance Party may disclose to any financial information agency such information as may be necessary or desirable (limited to name of the Company, country of domicile of the Company, place of incorporation of the Company, sector and business type of the Company, date of this Agreement, Clause 38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the names of the Agent and the Arranger, amounts of the Commitments with respect to, and names of, the Facility (and any tranches), amount of Total Commitments, purpose as set forth in Clause 3.1 (</w:t>
      </w:r>
      <w:r>
        <w:rPr>
          <w:rFonts w:ascii="Times New Roman" w:cs="Times New Roman" w:eastAsia="Times New Roman" w:hAnsi="Times New Roman"/>
          <w:sz w:val="20"/>
          <w:szCs w:val="20"/>
          <w:i w:val="1"/>
          <w:iCs w:val="1"/>
          <w:color w:val="auto"/>
        </w:rPr>
        <w:t>Purpose</w:t>
      </w:r>
      <w:r>
        <w:rPr>
          <w:rFonts w:ascii="Times New Roman" w:cs="Times New Roman" w:eastAsia="Times New Roman" w:hAnsi="Times New Roman"/>
          <w:sz w:val="20"/>
          <w:szCs w:val="20"/>
          <w:color w:val="auto"/>
        </w:rPr>
        <w:t>), currencies of the Facility, type of Facility, and Termination Date for Facility) for the purpose of such financial information agency compiling league table data in relation to transactions and participants.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7" w:name="page98"/>
    <w:bookmarkEnd w:id="97"/>
    <w:p>
      <w:pPr>
        <w:ind w:left="1280" w:hanging="624"/>
        <w:spacing w:after="0" w:line="269" w:lineRule="auto"/>
        <w:tabs>
          <w:tab w:leader="none" w:pos="1262"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league table data compiled by a financial information agency may be disclosed to users of its service in accordance with the standard terms and conditions of that financial information agency.</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34.4</w:t>
      </w:r>
      <w:r>
        <w:rPr>
          <w:sz w:val="20"/>
          <w:szCs w:val="20"/>
          <w:color w:val="auto"/>
        </w:rPr>
        <w:tab/>
      </w:r>
      <w:r>
        <w:rPr>
          <w:rFonts w:ascii="Times New Roman" w:cs="Times New Roman" w:eastAsia="Times New Roman" w:hAnsi="Times New Roman"/>
          <w:sz w:val="19"/>
          <w:szCs w:val="19"/>
          <w:b w:val="1"/>
          <w:bCs w:val="1"/>
          <w:color w:val="auto"/>
        </w:rPr>
        <w:t>Disclosure to numbering service providers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Finance Party may disclose to any national or international numbering service provider appointed by that Finance Party to provide identification numbering services in respect of this Agreement, the Facility and/or the Company the following information:</w:t>
      </w:r>
    </w:p>
    <w:p>
      <w:pPr>
        <w:spacing w:after="0" w:line="147"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the Company;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of domicile of the Company;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of incorporation of the Company;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this Agreement;</w:t>
      </w:r>
    </w:p>
    <w:p>
      <w:pPr>
        <w:spacing w:after="0" w:line="184"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Clause 38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Agent and the Arranger;</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each amendment and restatement of this Agreement;</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of the Commitments with respect to, and names of, the Facility (and any tranches);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of Total Commitments;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currencies of the Facility;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Facility;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ranking of Facility;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Date for Facility;</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any of the information previously supplied pursuant to paragraphs (i) to (xiii) above; and</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agreed between such Finance Party and the Company,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to enable such numbering service provider to provide its usual syndicated loan numbering identification services.</w:t>
      </w:r>
    </w:p>
    <w:p>
      <w:pPr>
        <w:spacing w:after="0" w:line="189" w:lineRule="exact"/>
        <w:rPr>
          <w:sz w:val="20"/>
          <w:szCs w:val="20"/>
          <w:color w:val="auto"/>
        </w:rPr>
      </w:pPr>
    </w:p>
    <w:p>
      <w:pPr>
        <w:jc w:val="both"/>
        <w:ind w:left="1280" w:right="20" w:hanging="624"/>
        <w:spacing w:after="0" w:line="254" w:lineRule="auto"/>
        <w:tabs>
          <w:tab w:leader="none" w:pos="1262"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and agree that each identification number assigned to this Agreement, the Facility and/or the Company by a numbering service provider and the information associated with each such number may be disclosed to users of its services in accordance with the standard terms and conditions of that numbering service provider.</w:t>
      </w:r>
    </w:p>
    <w:p>
      <w:pPr>
        <w:spacing w:after="0" w:line="147"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that, after applicable disclosure of this Agreement is made in its filings to the U.S. Securities and Exchange Commission, none of the information set out in paragraphs (i) to (xv) of paragraph (a) above is, nor will at any time be, unpublished price-sensitive information.</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notify the Company and the other Finance Parties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8" w:name="page99"/>
    <w:bookmarkEnd w:id="98"/>
    <w:p>
      <w:pPr>
        <w:ind w:left="1920" w:hanging="642"/>
        <w:spacing w:after="0" w:line="269" w:lineRule="auto"/>
        <w:tabs>
          <w:tab w:leader="none" w:pos="192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any numbering service provider appointed by the Agent in respect of this Agreement, the Facility and/or the Company; and</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or, as the case may be, numbers assigned to this Agreement, the Facility and/or the Company by such numbering service provider.</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34.5</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193"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0"/>
          <w:szCs w:val="20"/>
          <w:color w:val="auto"/>
        </w:rPr>
        <w:t>This Clause 34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34.6</w:t>
      </w:r>
      <w:r>
        <w:rPr>
          <w:sz w:val="20"/>
          <w:szCs w:val="20"/>
          <w:color w:val="auto"/>
        </w:rPr>
        <w:tab/>
      </w:r>
      <w:r>
        <w:rPr>
          <w:rFonts w:ascii="Times New Roman" w:cs="Times New Roman" w:eastAsia="Times New Roman" w:hAnsi="Times New Roman"/>
          <w:sz w:val="19"/>
          <w:szCs w:val="19"/>
          <w:b w:val="1"/>
          <w:bCs w:val="1"/>
          <w:color w:val="auto"/>
        </w:rPr>
        <w:t>Inside information</w:t>
      </w:r>
    </w:p>
    <w:p>
      <w:pPr>
        <w:spacing w:after="0" w:line="193"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9"/>
          <w:szCs w:val="19"/>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2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34.7</w:t>
      </w:r>
      <w:r>
        <w:rPr>
          <w:sz w:val="20"/>
          <w:szCs w:val="20"/>
          <w:color w:val="auto"/>
        </w:rPr>
        <w:tab/>
      </w:r>
      <w:r>
        <w:rPr>
          <w:rFonts w:ascii="Times New Roman" w:cs="Times New Roman" w:eastAsia="Times New Roman" w:hAnsi="Times New Roman"/>
          <w:sz w:val="19"/>
          <w:szCs w:val="19"/>
          <w:b w:val="1"/>
          <w:bCs w:val="1"/>
          <w:color w:val="auto"/>
        </w:rPr>
        <w:t>Notification of disclosure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Each of the Finance Parties agrees (to the extent permitted by law and regulation) to inform the Company:</w:t>
      </w:r>
    </w:p>
    <w:p>
      <w:pPr>
        <w:spacing w:after="0" w:line="189" w:lineRule="exact"/>
        <w:rPr>
          <w:sz w:val="20"/>
          <w:szCs w:val="20"/>
          <w:color w:val="auto"/>
        </w:rPr>
      </w:pPr>
    </w:p>
    <w:p>
      <w:pPr>
        <w:jc w:val="both"/>
        <w:ind w:left="1280" w:right="20" w:hanging="624"/>
        <w:spacing w:after="0" w:line="254" w:lineRule="auto"/>
        <w:tabs>
          <w:tab w:leader="none" w:pos="1262"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circumstances of any disclosure of Confidential Information made pursuant to paragraph (b)(v) of Clause 34.2 (</w:t>
      </w:r>
      <w:r>
        <w:rPr>
          <w:rFonts w:ascii="Times New Roman" w:cs="Times New Roman" w:eastAsia="Times New Roman" w:hAnsi="Times New Roman"/>
          <w:sz w:val="20"/>
          <w:szCs w:val="20"/>
          <w:i w:val="1"/>
          <w:iCs w:val="1"/>
          <w:color w:val="auto"/>
        </w:rPr>
        <w:t>Disclosure of Confidential Information</w:t>
      </w:r>
      <w:r>
        <w:rPr>
          <w:rFonts w:ascii="Times New Roman" w:cs="Times New Roman" w:eastAsia="Times New Roman" w:hAnsi="Times New Roman"/>
          <w:sz w:val="20"/>
          <w:szCs w:val="20"/>
          <w:color w:val="auto"/>
        </w:rPr>
        <w:t>) except where such disclosure is made to any of the persons referred to in that paragraph during the ordinary course of its supervisory or regulatory function; and</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becoming aware that Confidential Information has been disclosed in breach of this Clause 34.</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34.8</w:t>
      </w:r>
      <w:r>
        <w:rPr>
          <w:sz w:val="20"/>
          <w:szCs w:val="20"/>
          <w:color w:val="auto"/>
        </w:rPr>
        <w:tab/>
      </w:r>
      <w:r>
        <w:rPr>
          <w:rFonts w:ascii="Times New Roman" w:cs="Times New Roman" w:eastAsia="Times New Roman" w:hAnsi="Times New Roman"/>
          <w:sz w:val="19"/>
          <w:szCs w:val="19"/>
          <w:b w:val="1"/>
          <w:bCs w:val="1"/>
          <w:color w:val="auto"/>
        </w:rPr>
        <w:t>Continuing obligations</w:t>
      </w:r>
    </w:p>
    <w:p>
      <w:pPr>
        <w:spacing w:after="0" w:line="193" w:lineRule="exact"/>
        <w:rPr>
          <w:sz w:val="20"/>
          <w:szCs w:val="20"/>
          <w:color w:val="auto"/>
        </w:rPr>
      </w:pPr>
    </w:p>
    <w:p>
      <w:pPr>
        <w:ind w:left="620" w:right="20"/>
        <w:spacing w:after="0" w:line="269" w:lineRule="auto"/>
        <w:rPr>
          <w:sz w:val="20"/>
          <w:szCs w:val="20"/>
          <w:color w:val="auto"/>
        </w:rPr>
      </w:pPr>
      <w:r>
        <w:rPr>
          <w:rFonts w:ascii="Times New Roman" w:cs="Times New Roman" w:eastAsia="Times New Roman" w:hAnsi="Times New Roman"/>
          <w:sz w:val="20"/>
          <w:szCs w:val="20"/>
          <w:color w:val="auto"/>
        </w:rPr>
        <w:t>The obligations in this Clause 34 are continuing and, in particular, shall survive and remain binding on each Finance Party for a period of twelve months from the earlier of:</w:t>
      </w:r>
    </w:p>
    <w:p>
      <w:pPr>
        <w:spacing w:after="0" w:line="133" w:lineRule="exact"/>
        <w:rPr>
          <w:sz w:val="20"/>
          <w:szCs w:val="20"/>
          <w:color w:val="auto"/>
        </w:rPr>
      </w:pPr>
    </w:p>
    <w:p>
      <w:pPr>
        <w:ind w:left="1280" w:hanging="624"/>
        <w:spacing w:after="0" w:line="269" w:lineRule="auto"/>
        <w:tabs>
          <w:tab w:leader="none" w:pos="1262"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all amounts payable by the Company under or in connection with this Agreement have been paid in full and all Commitments have been cancelled or otherwise cease to be available; and</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such Finance Party otherwise ceases to be a Finance Party.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99" w:name="page100"/>
    <w:bookmarkEnd w:id="99"/>
    <w:p>
      <w:pPr>
        <w:ind w:left="620" w:hanging="612"/>
        <w:spacing w:after="0"/>
        <w:tabs>
          <w:tab w:leader="none" w:pos="620"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OF FUNDING RATES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35.1</w:t>
      </w:r>
      <w:r>
        <w:rPr>
          <w:sz w:val="20"/>
          <w:szCs w:val="20"/>
          <w:color w:val="auto"/>
        </w:rPr>
        <w:tab/>
      </w:r>
      <w:r>
        <w:rPr>
          <w:rFonts w:ascii="Times New Roman" w:cs="Times New Roman" w:eastAsia="Times New Roman" w:hAnsi="Times New Roman"/>
          <w:sz w:val="19"/>
          <w:szCs w:val="19"/>
          <w:b w:val="1"/>
          <w:bCs w:val="1"/>
          <w:color w:val="auto"/>
        </w:rPr>
        <w:t>Confidentiality and disclosure</w:t>
      </w:r>
    </w:p>
    <w:p>
      <w:pPr>
        <w:spacing w:after="0" w:line="193" w:lineRule="exact"/>
        <w:rPr>
          <w:sz w:val="20"/>
          <w:szCs w:val="20"/>
          <w:color w:val="auto"/>
        </w:rPr>
      </w:pPr>
    </w:p>
    <w:p>
      <w:pPr>
        <w:ind w:left="1280" w:hanging="624"/>
        <w:spacing w:after="0" w:line="269" w:lineRule="auto"/>
        <w:tabs>
          <w:tab w:leader="none" w:pos="1262"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Company agree to keep each Funding Rate confidential and not to disclose it to anyone, save to the extent permitted by paragraphs (b) and (c) below.</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disclose:</w:t>
      </w:r>
    </w:p>
    <w:p>
      <w:pPr>
        <w:spacing w:after="0" w:line="184"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Funding Rate to the Company pursuant to Clause 8.4 (</w:t>
      </w:r>
      <w:r>
        <w:rPr>
          <w:rFonts w:ascii="Times New Roman" w:cs="Times New Roman" w:eastAsia="Times New Roman" w:hAnsi="Times New Roman"/>
          <w:sz w:val="20"/>
          <w:szCs w:val="20"/>
          <w:i w:val="1"/>
          <w:iCs w:val="1"/>
          <w:color w:val="auto"/>
        </w:rPr>
        <w:t>Notification of rates of interest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920" w:hanging="642"/>
        <w:spacing w:after="0" w:line="247" w:lineRule="auto"/>
        <w:tabs>
          <w:tab w:leader="none" w:pos="192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as the case may be.</w:t>
      </w:r>
    </w:p>
    <w:p>
      <w:pPr>
        <w:spacing w:after="0" w:line="153"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may disclose any Funding Rate, and the Company may disclose any Funding Rate, to:</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7" w:lineRule="auto"/>
        <w:tabs>
          <w:tab w:leader="none" w:pos="192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153" w:lineRule="exact"/>
        <w:rPr>
          <w:rFonts w:ascii="Times New Roman" w:cs="Times New Roman" w:eastAsia="Times New Roman" w:hAnsi="Times New Roman"/>
          <w:sz w:val="20"/>
          <w:szCs w:val="20"/>
          <w:color w:val="auto"/>
        </w:rPr>
      </w:pPr>
    </w:p>
    <w:p>
      <w:pPr>
        <w:jc w:val="both"/>
        <w:ind w:left="1920" w:hanging="642"/>
        <w:spacing w:after="0" w:line="245" w:lineRule="auto"/>
        <w:tabs>
          <w:tab w:leader="none" w:pos="192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Company, as the case may be, it is not practicable to do so in the circumstances;</w:t>
      </w:r>
    </w:p>
    <w:p>
      <w:pPr>
        <w:spacing w:after="0" w:line="157" w:lineRule="exact"/>
        <w:rPr>
          <w:rFonts w:ascii="Times New Roman" w:cs="Times New Roman" w:eastAsia="Times New Roman" w:hAnsi="Times New Roman"/>
          <w:sz w:val="20"/>
          <w:szCs w:val="20"/>
          <w:color w:val="auto"/>
        </w:rPr>
      </w:pPr>
    </w:p>
    <w:p>
      <w:pPr>
        <w:jc w:val="both"/>
        <w:ind w:left="1920" w:hanging="642"/>
        <w:spacing w:after="0" w:line="247" w:lineRule="auto"/>
        <w:tabs>
          <w:tab w:leader="none" w:pos="192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Company, as the case may be, it is not practicable to do so in the circumstances; and</w:t>
      </w:r>
    </w:p>
    <w:p>
      <w:pPr>
        <w:spacing w:after="0" w:line="153"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with the consent of the relevant Lender.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100" w:name="page101"/>
    <w:bookmarkEnd w:id="100"/>
    <w:p>
      <w:pPr>
        <w:spacing w:after="0"/>
        <w:tabs>
          <w:tab w:leader="none" w:pos="600" w:val="left"/>
        </w:tabs>
        <w:rPr>
          <w:sz w:val="20"/>
          <w:szCs w:val="20"/>
          <w:color w:val="auto"/>
        </w:rPr>
      </w:pPr>
      <w:r>
        <w:rPr>
          <w:rFonts w:ascii="Times New Roman" w:cs="Times New Roman" w:eastAsia="Times New Roman" w:hAnsi="Times New Roman"/>
          <w:sz w:val="20"/>
          <w:szCs w:val="20"/>
          <w:color w:val="auto"/>
        </w:rPr>
        <w:t>35.2</w:t>
      </w:r>
      <w:r>
        <w:rPr>
          <w:sz w:val="20"/>
          <w:szCs w:val="20"/>
          <w:color w:val="auto"/>
        </w:rPr>
        <w:tab/>
      </w:r>
      <w:r>
        <w:rPr>
          <w:rFonts w:ascii="Times New Roman" w:cs="Times New Roman" w:eastAsia="Times New Roman" w:hAnsi="Times New Roman"/>
          <w:sz w:val="20"/>
          <w:szCs w:val="20"/>
          <w:b w:val="1"/>
          <w:bCs w:val="1"/>
          <w:color w:val="auto"/>
        </w:rPr>
        <w:t>Related obligations</w:t>
      </w:r>
    </w:p>
    <w:p>
      <w:pPr>
        <w:spacing w:after="0" w:line="193" w:lineRule="exact"/>
        <w:rPr>
          <w:sz w:val="20"/>
          <w:szCs w:val="20"/>
          <w:color w:val="auto"/>
        </w:rPr>
      </w:pPr>
    </w:p>
    <w:p>
      <w:pPr>
        <w:jc w:val="both"/>
        <w:ind w:left="1280" w:hanging="624"/>
        <w:spacing w:after="0" w:line="254" w:lineRule="auto"/>
        <w:tabs>
          <w:tab w:leader="none" w:pos="1262"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Company acknowledge that each Funding Rate is or may be price-sensitive information and that its use may be regulated or prohibited by applicable legislation including securities law relating to insider dealing and market abuse and the Agent and the Company undertake not to use any Funding Rate for any unlawful purpose.</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Company agree (to the extent permitted by law and regulation) to inform the relevant Lender:</w:t>
      </w:r>
    </w:p>
    <w:p>
      <w:pPr>
        <w:spacing w:after="0" w:line="184" w:lineRule="exact"/>
        <w:rPr>
          <w:rFonts w:ascii="Times New Roman" w:cs="Times New Roman" w:eastAsia="Times New Roman" w:hAnsi="Times New Roman"/>
          <w:sz w:val="20"/>
          <w:szCs w:val="20"/>
          <w:color w:val="auto"/>
        </w:rPr>
      </w:pPr>
    </w:p>
    <w:p>
      <w:pPr>
        <w:jc w:val="both"/>
        <w:ind w:left="1920" w:hanging="642"/>
        <w:spacing w:after="0" w:line="256" w:lineRule="auto"/>
        <w:tabs>
          <w:tab w:leader="none" w:pos="192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circumstances of any disclosure made pursuant to paragraph (c)(ii) of Clause 35.1 (</w:t>
      </w:r>
      <w:r>
        <w:rPr>
          <w:rFonts w:ascii="Times New Roman" w:cs="Times New Roman" w:eastAsia="Times New Roman" w:hAnsi="Times New Roman"/>
          <w:sz w:val="20"/>
          <w:szCs w:val="20"/>
          <w:i w:val="1"/>
          <w:iCs w:val="1"/>
          <w:color w:val="auto"/>
        </w:rPr>
        <w:t>Confidentiality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w:t>
      </w:r>
      <w:r>
        <w:rPr>
          <w:rFonts w:ascii="Times New Roman" w:cs="Times New Roman" w:eastAsia="Times New Roman" w:hAnsi="Times New Roman"/>
          <w:sz w:val="20"/>
          <w:szCs w:val="20"/>
          <w:color w:val="auto"/>
        </w:rPr>
        <w:t>) except where such disclosure is made to any of the persons referred to in that paragraph during the ordinary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course of its supervisory or regulatory function; and</w:t>
      </w:r>
    </w:p>
    <w:p>
      <w:pPr>
        <w:spacing w:after="0" w:line="145"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1"/>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becoming aware that any information has been disclosed in breach of this Clause 35.</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35.3</w:t>
      </w:r>
      <w:r>
        <w:rPr>
          <w:sz w:val="20"/>
          <w:szCs w:val="20"/>
          <w:color w:val="auto"/>
        </w:rPr>
        <w:tab/>
      </w:r>
      <w:r>
        <w:rPr>
          <w:rFonts w:ascii="Times New Roman" w:cs="Times New Roman" w:eastAsia="Times New Roman" w:hAnsi="Times New Roman"/>
          <w:sz w:val="19"/>
          <w:szCs w:val="19"/>
          <w:b w:val="1"/>
          <w:bCs w:val="1"/>
          <w:color w:val="auto"/>
        </w:rPr>
        <w:t>No Event of Default</w:t>
      </w:r>
    </w:p>
    <w:p>
      <w:pPr>
        <w:spacing w:after="0" w:line="189" w:lineRule="exact"/>
        <w:rPr>
          <w:sz w:val="20"/>
          <w:szCs w:val="20"/>
          <w:color w:val="auto"/>
        </w:rPr>
      </w:pPr>
    </w:p>
    <w:p>
      <w:pPr>
        <w:ind w:left="620"/>
        <w:spacing w:after="0" w:line="273" w:lineRule="auto"/>
        <w:rPr>
          <w:sz w:val="20"/>
          <w:szCs w:val="20"/>
          <w:color w:val="auto"/>
        </w:rPr>
      </w:pPr>
      <w:r>
        <w:rPr>
          <w:rFonts w:ascii="Times New Roman" w:cs="Times New Roman" w:eastAsia="Times New Roman" w:hAnsi="Times New Roman"/>
          <w:sz w:val="20"/>
          <w:szCs w:val="20"/>
          <w:color w:val="auto"/>
        </w:rPr>
        <w:t>No Event of Default will occur under Clause 21.3 (</w:t>
      </w:r>
      <w:r>
        <w:rPr>
          <w:rFonts w:ascii="Times New Roman" w:cs="Times New Roman" w:eastAsia="Times New Roman" w:hAnsi="Times New Roman"/>
          <w:sz w:val="20"/>
          <w:szCs w:val="20"/>
          <w:i w:val="1"/>
          <w:iCs w:val="1"/>
          <w:color w:val="auto"/>
        </w:rPr>
        <w:t>Other obligations</w:t>
      </w:r>
      <w:r>
        <w:rPr>
          <w:rFonts w:ascii="Times New Roman" w:cs="Times New Roman" w:eastAsia="Times New Roman" w:hAnsi="Times New Roman"/>
          <w:sz w:val="20"/>
          <w:szCs w:val="20"/>
          <w:color w:val="auto"/>
        </w:rPr>
        <w:t>) by reason only of the Company's failure to comply with this Clause 35.</w:t>
      </w:r>
    </w:p>
    <w:p>
      <w:pPr>
        <w:spacing w:after="0" w:line="125" w:lineRule="exact"/>
        <w:rPr>
          <w:sz w:val="20"/>
          <w:szCs w:val="20"/>
          <w:color w:val="auto"/>
        </w:rPr>
      </w:pPr>
    </w:p>
    <w:p>
      <w:pPr>
        <w:ind w:left="620" w:hanging="612"/>
        <w:spacing w:after="0"/>
        <w:tabs>
          <w:tab w:leader="none" w:pos="620"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192" w:lineRule="exact"/>
        <w:rPr>
          <w:rFonts w:ascii="Times New Roman" w:cs="Times New Roman" w:eastAsia="Times New Roman" w:hAnsi="Times New Roman"/>
          <w:sz w:val="20"/>
          <w:szCs w:val="20"/>
          <w:b w:val="1"/>
          <w:bCs w:val="1"/>
          <w:color w:val="auto"/>
        </w:rPr>
      </w:pPr>
    </w:p>
    <w:p>
      <w:pPr>
        <w:ind w:left="62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Finance Document may be executed in any number of counterparts, and this has the same effect as if the signatures on the counterparts were on a single copy of the Finance Document.</w:t>
      </w:r>
    </w:p>
    <w:p>
      <w:pPr>
        <w:spacing w:after="0" w:line="128"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RECOGNITION OF BAIL-IN</w:t>
      </w:r>
    </w:p>
    <w:p>
      <w:pPr>
        <w:spacing w:after="0" w:line="192" w:lineRule="exact"/>
        <w:rPr>
          <w:rFonts w:ascii="Times New Roman" w:cs="Times New Roman" w:eastAsia="Times New Roman" w:hAnsi="Times New Roman"/>
          <w:sz w:val="20"/>
          <w:szCs w:val="20"/>
          <w:b w:val="1"/>
          <w:bCs w:val="1"/>
          <w:color w:val="auto"/>
        </w:rPr>
      </w:pPr>
    </w:p>
    <w:p>
      <w:pPr>
        <w:jc w:val="both"/>
        <w:ind w:left="62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53" w:lineRule="exact"/>
        <w:rPr>
          <w:rFonts w:ascii="Times New Roman" w:cs="Times New Roman" w:eastAsia="Times New Roman" w:hAnsi="Times New Roman"/>
          <w:sz w:val="20"/>
          <w:szCs w:val="20"/>
          <w:b w:val="1"/>
          <w:bCs w:val="1"/>
          <w:color w:val="auto"/>
        </w:rPr>
      </w:pPr>
    </w:p>
    <w:p>
      <w:pPr>
        <w:ind w:left="1260" w:hanging="604"/>
        <w:spacing w:after="0"/>
        <w:tabs>
          <w:tab w:leader="none" w:pos="126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Bail-In Action in relation to any such liability, including (without limitation):</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in the principal amount, or outstanding amount due (including any accrued but unpaid interest) in respect of any such liability;</w:t>
      </w:r>
    </w:p>
    <w:p>
      <w:pPr>
        <w:spacing w:after="0" w:line="132"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part of, any such liability into shares or other instruments of ownership that may be issued to, or conferred on, it; and</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cancellation of any such liability; and</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variation of any term of any Finance Document to the extent necessary to give effect to any Bail-In Action in relation to any such liability.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SECTION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GOVERNING LAW AND ENFORCEMENT</w:t>
      </w:r>
    </w:p>
    <w:p>
      <w:pPr>
        <w:spacing w:after="0" w:line="163" w:lineRule="exact"/>
        <w:rPr>
          <w:sz w:val="20"/>
          <w:szCs w:val="20"/>
          <w:color w:val="auto"/>
        </w:rPr>
      </w:pPr>
    </w:p>
    <w:p>
      <w:pPr>
        <w:ind w:left="620" w:hanging="612"/>
        <w:spacing w:after="0"/>
        <w:tabs>
          <w:tab w:leader="none" w:pos="620"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192" w:lineRule="exact"/>
        <w:rPr>
          <w:rFonts w:ascii="Times New Roman" w:cs="Times New Roman" w:eastAsia="Times New Roman" w:hAnsi="Times New Roman"/>
          <w:sz w:val="20"/>
          <w:szCs w:val="20"/>
          <w:b w:val="1"/>
          <w:bCs w:val="1"/>
          <w:color w:val="auto"/>
        </w:rPr>
      </w:pPr>
    </w:p>
    <w:p>
      <w:pPr>
        <w:ind w:left="6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and any non-contractual obligations arising out of or in connection with it are governed by English law.</w:t>
      </w:r>
    </w:p>
    <w:p>
      <w:pPr>
        <w:spacing w:after="0" w:line="184" w:lineRule="exact"/>
        <w:rPr>
          <w:rFonts w:ascii="Times New Roman" w:cs="Times New Roman" w:eastAsia="Times New Roman" w:hAnsi="Times New Roman"/>
          <w:sz w:val="20"/>
          <w:szCs w:val="20"/>
          <w:b w:val="1"/>
          <w:bCs w:val="1"/>
          <w:color w:val="auto"/>
        </w:rPr>
      </w:pPr>
    </w:p>
    <w:p>
      <w:pPr>
        <w:ind w:left="620" w:hanging="612"/>
        <w:spacing w:after="0"/>
        <w:tabs>
          <w:tab w:leader="none" w:pos="620"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ENFORCEMENT</w:t>
      </w:r>
    </w:p>
    <w:p>
      <w:pPr>
        <w:spacing w:after="0" w:line="192" w:lineRule="exact"/>
        <w:rPr>
          <w:rFonts w:ascii="Times New Roman" w:cs="Times New Roman" w:eastAsia="Times New Roman" w:hAnsi="Times New Roman"/>
          <w:sz w:val="20"/>
          <w:szCs w:val="20"/>
          <w:b w:val="1"/>
          <w:bCs w:val="1"/>
          <w:color w:val="auto"/>
        </w:rPr>
      </w:pPr>
    </w:p>
    <w:p>
      <w:pPr>
        <w:jc w:val="both"/>
        <w:ind w:left="1280" w:hanging="624"/>
        <w:spacing w:after="0" w:line="254" w:lineRule="auto"/>
        <w:tabs>
          <w:tab w:leader="none" w:pos="126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courts of England are the most appropriate and convenient courts to settle Disputes and accordingly no Party will argue to the contrary.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102" w:name="page103"/>
    <w:bookmarkEnd w:id="102"/>
    <w:p>
      <w:pPr>
        <w:ind w:left="4580"/>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520" w:type="dxa"/>
            <w:vAlign w:val="bottom"/>
          </w:tcPr>
          <w:p>
            <w:pPr>
              <w:spacing w:after="0"/>
              <w:rPr>
                <w:sz w:val="22"/>
                <w:szCs w:val="22"/>
                <w:color w:val="auto"/>
              </w:rPr>
            </w:pPr>
          </w:p>
        </w:tc>
        <w:tc>
          <w:tcPr>
            <w:tcW w:w="4900" w:type="dxa"/>
            <w:vAlign w:val="bottom"/>
            <w:gridSpan w:val="2"/>
          </w:tcPr>
          <w:p>
            <w:pPr>
              <w:ind w:left="920"/>
              <w:spacing w:after="0"/>
              <w:rPr>
                <w:sz w:val="20"/>
                <w:szCs w:val="20"/>
                <w:color w:val="auto"/>
              </w:rPr>
            </w:pPr>
            <w:r>
              <w:rPr>
                <w:rFonts w:ascii="Times New Roman" w:cs="Times New Roman" w:eastAsia="Times New Roman" w:hAnsi="Times New Roman"/>
                <w:sz w:val="20"/>
                <w:szCs w:val="20"/>
                <w:b w:val="1"/>
                <w:bCs w:val="1"/>
                <w:color w:val="auto"/>
              </w:rPr>
              <w:t>THE ORIGINAL LENDERS</w:t>
            </w:r>
          </w:p>
        </w:tc>
        <w:tc>
          <w:tcPr>
            <w:tcW w:w="2860" w:type="dxa"/>
            <w:vAlign w:val="bottom"/>
          </w:tcPr>
          <w:p>
            <w:pPr>
              <w:spacing w:after="0"/>
              <w:rPr>
                <w:sz w:val="22"/>
                <w:szCs w:val="22"/>
                <w:color w:val="auto"/>
              </w:rPr>
            </w:pPr>
          </w:p>
        </w:tc>
      </w:tr>
      <w:tr>
        <w:trPr>
          <w:trHeight w:val="789"/>
        </w:trPr>
        <w:tc>
          <w:tcPr>
            <w:tcW w:w="35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Name of Original Lender</w:t>
            </w:r>
          </w:p>
        </w:tc>
        <w:tc>
          <w:tcPr>
            <w:tcW w:w="212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USD Tranche</w:t>
            </w:r>
          </w:p>
        </w:tc>
        <w:tc>
          <w:tcPr>
            <w:tcW w:w="278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8"/>
              </w:rPr>
              <w:t>EUR Tranche Commitment</w:t>
            </w:r>
          </w:p>
        </w:tc>
        <w:tc>
          <w:tcPr>
            <w:tcW w:w="2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Treaty Passport scheme reference</w:t>
            </w:r>
          </w:p>
        </w:tc>
      </w:tr>
      <w:tr>
        <w:trPr>
          <w:trHeight w:val="230"/>
        </w:trPr>
        <w:tc>
          <w:tcPr>
            <w:tcW w:w="3520" w:type="dxa"/>
            <w:vAlign w:val="bottom"/>
          </w:tcPr>
          <w:p>
            <w:pPr>
              <w:spacing w:after="0"/>
              <w:rPr>
                <w:sz w:val="19"/>
                <w:szCs w:val="19"/>
                <w:color w:val="auto"/>
              </w:rPr>
            </w:pPr>
          </w:p>
        </w:tc>
        <w:tc>
          <w:tcPr>
            <w:tcW w:w="21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Commitment</w:t>
            </w:r>
          </w:p>
        </w:tc>
        <w:tc>
          <w:tcPr>
            <w:tcW w:w="2780" w:type="dxa"/>
            <w:vAlign w:val="bottom"/>
          </w:tcPr>
          <w:p>
            <w:pPr>
              <w:spacing w:after="0"/>
              <w:rPr>
                <w:sz w:val="19"/>
                <w:szCs w:val="19"/>
                <w:color w:val="auto"/>
              </w:rPr>
            </w:pPr>
          </w:p>
        </w:tc>
        <w:tc>
          <w:tcPr>
            <w:tcW w:w="286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number and jurisdiction of tax</w:t>
            </w:r>
          </w:p>
        </w:tc>
      </w:tr>
      <w:tr>
        <w:trPr>
          <w:trHeight w:val="258"/>
        </w:trPr>
        <w:tc>
          <w:tcPr>
            <w:tcW w:w="35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6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9"/>
              </w:rPr>
              <w:t>residence (if applicable)</w:t>
            </w:r>
          </w:p>
        </w:tc>
      </w:tr>
      <w:tr>
        <w:trPr>
          <w:trHeight w:val="602"/>
        </w:trPr>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Bank   of   America   Merrill   Lynch </w:t>
            </w:r>
            <w:r>
              <w:rPr>
                <w:rFonts w:ascii="Times New Roman" w:cs="Times New Roman" w:eastAsia="Times New Roman" w:hAnsi="Times New Roman"/>
                <w:sz w:val="20"/>
                <w:szCs w:val="20"/>
                <w:color w:val="auto"/>
              </w:rPr>
              <w:t>58,333,333.25</w:t>
            </w:r>
          </w:p>
        </w:tc>
        <w:tc>
          <w:tcPr>
            <w:tcW w:w="27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25,754,231.125</w:t>
            </w:r>
          </w:p>
        </w:tc>
        <w:tc>
          <w:tcPr>
            <w:tcW w:w="286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12/B/374541/DTTP, Ireland</w:t>
            </w:r>
          </w:p>
        </w:tc>
      </w:tr>
      <w:tr>
        <w:trPr>
          <w:trHeight w:val="262"/>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International DAC</w:t>
            </w:r>
          </w:p>
        </w:tc>
        <w:tc>
          <w:tcPr>
            <w:tcW w:w="21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635"/>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Barclays Bank PLC</w:t>
            </w:r>
          </w:p>
        </w:tc>
        <w:tc>
          <w:tcPr>
            <w:tcW w:w="212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58,333,333.25</w:t>
            </w:r>
          </w:p>
        </w:tc>
        <w:tc>
          <w:tcPr>
            <w:tcW w:w="27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25,754,231.125</w:t>
            </w:r>
          </w:p>
        </w:tc>
        <w:tc>
          <w:tcPr>
            <w:tcW w:w="286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8"/>
              </w:rPr>
              <w:t>Not applicable</w:t>
            </w:r>
          </w:p>
        </w:tc>
      </w:tr>
      <w:tr>
        <w:trPr>
          <w:trHeight w:val="635"/>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BNP Paribas, London Branch</w:t>
            </w:r>
          </w:p>
        </w:tc>
        <w:tc>
          <w:tcPr>
            <w:tcW w:w="212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58,333,333.25</w:t>
            </w:r>
          </w:p>
        </w:tc>
        <w:tc>
          <w:tcPr>
            <w:tcW w:w="27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25,754,231.125</w:t>
            </w:r>
          </w:p>
        </w:tc>
        <w:tc>
          <w:tcPr>
            <w:tcW w:w="286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8"/>
              </w:rPr>
              <w:t>Not applicable</w:t>
            </w:r>
          </w:p>
        </w:tc>
      </w:tr>
      <w:tr>
        <w:trPr>
          <w:trHeight w:val="635"/>
        </w:trPr>
        <w:tc>
          <w:tcPr>
            <w:tcW w:w="3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Intesa Sanpaolo S.p.A, London Branch</w:t>
            </w:r>
          </w:p>
        </w:tc>
        <w:tc>
          <w:tcPr>
            <w:tcW w:w="212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58,333,333.25</w:t>
            </w:r>
          </w:p>
        </w:tc>
        <w:tc>
          <w:tcPr>
            <w:tcW w:w="278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9"/>
              </w:rPr>
              <w:t>25,754,231.125</w:t>
            </w:r>
          </w:p>
        </w:tc>
        <w:tc>
          <w:tcPr>
            <w:tcW w:w="286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8"/>
              </w:rPr>
              <w:t>Not applicable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320"/>
          </w:cols>
          <w:pgMar w:left="240" w:top="585" w:right="339" w:bottom="1440" w:gutter="0" w:footer="0" w:header="0"/>
        </w:sectPr>
      </w:pPr>
    </w:p>
    <w:bookmarkStart w:id="103" w:name="page104"/>
    <w:bookmarkEnd w:id="103"/>
    <w:p>
      <w:pPr>
        <w:ind w:left="4980"/>
        <w:spacing w:after="0"/>
        <w:rPr>
          <w:sz w:val="20"/>
          <w:szCs w:val="20"/>
          <w:color w:val="auto"/>
        </w:rPr>
      </w:pPr>
      <w:r>
        <w:rPr>
          <w:rFonts w:ascii="Times New Roman" w:cs="Times New Roman" w:eastAsia="Times New Roman" w:hAnsi="Times New Roman"/>
          <w:sz w:val="20"/>
          <w:szCs w:val="20"/>
          <w:b w:val="1"/>
          <w:bCs w:val="1"/>
          <w:color w:val="auto"/>
        </w:rPr>
        <w:t>SCHEDULE 2</w:t>
      </w:r>
    </w:p>
    <w:p>
      <w:pPr>
        <w:spacing w:after="0" w:line="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163" w:lineRule="exact"/>
        <w:rPr>
          <w:sz w:val="20"/>
          <w:szCs w:val="20"/>
          <w:color w:val="auto"/>
        </w:rPr>
      </w:pPr>
    </w:p>
    <w:p>
      <w:pPr>
        <w:ind w:left="620" w:hanging="612"/>
        <w:spacing w:after="0"/>
        <w:tabs>
          <w:tab w:leader="none" w:pos="62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Company</w:t>
      </w:r>
    </w:p>
    <w:p>
      <w:pPr>
        <w:spacing w:after="0" w:line="19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constitutional documents of the Company.</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board of directors of the Company:</w:t>
      </w:r>
    </w:p>
    <w:p>
      <w:pPr>
        <w:spacing w:after="0" w:line="188" w:lineRule="exact"/>
        <w:rPr>
          <w:rFonts w:ascii="Times New Roman" w:cs="Times New Roman" w:eastAsia="Times New Roman" w:hAnsi="Times New Roman"/>
          <w:sz w:val="20"/>
          <w:szCs w:val="20"/>
          <w:color w:val="auto"/>
        </w:rPr>
      </w:pPr>
    </w:p>
    <w:p>
      <w:pPr>
        <w:ind w:left="1920" w:hanging="642"/>
        <w:spacing w:after="0" w:line="269" w:lineRule="auto"/>
        <w:tabs>
          <w:tab w:leader="none" w:pos="1920" w:val="left"/>
        </w:tabs>
        <w:numPr>
          <w:ilvl w:val="2"/>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terms of, and the transactions contemplated by, the Finance Documents and resolving that it execute the Finance Documents;</w:t>
      </w:r>
    </w:p>
    <w:p>
      <w:pPr>
        <w:spacing w:after="0" w:line="132"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authorising a specified person or persons to execute the Finance Documents on its behalf; and</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54" w:lineRule="auto"/>
        <w:tabs>
          <w:tab w:leader="none" w:pos="1920" w:val="left"/>
        </w:tabs>
        <w:numPr>
          <w:ilvl w:val="2"/>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authorising a specified person or persons, on its behalf, to sign and/or despatch all documents and notices (including, if relevant, any Utilisation Request) to be signed and/or despatched by it under or in connection with the Finance Documents.</w:t>
      </w:r>
    </w:p>
    <w:p>
      <w:pPr>
        <w:spacing w:after="0" w:line="147"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specimen of the signature of each person authorised by the resolution referred to in paragraph 1(b).</w:t>
      </w:r>
    </w:p>
    <w:p>
      <w:pPr>
        <w:spacing w:after="0" w:line="188"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Company (signed by an authorised signatory) confirming that borrowing the Commitment would not cause any borrowing or similar limit binding on it to be exceeded.</w:t>
      </w:r>
    </w:p>
    <w:p>
      <w:pPr>
        <w:spacing w:after="0" w:line="132"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authorised signatory of the Company certifying that each copy document relating to it specified in this Schedule 5 is correct, complete and in full force and effect as at a date no earlier than the date of this Agreement.</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opinion</w:t>
      </w:r>
    </w:p>
    <w:p>
      <w:pPr>
        <w:spacing w:after="0" w:line="193"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A legal opinion of Latham &amp; Watkins, legal advisers to the Arranger in England, substantially in the form distributed to the Arranger prior to signing this Agreement.</w:t>
      </w:r>
    </w:p>
    <w:p>
      <w:pPr>
        <w:spacing w:after="0" w:line="129" w:lineRule="exact"/>
        <w:rPr>
          <w:sz w:val="20"/>
          <w:szCs w:val="20"/>
          <w:color w:val="auto"/>
        </w:rPr>
      </w:pPr>
    </w:p>
    <w:p>
      <w:pPr>
        <w:ind w:left="620" w:hanging="612"/>
        <w:spacing w:after="0"/>
        <w:tabs>
          <w:tab w:leader="none" w:pos="62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documents and evidence</w:t>
      </w:r>
    </w:p>
    <w:p>
      <w:pPr>
        <w:spacing w:after="0" w:line="19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Financial Statements of the Group.</w:t>
      </w:r>
    </w:p>
    <w:p>
      <w:pPr>
        <w:spacing w:after="0" w:line="184" w:lineRule="exact"/>
        <w:rPr>
          <w:rFonts w:ascii="Times New Roman" w:cs="Times New Roman" w:eastAsia="Times New Roman" w:hAnsi="Times New Roman"/>
          <w:sz w:val="20"/>
          <w:szCs w:val="20"/>
          <w:color w:val="auto"/>
        </w:rPr>
      </w:pPr>
    </w:p>
    <w:p>
      <w:pPr>
        <w:ind w:left="1280" w:right="20" w:hanging="624"/>
        <w:spacing w:after="0" w:line="273" w:lineRule="auto"/>
        <w:tabs>
          <w:tab w:leader="none" w:pos="1262"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fees, costs and expenses then due from the Company pursuant to Clause 11 (</w:t>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 and Clause 16 (</w:t>
      </w:r>
      <w:r>
        <w:rPr>
          <w:rFonts w:ascii="Times New Roman" w:cs="Times New Roman" w:eastAsia="Times New Roman" w:hAnsi="Times New Roman"/>
          <w:sz w:val="20"/>
          <w:szCs w:val="20"/>
          <w:i w:val="1"/>
          <w:iCs w:val="1"/>
          <w:color w:val="auto"/>
        </w:rPr>
        <w:t>Costs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have been paid or will be paid by the first Utilisation Date.</w:t>
      </w:r>
    </w:p>
    <w:p>
      <w:pPr>
        <w:spacing w:after="0" w:line="129"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USD70,000,000 revolving facility made available to the Company pursuant to an amendment and restatement agreement dated 10 April 2018 between the Company as borrower and Barclays Bank PLC as lender will be irrevocably and unconditionally repaid (and permanently cancelled) in full on or before the first Utilisation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104" w:name="page105"/>
    <w:bookmarkEnd w:id="104"/>
    <w:p>
      <w:pPr>
        <w:ind w:left="4980"/>
        <w:spacing w:after="0"/>
        <w:rPr>
          <w:sz w:val="20"/>
          <w:szCs w:val="20"/>
          <w:color w:val="auto"/>
        </w:rPr>
      </w:pPr>
      <w:r>
        <w:rPr>
          <w:rFonts w:ascii="Times New Roman" w:cs="Times New Roman" w:eastAsia="Times New Roman" w:hAnsi="Times New Roman"/>
          <w:sz w:val="20"/>
          <w:szCs w:val="20"/>
          <w:b w:val="1"/>
          <w:bCs w:val="1"/>
          <w:color w:val="auto"/>
        </w:rPr>
        <w:t>SCHEDULE 3</w:t>
      </w:r>
    </w:p>
    <w:p>
      <w:pPr>
        <w:spacing w:after="0" w:line="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UTILISATION REQUEST</w:t>
      </w: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From:</w:t>
        <w:tab/>
        <w:t>LivaNova PLC</w:t>
      </w:r>
    </w:p>
    <w:p>
      <w:pPr>
        <w:spacing w:after="0" w:line="16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tab/>
        <w:t>[</w:t>
      </w:r>
      <w:r>
        <w:rPr>
          <w:rFonts w:ascii="Times New Roman" w:cs="Times New Roman" w:eastAsia="Times New Roman" w:hAnsi="Times New Roman"/>
          <w:sz w:val="20"/>
          <w:szCs w:val="20"/>
          <w:i w:val="1"/>
          <w:iCs w:val="1"/>
          <w:color w:val="auto"/>
        </w:rPr>
        <w:t>Agent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LivaNova PLC–Facility Agreement</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dated [ ] (the “Agreement”)</w:t>
      </w:r>
    </w:p>
    <w:p>
      <w:pPr>
        <w:spacing w:after="0" w:line="167" w:lineRule="exact"/>
        <w:rPr>
          <w:sz w:val="20"/>
          <w:szCs w:val="20"/>
          <w:color w:val="auto"/>
        </w:rPr>
      </w:pPr>
    </w:p>
    <w:p>
      <w:pPr>
        <w:ind w:left="620" w:hanging="612"/>
        <w:spacing w:after="0" w:line="269" w:lineRule="auto"/>
        <w:tabs>
          <w:tab w:leader="none" w:pos="62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the Agreement. This is a Utilisation Request. Terms defined in the Agreement have the same meaning in this Utilisation Request unless given a different meaning in this Utilisation Request.</w:t>
      </w:r>
    </w:p>
    <w:p>
      <w:pPr>
        <w:spacing w:after="0" w:line="13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wish to borrow Loans on the following terms:</w:t>
      </w:r>
    </w:p>
    <w:p>
      <w:pPr>
        <w:spacing w:after="0" w:line="350"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98"/>
              </w:rPr>
              <w:t>(a)</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Proposed Utilisation Date:</w:t>
            </w:r>
          </w:p>
        </w:tc>
        <w:tc>
          <w:tcPr>
            <w:tcW w:w="14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33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 (or, if that is not a Business Day, the</w:t>
            </w:r>
          </w:p>
        </w:tc>
      </w:tr>
      <w:tr>
        <w:trPr>
          <w:trHeight w:val="258"/>
        </w:trPr>
        <w:tc>
          <w:tcPr>
            <w:tcW w:w="2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next Business Day)</w:t>
            </w:r>
          </w:p>
        </w:tc>
      </w:tr>
      <w:tr>
        <w:trPr>
          <w:trHeight w:val="635"/>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94"/>
              </w:rPr>
              <w:t>(b)</w:t>
            </w:r>
          </w:p>
        </w:tc>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Currency of Loan:</w:t>
            </w:r>
          </w:p>
        </w:tc>
        <w:tc>
          <w:tcPr>
            <w:tcW w:w="14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73"/>
        </w:trPr>
        <w:tc>
          <w:tcPr>
            <w:tcW w:w="2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  in respect of a Loan under the USD Tranche:</w:t>
            </w:r>
          </w:p>
        </w:tc>
        <w:tc>
          <w:tcPr>
            <w:tcW w:w="14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USD</w:t>
            </w:r>
          </w:p>
        </w:tc>
        <w:tc>
          <w:tcPr>
            <w:tcW w:w="3320" w:type="dxa"/>
            <w:vAlign w:val="bottom"/>
          </w:tcPr>
          <w:p>
            <w:pPr>
              <w:spacing w:after="0"/>
              <w:rPr>
                <w:sz w:val="24"/>
                <w:szCs w:val="24"/>
                <w:color w:val="auto"/>
              </w:rPr>
            </w:pPr>
          </w:p>
        </w:tc>
      </w:tr>
      <w:tr>
        <w:trPr>
          <w:trHeight w:val="635"/>
        </w:trPr>
        <w:tc>
          <w:tcPr>
            <w:tcW w:w="2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(ii)  in respect of a Loan under the EUR Tranche:</w:t>
            </w:r>
          </w:p>
        </w:tc>
        <w:tc>
          <w:tcPr>
            <w:tcW w:w="14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EUR</w:t>
            </w:r>
          </w:p>
        </w:tc>
        <w:tc>
          <w:tcPr>
            <w:tcW w:w="3320" w:type="dxa"/>
            <w:vAlign w:val="bottom"/>
          </w:tcPr>
          <w:p>
            <w:pPr>
              <w:spacing w:after="0"/>
              <w:rPr>
                <w:sz w:val="24"/>
                <w:szCs w:val="24"/>
                <w:color w:val="auto"/>
              </w:rPr>
            </w:pPr>
          </w:p>
        </w:tc>
      </w:tr>
      <w:tr>
        <w:trPr>
          <w:trHeight w:val="635"/>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98"/>
              </w:rPr>
              <w:t>(c)</w:t>
            </w:r>
          </w:p>
        </w:tc>
        <w:tc>
          <w:tcPr>
            <w:tcW w:w="4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Amount:</w:t>
            </w:r>
          </w:p>
        </w:tc>
        <w:tc>
          <w:tcPr>
            <w:tcW w:w="14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73"/>
        </w:trPr>
        <w:tc>
          <w:tcPr>
            <w:tcW w:w="2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  in respect of a Loan under the USD Tranche:</w:t>
            </w:r>
          </w:p>
        </w:tc>
        <w:tc>
          <w:tcPr>
            <w:tcW w:w="14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 ˜ ]</w:t>
            </w:r>
          </w:p>
        </w:tc>
        <w:tc>
          <w:tcPr>
            <w:tcW w:w="3320" w:type="dxa"/>
            <w:vAlign w:val="bottom"/>
          </w:tcPr>
          <w:p>
            <w:pPr>
              <w:spacing w:after="0"/>
              <w:rPr>
                <w:sz w:val="24"/>
                <w:szCs w:val="24"/>
                <w:color w:val="auto"/>
              </w:rPr>
            </w:pPr>
          </w:p>
        </w:tc>
      </w:tr>
      <w:tr>
        <w:trPr>
          <w:trHeight w:val="444"/>
        </w:trPr>
        <w:tc>
          <w:tcPr>
            <w:tcW w:w="24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(ii)  in respect of a Loan under the EUR Tranche:</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w w:val="98"/>
              </w:rPr>
              <w:t>[ ˜ ] (being the equivalent of USD [ ˜ ] converted</w:t>
            </w:r>
          </w:p>
        </w:tc>
      </w:tr>
      <w:tr>
        <w:trPr>
          <w:trHeight w:val="258"/>
        </w:trPr>
        <w:tc>
          <w:tcPr>
            <w:tcW w:w="2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using the Exchange Rate).</w:t>
            </w:r>
          </w:p>
        </w:tc>
      </w:tr>
      <w:tr>
        <w:trPr>
          <w:trHeight w:val="473"/>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w w:val="94"/>
              </w:rPr>
              <w:t>(d)</w:t>
            </w:r>
          </w:p>
        </w:tc>
        <w:tc>
          <w:tcPr>
            <w:tcW w:w="4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Period: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three Months</w:t>
            </w:r>
          </w:p>
        </w:tc>
      </w:tr>
    </w:tbl>
    <w:p>
      <w:pPr>
        <w:spacing w:after="0" w:line="345" w:lineRule="exact"/>
        <w:rPr>
          <w:sz w:val="20"/>
          <w:szCs w:val="20"/>
          <w:color w:val="auto"/>
        </w:rPr>
      </w:pPr>
    </w:p>
    <w:p>
      <w:pPr>
        <w:ind w:left="620" w:right="20" w:hanging="612"/>
        <w:spacing w:after="0" w:line="273" w:lineRule="auto"/>
        <w:tabs>
          <w:tab w:leader="none" w:pos="62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confirm that each condition specified in Clause 4.2 (</w:t>
      </w:r>
      <w:r>
        <w:rPr>
          <w:rFonts w:ascii="Times New Roman" w:cs="Times New Roman" w:eastAsia="Times New Roman" w:hAnsi="Times New Roman"/>
          <w:sz w:val="20"/>
          <w:szCs w:val="20"/>
          <w:i w:val="1"/>
          <w:iCs w:val="1"/>
          <w:color w:val="auto"/>
        </w:rPr>
        <w:t>Further conditions precedent</w:t>
      </w:r>
      <w:r>
        <w:rPr>
          <w:rFonts w:ascii="Times New Roman" w:cs="Times New Roman" w:eastAsia="Times New Roman" w:hAnsi="Times New Roman"/>
          <w:sz w:val="20"/>
          <w:szCs w:val="20"/>
          <w:color w:val="auto"/>
        </w:rPr>
        <w:t>) of the Agreement is satisfied on the date of this Utilisation Request.</w:t>
      </w:r>
    </w:p>
    <w:p>
      <w:pPr>
        <w:spacing w:after="0" w:line="129" w:lineRule="exact"/>
        <w:rPr>
          <w:rFonts w:ascii="Times New Roman" w:cs="Times New Roman" w:eastAsia="Times New Roman" w:hAnsi="Times New Roman"/>
          <w:sz w:val="20"/>
          <w:szCs w:val="20"/>
          <w:color w:val="auto"/>
        </w:rPr>
      </w:pPr>
    </w:p>
    <w:p>
      <w:pPr>
        <w:jc w:val="both"/>
        <w:ind w:left="620" w:hanging="612"/>
        <w:spacing w:after="0" w:line="274" w:lineRule="auto"/>
        <w:tabs>
          <w:tab w:leader="none" w:pos="620"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confirm that the aggregate amount of the proposed Loans is split in a ratio 2/3 amount of the Loan under the USD Tranche and 1/3 amount of the Loan under the EUR Tranche (for the purpose of such calculation notionally converting the amount of the Loan under the EUR Tranche into dollars using the Exchange Rate), and therefore the condition in Clause 5.3(b)(iii) (</w:t>
      </w:r>
      <w:r>
        <w:rPr>
          <w:rFonts w:ascii="Times New Roman" w:cs="Times New Roman" w:eastAsia="Times New Roman" w:hAnsi="Times New Roman"/>
          <w:sz w:val="19"/>
          <w:szCs w:val="19"/>
          <w:i w:val="1"/>
          <w:iCs w:val="1"/>
          <w:color w:val="auto"/>
        </w:rPr>
        <w:t>Currency and amount</w:t>
      </w:r>
      <w:r>
        <w:rPr>
          <w:rFonts w:ascii="Times New Roman" w:cs="Times New Roman" w:eastAsia="Times New Roman" w:hAnsi="Times New Roman"/>
          <w:sz w:val="19"/>
          <w:szCs w:val="19"/>
          <w:color w:val="auto"/>
        </w:rPr>
        <w:t>) is met.</w:t>
      </w:r>
    </w:p>
    <w:p>
      <w:pPr>
        <w:spacing w:after="0" w:line="129" w:lineRule="exact"/>
        <w:rPr>
          <w:rFonts w:ascii="Times New Roman" w:cs="Times New Roman" w:eastAsia="Times New Roman" w:hAnsi="Times New Roman"/>
          <w:sz w:val="19"/>
          <w:szCs w:val="19"/>
          <w:color w:val="auto"/>
        </w:rPr>
      </w:pPr>
    </w:p>
    <w:p>
      <w:pPr>
        <w:ind w:left="620" w:hanging="612"/>
        <w:spacing w:after="0"/>
        <w:tabs>
          <w:tab w:leader="none" w:pos="62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this Loan should be credited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105" w:name="page106"/>
    <w:bookmarkEnd w:id="105"/>
    <w:p>
      <w:pPr>
        <w:ind w:left="1280" w:hanging="624"/>
        <w:spacing w:after="0"/>
        <w:tabs>
          <w:tab w:leader="none" w:pos="128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Loan under the USD Tranche:  [account]</w:t>
      </w:r>
    </w:p>
    <w:p>
      <w:pPr>
        <w:spacing w:after="0" w:line="188" w:lineRule="exact"/>
        <w:rPr>
          <w:rFonts w:ascii="Times New Roman" w:cs="Times New Roman" w:eastAsia="Times New Roman" w:hAnsi="Times New Roman"/>
          <w:sz w:val="20"/>
          <w:szCs w:val="20"/>
          <w:color w:val="auto"/>
        </w:rPr>
      </w:pPr>
    </w:p>
    <w:p>
      <w:pPr>
        <w:ind w:left="1280" w:hanging="624"/>
        <w:spacing w:after="0"/>
        <w:tabs>
          <w:tab w:leader="none" w:pos="128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Loan under the EUR Tranche:  [account]</w:t>
      </w:r>
    </w:p>
    <w:p>
      <w:pPr>
        <w:spacing w:after="0" w:line="18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Utilisation Request is irrevocable.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authorised signatory for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0219"/>
          </w:cols>
          <w:pgMar w:left="240" w:top="576" w:right="1440" w:bottom="1440" w:gutter="0" w:footer="0" w:header="0"/>
        </w:sectPr>
      </w:pPr>
    </w:p>
    <w:bookmarkStart w:id="106" w:name="page107"/>
    <w:bookmarkEnd w:id="106"/>
    <w:p>
      <w:pPr>
        <w:ind w:left="4980"/>
        <w:spacing w:after="0"/>
        <w:rPr>
          <w:sz w:val="20"/>
          <w:szCs w:val="20"/>
          <w:color w:val="auto"/>
        </w:rPr>
      </w:pPr>
      <w:r>
        <w:rPr>
          <w:rFonts w:ascii="Times New Roman" w:cs="Times New Roman" w:eastAsia="Times New Roman" w:hAnsi="Times New Roman"/>
          <w:sz w:val="20"/>
          <w:szCs w:val="20"/>
          <w:b w:val="1"/>
          <w:bCs w:val="1"/>
          <w:color w:val="auto"/>
        </w:rPr>
        <w:t>SCHEDULE 4</w:t>
      </w:r>
    </w:p>
    <w:p>
      <w:pPr>
        <w:spacing w:after="0" w:line="2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FORM OF TRANSFER CERTIFICATE</w:t>
      </w:r>
    </w:p>
    <w:p>
      <w:pPr>
        <w:spacing w:after="0" w:line="167" w:lineRule="exact"/>
        <w:rPr>
          <w:sz w:val="20"/>
          <w:szCs w:val="20"/>
          <w:color w:val="auto"/>
        </w:rPr>
      </w:pPr>
    </w:p>
    <w:p>
      <w:pPr>
        <w:spacing w:after="0"/>
        <w:tabs>
          <w:tab w:leader="none" w:pos="440" w:val="left"/>
          <w:tab w:leader="none" w:pos="1160" w:val="left"/>
        </w:tabs>
        <w:rPr>
          <w:sz w:val="20"/>
          <w:szCs w:val="20"/>
          <w:color w:val="auto"/>
        </w:rPr>
      </w:pPr>
      <w:r>
        <w:rPr>
          <w:rFonts w:ascii="Times New Roman" w:cs="Times New Roman" w:eastAsia="Times New Roman" w:hAnsi="Times New Roman"/>
          <w:sz w:val="20"/>
          <w:szCs w:val="20"/>
          <w:color w:val="auto"/>
        </w:rPr>
        <w:t>To:</w:t>
        <w:tab/>
        <w:t>[</w:t>
      </w:r>
      <w:r>
        <w:rPr>
          <w:sz w:val="20"/>
          <w:szCs w:val="20"/>
          <w:color w:val="auto"/>
        </w:rPr>
        <w:tab/>
      </w:r>
      <w:r>
        <w:rPr>
          <w:rFonts w:ascii="Times New Roman" w:cs="Times New Roman" w:eastAsia="Times New Roman" w:hAnsi="Times New Roman"/>
          <w:sz w:val="19"/>
          <w:szCs w:val="19"/>
          <w:color w:val="auto"/>
        </w:rPr>
        <w:t>] as Agent</w:t>
      </w:r>
    </w:p>
    <w:p>
      <w:pPr>
        <w:spacing w:after="0" w:line="18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From:</w:t>
        <w:tab/>
        <w:t>[</w:t>
      </w:r>
      <w:r>
        <w:rPr>
          <w:rFonts w:ascii="Times New Roman" w:cs="Times New Roman" w:eastAsia="Times New Roman" w:hAnsi="Times New Roman"/>
          <w:sz w:val="20"/>
          <w:szCs w:val="20"/>
          <w:i w:val="1"/>
          <w:iCs w:val="1"/>
          <w:color w:val="auto"/>
        </w:rPr>
        <w:t>The Existing Lender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Existing Lender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The New Lender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18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LivaNova PLC – Facility Agreement</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dated [ ] (the “Agreement”)</w:t>
      </w:r>
    </w:p>
    <w:p>
      <w:pPr>
        <w:spacing w:after="0" w:line="167" w:lineRule="exact"/>
        <w:rPr>
          <w:sz w:val="20"/>
          <w:szCs w:val="20"/>
          <w:color w:val="auto"/>
        </w:rPr>
      </w:pPr>
    </w:p>
    <w:p>
      <w:pPr>
        <w:ind w:left="620" w:hanging="612"/>
        <w:spacing w:after="0" w:line="269" w:lineRule="auto"/>
        <w:tabs>
          <w:tab w:leader="none" w:pos="62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the Agreement. This is a Transfer Certificate. Terms defined in the Agreement have the same meaning in this Transfer Certificate unless given a different meaning in this Transfer Certificate.</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Clause 22.6 (</w:t>
      </w:r>
      <w:r>
        <w:rPr>
          <w:rFonts w:ascii="Times New Roman" w:cs="Times New Roman" w:eastAsia="Times New Roman" w:hAnsi="Times New Roman"/>
          <w:sz w:val="20"/>
          <w:szCs w:val="20"/>
          <w:i w:val="1"/>
          <w:iCs w:val="1"/>
          <w:color w:val="auto"/>
        </w:rPr>
        <w:t>Procedure for transfer</w:t>
      </w:r>
      <w:r>
        <w:rPr>
          <w:rFonts w:ascii="Times New Roman" w:cs="Times New Roman" w:eastAsia="Times New Roman" w:hAnsi="Times New Roman"/>
          <w:sz w:val="20"/>
          <w:szCs w:val="20"/>
          <w:color w:val="auto"/>
        </w:rPr>
        <w:t>) of the Agreement:</w:t>
      </w:r>
    </w:p>
    <w:p>
      <w:pPr>
        <w:spacing w:after="0" w:line="193" w:lineRule="exact"/>
        <w:rPr>
          <w:sz w:val="20"/>
          <w:szCs w:val="20"/>
          <w:color w:val="auto"/>
        </w:rPr>
      </w:pPr>
    </w:p>
    <w:p>
      <w:pPr>
        <w:jc w:val="both"/>
        <w:ind w:left="1280" w:hanging="624"/>
        <w:spacing w:after="0" w:line="249" w:lineRule="auto"/>
        <w:tabs>
          <w:tab w:leader="none" w:pos="1262"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Lender and the New Lender agree to the Existing Lender transferring to the New Lender by novation, and in accordance with Clause 22.6 (</w:t>
      </w:r>
      <w:r>
        <w:rPr>
          <w:rFonts w:ascii="Times New Roman" w:cs="Times New Roman" w:eastAsia="Times New Roman" w:hAnsi="Times New Roman"/>
          <w:sz w:val="20"/>
          <w:szCs w:val="20"/>
          <w:i w:val="1"/>
          <w:iCs w:val="1"/>
          <w:color w:val="auto"/>
        </w:rPr>
        <w:t>Procedure for transfer</w:t>
      </w:r>
      <w:r>
        <w:rPr>
          <w:rFonts w:ascii="Times New Roman" w:cs="Times New Roman" w:eastAsia="Times New Roman" w:hAnsi="Times New Roman"/>
          <w:sz w:val="20"/>
          <w:szCs w:val="20"/>
          <w:color w:val="auto"/>
        </w:rPr>
        <w:t>) of the Agreement, all of the Existing Lender's rights and obligations under the Agreement and the other Finance Documents which relate to that portion of the Existing Lender's Commitment and participations in Loans under the Agreement as specified in the Schedule.</w:t>
      </w:r>
    </w:p>
    <w:p>
      <w:pPr>
        <w:spacing w:after="0" w:line="153" w:lineRule="exact"/>
        <w:rPr>
          <w:sz w:val="20"/>
          <w:szCs w:val="20"/>
          <w:color w:val="auto"/>
        </w:rPr>
      </w:pPr>
    </w:p>
    <w:p>
      <w:pPr>
        <w:ind w:left="660"/>
        <w:spacing w:after="0"/>
        <w:tabs>
          <w:tab w:leader="none" w:pos="1240" w:val="left"/>
          <w:tab w:leader="none" w:pos="45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The proposed Transfer Date is [</w:t>
      </w:r>
      <w:r>
        <w:rPr>
          <w:sz w:val="20"/>
          <w:szCs w:val="20"/>
          <w:color w:val="auto"/>
        </w:rPr>
        <w:tab/>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280" w:hanging="624"/>
        <w:spacing w:after="0" w:line="269" w:lineRule="auto"/>
        <w:tabs>
          <w:tab w:leader="none" w:pos="1262" w:val="left"/>
        </w:tabs>
        <w:numPr>
          <w:ilvl w:val="1"/>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Facility Office and address, fax number and attention details for notices of the New Lender for the purposes of Clause 29.2 (</w:t>
      </w:r>
      <w:r>
        <w:rPr>
          <w:rFonts w:ascii="Times New Roman" w:cs="Times New Roman" w:eastAsia="Times New Roman" w:hAnsi="Times New Roman"/>
          <w:sz w:val="20"/>
          <w:szCs w:val="20"/>
          <w:i w:val="1"/>
          <w:iCs w:val="1"/>
          <w:color w:val="auto"/>
        </w:rPr>
        <w:t>Addresses</w:t>
      </w:r>
      <w:r>
        <w:rPr>
          <w:rFonts w:ascii="Times New Roman" w:cs="Times New Roman" w:eastAsia="Times New Roman" w:hAnsi="Times New Roman"/>
          <w:sz w:val="20"/>
          <w:szCs w:val="20"/>
          <w:color w:val="auto"/>
        </w:rPr>
        <w:t>) of the Agreement are set out in the Schedule.</w:t>
      </w:r>
    </w:p>
    <w:p>
      <w:pPr>
        <w:spacing w:after="0" w:line="132" w:lineRule="exact"/>
        <w:rPr>
          <w:rFonts w:ascii="Times New Roman" w:cs="Times New Roman" w:eastAsia="Times New Roman" w:hAnsi="Times New Roman"/>
          <w:sz w:val="20"/>
          <w:szCs w:val="20"/>
          <w:color w:val="auto"/>
        </w:rPr>
      </w:pPr>
    </w:p>
    <w:p>
      <w:pPr>
        <w:ind w:left="620" w:hanging="612"/>
        <w:spacing w:after="0" w:line="269" w:lineRule="auto"/>
        <w:tabs>
          <w:tab w:leader="none" w:pos="62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expressly acknowledges the limitations on the Existing Lender's obligations set out in paragraph (c) of Clause 22.5 (</w:t>
      </w:r>
      <w:r>
        <w:rPr>
          <w:rFonts w:ascii="Times New Roman" w:cs="Times New Roman" w:eastAsia="Times New Roman" w:hAnsi="Times New Roman"/>
          <w:sz w:val="20"/>
          <w:szCs w:val="20"/>
          <w:i w:val="1"/>
          <w:iCs w:val="1"/>
          <w:color w:val="auto"/>
        </w:rPr>
        <w:t>Limitation of responsibility of Existing Lenders</w:t>
      </w:r>
      <w:r>
        <w:rPr>
          <w:rFonts w:ascii="Times New Roman" w:cs="Times New Roman" w:eastAsia="Times New Roman" w:hAnsi="Times New Roman"/>
          <w:sz w:val="20"/>
          <w:szCs w:val="20"/>
          <w:color w:val="auto"/>
        </w:rPr>
        <w:t>) of the Agreement.</w:t>
      </w:r>
    </w:p>
    <w:p>
      <w:pPr>
        <w:spacing w:after="0" w:line="13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confirms, for the benefit of the Agent and without liability to the Company, that it is: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Lender (other than a Treaty Lender);]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 Qualifying Lender].</w:t>
      </w:r>
      <w:r>
        <w:rPr>
          <w:rFonts w:ascii="Times New Roman" w:cs="Times New Roman" w:eastAsia="Times New Roman" w:hAnsi="Times New Roman"/>
          <w:sz w:val="25"/>
          <w:szCs w:val="25"/>
          <w:color w:val="auto"/>
          <w:vertAlign w:val="superscript"/>
        </w:rPr>
        <w:t>1</w:t>
      </w:r>
    </w:p>
    <w:p>
      <w:pPr>
        <w:spacing w:after="0" w:line="131" w:lineRule="exact"/>
        <w:rPr>
          <w:rFonts w:ascii="Times New Roman" w:cs="Times New Roman" w:eastAsia="Times New Roman" w:hAnsi="Times New Roman"/>
          <w:sz w:val="20"/>
          <w:szCs w:val="20"/>
          <w:color w:val="auto"/>
        </w:rPr>
      </w:pPr>
    </w:p>
    <w:p>
      <w:pPr>
        <w:ind w:left="620" w:hanging="612"/>
        <w:spacing w:after="0" w:line="269" w:lineRule="auto"/>
        <w:tabs>
          <w:tab w:leader="none" w:pos="62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confirms that the person beneficially entitled to interest payable to that Lender in respect of an advance under a Finance Document is either:</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ind w:left="660" w:hanging="652"/>
        <w:spacing w:after="0" w:line="215" w:lineRule="auto"/>
        <w:tabs>
          <w:tab w:leader="none" w:pos="660" w:val="left"/>
        </w:tabs>
        <w:numPr>
          <w:ilvl w:val="0"/>
          <w:numId w:val="3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Delete as applicable - each New Lender is required to confirm which of these three categories it falls within.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991" w:right="239" w:bottom="1440" w:gutter="0" w:footer="0" w:header="0"/>
        </w:sectPr>
      </w:pPr>
    </w:p>
    <w:bookmarkStart w:id="107" w:name="page108"/>
    <w:bookmarkEnd w:id="107"/>
    <w:p>
      <w:pPr>
        <w:ind w:left="1920" w:hanging="642"/>
        <w:spacing w:after="0"/>
        <w:tabs>
          <w:tab w:leader="none" w:pos="1920"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48" w:lineRule="exact"/>
        <w:rPr>
          <w:sz w:val="20"/>
          <w:szCs w:val="20"/>
          <w:color w:val="auto"/>
        </w:rPr>
      </w:pPr>
    </w:p>
    <w:p>
      <w:pPr>
        <w:jc w:val="both"/>
        <w:ind w:firstLine="8"/>
        <w:spacing w:after="0" w:line="237" w:lineRule="auto"/>
        <w:tabs>
          <w:tab w:leader="none" w:pos="365"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confirms that it holds a passport under the HMRC DT Treaty Passport scheme (reference number [ ]) and is tax resident in [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so that interest payable to it by borrowers is generally subject to full exemption from UK withholding tax, and notifies the Company that it wishes that scheme to apply to the Agreement.]</w:t>
      </w:r>
      <w:r>
        <w:rPr>
          <w:rFonts w:ascii="Times New Roman" w:cs="Times New Roman" w:eastAsia="Times New Roman" w:hAnsi="Times New Roman"/>
          <w:sz w:val="25"/>
          <w:szCs w:val="25"/>
          <w:color w:val="auto"/>
          <w:vertAlign w:val="superscript"/>
        </w:rPr>
        <w:t>3</w:t>
      </w:r>
    </w:p>
    <w:p>
      <w:pPr>
        <w:spacing w:after="0" w:line="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[5/6]. This Transfer Certificate may be executed in any number of counterparts and this has the same effect as if the signatures on the counterparts were on a single copy of this Transfer Certificate.</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color w:val="auto"/>
        </w:rPr>
        <w:t>This Transfer Certificate and any non-contractual obligations arising out of or in connection with it are governed by English law.</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This Transfer Certificate has been entered into on the date stated at the beginning of this Transfer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ind w:left="660" w:hanging="652"/>
        <w:spacing w:after="0" w:line="215" w:lineRule="auto"/>
        <w:tabs>
          <w:tab w:leader="none" w:pos="660" w:val="left"/>
        </w:tabs>
        <w:numPr>
          <w:ilvl w:val="0"/>
          <w:numId w:val="3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Insert jurisdiction of tax residence.</w:t>
      </w:r>
    </w:p>
    <w:p>
      <w:pPr>
        <w:spacing w:after="0" w:line="201" w:lineRule="exact"/>
        <w:rPr>
          <w:sz w:val="20"/>
          <w:szCs w:val="20"/>
          <w:color w:val="auto"/>
        </w:rPr>
      </w:pPr>
    </w:p>
    <w:p>
      <w:pPr>
        <w:ind w:left="660" w:hanging="652"/>
        <w:spacing w:after="0" w:line="226" w:lineRule="auto"/>
        <w:tabs>
          <w:tab w:leader="none" w:pos="660" w:val="left"/>
        </w:tabs>
        <w:numPr>
          <w:ilvl w:val="0"/>
          <w:numId w:val="3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Include if New Lender holds a passport under the HMRC DT Treaty Passport scheme and wishes that scheme to apply to the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108" w:name="page109"/>
    <w:bookmarkEnd w:id="108"/>
    <w:p>
      <w:pPr>
        <w:ind w:left="4940"/>
        <w:spacing w:after="0"/>
        <w:rPr>
          <w:sz w:val="20"/>
          <w:szCs w:val="20"/>
          <w:color w:val="auto"/>
        </w:rPr>
      </w:pPr>
      <w:r>
        <w:rPr>
          <w:rFonts w:ascii="Times New Roman" w:cs="Times New Roman" w:eastAsia="Times New Roman" w:hAnsi="Times New Roman"/>
          <w:sz w:val="20"/>
          <w:szCs w:val="20"/>
          <w:b w:val="1"/>
          <w:bCs w:val="1"/>
          <w:color w:val="auto"/>
        </w:rPr>
        <w:t>THE SCHEDULE</w:t>
      </w:r>
    </w:p>
    <w:p>
      <w:pPr>
        <w:spacing w:after="0" w:line="18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Commitment/rights and obligations to be transferred</w:t>
      </w:r>
    </w:p>
    <w:p>
      <w:pPr>
        <w:spacing w:after="0" w:line="18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i w:val="1"/>
          <w:iCs w:val="1"/>
          <w:color w:val="auto"/>
        </w:rPr>
        <w:t>[insert relevant details]</w:t>
      </w:r>
    </w:p>
    <w:p>
      <w:pPr>
        <w:spacing w:after="0" w:line="26"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9"/>
          <w:szCs w:val="19"/>
          <w:i w:val="1"/>
          <w:iCs w:val="1"/>
          <w:color w:val="auto"/>
        </w:rPr>
        <w:t>[Facility Office address, fax number and attention details for notices and account details for payments,]</w:t>
      </w:r>
    </w:p>
    <w:p>
      <w:pPr>
        <w:sectPr>
          <w:pgSz w:w="11900" w:h="16838" w:orient="portrait"/>
          <w:cols w:equalWidth="0" w:num="1">
            <w:col w:w="10219"/>
          </w:cols>
          <w:pgMar w:left="240" w:top="5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699"/>
        <w:spacing w:after="0"/>
        <w:rPr>
          <w:sz w:val="20"/>
          <w:szCs w:val="20"/>
          <w:color w:val="auto"/>
        </w:rPr>
      </w:pPr>
      <w:r>
        <w:rPr>
          <w:rFonts w:ascii="Times New Roman" w:cs="Times New Roman" w:eastAsia="Times New Roman" w:hAnsi="Times New Roman"/>
          <w:sz w:val="19"/>
          <w:szCs w:val="19"/>
          <w:color w:val="auto"/>
        </w:rPr>
        <w:t>[New Lender]</w:t>
      </w:r>
    </w:p>
    <w:p>
      <w:pPr>
        <w:spacing w:after="0" w:line="200" w:lineRule="exact"/>
        <w:rPr>
          <w:sz w:val="20"/>
          <w:szCs w:val="20"/>
          <w:color w:val="auto"/>
        </w:rPr>
      </w:pPr>
    </w:p>
    <w:p>
      <w:pPr>
        <w:sectPr>
          <w:pgSz w:w="11900" w:h="16838" w:orient="portrait"/>
          <w:cols w:equalWidth="0" w:num="2">
            <w:col w:w="4700" w:space="720"/>
            <w:col w:w="4799"/>
          </w:cols>
          <w:pgMar w:left="240" w:top="572" w:right="1440"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0" w:lineRule="exact"/>
        <w:rPr>
          <w:sz w:val="20"/>
          <w:szCs w:val="20"/>
          <w:color w:val="auto"/>
        </w:rPr>
      </w:pPr>
    </w:p>
    <w:p>
      <w:pPr>
        <w:sectPr>
          <w:pgSz w:w="11900" w:h="16838" w:orient="portrait"/>
          <w:cols w:equalWidth="0" w:num="2">
            <w:col w:w="4700" w:space="720"/>
            <w:col w:w="4799"/>
          </w:cols>
          <w:pgMar w:left="240" w:top="57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20"/>
          <w:szCs w:val="20"/>
          <w:color w:val="auto"/>
        </w:rPr>
        <w:t>This Transfer Certificate is accepted by the Agent and the Transfer Date is confirmed as [</w:t>
      </w:r>
      <w:r>
        <w:rPr>
          <w:sz w:val="20"/>
          <w:szCs w:val="20"/>
          <w:color w:val="auto"/>
        </w:rPr>
        <w:tab/>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0219"/>
          </w:cols>
          <w:pgMar w:left="240" w:top="572" w:right="1440" w:bottom="1440" w:gutter="0" w:footer="0" w:header="0"/>
          <w:type w:val="continuous"/>
        </w:sectPr>
      </w:pPr>
    </w:p>
    <w:bookmarkStart w:id="109" w:name="page110"/>
    <w:bookmarkEnd w:id="109"/>
    <w:p>
      <w:pPr>
        <w:ind w:left="4980"/>
        <w:spacing w:after="0"/>
        <w:rPr>
          <w:sz w:val="20"/>
          <w:szCs w:val="20"/>
          <w:color w:val="auto"/>
        </w:rPr>
      </w:pPr>
      <w:r>
        <w:rPr>
          <w:rFonts w:ascii="Times New Roman" w:cs="Times New Roman" w:eastAsia="Times New Roman" w:hAnsi="Times New Roman"/>
          <w:sz w:val="20"/>
          <w:szCs w:val="20"/>
          <w:b w:val="1"/>
          <w:bCs w:val="1"/>
          <w:color w:val="auto"/>
        </w:rPr>
        <w:t>SCHEDULE 5</w:t>
      </w:r>
    </w:p>
    <w:p>
      <w:pPr>
        <w:spacing w:after="0" w:line="2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FORM OF ASSIGNMENT AGREEMENT</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tab/>
        <w:t>[ ] as Agent and LivaNova PLC as Company</w:t>
      </w:r>
    </w:p>
    <w:p>
      <w:pPr>
        <w:spacing w:after="0" w:line="18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From:</w:t>
        <w:tab/>
        <w:t xml:space="preserve">[the </w:t>
      </w:r>
      <w:r>
        <w:rPr>
          <w:rFonts w:ascii="Times New Roman" w:cs="Times New Roman" w:eastAsia="Times New Roman" w:hAnsi="Times New Roman"/>
          <w:sz w:val="20"/>
          <w:szCs w:val="20"/>
          <w:i w:val="1"/>
          <w:iCs w:val="1"/>
          <w:color w:val="auto"/>
        </w:rPr>
        <w:t>Existing Lender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Existing Lender</w:t>
      </w:r>
      <w:r>
        <w:rPr>
          <w:rFonts w:ascii="Times New Roman" w:cs="Times New Roman" w:eastAsia="Times New Roman" w:hAnsi="Times New Roman"/>
          <w:sz w:val="20"/>
          <w:szCs w:val="20"/>
          <w:color w:val="auto"/>
        </w:rPr>
        <w:t xml:space="preserve">”) and [the </w:t>
      </w:r>
      <w:r>
        <w:rPr>
          <w:rFonts w:ascii="Times New Roman" w:cs="Times New Roman" w:eastAsia="Times New Roman" w:hAnsi="Times New Roman"/>
          <w:sz w:val="20"/>
          <w:szCs w:val="20"/>
          <w:i w:val="1"/>
          <w:iCs w:val="1"/>
          <w:color w:val="auto"/>
        </w:rPr>
        <w:t>New Lender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18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LivaNova PLC - Facility Agreement</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dated [ ] (the “Agreement”)</w:t>
      </w:r>
    </w:p>
    <w:p>
      <w:pPr>
        <w:spacing w:after="0" w:line="167" w:lineRule="exact"/>
        <w:rPr>
          <w:sz w:val="20"/>
          <w:szCs w:val="20"/>
          <w:color w:val="auto"/>
        </w:rPr>
      </w:pPr>
    </w:p>
    <w:p>
      <w:pPr>
        <w:ind w:left="620" w:right="20" w:hanging="612"/>
        <w:spacing w:after="0" w:line="269" w:lineRule="auto"/>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the Agreement. This is an Assignment Agreement. Terms defined in the Agreement have the same meaning in this Assignment Agreement unless given a different meaning in this Assignment Agreement.</w:t>
      </w:r>
    </w:p>
    <w:p>
      <w:pPr>
        <w:spacing w:after="0" w:line="12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Clause 22.7 (</w:t>
      </w:r>
      <w:r>
        <w:rPr>
          <w:rFonts w:ascii="Times New Roman" w:cs="Times New Roman" w:eastAsia="Times New Roman" w:hAnsi="Times New Roman"/>
          <w:sz w:val="20"/>
          <w:szCs w:val="20"/>
          <w:i w:val="1"/>
          <w:iCs w:val="1"/>
          <w:color w:val="auto"/>
        </w:rPr>
        <w:t>Procedure for assignment</w:t>
      </w:r>
      <w:r>
        <w:rPr>
          <w:rFonts w:ascii="Times New Roman" w:cs="Times New Roman" w:eastAsia="Times New Roman" w:hAnsi="Times New Roman"/>
          <w:sz w:val="20"/>
          <w:szCs w:val="20"/>
          <w:color w:val="auto"/>
        </w:rPr>
        <w:t>) of the Agreement:</w:t>
      </w:r>
    </w:p>
    <w:p>
      <w:pPr>
        <w:spacing w:after="0" w:line="192" w:lineRule="exact"/>
        <w:rPr>
          <w:rFonts w:ascii="Times New Roman" w:cs="Times New Roman" w:eastAsia="Times New Roman" w:hAnsi="Times New Roman"/>
          <w:sz w:val="20"/>
          <w:szCs w:val="20"/>
          <w:color w:val="auto"/>
        </w:rPr>
      </w:pPr>
    </w:p>
    <w:p>
      <w:pPr>
        <w:jc w:val="both"/>
        <w:ind w:left="1280" w:hanging="624"/>
        <w:spacing w:after="0" w:line="254" w:lineRule="auto"/>
        <w:tabs>
          <w:tab w:leader="none" w:pos="1262"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Lender assigns absolutely to the New Lender all the rights of the Existing Lender under the Agreement and the other Finance Documents which relate to that portion of the Existing Lender's Commitment and participations in Loans under the Agreement as specified in the Schedule.</w:t>
      </w:r>
    </w:p>
    <w:p>
      <w:pPr>
        <w:spacing w:after="0" w:line="147" w:lineRule="exact"/>
        <w:rPr>
          <w:rFonts w:ascii="Times New Roman" w:cs="Times New Roman" w:eastAsia="Times New Roman" w:hAnsi="Times New Roman"/>
          <w:sz w:val="20"/>
          <w:szCs w:val="20"/>
          <w:color w:val="auto"/>
        </w:rPr>
      </w:pPr>
    </w:p>
    <w:p>
      <w:pPr>
        <w:ind w:left="1280" w:hanging="624"/>
        <w:spacing w:after="0" w:line="269" w:lineRule="auto"/>
        <w:tabs>
          <w:tab w:leader="none" w:pos="1262"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Lender is released from all the obligations of the Existing Lender which correspond to that portion of the Existing Lender's Commitment and participations in Loans under the Agreement specified in the Schedule.</w:t>
      </w:r>
    </w:p>
    <w:p>
      <w:pPr>
        <w:spacing w:after="0" w:line="132" w:lineRule="exact"/>
        <w:rPr>
          <w:rFonts w:ascii="Times New Roman" w:cs="Times New Roman" w:eastAsia="Times New Roman" w:hAnsi="Times New Roman"/>
          <w:sz w:val="20"/>
          <w:szCs w:val="20"/>
          <w:color w:val="auto"/>
        </w:rPr>
      </w:pPr>
    </w:p>
    <w:p>
      <w:pPr>
        <w:ind w:left="1280" w:right="20" w:hanging="624"/>
        <w:spacing w:after="0" w:line="269" w:lineRule="auto"/>
        <w:tabs>
          <w:tab w:leader="none" w:pos="1262"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becomes a Party as a Lender and is bound by obligations equivalent to those from which the Existing Lender is released under paragraph (b) above.</w:t>
      </w:r>
    </w:p>
    <w:p>
      <w:pPr>
        <w:spacing w:after="0" w:line="13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Transfer Date is [ ].</w:t>
      </w:r>
    </w:p>
    <w:p>
      <w:pPr>
        <w:spacing w:after="0" w:line="188"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Transfer Date the New Lender becomes Party to the Finance Documents as a Lender.</w:t>
      </w:r>
    </w:p>
    <w:p>
      <w:pPr>
        <w:spacing w:after="0" w:line="188" w:lineRule="exact"/>
        <w:rPr>
          <w:rFonts w:ascii="Times New Roman" w:cs="Times New Roman" w:eastAsia="Times New Roman" w:hAnsi="Times New Roman"/>
          <w:sz w:val="20"/>
          <w:szCs w:val="20"/>
          <w:color w:val="auto"/>
        </w:rPr>
      </w:pPr>
    </w:p>
    <w:p>
      <w:pPr>
        <w:ind w:left="620" w:hanging="612"/>
        <w:spacing w:after="0" w:line="269" w:lineRule="auto"/>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Facility Office and address, fax number and attention details for notices of the New Lender for the purposes of Clause 29.2 (</w:t>
      </w:r>
      <w:r>
        <w:rPr>
          <w:rFonts w:ascii="Times New Roman" w:cs="Times New Roman" w:eastAsia="Times New Roman" w:hAnsi="Times New Roman"/>
          <w:sz w:val="20"/>
          <w:szCs w:val="20"/>
          <w:i w:val="1"/>
          <w:iCs w:val="1"/>
          <w:color w:val="auto"/>
        </w:rPr>
        <w:t>Addresses</w:t>
      </w:r>
      <w:r>
        <w:rPr>
          <w:rFonts w:ascii="Times New Roman" w:cs="Times New Roman" w:eastAsia="Times New Roman" w:hAnsi="Times New Roman"/>
          <w:sz w:val="20"/>
          <w:szCs w:val="20"/>
          <w:color w:val="auto"/>
        </w:rPr>
        <w:t>) of the Agreement are set out in the Schedule.</w:t>
      </w:r>
    </w:p>
    <w:p>
      <w:pPr>
        <w:spacing w:after="0" w:line="132" w:lineRule="exact"/>
        <w:rPr>
          <w:rFonts w:ascii="Times New Roman" w:cs="Times New Roman" w:eastAsia="Times New Roman" w:hAnsi="Times New Roman"/>
          <w:sz w:val="20"/>
          <w:szCs w:val="20"/>
          <w:color w:val="auto"/>
        </w:rPr>
      </w:pPr>
    </w:p>
    <w:p>
      <w:pPr>
        <w:ind w:left="620" w:hanging="612"/>
        <w:spacing w:after="0" w:line="269" w:lineRule="auto"/>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expressly acknowledges the limitations on the Existing Lender's obligations set out in paragraph (c) of Clause 22.5 (</w:t>
      </w:r>
      <w:r>
        <w:rPr>
          <w:rFonts w:ascii="Times New Roman" w:cs="Times New Roman" w:eastAsia="Times New Roman" w:hAnsi="Times New Roman"/>
          <w:sz w:val="20"/>
          <w:szCs w:val="20"/>
          <w:i w:val="1"/>
          <w:iCs w:val="1"/>
          <w:color w:val="auto"/>
        </w:rPr>
        <w:t>Limitation of responsibility of Existing Lenders</w:t>
      </w:r>
      <w:r>
        <w:rPr>
          <w:rFonts w:ascii="Times New Roman" w:cs="Times New Roman" w:eastAsia="Times New Roman" w:hAnsi="Times New Roman"/>
          <w:sz w:val="20"/>
          <w:szCs w:val="20"/>
          <w:color w:val="auto"/>
        </w:rPr>
        <w:t>) of the Agreement.</w:t>
      </w:r>
    </w:p>
    <w:p>
      <w:pPr>
        <w:spacing w:after="0" w:line="13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confirms, for the benefit of the Agent and without liability to the Company, that it is: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Lender (other than a Treaty Lender);]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 Qualifying Lender].</w:t>
      </w:r>
      <w:r>
        <w:rPr>
          <w:rFonts w:ascii="Times New Roman" w:cs="Times New Roman" w:eastAsia="Times New Roman" w:hAnsi="Times New Roman"/>
          <w:sz w:val="25"/>
          <w:szCs w:val="25"/>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ind w:left="660" w:hanging="652"/>
        <w:spacing w:after="0" w:line="215" w:lineRule="auto"/>
        <w:tabs>
          <w:tab w:leader="none" w:pos="660" w:val="left"/>
        </w:tabs>
        <w:numPr>
          <w:ilvl w:val="0"/>
          <w:numId w:val="3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Delete as applicable - each New Lender is required to confirm which of these three categories it falls within,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sectPr>
      </w:pPr>
    </w:p>
    <w:bookmarkStart w:id="110" w:name="page111"/>
    <w:bookmarkEnd w:id="110"/>
    <w:p>
      <w:pPr>
        <w:ind w:left="620" w:hanging="612"/>
        <w:spacing w:after="0" w:line="269" w:lineRule="auto"/>
        <w:tabs>
          <w:tab w:leader="none" w:pos="6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The New Lender confirms that the person beneficially entitled to interest payable to that Lender in respect of an advance under a Finance Document is either:</w:t>
      </w:r>
    </w:p>
    <w:p>
      <w:pPr>
        <w:spacing w:after="0" w:line="132"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18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188" w:lineRule="exact"/>
        <w:rPr>
          <w:rFonts w:ascii="Times New Roman" w:cs="Times New Roman" w:eastAsia="Times New Roman" w:hAnsi="Times New Roman"/>
          <w:sz w:val="20"/>
          <w:szCs w:val="20"/>
          <w:color w:val="auto"/>
        </w:rPr>
      </w:pPr>
    </w:p>
    <w:p>
      <w:pPr>
        <w:ind w:left="1920" w:hanging="642"/>
        <w:spacing w:after="0"/>
        <w:tabs>
          <w:tab w:leader="none" w:pos="1920" w:val="left"/>
        </w:tabs>
        <w:numPr>
          <w:ilvl w:val="2"/>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188" w:lineRule="exact"/>
        <w:rPr>
          <w:rFonts w:ascii="Times New Roman" w:cs="Times New Roman" w:eastAsia="Times New Roman" w:hAnsi="Times New Roman"/>
          <w:sz w:val="20"/>
          <w:szCs w:val="20"/>
          <w:color w:val="auto"/>
        </w:rPr>
      </w:pPr>
    </w:p>
    <w:p>
      <w:pPr>
        <w:jc w:val="both"/>
        <w:ind w:left="1920" w:hanging="642"/>
        <w:spacing w:after="0" w:line="249" w:lineRule="auto"/>
        <w:tabs>
          <w:tab w:leader="none" w:pos="1920" w:val="left"/>
        </w:tabs>
        <w:numPr>
          <w:ilvl w:val="2"/>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53" w:lineRule="exact"/>
        <w:rPr>
          <w:rFonts w:ascii="Times New Roman" w:cs="Times New Roman" w:eastAsia="Times New Roman" w:hAnsi="Times New Roman"/>
          <w:sz w:val="20"/>
          <w:szCs w:val="20"/>
          <w:color w:val="auto"/>
        </w:rPr>
      </w:pPr>
    </w:p>
    <w:p>
      <w:pPr>
        <w:jc w:val="both"/>
        <w:ind w:left="1280" w:hanging="624"/>
        <w:spacing w:after="0" w:line="262" w:lineRule="auto"/>
        <w:tabs>
          <w:tab w:leader="none" w:pos="1262"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Times New Roman" w:cs="Times New Roman" w:eastAsia="Times New Roman" w:hAnsi="Times New Roman"/>
          <w:sz w:val="25"/>
          <w:szCs w:val="25"/>
          <w:color w:val="auto"/>
          <w:vertAlign w:val="superscript"/>
        </w:rPr>
        <w:t>5</w:t>
      </w:r>
    </w:p>
    <w:p>
      <w:pPr>
        <w:spacing w:after="0" w:line="61" w:lineRule="exact"/>
        <w:rPr>
          <w:rFonts w:ascii="Times New Roman" w:cs="Times New Roman" w:eastAsia="Times New Roman" w:hAnsi="Times New Roman"/>
          <w:sz w:val="20"/>
          <w:szCs w:val="20"/>
          <w:color w:val="auto"/>
        </w:rPr>
      </w:pPr>
    </w:p>
    <w:p>
      <w:pPr>
        <w:jc w:val="both"/>
        <w:ind w:left="620" w:hanging="612"/>
        <w:spacing w:after="0" w:line="237" w:lineRule="auto"/>
        <w:tabs>
          <w:tab w:leader="none" w:pos="6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New Lender confirms that it holds a passport under the HMRC DT Treaty Passport scheme (reference number [ ]) and is tax resident in [ ]</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so that interest payable to it by borrowers is generally subject to full exemption from UK withholding tax, and notifies the Company that it wishes that scheme to apply to the Agreement.]</w:t>
      </w:r>
      <w:r>
        <w:rPr>
          <w:rFonts w:ascii="Times New Roman" w:cs="Times New Roman" w:eastAsia="Times New Roman" w:hAnsi="Times New Roman"/>
          <w:sz w:val="25"/>
          <w:szCs w:val="25"/>
          <w:color w:val="auto"/>
          <w:vertAlign w:val="superscript"/>
        </w:rPr>
        <w:t>7</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[8/9]. This Assignment Agreement acts as notice to the Agent (on behalf of each Finance Party) and, upon delivery in accordance with Clause 22.8 (</w:t>
      </w:r>
      <w:r>
        <w:rPr>
          <w:rFonts w:ascii="Times New Roman" w:cs="Times New Roman" w:eastAsia="Times New Roman" w:hAnsi="Times New Roman"/>
          <w:sz w:val="20"/>
          <w:szCs w:val="20"/>
          <w:i w:val="1"/>
          <w:iCs w:val="1"/>
          <w:color w:val="auto"/>
        </w:rPr>
        <w:t>Copy of Transfer Certificate or Assignment Agreement to Company</w:t>
      </w:r>
      <w:r>
        <w:rPr>
          <w:rFonts w:ascii="Times New Roman" w:cs="Times New Roman" w:eastAsia="Times New Roman" w:hAnsi="Times New Roman"/>
          <w:sz w:val="20"/>
          <w:szCs w:val="20"/>
          <w:color w:val="auto"/>
        </w:rPr>
        <w:t>) of the Agreement, to the Company (on behalf of the Company) of the assignment referred to in this Assignment Agreement.</w:t>
      </w:r>
    </w:p>
    <w:p>
      <w:pPr>
        <w:spacing w:after="0" w:line="1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[9/10]. This Assignment Agreement may be executed in any number of counterparts and this has the same effect as if the signatures on the counterparts were on a single copy of this Assignment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[10/11].This Assignment Agreement and any non-contractual obligations arising out of or in connection with it are governed by English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[11/12].This Assignment Agreement has been entered into on the date stated at the beginning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18" w:lineRule="exact"/>
        <w:rPr>
          <w:sz w:val="20"/>
          <w:szCs w:val="20"/>
          <w:color w:val="auto"/>
        </w:rPr>
      </w:pPr>
    </w:p>
    <w:p>
      <w:pPr>
        <w:ind w:left="660" w:hanging="652"/>
        <w:spacing w:after="0" w:line="217" w:lineRule="auto"/>
        <w:tabs>
          <w:tab w:leader="none" w:pos="660" w:val="left"/>
        </w:tabs>
        <w:numPr>
          <w:ilvl w:val="0"/>
          <w:numId w:val="3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Include only if New Lender is a UK Non-Bank Lender - i.e. falls within paragraph (a)(ii) of the definition of Qualifying Lender in Clause 12.1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hanging="652"/>
        <w:spacing w:after="0"/>
        <w:tabs>
          <w:tab w:leader="none" w:pos="660" w:val="left"/>
        </w:tabs>
        <w:numPr>
          <w:ilvl w:val="0"/>
          <w:numId w:val="3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Insert jurisdiction of tax residence.</w:t>
      </w:r>
    </w:p>
    <w:p>
      <w:pPr>
        <w:spacing w:after="0" w:line="201" w:lineRule="exact"/>
        <w:rPr>
          <w:sz w:val="20"/>
          <w:szCs w:val="20"/>
          <w:color w:val="auto"/>
        </w:rPr>
      </w:pPr>
    </w:p>
    <w:p>
      <w:pPr>
        <w:ind w:left="660" w:hanging="652"/>
        <w:spacing w:after="0" w:line="226" w:lineRule="auto"/>
        <w:tabs>
          <w:tab w:leader="none" w:pos="660" w:val="left"/>
        </w:tabs>
        <w:numPr>
          <w:ilvl w:val="0"/>
          <w:numId w:val="3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Include if New Lender holds a passport under the HMRC DT Treaty Passport scheme and wishes that scheme to apply to the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6" w:right="2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SCHEDULE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Rights to be assigned and obligations to be released and undertaken</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[insert relevant details]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[Facility Office address, fax number and attention details for notices and account details for payments]</w:t>
      </w:r>
    </w:p>
    <w:p>
      <w:pPr>
        <w:sectPr>
          <w:pgSz w:w="11900" w:h="16838" w:orient="portrait"/>
          <w:cols w:equalWidth="0" w:num="1">
            <w:col w:w="11420"/>
          </w:cols>
          <w:pgMar w:left="240" w:top="572" w:right="239" w:bottom="1440" w:gutter="0" w:footer="0" w:header="0"/>
        </w:sect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Lender]</w:t>
      </w:r>
    </w:p>
    <w:p>
      <w:pPr>
        <w:spacing w:after="0" w:line="200" w:lineRule="exact"/>
        <w:rPr>
          <w:sz w:val="20"/>
          <w:szCs w:val="20"/>
          <w:color w:val="auto"/>
        </w:rPr>
      </w:pPr>
    </w:p>
    <w:p>
      <w:pPr>
        <w:sectPr>
          <w:pgSz w:w="11900" w:h="16838" w:orient="portrait"/>
          <w:cols w:equalWidth="0" w:num="2">
            <w:col w:w="4700" w:space="720"/>
            <w:col w:w="6000"/>
          </w:cols>
          <w:pgMar w:left="240" w:top="572" w:right="23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0" w:lineRule="exact"/>
        <w:rPr>
          <w:sz w:val="20"/>
          <w:szCs w:val="20"/>
          <w:color w:val="auto"/>
        </w:rPr>
      </w:pPr>
    </w:p>
    <w:p>
      <w:pPr>
        <w:sectPr>
          <w:pgSz w:w="11900" w:h="16838" w:orient="portrait"/>
          <w:cols w:equalWidth="0" w:num="2">
            <w:col w:w="4700" w:space="720"/>
            <w:col w:w="6000"/>
          </w:cols>
          <w:pgMar w:left="240" w:top="57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Assignment Agreement is accepted by the Agent and the Transfer Date is confirmed as [ ].</w:t>
      </w:r>
    </w:p>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Signature of this Assignment Agreement by the Agent constitutes confirmation by the Agent of receipt of notice of the assignment referred to herein, which notice the Agent receives on behalf of each Finance Party.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type w:val="continuous"/>
        </w:sectPr>
      </w:pPr>
    </w:p>
    <w:bookmarkStart w:id="112" w:name="page113"/>
    <w:bookmarkEnd w:id="112"/>
    <w:p>
      <w:pPr>
        <w:ind w:left="4980"/>
        <w:spacing w:after="0"/>
        <w:rPr>
          <w:sz w:val="20"/>
          <w:szCs w:val="20"/>
          <w:color w:val="auto"/>
        </w:rPr>
      </w:pPr>
      <w:r>
        <w:rPr>
          <w:rFonts w:ascii="Times New Roman" w:cs="Times New Roman" w:eastAsia="Times New Roman" w:hAnsi="Times New Roman"/>
          <w:sz w:val="20"/>
          <w:szCs w:val="20"/>
          <w:b w:val="1"/>
          <w:bCs w:val="1"/>
          <w:color w:val="auto"/>
        </w:rPr>
        <w:t>SCHEDULE 6</w:t>
      </w:r>
    </w:p>
    <w:p>
      <w:pPr>
        <w:spacing w:after="0" w:line="2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FORM OF COMPLIANCE CERTIFICATE</w:t>
      </w:r>
    </w:p>
    <w:p>
      <w:pPr>
        <w:spacing w:after="0" w:line="167" w:lineRule="exact"/>
        <w:rPr>
          <w:sz w:val="20"/>
          <w:szCs w:val="20"/>
          <w:color w:val="auto"/>
        </w:rPr>
      </w:pPr>
    </w:p>
    <w:p>
      <w:pPr>
        <w:spacing w:after="0"/>
        <w:tabs>
          <w:tab w:leader="none" w:pos="440" w:val="left"/>
          <w:tab w:leader="none" w:pos="1060" w:val="left"/>
        </w:tabs>
        <w:rPr>
          <w:sz w:val="20"/>
          <w:szCs w:val="20"/>
          <w:color w:val="auto"/>
        </w:rPr>
      </w:pPr>
      <w:r>
        <w:rPr>
          <w:rFonts w:ascii="Times New Roman" w:cs="Times New Roman" w:eastAsia="Times New Roman" w:hAnsi="Times New Roman"/>
          <w:sz w:val="20"/>
          <w:szCs w:val="20"/>
          <w:color w:val="auto"/>
        </w:rPr>
        <w:t>To:</w:t>
        <w:tab/>
        <w:t>[</w:t>
      </w:r>
      <w:r>
        <w:rPr>
          <w:sz w:val="20"/>
          <w:szCs w:val="20"/>
          <w:color w:val="auto"/>
        </w:rPr>
        <w:tab/>
      </w:r>
      <w:r>
        <w:rPr>
          <w:rFonts w:ascii="Times New Roman" w:cs="Times New Roman" w:eastAsia="Times New Roman" w:hAnsi="Times New Roman"/>
          <w:sz w:val="19"/>
          <w:szCs w:val="19"/>
          <w:color w:val="auto"/>
        </w:rPr>
        <w:t>] as Agent</w:t>
      </w:r>
    </w:p>
    <w:p>
      <w:pPr>
        <w:spacing w:after="0" w:line="1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From:</w:t>
        <w:tab/>
        <w:t>LivaNova PLC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w:t>
      </w:r>
    </w:p>
    <w:p>
      <w:pPr>
        <w:spacing w:after="0" w:line="18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LivaNova PLC – Facility Agreement</w:t>
      </w:r>
    </w:p>
    <w:p>
      <w:pPr>
        <w:spacing w:after="0" w:line="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dated [ ] (the “Agreement”)</w:t>
      </w:r>
    </w:p>
    <w:p>
      <w:pPr>
        <w:spacing w:after="0" w:line="167" w:lineRule="exact"/>
        <w:rPr>
          <w:sz w:val="20"/>
          <w:szCs w:val="20"/>
          <w:color w:val="auto"/>
        </w:rPr>
      </w:pPr>
    </w:p>
    <w:p>
      <w:pPr>
        <w:ind w:left="620" w:hanging="612"/>
        <w:spacing w:after="0" w:line="269" w:lineRule="auto"/>
        <w:tabs>
          <w:tab w:leader="none" w:pos="62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3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confirm that:</w:t>
      </w:r>
    </w:p>
    <w:p>
      <w:pPr>
        <w:spacing w:after="0" w:line="188"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82"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Net Financial Indebtedness as at the most recent Accounting Date was [ ˜ ], therefore the Consolidated Net Financial Indebtedness was not more than 2.50 times the Consolidated EBITDA for the applicable Test Period ending on that Accounting Date and the covenant contained in Clause 19.1(a) has been complied with.</w:t>
      </w:r>
    </w:p>
    <w:p>
      <w:pPr>
        <w:spacing w:after="0" w:line="147"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82"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EBITDA for the applicable Test Period ending on the most recent Accounting Date was [ ˜ ], therefore the Consolidated EBITDA was not lower than 6.30 times the Consolidated Total Net Interest Payable for that Test Period and the covenant contained in Clause 19.1(b) has been complied with.</w:t>
      </w:r>
    </w:p>
    <w:p>
      <w:pPr>
        <w:spacing w:after="0" w:line="147"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282"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Net Financial Indebtedness as at the most recent Accounting Date was [ ˜ ], therefore the Consolidated Net Financial Indebtedness was not more than 0.50 times the Consolidated Net Worth as at that Accounting Date and the covenant contained in Clause 19.1(c) has been complied with.</w:t>
      </w:r>
    </w:p>
    <w:p>
      <w:pPr>
        <w:spacing w:after="0" w:line="147" w:lineRule="exact"/>
        <w:rPr>
          <w:rFonts w:ascii="Times New Roman" w:cs="Times New Roman" w:eastAsia="Times New Roman" w:hAnsi="Times New Roman"/>
          <w:sz w:val="20"/>
          <w:szCs w:val="20"/>
          <w:color w:val="auto"/>
        </w:rPr>
      </w:pPr>
    </w:p>
    <w:p>
      <w:pPr>
        <w:ind w:left="1300" w:hanging="644"/>
        <w:spacing w:after="0" w:line="269" w:lineRule="auto"/>
        <w:tabs>
          <w:tab w:leader="none" w:pos="1282"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Net Worth as at the most recent Accounting Date was [ ˜ ], therefore the Consolidated Net Worth was not lower than USD 725,000,000 and the covenant contained in Clause 19.1(d) has been complied with.</w:t>
      </w:r>
    </w:p>
    <w:p>
      <w:pPr>
        <w:spacing w:after="0" w:line="132"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confirm that no Default is continuing.]*</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Signed:</w:t>
      </w:r>
    </w:p>
    <w:p>
      <w:pPr>
        <w:sectPr>
          <w:pgSz w:w="11900" w:h="16838" w:orient="portrait"/>
          <w:cols w:equalWidth="0" w:num="1">
            <w:col w:w="11420"/>
          </w:cols>
          <w:pgMar w:left="240" w:top="572" w:right="239" w:bottom="1440" w:gutter="0" w:footer="0" w:header="0"/>
        </w:sectPr>
      </w:pPr>
    </w:p>
    <w:p>
      <w:pPr>
        <w:spacing w:after="0" w:line="5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color w:val="auto"/>
        </w:rPr>
        <w:t>[Director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65" w:lineRule="exact"/>
        <w:rPr>
          <w:sz w:val="20"/>
          <w:szCs w:val="20"/>
          <w:color w:val="auto"/>
        </w:rPr>
      </w:pPr>
    </w:p>
    <w:p>
      <w:pPr>
        <w:sectPr>
          <w:pgSz w:w="11900" w:h="16838" w:orient="portrait"/>
          <w:cols w:equalWidth="0" w:num="2">
            <w:col w:w="5260" w:space="720"/>
            <w:col w:w="5440"/>
          </w:cols>
          <w:pgMar w:left="240" w:top="572" w:right="2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9"/>
          <w:szCs w:val="19"/>
          <w:color w:val="auto"/>
        </w:rPr>
        <w:t>of LivaNova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of LivaNova PLC]</w:t>
      </w:r>
    </w:p>
    <w:p>
      <w:pPr>
        <w:spacing w:after="0" w:line="65" w:lineRule="exact"/>
        <w:rPr>
          <w:sz w:val="20"/>
          <w:szCs w:val="20"/>
          <w:color w:val="auto"/>
        </w:rPr>
      </w:pPr>
    </w:p>
    <w:p>
      <w:pPr>
        <w:sectPr>
          <w:pgSz w:w="11900" w:h="16838" w:orient="portrait"/>
          <w:cols w:equalWidth="0" w:num="2">
            <w:col w:w="5260" w:space="720"/>
            <w:col w:w="5440"/>
          </w:cols>
          <w:pgMar w:left="240" w:top="572" w:right="2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20"/>
          <w:szCs w:val="20"/>
          <w:color w:val="auto"/>
        </w:rPr>
        <w:t>OR</w:t>
      </w:r>
      <w:r>
        <w:rPr>
          <w:rFonts w:ascii="Times New Roman" w:cs="Times New Roman" w:eastAsia="Times New Roman" w:hAnsi="Times New Roman"/>
          <w:sz w:val="12"/>
          <w:szCs w:val="12"/>
          <w:color w:val="auto"/>
        </w:rPr>
        <w:t>8</w:t>
      </w:r>
    </w:p>
    <w:p>
      <w:pPr>
        <w:spacing w:after="0" w:line="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of LivaNova PLC]</w:t>
      </w:r>
    </w:p>
    <w:p>
      <w:pPr>
        <w:sectPr>
          <w:pgSz w:w="11900" w:h="16838" w:orient="portrait"/>
          <w:cols w:equalWidth="0" w:num="1">
            <w:col w:w="11420"/>
          </w:cols>
          <w:pgMar w:left="240" w:top="57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60" w:hanging="652"/>
        <w:spacing w:after="0"/>
        <w:tabs>
          <w:tab w:leader="none" w:pos="660"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statement cannot be made, the certificate should identify any Default that is continuing and the steps, if any, being taken to remedy it.</w:t>
      </w:r>
    </w:p>
    <w:p>
      <w:pPr>
        <w:spacing w:after="0" w:line="165" w:lineRule="exact"/>
        <w:rPr>
          <w:sz w:val="20"/>
          <w:szCs w:val="20"/>
          <w:color w:val="auto"/>
        </w:rPr>
      </w:pPr>
    </w:p>
    <w:p>
      <w:pPr>
        <w:ind w:left="660" w:hanging="652"/>
        <w:spacing w:after="0"/>
        <w:tabs>
          <w:tab w:leader="none" w:pos="660" w:val="left"/>
        </w:tabs>
        <w:numPr>
          <w:ilvl w:val="0"/>
          <w:numId w:val="3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Delete as appropriate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420"/>
          </w:cols>
          <w:pgMar w:left="240" w:top="572" w:right="239" w:bottom="1440" w:gutter="0" w:footer="0" w:header="0"/>
          <w:type w:val="continuous"/>
        </w:sectPr>
      </w:pPr>
    </w:p>
    <w:bookmarkStart w:id="113" w:name="page114"/>
    <w:bookmarkEnd w:id="113"/>
    <w:p>
      <w:pPr>
        <w:ind w:left="4980"/>
        <w:spacing w:after="0"/>
        <w:rPr>
          <w:sz w:val="20"/>
          <w:szCs w:val="20"/>
          <w:color w:val="auto"/>
        </w:rPr>
      </w:pPr>
      <w:r>
        <w:rPr>
          <w:rFonts w:ascii="Times New Roman" w:cs="Times New Roman" w:eastAsia="Times New Roman" w:hAnsi="Times New Roman"/>
          <w:sz w:val="20"/>
          <w:szCs w:val="20"/>
          <w:b w:val="1"/>
          <w:bCs w:val="1"/>
          <w:color w:val="auto"/>
        </w:rPr>
        <w:t>SCHEDULE 7</w:t>
      </w:r>
    </w:p>
    <w:p>
      <w:pPr>
        <w:spacing w:after="0" w:line="26"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0"/>
          <w:szCs w:val="20"/>
          <w:b w:val="1"/>
          <w:bCs w:val="1"/>
          <w:color w:val="auto"/>
        </w:rPr>
        <w:t>MATERIAL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USA, INC., USA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SORIN GROUP ITALIA SRL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JAPAN K.K.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AUSTRALIA PTY LIMITED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CANADA CORP.</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0219"/>
          </w:cols>
          <w:pgMar w:left="240" w:top="572" w:right="1440" w:bottom="1440" w:gutter="0" w:footer="0" w:header="0"/>
        </w:sectPr>
      </w:pPr>
    </w:p>
    <w:bookmarkStart w:id="114" w:name="page115"/>
    <w:bookmarkEnd w:id="114"/>
    <w:p>
      <w:pPr>
        <w:ind w:left="4980"/>
        <w:spacing w:after="0"/>
        <w:rPr>
          <w:sz w:val="20"/>
          <w:szCs w:val="20"/>
          <w:color w:val="auto"/>
        </w:rPr>
      </w:pPr>
      <w:r>
        <w:rPr>
          <w:rFonts w:ascii="Times New Roman" w:cs="Times New Roman" w:eastAsia="Times New Roman" w:hAnsi="Times New Roman"/>
          <w:sz w:val="20"/>
          <w:szCs w:val="20"/>
          <w:b w:val="1"/>
          <w:bCs w:val="1"/>
          <w:color w:val="auto"/>
        </w:rPr>
        <w:t>SCHEDULE 8</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EXISTING SECURITY</w:t>
      </w:r>
    </w:p>
    <w:p>
      <w:pPr>
        <w:sectPr>
          <w:pgSz w:w="11900" w:h="16838" w:orient="portrait"/>
          <w:cols w:equalWidth="0" w:num="1">
            <w:col w:w="11320"/>
          </w:cols>
          <w:pgMar w:left="240" w:top="572" w:right="339" w:bottom="1440" w:gutter="0" w:footer="0" w:header="0"/>
        </w:sect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Group Member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Security</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Principal Amount of Indebtedness Secured</w:t>
      </w:r>
    </w:p>
    <w:p>
      <w:pPr>
        <w:spacing w:after="0" w:line="200" w:lineRule="exact"/>
        <w:rPr>
          <w:sz w:val="20"/>
          <w:szCs w:val="20"/>
          <w:color w:val="auto"/>
        </w:rPr>
      </w:pPr>
    </w:p>
    <w:p>
      <w:pPr>
        <w:sectPr>
          <w:pgSz w:w="11900" w:h="16838" w:orient="portrait"/>
          <w:cols w:equalWidth="0" w:num="3">
            <w:col w:w="2980" w:space="720"/>
            <w:col w:w="3040" w:space="720"/>
            <w:col w:w="3860"/>
          </w:cols>
          <w:pgMar w:left="240" w:top="572" w:right="33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Sorin Group Italia Srl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Mortgage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9"/>
          <w:szCs w:val="19"/>
          <w:color w:val="auto"/>
        </w:rPr>
        <w:t>€210,526</w:t>
      </w:r>
    </w:p>
    <w:p>
      <w:pPr>
        <w:spacing w:after="0" w:line="200" w:lineRule="exact"/>
        <w:rPr>
          <w:sz w:val="20"/>
          <w:szCs w:val="20"/>
          <w:color w:val="auto"/>
        </w:rPr>
      </w:pPr>
    </w:p>
    <w:p>
      <w:pPr>
        <w:sectPr>
          <w:pgSz w:w="11900" w:h="16838" w:orient="portrait"/>
          <w:cols w:equalWidth="0" w:num="3">
            <w:col w:w="2980" w:space="720"/>
            <w:col w:w="3040" w:space="720"/>
            <w:col w:w="3860"/>
          </w:cols>
          <w:pgMar w:left="240" w:top="572" w:right="33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Sorin Group Italia Srl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Mortgage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120"/>
        <w:spacing w:after="0"/>
        <w:rPr>
          <w:sz w:val="20"/>
          <w:szCs w:val="20"/>
          <w:color w:val="auto"/>
        </w:rPr>
      </w:pPr>
      <w:r>
        <w:rPr>
          <w:rFonts w:ascii="Times New Roman" w:cs="Times New Roman" w:eastAsia="Times New Roman" w:hAnsi="Times New Roman"/>
          <w:sz w:val="19"/>
          <w:szCs w:val="19"/>
          <w:color w:val="auto"/>
        </w:rPr>
        <w:t>€325,926</w:t>
      </w:r>
    </w:p>
    <w:p>
      <w:pPr>
        <w:spacing w:after="0" w:line="200" w:lineRule="exact"/>
        <w:rPr>
          <w:sz w:val="20"/>
          <w:szCs w:val="20"/>
          <w:color w:val="auto"/>
        </w:rPr>
      </w:pPr>
    </w:p>
    <w:p>
      <w:pPr>
        <w:sectPr>
          <w:pgSz w:w="11900" w:h="16838" w:orient="portrait"/>
          <w:cols w:equalWidth="0" w:num="3">
            <w:col w:w="2980" w:space="720"/>
            <w:col w:w="3040" w:space="720"/>
            <w:col w:w="3860"/>
          </w:cols>
          <w:pgMar w:left="240" w:top="5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EU-DOCS\23860694.9</w:t>
      </w:r>
    </w:p>
    <w:p>
      <w:pPr>
        <w:sectPr>
          <w:pgSz w:w="11900" w:h="16838" w:orient="portrait"/>
          <w:cols w:equalWidth="0" w:num="1">
            <w:col w:w="11320"/>
          </w:cols>
          <w:pgMar w:left="240" w:top="572"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/s/Thad Huston</w:t>
      </w:r>
    </w:p>
    <w:p>
      <w:pPr>
        <w:spacing w:after="0" w:line="21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Thad Huston - CFO</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20, Eastbourne Terrace London, W2 6LG</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Fax:</w:t>
        <w:tab/>
        <w:t>N/A</w:t>
      </w:r>
    </w:p>
    <w:p>
      <w:pPr>
        <w:spacing w:after="0" w:line="200" w:lineRule="exact"/>
        <w:rPr>
          <w:sz w:val="20"/>
          <w:szCs w:val="20"/>
          <w:color w:val="auto"/>
        </w:rPr>
      </w:pPr>
    </w:p>
    <w:p>
      <w:pPr>
        <w:spacing w:after="0" w:line="26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The Arrangers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AMERICA MERRILL LYNCH INTERNATIONAL DAC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/s/Jason Rapley</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Jason Rapley</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2 King Edward Street, London, EC1A 1HQ</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Fax:</w:t>
        <w:tab/>
        <w:t>N/A</w:t>
      </w:r>
    </w:p>
    <w:p>
      <w:pPr>
        <w:spacing w:after="0" w:line="200" w:lineRule="exact"/>
        <w:rPr>
          <w:sz w:val="20"/>
          <w:szCs w:val="20"/>
          <w:color w:val="auto"/>
        </w:rPr>
      </w:pPr>
    </w:p>
    <w:p>
      <w:pPr>
        <w:spacing w:after="0" w:line="26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963"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/s/John Hogarth</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John Hogarth</w:t>
      </w:r>
    </w:p>
    <w:p>
      <w:pPr>
        <w:spacing w:after="0" w:line="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Director</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N/A</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Fax:</w:t>
        <w:tab/>
        <w:t>N/A</w:t>
      </w:r>
    </w:p>
    <w:p>
      <w:pPr>
        <w:spacing w:after="0" w:line="200" w:lineRule="exact"/>
        <w:rPr>
          <w:sz w:val="20"/>
          <w:szCs w:val="20"/>
          <w:color w:val="auto"/>
        </w:rPr>
      </w:pPr>
    </w:p>
    <w:p>
      <w:pPr>
        <w:spacing w:after="0" w:line="23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62"/>
        </w:trPr>
        <w:tc>
          <w:tcPr>
            <w:tcW w:w="33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BNP PARIBAS, LONDON BRANCH</w:t>
            </w:r>
          </w:p>
        </w:tc>
        <w:tc>
          <w:tcPr>
            <w:tcW w:w="1380" w:type="dxa"/>
            <w:vAlign w:val="bottom"/>
          </w:tcPr>
          <w:p>
            <w:pPr>
              <w:spacing w:after="0"/>
              <w:rPr>
                <w:sz w:val="22"/>
                <w:szCs w:val="22"/>
                <w:color w:val="auto"/>
              </w:rPr>
            </w:pPr>
          </w:p>
        </w:tc>
      </w:tr>
      <w:tr>
        <w:trPr>
          <w:trHeight w:val="791"/>
        </w:trPr>
        <w:tc>
          <w:tcPr>
            <w:tcW w:w="130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/s/Alexia Williams</w:t>
            </w: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w w:val="97"/>
              </w:rPr>
              <w:t>/s/Mike Redferne</w:t>
            </w: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445"/>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By:Alexia Williams</w:t>
            </w:r>
          </w:p>
        </w:tc>
        <w:tc>
          <w:tcPr>
            <w:tcW w:w="24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Mike Redferne</w:t>
            </w:r>
          </w:p>
        </w:tc>
      </w:tr>
    </w:tbl>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10 Harewood Avenue, Marylebone, London, NW1 6AA</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20"/>
          <w:szCs w:val="20"/>
          <w:color w:val="auto"/>
        </w:rPr>
        <w:t>N/A</w:t>
      </w:r>
    </w:p>
    <w:p>
      <w:pPr>
        <w:spacing w:after="0" w:line="200" w:lineRule="exact"/>
        <w:rPr>
          <w:sz w:val="20"/>
          <w:szCs w:val="20"/>
          <w:color w:val="auto"/>
        </w:rPr>
      </w:pPr>
    </w:p>
    <w:p>
      <w:pPr>
        <w:spacing w:after="0" w:line="23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INTESA SANPAOLO S.P.A.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/s/Guido Austoni</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Guido Austoni – Global Head of Basic Materials and Healthcare Industry</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Milano – Via Manzoni, 4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/s/Stefano Boniello</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Stefano Boniello - Global Relationship Manager</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Milano – Via Manzoni, 4 (Italy)</w:t>
      </w:r>
    </w:p>
    <w:p>
      <w:pPr>
        <w:spacing w:after="0" w:line="200" w:lineRule="exact"/>
        <w:rPr>
          <w:sz w:val="20"/>
          <w:szCs w:val="20"/>
          <w:color w:val="auto"/>
        </w:rPr>
      </w:pPr>
    </w:p>
    <w:p>
      <w:pPr>
        <w:spacing w:after="0" w:line="26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The Bookrunners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AMERICA MERRILL LYNCH INTERNATIONAL DAC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/s/Jason Rapley</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Jason Rapley</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2 King Edward Street, London, EC1A 1HQ</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Fax:</w:t>
        <w:tab/>
        <w:t>N/A</w:t>
      </w:r>
    </w:p>
    <w:p>
      <w:pPr>
        <w:spacing w:after="0" w:line="200" w:lineRule="exact"/>
        <w:rPr>
          <w:sz w:val="20"/>
          <w:szCs w:val="20"/>
          <w:color w:val="auto"/>
        </w:rPr>
      </w:pPr>
    </w:p>
    <w:p>
      <w:pPr>
        <w:spacing w:after="0" w:line="26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/s/John Hogarth</w:t>
      </w:r>
    </w:p>
    <w:p>
      <w:pPr>
        <w:spacing w:after="0" w:line="1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John Hogarth</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Director</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N/A</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20"/>
          <w:szCs w:val="20"/>
          <w:color w:val="auto"/>
        </w:rPr>
        <w:t>N/A</w:t>
      </w:r>
    </w:p>
    <w:p>
      <w:pPr>
        <w:spacing w:after="0" w:line="200" w:lineRule="exact"/>
        <w:rPr>
          <w:sz w:val="20"/>
          <w:szCs w:val="20"/>
          <w:color w:val="auto"/>
        </w:rPr>
      </w:pPr>
    </w:p>
    <w:p>
      <w:pPr>
        <w:spacing w:after="0" w:line="23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62"/>
        </w:trPr>
        <w:tc>
          <w:tcPr>
            <w:tcW w:w="33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BNP PARIBAS, LONDON BRANCH</w:t>
            </w:r>
          </w:p>
        </w:tc>
        <w:tc>
          <w:tcPr>
            <w:tcW w:w="1380" w:type="dxa"/>
            <w:vAlign w:val="bottom"/>
          </w:tcPr>
          <w:p>
            <w:pPr>
              <w:spacing w:after="0"/>
              <w:rPr>
                <w:sz w:val="22"/>
                <w:szCs w:val="22"/>
                <w:color w:val="auto"/>
              </w:rPr>
            </w:pPr>
          </w:p>
        </w:tc>
      </w:tr>
      <w:tr>
        <w:trPr>
          <w:trHeight w:val="791"/>
        </w:trPr>
        <w:tc>
          <w:tcPr>
            <w:tcW w:w="130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/s/Alexia Williams</w:t>
            </w: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w w:val="97"/>
              </w:rPr>
              <w:t>/s/Mike Redferne</w:t>
            </w: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445"/>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By:Alexia Williams</w:t>
            </w:r>
          </w:p>
        </w:tc>
        <w:tc>
          <w:tcPr>
            <w:tcW w:w="24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Mike Redferne</w:t>
            </w:r>
          </w:p>
        </w:tc>
      </w:tr>
    </w:tbl>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10 Harewood Avenue, Marylebone, London, NW1 6AA</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20"/>
          <w:szCs w:val="20"/>
          <w:color w:val="auto"/>
        </w:rPr>
        <w:t>N/A</w:t>
      </w:r>
    </w:p>
    <w:p>
      <w:pPr>
        <w:spacing w:after="0" w:line="200" w:lineRule="exact"/>
        <w:rPr>
          <w:sz w:val="20"/>
          <w:szCs w:val="20"/>
          <w:color w:val="auto"/>
        </w:rPr>
      </w:pPr>
    </w:p>
    <w:p>
      <w:pPr>
        <w:spacing w:after="0" w:line="23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INTESA SANPAOLO S.P.A.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/s/Guido Austoni</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Guido Austoni – Global Head of Basic Materials and Healthcare Industry</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Milano – Via Manzoni, 4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/s/Stefano Boniello</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Stefano Boniello - Global Relationship Manager</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Milano – Via Manzoni, 4 (Italy)</w:t>
      </w:r>
    </w:p>
    <w:p>
      <w:pPr>
        <w:spacing w:after="0" w:line="200" w:lineRule="exact"/>
        <w:rPr>
          <w:sz w:val="20"/>
          <w:szCs w:val="20"/>
          <w:color w:val="auto"/>
        </w:rPr>
      </w:pPr>
    </w:p>
    <w:p>
      <w:pPr>
        <w:spacing w:after="0" w:line="26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The Original Lenders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AMERICA MERRILL LYNCH INTERNATIONAL DAC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/s/Florence Dupney</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Florence Dupney</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51 Rue la Boétie, 75008 Paris - France</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Fax:</w:t>
        <w:tab/>
        <w:t>N/A</w:t>
      </w:r>
    </w:p>
    <w:p>
      <w:pPr>
        <w:spacing w:after="0" w:line="200" w:lineRule="exact"/>
        <w:rPr>
          <w:sz w:val="20"/>
          <w:szCs w:val="20"/>
          <w:color w:val="auto"/>
        </w:rPr>
      </w:pPr>
    </w:p>
    <w:p>
      <w:pPr>
        <w:spacing w:after="0" w:line="261"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/s/John Hogarth</w:t>
      </w:r>
    </w:p>
    <w:p>
      <w:pPr>
        <w:spacing w:after="0" w:line="18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John Hogarth</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Director</w:t>
      </w: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N/A</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20"/>
          <w:szCs w:val="20"/>
          <w:color w:val="auto"/>
        </w:rPr>
        <w:t>N/A</w:t>
      </w:r>
    </w:p>
    <w:p>
      <w:pPr>
        <w:spacing w:after="0" w:line="200" w:lineRule="exact"/>
        <w:rPr>
          <w:sz w:val="20"/>
          <w:szCs w:val="20"/>
          <w:color w:val="auto"/>
        </w:rPr>
      </w:pPr>
    </w:p>
    <w:p>
      <w:pPr>
        <w:spacing w:after="0" w:line="234"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62"/>
        </w:trPr>
        <w:tc>
          <w:tcPr>
            <w:tcW w:w="33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BNP PARIBAS, LONDON BRANCH</w:t>
            </w:r>
          </w:p>
        </w:tc>
        <w:tc>
          <w:tcPr>
            <w:tcW w:w="1380" w:type="dxa"/>
            <w:vAlign w:val="bottom"/>
          </w:tcPr>
          <w:p>
            <w:pPr>
              <w:spacing w:after="0"/>
              <w:rPr>
                <w:sz w:val="22"/>
                <w:szCs w:val="22"/>
                <w:color w:val="auto"/>
              </w:rPr>
            </w:pPr>
          </w:p>
        </w:tc>
      </w:tr>
      <w:tr>
        <w:trPr>
          <w:trHeight w:val="791"/>
        </w:trPr>
        <w:tc>
          <w:tcPr>
            <w:tcW w:w="130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/s/Alexia Williams</w:t>
            </w:r>
          </w:p>
        </w:tc>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w w:val="97"/>
              </w:rPr>
              <w:t>/s/Mike Redferne</w:t>
            </w:r>
          </w:p>
        </w:tc>
      </w:tr>
      <w:tr>
        <w:trPr>
          <w:trHeight w:val="20"/>
        </w:trPr>
        <w:tc>
          <w:tcPr>
            <w:tcW w:w="1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445"/>
        </w:trPr>
        <w:tc>
          <w:tcPr>
            <w:tcW w:w="22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By:Alexia Williams</w:t>
            </w:r>
          </w:p>
        </w:tc>
        <w:tc>
          <w:tcPr>
            <w:tcW w:w="248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Mike Redferne</w:t>
            </w:r>
          </w:p>
        </w:tc>
      </w:tr>
    </w:tbl>
    <w:p>
      <w:pPr>
        <w:spacing w:after="0" w:line="18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10 Harewood Avenue, Marylebone, London NW1 6AA</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INTESA SANPAOLO S.P.A. LONDON BRANCH</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/s/Alberto Matera</w:t>
            </w:r>
          </w:p>
        </w:tc>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/s/Nikolaos Koukouvinos</w:t>
            </w:r>
          </w:p>
        </w:tc>
      </w:tr>
      <w:tr>
        <w:trPr>
          <w:trHeight w:val="20"/>
        </w:trPr>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6"/>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2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Alberto Matera</w:t>
            </w:r>
          </w:p>
        </w:tc>
        <w:tc>
          <w:tcPr>
            <w:tcW w:w="34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Nikolaos Koukouvinos</w:t>
            </w:r>
          </w:p>
        </w:tc>
      </w:tr>
      <w:tr>
        <w:trPr>
          <w:trHeight w:val="258"/>
        </w:trPr>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Relationship Manager</w:t>
            </w: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Global Relationship Manager</w:t>
            </w:r>
          </w:p>
        </w:tc>
      </w:tr>
      <w:tr>
        <w:trPr>
          <w:trHeight w:val="417"/>
        </w:trPr>
        <w:tc>
          <w:tcPr>
            <w:tcW w:w="2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Address:  90 Queen Street</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8"/>
        </w:trPr>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London, EC4N 1SA</w:t>
            </w:r>
          </w:p>
        </w:tc>
        <w:tc>
          <w:tcPr>
            <w:tcW w:w="20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446"/>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Fax:</w:t>
            </w:r>
          </w:p>
        </w:tc>
        <w:tc>
          <w:tcPr>
            <w:tcW w:w="18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+44 (0)76513233</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33"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p>
      <w:pPr>
        <w:sectPr>
          <w:pgSz w:w="11900" w:h="16838" w:orient="portrait"/>
          <w:cols w:equalWidth="0" w:num="1">
            <w:col w:w="10219"/>
          </w:cols>
          <w:pgMar w:left="240" w:top="572"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The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/s/Lisa Mariconda</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tab/>
        <w:t>Lisa Mariconda</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Address:</w:t>
        <w:tab/>
        <w:t>Barclays Bank PLC</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 Churchill Place</w:t>
      </w:r>
    </w:p>
    <w:p>
      <w:pPr>
        <w:ind w:left="1300"/>
        <w:spacing w:after="0"/>
        <w:rPr>
          <w:sz w:val="20"/>
          <w:szCs w:val="20"/>
          <w:color w:val="auto"/>
        </w:rPr>
      </w:pPr>
      <w:r>
        <w:rPr>
          <w:rFonts w:ascii="Times New Roman" w:cs="Times New Roman" w:eastAsia="Times New Roman" w:hAnsi="Times New Roman"/>
          <w:sz w:val="20"/>
          <w:szCs w:val="20"/>
          <w:color w:val="auto"/>
        </w:rPr>
        <w:t>Canary Wharf</w:t>
      </w:r>
    </w:p>
    <w:p>
      <w:pPr>
        <w:ind w:left="1300"/>
        <w:spacing w:after="0"/>
        <w:rPr>
          <w:sz w:val="20"/>
          <w:szCs w:val="20"/>
          <w:color w:val="auto"/>
        </w:rPr>
      </w:pPr>
      <w:r>
        <w:rPr>
          <w:rFonts w:ascii="Times New Roman" w:cs="Times New Roman" w:eastAsia="Times New Roman" w:hAnsi="Times New Roman"/>
          <w:sz w:val="20"/>
          <w:szCs w:val="20"/>
          <w:color w:val="auto"/>
        </w:rPr>
        <w:t>London</w:t>
      </w:r>
    </w:p>
    <w:p>
      <w:pPr>
        <w:ind w:left="1300"/>
        <w:spacing w:after="0"/>
        <w:rPr>
          <w:sz w:val="20"/>
          <w:szCs w:val="20"/>
          <w:color w:val="auto"/>
        </w:rPr>
      </w:pPr>
      <w:r>
        <w:rPr>
          <w:rFonts w:ascii="Times New Roman" w:cs="Times New Roman" w:eastAsia="Times New Roman" w:hAnsi="Times New Roman"/>
          <w:sz w:val="20"/>
          <w:szCs w:val="20"/>
          <w:color w:val="auto"/>
        </w:rPr>
        <w:t>E14 5HP</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20"/>
          <w:szCs w:val="20"/>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the Facility Agreement]</w:t>
      </w:r>
    </w:p>
    <w:sectPr>
      <w:pgSz w:w="11900" w:h="16838" w:orient="portrait"/>
      <w:cols w:equalWidth="0" w:num="1">
        <w:col w:w="10219"/>
      </w:cols>
      <w:pgMar w:left="240" w:top="5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6AD9BE"/>
    <w:multiLevelType w:val="hybridMultilevel"/>
    <w:lvl w:ilvl="0">
      <w:lvlJc w:val="left"/>
      <w:lvlText w:val="(%1)"/>
      <w:numFmt w:val="lowerLetter"/>
      <w:start w:val="4"/>
    </w:lvl>
  </w:abstractNum>
  <w:abstractNum w:abstractNumId="1">
    <w:nsid w:val="BAAC1B4"/>
    <w:multiLevelType w:val="hybridMultilevel"/>
    <w:lvl w:ilvl="0">
      <w:lvlJc w:val="left"/>
      <w:lvlText w:val="%1"/>
      <w:numFmt w:val="decimal"/>
      <w:start w:val="99"/>
    </w:lvl>
  </w:abstractNum>
  <w:abstractNum w:abstractNumId="2">
    <w:nsid w:val="36B2ACBC"/>
    <w:multiLevelType w:val="hybridMultilevel"/>
    <w:lvl w:ilvl="0">
      <w:lvlJc w:val="left"/>
      <w:lvlText w:val="(%1)"/>
      <w:numFmt w:val="decimal"/>
      <w:start w:val="1"/>
    </w:lvl>
  </w:abstractNum>
  <w:abstractNum w:abstractNumId="3">
    <w:nsid w:val="779D8544"/>
    <w:multiLevelType w:val="hybridMultilevel"/>
    <w:lvl w:ilvl="0">
      <w:lvlJc w:val="left"/>
      <w:lvlText w:val="%1."/>
      <w:numFmt w:val="decimal"/>
      <w:start w:val="1"/>
    </w:lvl>
  </w:abstractNum>
  <w:abstractNum w:abstractNumId="4">
    <w:nsid w:val="4AB26E78"/>
    <w:multiLevelType w:val="hybridMultilevel"/>
    <w:lvl w:ilvl="0">
      <w:lvlJc w:val="left"/>
      <w:lvlText w:val="(%1)"/>
      <w:numFmt w:val="lowerLetter"/>
      <w:start w:val="1"/>
    </w:lvl>
  </w:abstractNum>
  <w:abstractNum w:abstractNumId="5">
    <w:nsid w:val="21FAA2FA"/>
    <w:multiLevelType w:val="hybridMultilevel"/>
    <w:lvl w:ilvl="0">
      <w:lvlJc w:val="left"/>
      <w:lvlText w:val="(%1)"/>
      <w:numFmt w:val="lowerLetter"/>
      <w:start w:val="2"/>
    </w:lvl>
  </w:abstractNum>
  <w:abstractNum w:abstractNumId="6">
    <w:nsid w:val="5451CF49"/>
    <w:multiLevelType w:val="hybridMultilevel"/>
    <w:lvl w:ilvl="0">
      <w:lvlJc w:val="left"/>
      <w:lvlText w:val="(%1)"/>
      <w:numFmt w:val="lowerLetter"/>
      <w:start w:val="1"/>
    </w:lvl>
  </w:abstractNum>
  <w:abstractNum w:abstractNumId="7">
    <w:nsid w:val="6181EF69"/>
    <w:multiLevelType w:val="hybridMultilevel"/>
    <w:lvl w:ilvl="0">
      <w:lvlJc w:val="left"/>
      <w:lvlText w:val="(%1)"/>
      <w:numFmt w:val="lowerLetter"/>
      <w:start w:val="1"/>
    </w:lvl>
  </w:abstractNum>
  <w:abstractNum w:abstractNumId="8">
    <w:nsid w:val="3E6400E6"/>
    <w:multiLevelType w:val="hybridMultilevel"/>
    <w:lvl w:ilvl="0">
      <w:lvlJc w:val="left"/>
      <w:lvlText w:val="(%1)"/>
      <w:numFmt w:val="lowerLetter"/>
      <w:start w:val="1"/>
    </w:lvl>
  </w:abstractNum>
  <w:abstractNum w:abstractNumId="9">
    <w:nsid w:val="14217E23"/>
    <w:multiLevelType w:val="hybridMultilevel"/>
    <w:lvl w:ilvl="0">
      <w:lvlJc w:val="left"/>
      <w:lvlText w:val="(%1)"/>
      <w:numFmt w:val="lowerLetter"/>
      <w:start w:val="1"/>
    </w:lvl>
  </w:abstractNum>
  <w:abstractNum w:abstractNumId="10">
    <w:nsid w:val="710757D0"/>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11">
    <w:nsid w:val="5015CD1A"/>
    <w:multiLevelType w:val="hybridMultilevel"/>
    <w:lvl w:ilvl="0">
      <w:lvlJc w:val="left"/>
      <w:lvlText w:val="(%1)"/>
      <w:numFmt w:val="lowerRoman"/>
      <w:start w:val="2"/>
    </w:lvl>
  </w:abstractNum>
  <w:abstractNum w:abstractNumId="12">
    <w:nsid w:val="424479DA"/>
    <w:multiLevelType w:val="hybridMultilevel"/>
    <w:lvl w:ilvl="0">
      <w:lvlJc w:val="left"/>
      <w:lvlText w:val="(%1)"/>
      <w:numFmt w:val="lowerLetter"/>
      <w:start w:val="1"/>
    </w:lvl>
  </w:abstractNum>
  <w:abstractNum w:abstractNumId="13">
    <w:nsid w:val="1A9A9E69"/>
    <w:multiLevelType w:val="hybridMultilevel"/>
    <w:lvl w:ilvl="0">
      <w:lvlJc w:val="left"/>
      <w:lvlText w:val="(%1)"/>
      <w:numFmt w:val="lowerRoman"/>
      <w:start w:val="1"/>
    </w:lvl>
  </w:abstractNum>
  <w:abstractNum w:abstractNumId="14">
    <w:nsid w:val="475E256A"/>
    <w:multiLevelType w:val="hybridMultilevel"/>
    <w:lvl w:ilvl="0">
      <w:lvlJc w:val="left"/>
      <w:lvlText w:val="(%1)"/>
      <w:numFmt w:val="upperLetter"/>
      <w:start w:val="1"/>
    </w:lvl>
  </w:abstractNum>
  <w:abstractNum w:abstractNumId="15">
    <w:nsid w:val="368DB37E"/>
    <w:multiLevelType w:val="hybridMultilevel"/>
    <w:lvl w:ilvl="0">
      <w:lvlJc w:val="left"/>
      <w:lvlText w:val="%1"/>
      <w:numFmt w:val="lowerLetter"/>
      <w:start w:val="1"/>
    </w:lvl>
    <w:lvl w:ilvl="1">
      <w:lvlJc w:val="left"/>
      <w:lvlText w:val="(%2)"/>
      <w:numFmt w:val="lowerLetter"/>
      <w:start w:val="35"/>
    </w:lvl>
  </w:abstractNum>
  <w:abstractNum w:abstractNumId="16">
    <w:nsid w:val="6A3B714C"/>
    <w:multiLevelType w:val="hybridMultilevel"/>
    <w:lvl w:ilvl="0">
      <w:lvlJc w:val="left"/>
      <w:lvlText w:val="(%1)"/>
      <w:numFmt w:val="lowerLetter"/>
      <w:start w:val="1"/>
    </w:lvl>
    <w:lvl w:ilvl="1">
      <w:lvlJc w:val="left"/>
      <w:lvlText w:val="(%2)"/>
      <w:numFmt w:val="lowerLetter"/>
      <w:start w:val="9"/>
    </w:lvl>
  </w:abstractNum>
  <w:abstractNum w:abstractNumId="17">
    <w:nsid w:val="327B517E"/>
    <w:multiLevelType w:val="hybridMultilevel"/>
    <w:lvl w:ilvl="0">
      <w:lvlJc w:val="left"/>
      <w:lvlText w:val="(%1)"/>
      <w:numFmt w:val="lowerRoman"/>
      <w:start w:val="2"/>
    </w:lvl>
  </w:abstractNum>
  <w:abstractNum w:abstractNumId="18">
    <w:nsid w:val="1F461B51"/>
    <w:multiLevelType w:val="hybridMultilevel"/>
    <w:lvl w:ilvl="0">
      <w:lvlJc w:val="left"/>
      <w:lvlText w:val="(%1)"/>
      <w:numFmt w:val="lowerLetter"/>
      <w:start w:val="1"/>
    </w:lvl>
  </w:abstractNum>
  <w:abstractNum w:abstractNumId="19">
    <w:nsid w:val="29BACF25"/>
    <w:multiLevelType w:val="hybridMultilevel"/>
    <w:lvl w:ilvl="0">
      <w:lvlJc w:val="left"/>
      <w:lvlText w:val="(%1)"/>
      <w:numFmt w:val="lowerLetter"/>
      <w:start w:val="1"/>
    </w:lvl>
  </w:abstractNum>
  <w:abstractNum w:abstractNumId="20">
    <w:nsid w:val="5D5BABB3"/>
    <w:multiLevelType w:val="hybridMultilevel"/>
    <w:lvl w:ilvl="0">
      <w:lvlJc w:val="left"/>
      <w:lvlText w:val="(%1)"/>
      <w:numFmt w:val="lowerLetter"/>
      <w:start w:val="1"/>
    </w:lvl>
  </w:abstractNum>
  <w:abstractNum w:abstractNumId="21">
    <w:nsid w:val="51BF6B48"/>
    <w:multiLevelType w:val="hybridMultilevel"/>
    <w:lvl w:ilvl="0">
      <w:lvlJc w:val="left"/>
      <w:lvlText w:val="(%1)"/>
      <w:numFmt w:val="lowerLetter"/>
      <w:start w:val="1"/>
    </w:lvl>
    <w:lvl w:ilvl="1">
      <w:lvlJc w:val="left"/>
      <w:lvlText w:val="%2"/>
      <w:numFmt w:val="decimal"/>
      <w:start w:val="1"/>
    </w:lvl>
  </w:abstractNum>
  <w:abstractNum w:abstractNumId="22">
    <w:nsid w:val="7E0F6384"/>
    <w:multiLevelType w:val="hybridMultilevel"/>
    <w:lvl w:ilvl="0">
      <w:lvlJc w:val="left"/>
      <w:lvlText w:val="(%1)"/>
      <w:numFmt w:val="lowerLetter"/>
      <w:start w:val="1"/>
    </w:lvl>
  </w:abstractNum>
  <w:abstractNum w:abstractNumId="23">
    <w:nsid w:val="2B4B8B53"/>
    <w:multiLevelType w:val="hybridMultilevel"/>
    <w:lvl w:ilvl="0">
      <w:lvlJc w:val="left"/>
      <w:lvlText w:val="(%1)"/>
      <w:numFmt w:val="lowerLetter"/>
      <w:start w:val="2"/>
    </w:lvl>
  </w:abstractNum>
  <w:abstractNum w:abstractNumId="24">
    <w:nsid w:val="72E3413A"/>
    <w:multiLevelType w:val="hybridMultilevel"/>
    <w:lvl w:ilvl="0">
      <w:lvlJc w:val="left"/>
      <w:lvlText w:val="(%1)"/>
      <w:numFmt w:val="lowerLetter"/>
      <w:start w:val="1"/>
    </w:lvl>
  </w:abstractNum>
  <w:abstractNum w:abstractNumId="25">
    <w:nsid w:val="116AE494"/>
    <w:multiLevelType w:val="hybridMultilevel"/>
    <w:lvl w:ilvl="0">
      <w:lvlJc w:val="left"/>
      <w:lvlText w:val="(%1)"/>
      <w:numFmt w:val="lowerLetter"/>
      <w:start w:val="1"/>
    </w:lvl>
  </w:abstractNum>
  <w:abstractNum w:abstractNumId="26">
    <w:nsid w:val="3494B2FB"/>
    <w:multiLevelType w:val="hybridMultilevel"/>
    <w:lvl w:ilvl="0">
      <w:lvlJc w:val="left"/>
      <w:lvlText w:val="(%1)"/>
      <w:numFmt w:val="lowerLetter"/>
      <w:start w:val="1"/>
    </w:lvl>
  </w:abstractNum>
  <w:abstractNum w:abstractNumId="27">
    <w:nsid w:val="B13A31"/>
    <w:multiLevelType w:val="hybridMultilevel"/>
    <w:lvl w:ilvl="0">
      <w:lvlJc w:val="left"/>
      <w:lvlText w:val="(%1)"/>
      <w:numFmt w:val="lowerLetter"/>
      <w:start w:val="1"/>
    </w:lvl>
  </w:abstractNum>
  <w:abstractNum w:abstractNumId="28">
    <w:nsid w:val="64429599"/>
    <w:multiLevelType w:val="hybridMultilevel"/>
    <w:lvl w:ilvl="0">
      <w:lvlJc w:val="left"/>
      <w:lvlText w:val="(%1)"/>
      <w:numFmt w:val="lowerLetter"/>
      <w:start w:val="4"/>
    </w:lvl>
    <w:lvl w:ilvl="1">
      <w:lvlJc w:val="left"/>
      <w:lvlText w:val="(%2)"/>
      <w:numFmt w:val="lowerRoman"/>
      <w:start w:val="1"/>
    </w:lvl>
  </w:abstractNum>
  <w:abstractNum w:abstractNumId="29">
    <w:nsid w:val="631F1690"/>
    <w:multiLevelType w:val="hybridMultilevel"/>
    <w:lvl w:ilvl="0">
      <w:lvlJc w:val="left"/>
      <w:lvlText w:val="(%1)"/>
      <w:numFmt w:val="lowerLetter"/>
      <w:start w:val="1"/>
    </w:lvl>
  </w:abstractNum>
  <w:abstractNum w:abstractNumId="30">
    <w:nsid w:val="25973E32"/>
    <w:multiLevelType w:val="hybridMultilevel"/>
    <w:lvl w:ilvl="0">
      <w:lvlJc w:val="left"/>
      <w:lvlText w:val="(%1)"/>
      <w:numFmt w:val="lowerLetter"/>
      <w:start w:val="2"/>
    </w:lvl>
  </w:abstractNum>
  <w:abstractNum w:abstractNumId="31">
    <w:nsid w:val="EAD6F57"/>
    <w:multiLevelType w:val="hybridMultilevel"/>
    <w:lvl w:ilvl="0">
      <w:lvlJc w:val="left"/>
      <w:lvlText w:val="(%1)"/>
      <w:numFmt w:val="lowerLetter"/>
      <w:start w:val="1"/>
    </w:lvl>
  </w:abstractNum>
  <w:abstractNum w:abstractNumId="32">
    <w:nsid w:val="6EC9D844"/>
    <w:multiLevelType w:val="hybridMultilevel"/>
    <w:lvl w:ilvl="0">
      <w:lvlJc w:val="left"/>
      <w:lvlText w:val="(%1)"/>
      <w:numFmt w:val="lowerLetter"/>
      <w:start w:val="1"/>
    </w:lvl>
  </w:abstractNum>
  <w:abstractNum w:abstractNumId="33">
    <w:nsid w:val="5C49EAEE"/>
    <w:multiLevelType w:val="hybridMultilevel"/>
    <w:lvl w:ilvl="0">
      <w:lvlJc w:val="left"/>
      <w:lvlText w:val="(%1)"/>
      <w:numFmt w:val="lowerLetter"/>
      <w:start w:val="1"/>
    </w:lvl>
  </w:abstractNum>
  <w:abstractNum w:abstractNumId="34">
    <w:nsid w:val="64AF49B"/>
    <w:multiLevelType w:val="hybridMultilevel"/>
    <w:lvl w:ilvl="0">
      <w:lvlJc w:val="left"/>
      <w:lvlText w:val="(%1)"/>
      <w:numFmt w:val="lowerLetter"/>
      <w:start w:val="4"/>
    </w:lvl>
  </w:abstractNum>
  <w:abstractNum w:abstractNumId="35">
    <w:nsid w:val="397C46BC"/>
    <w:multiLevelType w:val="hybridMultilevel"/>
    <w:lvl w:ilvl="0">
      <w:lvlJc w:val="left"/>
      <w:lvlText w:val="(%1)"/>
      <w:numFmt w:val="lowerLetter"/>
      <w:start w:val="1"/>
    </w:lvl>
  </w:abstractNum>
  <w:abstractNum w:abstractNumId="36">
    <w:nsid w:val="7E448DE9"/>
    <w:multiLevelType w:val="hybridMultilevel"/>
    <w:lvl w:ilvl="0">
      <w:lvlJc w:val="left"/>
      <w:lvlText w:val="(%1)"/>
      <w:numFmt w:val="lowerLetter"/>
      <w:start w:val="1"/>
    </w:lvl>
  </w:abstractNum>
  <w:abstractNum w:abstractNumId="37">
    <w:nsid w:val="5A9CC3E5"/>
    <w:multiLevelType w:val="hybridMultilevel"/>
    <w:lvl w:ilvl="0">
      <w:lvlJc w:val="left"/>
      <w:lvlText w:val="(%1)"/>
      <w:numFmt w:val="lowerLetter"/>
      <w:start w:val="1"/>
    </w:lvl>
  </w:abstractNum>
  <w:abstractNum w:abstractNumId="38">
    <w:nsid w:val="1AFE3625"/>
    <w:multiLevelType w:val="hybridMultilevel"/>
    <w:lvl w:ilvl="0">
      <w:lvlJc w:val="left"/>
      <w:lvlText w:val="(%1)"/>
      <w:numFmt w:val="lowerLetter"/>
      <w:start w:val="1"/>
    </w:lvl>
  </w:abstractNum>
  <w:abstractNum w:abstractNumId="39">
    <w:nsid w:val="3CA88ECF"/>
    <w:multiLevelType w:val="hybridMultilevel"/>
    <w:lvl w:ilvl="0">
      <w:lvlJc w:val="left"/>
      <w:lvlText w:val="(%1)"/>
      <w:numFmt w:val="lowerLetter"/>
      <w:start w:val="1"/>
    </w:lvl>
  </w:abstractNum>
  <w:abstractNum w:abstractNumId="40">
    <w:nsid w:val="6EBE4208"/>
    <w:multiLevelType w:val="hybridMultilevel"/>
    <w:lvl w:ilvl="0">
      <w:lvlJc w:val="left"/>
      <w:lvlText w:val="(%1)"/>
      <w:numFmt w:val="lowerLetter"/>
      <w:start w:val="1"/>
    </w:lvl>
  </w:abstractNum>
  <w:abstractNum w:abstractNumId="41">
    <w:nsid w:val="C058DF5"/>
    <w:multiLevelType w:val="hybridMultilevel"/>
    <w:lvl w:ilvl="0">
      <w:lvlJc w:val="left"/>
      <w:lvlText w:val="(%1)"/>
      <w:numFmt w:val="lowerLetter"/>
      <w:start w:val="1"/>
    </w:lvl>
  </w:abstractNum>
  <w:abstractNum w:abstractNumId="42">
    <w:nsid w:val="CBE5BE9"/>
    <w:multiLevelType w:val="hybridMultilevel"/>
    <w:lvl w:ilvl="0">
      <w:lvlJc w:val="left"/>
      <w:lvlText w:val="(%1)"/>
      <w:numFmt w:val="lowerLetter"/>
      <w:start w:val="1"/>
    </w:lvl>
    <w:lvl w:ilvl="1">
      <w:lvlJc w:val="left"/>
      <w:lvlText w:val="(%2)"/>
      <w:numFmt w:val="lowerRoman"/>
      <w:start w:val="1"/>
    </w:lvl>
  </w:abstractNum>
  <w:abstractNum w:abstractNumId="43">
    <w:nsid w:val="3102BBE2"/>
    <w:multiLevelType w:val="hybridMultilevel"/>
    <w:lvl w:ilvl="0">
      <w:lvlJc w:val="left"/>
      <w:lvlText w:val="(%1)"/>
      <w:numFmt w:val="lowerLetter"/>
      <w:start w:val="1"/>
    </w:lvl>
  </w:abstractNum>
  <w:abstractNum w:abstractNumId="44">
    <w:nsid w:val="26A02C5E"/>
    <w:multiLevelType w:val="hybridMultilevel"/>
    <w:lvl w:ilvl="0">
      <w:lvlJc w:val="left"/>
      <w:lvlText w:val="(%1)"/>
      <w:numFmt w:val="lowerLetter"/>
      <w:start w:val="1"/>
    </w:lvl>
  </w:abstractNum>
  <w:abstractNum w:abstractNumId="45">
    <w:nsid w:val="541C8153"/>
    <w:multiLevelType w:val="hybridMultilevel"/>
    <w:lvl w:ilvl="0">
      <w:lvlJc w:val="left"/>
      <w:lvlText w:val="(%1)"/>
      <w:numFmt w:val="lowerLetter"/>
      <w:start w:val="1"/>
    </w:lvl>
  </w:abstractNum>
  <w:abstractNum w:abstractNumId="46">
    <w:nsid w:val="67906F60"/>
    <w:multiLevelType w:val="hybridMultilevel"/>
    <w:lvl w:ilvl="0">
      <w:lvlJc w:val="left"/>
      <w:lvlText w:val="(%1)"/>
      <w:numFmt w:val="lowerLetter"/>
      <w:start w:val="1"/>
    </w:lvl>
    <w:lvl w:ilvl="1">
      <w:lvlJc w:val="left"/>
      <w:lvlText w:val="(%2)"/>
      <w:numFmt w:val="lowerLetter"/>
      <w:start w:val="9"/>
    </w:lvl>
  </w:abstractNum>
  <w:abstractNum w:abstractNumId="47">
    <w:nsid w:val="10DB9DAA"/>
    <w:multiLevelType w:val="hybridMultilevel"/>
    <w:lvl w:ilvl="0">
      <w:lvlJc w:val="left"/>
      <w:lvlText w:val="(%1)"/>
      <w:numFmt w:val="lowerRoman"/>
      <w:start w:val="2"/>
    </w:lvl>
  </w:abstractNum>
  <w:abstractNum w:abstractNumId="48">
    <w:nsid w:val="697D2D2"/>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49">
    <w:nsid w:val="6D68AB2"/>
    <w:multiLevelType w:val="hybridMultilevel"/>
    <w:lvl w:ilvl="0">
      <w:lvlJc w:val="left"/>
      <w:lvlText w:val="(%1)"/>
      <w:numFmt w:val="lowerLetter"/>
      <w:start w:val="1"/>
    </w:lvl>
  </w:abstractNum>
  <w:abstractNum w:abstractNumId="50">
    <w:nsid w:val="3A966CD0"/>
    <w:multiLevelType w:val="hybridMultilevel"/>
    <w:lvl w:ilvl="0">
      <w:lvlJc w:val="left"/>
      <w:lvlText w:val="(%1)"/>
      <w:numFmt w:val="lowerLetter"/>
      <w:start w:val="2"/>
    </w:lvl>
  </w:abstractNum>
  <w:abstractNum w:abstractNumId="51">
    <w:nsid w:val="63F37E85"/>
    <w:multiLevelType w:val="hybridMultilevel"/>
    <w:lvl w:ilvl="0">
      <w:lvlJc w:val="left"/>
      <w:lvlText w:val="(%1)"/>
      <w:numFmt w:val="lowerRoman"/>
      <w:start w:val="1"/>
    </w:lvl>
  </w:abstractNum>
  <w:abstractNum w:abstractNumId="52">
    <w:nsid w:val="5895F5FA"/>
    <w:multiLevelType w:val="hybridMultilevel"/>
    <w:lvl w:ilvl="0">
      <w:lvlJc w:val="left"/>
      <w:lvlText w:val="(%1)"/>
      <w:numFmt w:val="lowerLetter"/>
      <w:start w:val="1"/>
    </w:lvl>
    <w:lvl w:ilvl="1">
      <w:lvlJc w:val="left"/>
      <w:lvlText w:val="(%2)"/>
      <w:numFmt w:val="lowerRoman"/>
      <w:start w:val="1"/>
    </w:lvl>
  </w:abstractNum>
  <w:abstractNum w:abstractNumId="53">
    <w:nsid w:val="38A5D054"/>
    <w:multiLevelType w:val="hybridMultilevel"/>
    <w:lvl w:ilvl="0">
      <w:lvlJc w:val="left"/>
      <w:lvlText w:val="(%1)"/>
      <w:numFmt w:val="lowerLetter"/>
      <w:start w:val="2"/>
    </w:lvl>
  </w:abstractNum>
  <w:abstractNum w:abstractNumId="54">
    <w:nsid w:val="F3F09D8"/>
    <w:multiLevelType w:val="hybridMultilevel"/>
    <w:lvl w:ilvl="0">
      <w:lvlJc w:val="left"/>
      <w:lvlText w:val="(%1)"/>
      <w:numFmt w:val="lowerLetter"/>
      <w:start w:val="1"/>
    </w:lvl>
  </w:abstractNum>
  <w:abstractNum w:abstractNumId="55">
    <w:nsid w:val="4B793735"/>
    <w:multiLevelType w:val="hybridMultilevel"/>
    <w:lvl w:ilvl="0">
      <w:lvlJc w:val="left"/>
      <w:lvlText w:val="(%1)"/>
      <w:numFmt w:val="lowerLetter"/>
      <w:start w:val="1"/>
    </w:lvl>
  </w:abstractNum>
  <w:abstractNum w:abstractNumId="56">
    <w:nsid w:val="4A10B4E8"/>
    <w:multiLevelType w:val="hybridMultilevel"/>
    <w:lvl w:ilvl="0">
      <w:lvlJc w:val="left"/>
      <w:lvlText w:val="(%1)"/>
      <w:numFmt w:val="lowerLetter"/>
      <w:start w:val="1"/>
    </w:lvl>
  </w:abstractNum>
  <w:abstractNum w:abstractNumId="57">
    <w:nsid w:val="43D3BCD4"/>
    <w:multiLevelType w:val="hybridMultilevel"/>
    <w:lvl w:ilvl="0">
      <w:lvlJc w:val="left"/>
      <w:lvlText w:val="(%1)"/>
      <w:numFmt w:val="lowerLetter"/>
      <w:start w:val="2"/>
    </w:lvl>
  </w:abstractNum>
  <w:abstractNum w:abstractNumId="58">
    <w:nsid w:val="4C2A7166"/>
    <w:multiLevelType w:val="hybridMultilevel"/>
    <w:lvl w:ilvl="0">
      <w:lvlJc w:val="left"/>
      <w:lvlText w:val="(%1)"/>
      <w:numFmt w:val="lowerLetter"/>
      <w:start w:val="1"/>
    </w:lvl>
  </w:abstractNum>
  <w:abstractNum w:abstractNumId="59">
    <w:nsid w:val="2E534A82"/>
    <w:multiLevelType w:val="hybridMultilevel"/>
    <w:lvl w:ilvl="0">
      <w:lvlJc w:val="left"/>
      <w:lvlText w:val="(%1)"/>
      <w:numFmt w:val="lowerLetter"/>
      <w:start w:val="1"/>
    </w:lvl>
    <w:lvl w:ilvl="1">
      <w:lvlJc w:val="left"/>
      <w:lvlText w:val="%2"/>
      <w:numFmt w:val="decimal"/>
      <w:start w:val="1"/>
    </w:lvl>
  </w:abstractNum>
  <w:abstractNum w:abstractNumId="60">
    <w:nsid w:val="26F2D364"/>
    <w:multiLevelType w:val="hybridMultilevel"/>
    <w:lvl w:ilvl="0">
      <w:lvlJc w:val="left"/>
      <w:lvlText w:val="(%1)"/>
      <w:numFmt w:val="lowerLetter"/>
      <w:start w:val="1"/>
    </w:lvl>
  </w:abstractNum>
  <w:abstractNum w:abstractNumId="61">
    <w:nsid w:val="71C1AF98"/>
    <w:multiLevelType w:val="hybridMultilevel"/>
    <w:lvl w:ilvl="0">
      <w:lvlJc w:val="left"/>
      <w:lvlText w:val="(%1)"/>
      <w:numFmt w:val="lowerLetter"/>
      <w:start w:val="1"/>
    </w:lvl>
    <w:lvl w:ilvl="1">
      <w:lvlJc w:val="left"/>
      <w:lvlText w:val="(%2)"/>
      <w:numFmt w:val="lowerRoman"/>
      <w:start w:val="1"/>
    </w:lvl>
  </w:abstractNum>
  <w:abstractNum w:abstractNumId="62">
    <w:nsid w:val="3D00B9D9"/>
    <w:multiLevelType w:val="hybridMultilevel"/>
    <w:lvl w:ilvl="0">
      <w:lvlJc w:val="left"/>
      <w:lvlText w:val="(%1)"/>
      <w:numFmt w:val="lowerLetter"/>
      <w:start w:val="1"/>
    </w:lvl>
    <w:lvl w:ilvl="1">
      <w:lvlJc w:val="left"/>
      <w:lvlText w:val="(%2)"/>
      <w:numFmt w:val="lowerRoman"/>
      <w:start w:val="1"/>
    </w:lvl>
  </w:abstractNum>
  <w:abstractNum w:abstractNumId="63">
    <w:nsid w:val="15BCABA8"/>
    <w:multiLevelType w:val="hybridMultilevel"/>
    <w:lvl w:ilvl="0">
      <w:lvlJc w:val="left"/>
      <w:lvlText w:val="(%1)"/>
      <w:numFmt w:val="lowerLetter"/>
      <w:start w:val="2"/>
    </w:lvl>
  </w:abstractNum>
  <w:abstractNum w:abstractNumId="64">
    <w:nsid w:val="4E0B9A87"/>
    <w:multiLevelType w:val="hybridMultilevel"/>
    <w:lvl w:ilvl="0">
      <w:lvlJc w:val="left"/>
      <w:lvlText w:val="(%1)"/>
      <w:numFmt w:val="lowerLetter"/>
      <w:start w:val="1"/>
    </w:lvl>
  </w:abstractNum>
  <w:abstractNum w:abstractNumId="65">
    <w:nsid w:val="434BAE75"/>
    <w:multiLevelType w:val="hybridMultilevel"/>
    <w:lvl w:ilvl="0">
      <w:lvlJc w:val="left"/>
      <w:lvlText w:val="(%1)"/>
      <w:numFmt w:val="lowerLetter"/>
      <w:start w:val="1"/>
    </w:lvl>
  </w:abstractNum>
  <w:abstractNum w:abstractNumId="66">
    <w:nsid w:val="4F38F265"/>
    <w:multiLevelType w:val="hybridMultilevel"/>
    <w:lvl w:ilvl="0">
      <w:lvlJc w:val="left"/>
      <w:lvlText w:val="%1."/>
      <w:numFmt w:val="decimal"/>
      <w:start w:val="2"/>
    </w:lvl>
  </w:abstractNum>
  <w:abstractNum w:abstractNumId="67">
    <w:nsid w:val="4C502870"/>
    <w:multiLevelType w:val="hybridMultilevel"/>
    <w:lvl w:ilvl="0">
      <w:lvlJc w:val="left"/>
      <w:lvlText w:val="(%1)"/>
      <w:numFmt w:val="lowerLetter"/>
      <w:start w:val="1"/>
    </w:lvl>
  </w:abstractNum>
  <w:abstractNum w:abstractNumId="68">
    <w:nsid w:val="1DE8725A"/>
    <w:multiLevelType w:val="hybridMultilevel"/>
    <w:lvl w:ilvl="0">
      <w:lvlJc w:val="left"/>
      <w:lvlText w:val="%1"/>
      <w:numFmt w:val="decimal"/>
      <w:start w:val="1"/>
    </w:lvl>
    <w:lvl w:ilvl="1">
      <w:lvlJc w:val="left"/>
      <w:lvlText w:val="(%2)"/>
      <w:numFmt w:val="lowerLetter"/>
      <w:start w:val="1"/>
    </w:lvl>
  </w:abstractNum>
  <w:abstractNum w:abstractNumId="69">
    <w:nsid w:val="6A37288A"/>
    <w:multiLevelType w:val="hybridMultilevel"/>
    <w:lvl w:ilvl="0">
      <w:lvlJc w:val="left"/>
      <w:lvlText w:val="%1."/>
      <w:numFmt w:val="decimal"/>
      <w:start w:val="3"/>
    </w:lvl>
    <w:lvl w:ilvl="1">
      <w:lvlJc w:val="left"/>
      <w:lvlText w:val="%2"/>
      <w:numFmt w:val="lowerLetter"/>
      <w:start w:val="1"/>
    </w:lvl>
  </w:abstractNum>
  <w:abstractNum w:abstractNumId="70">
    <w:nsid w:val="8F8B73F"/>
    <w:multiLevelType w:val="hybridMultilevel"/>
    <w:lvl w:ilvl="0">
      <w:lvlJc w:val="left"/>
      <w:lvlText w:val="%1."/>
      <w:numFmt w:val="decimal"/>
      <w:start w:val="4"/>
    </w:lvl>
  </w:abstractNum>
  <w:abstractNum w:abstractNumId="71">
    <w:nsid w:val="CA6B462"/>
    <w:multiLevelType w:val="hybridMultilevel"/>
    <w:lvl w:ilvl="0">
      <w:lvlJc w:val="left"/>
      <w:lvlText w:val="(%1)"/>
      <w:numFmt w:val="lowerLetter"/>
      <w:start w:val="1"/>
    </w:lvl>
  </w:abstractNum>
  <w:abstractNum w:abstractNumId="72">
    <w:nsid w:val="763CB680"/>
    <w:multiLevelType w:val="hybridMultilevel"/>
    <w:lvl w:ilvl="0">
      <w:lvlJc w:val="left"/>
      <w:lvlText w:val="(%1)"/>
      <w:numFmt w:val="lowerLetter"/>
      <w:start w:val="1"/>
    </w:lvl>
  </w:abstractNum>
  <w:abstractNum w:abstractNumId="73">
    <w:nsid w:val="15B71329"/>
    <w:multiLevelType w:val="hybridMultilevel"/>
    <w:lvl w:ilvl="0">
      <w:lvlJc w:val="left"/>
      <w:lvlText w:val="%1."/>
      <w:numFmt w:val="decimal"/>
      <w:start w:val="5"/>
    </w:lvl>
  </w:abstractNum>
  <w:abstractNum w:abstractNumId="74">
    <w:nsid w:val="3DA97044"/>
    <w:multiLevelType w:val="hybridMultilevel"/>
    <w:lvl w:ilvl="0">
      <w:lvlJc w:val="left"/>
      <w:lvlText w:val="(%1)"/>
      <w:numFmt w:val="lowerLetter"/>
      <w:start w:val="1"/>
    </w:lvl>
    <w:lvl w:ilvl="1">
      <w:lvlJc w:val="left"/>
      <w:lvlText w:val="(%2)"/>
      <w:numFmt w:val="lowerRoman"/>
      <w:start w:val="1"/>
    </w:lvl>
  </w:abstractNum>
  <w:abstractNum w:abstractNumId="75">
    <w:nsid w:val="1CDCE2DE"/>
    <w:multiLevelType w:val="hybridMultilevel"/>
    <w:lvl w:ilvl="0">
      <w:lvlJc w:val="left"/>
      <w:lvlText w:val="%1"/>
      <w:numFmt w:val="lowerLetter"/>
      <w:start w:val="1"/>
    </w:lvl>
    <w:lvl w:ilvl="1">
      <w:lvlJc w:val="left"/>
      <w:lvlText w:val="(%2)"/>
      <w:numFmt w:val="lowerRoman"/>
      <w:start w:val="4"/>
    </w:lvl>
  </w:abstractNum>
  <w:abstractNum w:abstractNumId="76">
    <w:nsid w:val="69D3947C"/>
    <w:multiLevelType w:val="hybridMultilevel"/>
    <w:lvl w:ilvl="0">
      <w:lvlJc w:val="left"/>
      <w:lvlText w:val="(%1)"/>
      <w:numFmt w:val="lowerLetter"/>
      <w:start w:val="2"/>
    </w:lvl>
    <w:lvl w:ilvl="1">
      <w:lvlJc w:val="left"/>
      <w:lvlText w:val="%2"/>
      <w:numFmt w:val="lowerRoman"/>
      <w:start w:val="1"/>
    </w:lvl>
  </w:abstractNum>
  <w:abstractNum w:abstractNumId="77">
    <w:nsid w:val="2539DFA5"/>
    <w:multiLevelType w:val="hybridMultilevel"/>
    <w:lvl w:ilvl="0">
      <w:lvlJc w:val="left"/>
      <w:lvlText w:val="(%1)"/>
      <w:numFmt w:val="lowerLetter"/>
      <w:start w:val="1"/>
    </w:lvl>
    <w:lvl w:ilvl="1">
      <w:lvlJc w:val="left"/>
      <w:lvlText w:val="(%2)"/>
      <w:numFmt w:val="lowerRoman"/>
      <w:start w:val="1"/>
    </w:lvl>
  </w:abstractNum>
  <w:abstractNum w:abstractNumId="78">
    <w:nsid w:val="2DB88089"/>
    <w:multiLevelType w:val="hybridMultilevel"/>
    <w:lvl w:ilvl="0">
      <w:lvlJc w:val="left"/>
      <w:lvlText w:val="(%1)"/>
      <w:numFmt w:val="lowerLetter"/>
      <w:start w:val="1"/>
    </w:lvl>
  </w:abstractNum>
  <w:abstractNum w:abstractNumId="79">
    <w:nsid w:val="706B674E"/>
    <w:multiLevelType w:val="hybridMultilevel"/>
    <w:lvl w:ilvl="0">
      <w:lvlJc w:val="left"/>
      <w:lvlText w:val="%1."/>
      <w:numFmt w:val="decimal"/>
      <w:start w:val="6"/>
    </w:lvl>
  </w:abstractNum>
  <w:abstractNum w:abstractNumId="80">
    <w:nsid w:val="2C106A57"/>
    <w:multiLevelType w:val="hybridMultilevel"/>
    <w:lvl w:ilvl="0">
      <w:lvlJc w:val="left"/>
      <w:lvlText w:val="%1."/>
      <w:numFmt w:val="decimal"/>
      <w:start w:val="7"/>
    </w:lvl>
  </w:abstractNum>
  <w:abstractNum w:abstractNumId="81">
    <w:nsid w:val="684EED59"/>
    <w:multiLevelType w:val="hybridMultilevel"/>
    <w:lvl w:ilvl="0">
      <w:lvlJc w:val="left"/>
      <w:lvlText w:val="(%1)"/>
      <w:numFmt w:val="lowerLetter"/>
      <w:start w:val="1"/>
    </w:lvl>
  </w:abstractNum>
  <w:abstractNum w:abstractNumId="82">
    <w:nsid w:val="545EE5D3"/>
    <w:multiLevelType w:val="hybridMultilevel"/>
    <w:lvl w:ilvl="0">
      <w:lvlJc w:val="left"/>
      <w:lvlText w:val="(%1)"/>
      <w:numFmt w:val="lowerLetter"/>
      <w:start w:val="1"/>
    </w:lvl>
  </w:abstractNum>
  <w:abstractNum w:abstractNumId="83">
    <w:nsid w:val="4A66051"/>
    <w:multiLevelType w:val="hybridMultilevel"/>
    <w:lvl w:ilvl="0">
      <w:lvlJc w:val="left"/>
      <w:lvlText w:val="%1"/>
      <w:numFmt w:val="lowerLetter"/>
      <w:start w:val="1"/>
    </w:lvl>
    <w:lvl w:ilvl="1">
      <w:lvlJc w:val="left"/>
      <w:lvlText w:val="(%2)"/>
      <w:numFmt w:val="lowerRoman"/>
      <w:start w:val="1"/>
    </w:lvl>
  </w:abstractNum>
  <w:abstractNum w:abstractNumId="84">
    <w:nsid w:val="20F4BDAD"/>
    <w:multiLevelType w:val="hybridMultilevel"/>
    <w:lvl w:ilvl="0">
      <w:lvlJc w:val="left"/>
      <w:lvlText w:val="(%1)"/>
      <w:numFmt w:val="lowerLetter"/>
      <w:start w:val="3"/>
    </w:lvl>
    <w:lvl w:ilvl="1">
      <w:lvlJc w:val="left"/>
      <w:lvlText w:val="%2"/>
      <w:numFmt w:val="lowerRoman"/>
      <w:start w:val="1"/>
    </w:lvl>
  </w:abstractNum>
  <w:abstractNum w:abstractNumId="85">
    <w:nsid w:val="639DEFAC"/>
    <w:multiLevelType w:val="hybridMultilevel"/>
    <w:lvl w:ilvl="0">
      <w:lvlJc w:val="left"/>
      <w:lvlText w:val="(%1)"/>
      <w:numFmt w:val="lowerLetter"/>
      <w:start w:val="1"/>
    </w:lvl>
  </w:abstractNum>
  <w:abstractNum w:abstractNumId="86">
    <w:nsid w:val="501F9786"/>
    <w:multiLevelType w:val="hybridMultilevel"/>
    <w:lvl w:ilvl="0">
      <w:lvlJc w:val="left"/>
      <w:lvlText w:val="(%1)"/>
      <w:numFmt w:val="lowerLetter"/>
      <w:start w:val="1"/>
    </w:lvl>
  </w:abstractNum>
  <w:abstractNum w:abstractNumId="87">
    <w:nsid w:val="6B057295"/>
    <w:multiLevelType w:val="hybridMultilevel"/>
    <w:lvl w:ilvl="0">
      <w:lvlJc w:val="left"/>
      <w:lvlText w:val="(%1)"/>
      <w:numFmt w:val="lowerLetter"/>
      <w:start w:val="3"/>
    </w:lvl>
  </w:abstractNum>
  <w:abstractNum w:abstractNumId="88">
    <w:nsid w:val="2771AC80"/>
    <w:multiLevelType w:val="hybridMultilevel"/>
    <w:lvl w:ilvl="0">
      <w:lvlJc w:val="left"/>
      <w:lvlText w:val="(%1)"/>
      <w:numFmt w:val="lowerLetter"/>
      <w:start w:val="1"/>
    </w:lvl>
    <w:lvl w:ilvl="1">
      <w:lvlJc w:val="left"/>
      <w:lvlText w:val="(%2)"/>
      <w:numFmt w:val="lowerRoman"/>
      <w:start w:val="1"/>
    </w:lvl>
  </w:abstractNum>
  <w:abstractNum w:abstractNumId="89">
    <w:nsid w:val="1C4A08EC"/>
    <w:multiLevelType w:val="hybridMultilevel"/>
    <w:lvl w:ilvl="0">
      <w:lvlJc w:val="left"/>
      <w:lvlText w:val="(%1)"/>
      <w:numFmt w:val="lowerLetter"/>
      <w:start w:val="2"/>
    </w:lvl>
    <w:lvl w:ilvl="1">
      <w:lvlJc w:val="left"/>
      <w:lvlText w:val="(%2)"/>
      <w:numFmt w:val="lowerRoman"/>
      <w:start w:val="1"/>
    </w:lvl>
  </w:abstractNum>
  <w:abstractNum w:abstractNumId="90">
    <w:nsid w:val="1958BD17"/>
    <w:multiLevelType w:val="hybridMultilevel"/>
    <w:lvl w:ilvl="0">
      <w:lvlJc w:val="left"/>
      <w:lvlText w:val="(%1)"/>
      <w:numFmt w:val="lowerLetter"/>
      <w:start w:val="5"/>
    </w:lvl>
    <w:lvl w:ilvl="1">
      <w:lvlJc w:val="left"/>
      <w:lvlText w:val="(%2)"/>
      <w:numFmt w:val="lowerRoman"/>
      <w:start w:val="1"/>
    </w:lvl>
  </w:abstractNum>
  <w:abstractNum w:abstractNumId="91">
    <w:nsid w:val="4E647FE4"/>
    <w:multiLevelType w:val="hybridMultilevel"/>
    <w:lvl w:ilvl="0">
      <w:lvlJc w:val="left"/>
      <w:lvlText w:val="(%1)"/>
      <w:numFmt w:val="lowerLetter"/>
      <w:start w:val="1"/>
    </w:lvl>
  </w:abstractNum>
  <w:abstractNum w:abstractNumId="92">
    <w:nsid w:val="E0BB885"/>
    <w:multiLevelType w:val="hybridMultilevel"/>
    <w:lvl w:ilvl="0">
      <w:lvlJc w:val="left"/>
      <w:lvlText w:val="(%1)"/>
      <w:numFmt w:val="lowerLetter"/>
      <w:start w:val="7"/>
    </w:lvl>
  </w:abstractNum>
  <w:abstractNum w:abstractNumId="93">
    <w:nsid w:val="565976F1"/>
    <w:multiLevelType w:val="hybridMultilevel"/>
    <w:lvl w:ilvl="0">
      <w:lvlJc w:val="left"/>
      <w:lvlText w:val="%1."/>
      <w:numFmt w:val="decimal"/>
      <w:start w:val="8"/>
    </w:lvl>
  </w:abstractNum>
  <w:abstractNum w:abstractNumId="94">
    <w:nsid w:val="64212B8C"/>
    <w:multiLevelType w:val="hybridMultilevel"/>
    <w:lvl w:ilvl="0">
      <w:lvlJc w:val="left"/>
      <w:lvlText w:val="(%1)"/>
      <w:numFmt w:val="lowerLetter"/>
      <w:start w:val="1"/>
    </w:lvl>
  </w:abstractNum>
  <w:abstractNum w:abstractNumId="95">
    <w:nsid w:val="5C17530C"/>
    <w:multiLevelType w:val="hybridMultilevel"/>
    <w:lvl w:ilvl="0">
      <w:lvlJc w:val="left"/>
      <w:lvlText w:val="(%1)"/>
      <w:numFmt w:val="lowerLetter"/>
      <w:start w:val="1"/>
    </w:lvl>
    <w:lvl w:ilvl="1">
      <w:lvlJc w:val="left"/>
      <w:lvlText w:val="(%2)"/>
      <w:numFmt w:val="lowerRoman"/>
      <w:start w:val="1"/>
    </w:lvl>
  </w:abstractNum>
  <w:abstractNum w:abstractNumId="96">
    <w:nsid w:val="19A52566"/>
    <w:multiLevelType w:val="hybridMultilevel"/>
    <w:lvl w:ilvl="0">
      <w:lvlJc w:val="left"/>
      <w:lvlText w:val="(%1)"/>
      <w:numFmt w:val="lowerLetter"/>
      <w:start w:val="1"/>
    </w:lvl>
  </w:abstractNum>
  <w:abstractNum w:abstractNumId="97">
    <w:nsid w:val="335A1DF1"/>
    <w:multiLevelType w:val="hybridMultilevel"/>
    <w:lvl w:ilvl="0">
      <w:lvlJc w:val="left"/>
      <w:lvlText w:val="%1."/>
      <w:numFmt w:val="decimal"/>
      <w:start w:val="9"/>
    </w:lvl>
  </w:abstractNum>
  <w:abstractNum w:abstractNumId="98">
    <w:nsid w:val="28677B7C"/>
    <w:multiLevelType w:val="hybridMultilevel"/>
    <w:lvl w:ilvl="0">
      <w:lvlJc w:val="left"/>
      <w:lvlText w:val="(%1)"/>
      <w:numFmt w:val="lowerLetter"/>
      <w:start w:val="1"/>
    </w:lvl>
  </w:abstractNum>
  <w:abstractNum w:abstractNumId="99">
    <w:nsid w:val="378D97C0"/>
    <w:multiLevelType w:val="hybridMultilevel"/>
    <w:lvl w:ilvl="0">
      <w:lvlJc w:val="left"/>
      <w:lvlText w:val="(%1)"/>
      <w:numFmt w:val="lowerLetter"/>
      <w:start w:val="1"/>
    </w:lvl>
  </w:abstractNum>
  <w:abstractNum w:abstractNumId="100">
    <w:nsid w:val="1D91467C"/>
    <w:multiLevelType w:val="hybridMultilevel"/>
    <w:lvl w:ilvl="0">
      <w:lvlJc w:val="left"/>
      <w:lvlText w:val="%1."/>
      <w:numFmt w:val="decimal"/>
      <w:start w:val="10"/>
    </w:lvl>
  </w:abstractNum>
  <w:abstractNum w:abstractNumId="101">
    <w:nsid w:val="316032BB"/>
    <w:multiLevelType w:val="hybridMultilevel"/>
    <w:lvl w:ilvl="0">
      <w:lvlJc w:val="left"/>
      <w:lvlText w:val="(%1)"/>
      <w:numFmt w:val="lowerLetter"/>
      <w:start w:val="1"/>
    </w:lvl>
    <w:lvl w:ilvl="1">
      <w:lvlJc w:val="left"/>
      <w:lvlText w:val="(%2)"/>
      <w:numFmt w:val="lowerRoman"/>
      <w:start w:val="1"/>
    </w:lvl>
  </w:abstractNum>
  <w:abstractNum w:abstractNumId="102">
    <w:nsid w:val="44344C22"/>
    <w:multiLevelType w:val="hybridMultilevel"/>
    <w:lvl w:ilvl="0">
      <w:lvlJc w:val="left"/>
      <w:lvlText w:val="(%1)"/>
      <w:numFmt w:val="lowerLetter"/>
      <w:start w:val="3"/>
    </w:lvl>
    <w:lvl w:ilvl="1">
      <w:lvlJc w:val="left"/>
      <w:lvlText w:val="(%2)"/>
      <w:numFmt w:val="lowerRoman"/>
      <w:start w:val="1"/>
    </w:lvl>
  </w:abstractNum>
  <w:abstractNum w:abstractNumId="103">
    <w:nsid w:val="13CDFCFC"/>
    <w:multiLevelType w:val="hybridMultilevel"/>
    <w:lvl w:ilvl="0">
      <w:lvlJc w:val="left"/>
      <w:lvlText w:val="(%1)"/>
      <w:numFmt w:val="lowerLetter"/>
      <w:start w:val="4"/>
    </w:lvl>
  </w:abstractNum>
  <w:abstractNum w:abstractNumId="104">
    <w:nsid w:val="471745E4"/>
    <w:multiLevelType w:val="hybridMultilevel"/>
    <w:lvl w:ilvl="0">
      <w:lvlJc w:val="left"/>
      <w:lvlText w:val="(%1)"/>
      <w:numFmt w:val="lowerLetter"/>
      <w:start w:val="1"/>
    </w:lvl>
    <w:lvl w:ilvl="1">
      <w:lvlJc w:val="left"/>
      <w:lvlText w:val="(%2)"/>
      <w:numFmt w:val="lowerRoman"/>
      <w:start w:val="1"/>
    </w:lvl>
  </w:abstractNum>
  <w:abstractNum w:abstractNumId="105">
    <w:nsid w:val="1DDBC66"/>
    <w:multiLevelType w:val="hybridMultilevel"/>
    <w:lvl w:ilvl="0">
      <w:lvlJc w:val="left"/>
      <w:lvlText w:val="(%1)"/>
      <w:numFmt w:val="lowerLetter"/>
      <w:start w:val="2"/>
    </w:lvl>
    <w:lvl w:ilvl="1">
      <w:lvlJc w:val="left"/>
      <w:lvlText w:val="(%2)"/>
      <w:numFmt w:val="lowerRoman"/>
      <w:start w:val="1"/>
    </w:lvl>
  </w:abstractNum>
  <w:abstractNum w:abstractNumId="106">
    <w:nsid w:val="30AADFDA"/>
    <w:multiLevelType w:val="hybridMultilevel"/>
    <w:lvl w:ilvl="0">
      <w:lvlJc w:val="left"/>
      <w:lvlText w:val="(%1)"/>
      <w:numFmt w:val="lowerLetter"/>
      <w:start w:val="5"/>
    </w:lvl>
  </w:abstractNum>
  <w:abstractNum w:abstractNumId="107">
    <w:nsid w:val="30EADA61"/>
    <w:multiLevelType w:val="hybridMultilevel"/>
    <w:lvl w:ilvl="0">
      <w:lvlJc w:val="left"/>
      <w:lvlText w:val="%1"/>
      <w:numFmt w:val="decimal"/>
      <w:start w:val="1"/>
    </w:lvl>
    <w:lvl w:ilvl="1">
      <w:lvlJc w:val="left"/>
      <w:lvlText w:val="(%2)"/>
      <w:numFmt w:val="lowerLetter"/>
      <w:start w:val="1"/>
    </w:lvl>
  </w:abstractNum>
  <w:abstractNum w:abstractNumId="108">
    <w:nsid w:val="27179C0B"/>
    <w:multiLevelType w:val="hybridMultilevel"/>
    <w:lvl w:ilvl="0">
      <w:lvlJc w:val="left"/>
      <w:lvlText w:val="%1."/>
      <w:numFmt w:val="decimal"/>
      <w:start w:val="11"/>
    </w:lvl>
    <w:lvl w:ilvl="1">
      <w:lvlJc w:val="left"/>
      <w:lvlText w:val="%2"/>
      <w:numFmt w:val="lowerLetter"/>
      <w:start w:val="1"/>
    </w:lvl>
  </w:abstractNum>
  <w:abstractNum w:abstractNumId="109">
    <w:nsid w:val="5E636063"/>
    <w:multiLevelType w:val="hybridMultilevel"/>
    <w:lvl w:ilvl="0">
      <w:lvlJc w:val="left"/>
      <w:lvlText w:val="(%1)"/>
      <w:numFmt w:val="lowerLetter"/>
      <w:start w:val="1"/>
    </w:lvl>
  </w:abstractNum>
  <w:abstractNum w:abstractNumId="110">
    <w:nsid w:val="215641AF"/>
    <w:multiLevelType w:val="hybridMultilevel"/>
    <w:lvl w:ilvl="0">
      <w:lvlJc w:val="left"/>
      <w:lvlText w:val="%1."/>
      <w:numFmt w:val="decimal"/>
      <w:start w:val="12"/>
    </w:lvl>
  </w:abstractNum>
  <w:abstractNum w:abstractNumId="111">
    <w:nsid w:val="53280662"/>
    <w:multiLevelType w:val="hybridMultilevel"/>
    <w:lvl w:ilvl="0">
      <w:lvlJc w:val="left"/>
      <w:lvlText w:val="(%1)"/>
      <w:numFmt w:val="lowerLetter"/>
      <w:start w:val="1"/>
    </w:lvl>
  </w:abstractNum>
  <w:abstractNum w:abstractNumId="112">
    <w:nsid w:val="46B24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3">
    <w:nsid w:val="75B5278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4">
    <w:nsid w:val="57CE66B4"/>
    <w:multiLevelType w:val="hybridMultilevel"/>
    <w:lvl w:ilvl="0">
      <w:lvlJc w:val="left"/>
      <w:lvlText w:val="(%1)"/>
      <w:numFmt w:val="lowerLetter"/>
      <w:start w:val="2"/>
    </w:lvl>
  </w:abstractNum>
  <w:abstractNum w:abstractNumId="115">
    <w:nsid w:val="67A70B69"/>
    <w:multiLevelType w:val="hybridMultilevel"/>
    <w:lvl w:ilvl="0">
      <w:lvlJc w:val="left"/>
      <w:lvlText w:val="(%1)"/>
      <w:numFmt w:val="lowerLetter"/>
      <w:start w:val="1"/>
    </w:lvl>
    <w:lvl w:ilvl="1">
      <w:lvlJc w:val="left"/>
      <w:lvlText w:val="(%2)"/>
      <w:numFmt w:val="lowerRoman"/>
      <w:start w:val="1"/>
    </w:lvl>
  </w:abstractNum>
  <w:abstractNum w:abstractNumId="116">
    <w:nsid w:val="5953172F"/>
    <w:multiLevelType w:val="hybridMultilevel"/>
    <w:lvl w:ilvl="0">
      <w:lvlJc w:val="left"/>
      <w:lvlText w:val="(%1)"/>
      <w:numFmt w:val="lowerLetter"/>
      <w:start w:val="1"/>
    </w:lvl>
  </w:abstractNum>
  <w:abstractNum w:abstractNumId="117">
    <w:nsid w:val="27EDFE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52AC7D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19">
    <w:nsid w:val="C4C3A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20">
    <w:nsid w:val="4438072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21">
    <w:nsid w:val="6C053B16"/>
    <w:multiLevelType w:val="hybridMultilevel"/>
    <w:lvl w:ilvl="0">
      <w:lvlJc w:val="left"/>
      <w:lvlText w:val="(%1)"/>
      <w:numFmt w:val="lowerRoman"/>
      <w:start w:val="1"/>
    </w:lvl>
  </w:abstractNum>
  <w:abstractNum w:abstractNumId="122">
    <w:nsid w:val="4F294393"/>
    <w:multiLevelType w:val="hybridMultilevel"/>
    <w:lvl w:ilvl="0">
      <w:lvlJc w:val="left"/>
      <w:lvlText w:val="(%1)"/>
      <w:numFmt w:val="upperLetter"/>
      <w:start w:val="1"/>
    </w:lvl>
  </w:abstractNum>
  <w:abstractNum w:abstractNumId="123">
    <w:nsid w:val="5243BFAC"/>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24">
    <w:nsid w:val="425EB207"/>
    <w:multiLevelType w:val="hybridMultilevel"/>
    <w:lvl w:ilvl="0">
      <w:lvlJc w:val="left"/>
      <w:lvlText w:val="(%1)"/>
      <w:numFmt w:val="lowerRoman"/>
      <w:start w:val="1"/>
    </w:lvl>
    <w:lvl w:ilvl="1">
      <w:lvlJc w:val="left"/>
      <w:lvlText w:val="(%2)"/>
      <w:numFmt w:val="lowerRoman"/>
      <w:start w:val="2"/>
    </w:lvl>
  </w:abstractNum>
  <w:abstractNum w:abstractNumId="125">
    <w:nsid w:val="334A6F1F"/>
    <w:multiLevelType w:val="hybridMultilevel"/>
    <w:lvl w:ilvl="0">
      <w:lvlJc w:val="left"/>
      <w:lvlText w:val="(%1)"/>
      <w:numFmt w:val="lowerLetter"/>
      <w:start w:val="10"/>
    </w:lvl>
  </w:abstractNum>
  <w:abstractNum w:abstractNumId="126">
    <w:nsid w:val="2E5B12B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7">
    <w:nsid w:val="5C03D76D"/>
    <w:multiLevelType w:val="hybridMultilevel"/>
    <w:lvl w:ilvl="0">
      <w:lvlJc w:val="left"/>
      <w:lvlText w:val="(%1)"/>
      <w:numFmt w:val="lowerRoman"/>
      <w:start w:val="2"/>
    </w:lvl>
  </w:abstractNum>
  <w:abstractNum w:abstractNumId="128">
    <w:nsid w:val="66A48D11"/>
    <w:multiLevelType w:val="hybridMultilevel"/>
    <w:lvl w:ilvl="0">
      <w:lvlJc w:val="left"/>
      <w:lvlText w:val="%1"/>
      <w:numFmt w:val="lowerLetter"/>
      <w:start w:val="1"/>
    </w:lvl>
    <w:lvl w:ilvl="1">
      <w:lvlJc w:val="left"/>
      <w:lvlText w:val="(%2)"/>
      <w:numFmt w:val="upperLetter"/>
      <w:start w:val="1"/>
    </w:lvl>
  </w:abstractNum>
  <w:abstractNum w:abstractNumId="129">
    <w:nsid w:val="56C28E34"/>
    <w:multiLevelType w:val="hybridMultilevel"/>
    <w:lvl w:ilvl="0">
      <w:lvlJc w:val="left"/>
      <w:lvlText w:val="(%1)"/>
      <w:numFmt w:val="lowerLetter"/>
      <w:start w:val="3"/>
    </w:lvl>
    <w:lvl w:ilvl="1">
      <w:lvlJc w:val="left"/>
      <w:lvlText w:val="%2"/>
      <w:numFmt w:val="upperLetter"/>
      <w:start w:val="1"/>
    </w:lvl>
  </w:abstractNum>
  <w:abstractNum w:abstractNumId="130">
    <w:nsid w:val="13916F2D"/>
    <w:multiLevelType w:val="hybridMultilevel"/>
    <w:lvl w:ilvl="0">
      <w:lvlJc w:val="left"/>
      <w:lvlText w:val="(%1)"/>
      <w:numFmt w:val="lowerLetter"/>
      <w:start w:val="1"/>
    </w:lvl>
  </w:abstractNum>
  <w:abstractNum w:abstractNumId="131">
    <w:nsid w:val="435D38D"/>
    <w:multiLevelType w:val="hybridMultilevel"/>
    <w:lvl w:ilvl="0">
      <w:lvlJc w:val="left"/>
      <w:lvlText w:val="(%1)"/>
      <w:numFmt w:val="lowerLetter"/>
      <w:start w:val="1"/>
    </w:lvl>
  </w:abstractNum>
  <w:abstractNum w:abstractNumId="132">
    <w:nsid w:val="822C0EF"/>
    <w:multiLevelType w:val="hybridMultilevel"/>
    <w:lvl w:ilvl="0">
      <w:lvlJc w:val="left"/>
      <w:lvlText w:val="(%1)"/>
      <w:numFmt w:val="lowerLetter"/>
      <w:start w:val="3"/>
    </w:lvl>
  </w:abstractNum>
  <w:abstractNum w:abstractNumId="133">
    <w:nsid w:val="57C5BB4F"/>
    <w:multiLevelType w:val="hybridMultilevel"/>
    <w:lvl w:ilvl="0">
      <w:lvlJc w:val="left"/>
      <w:lvlText w:val="(%1)"/>
      <w:numFmt w:val="lowerLetter"/>
      <w:start w:val="1"/>
    </w:lvl>
    <w:lvl w:ilvl="1">
      <w:lvlJc w:val="left"/>
      <w:lvlText w:val="(%2)"/>
      <w:numFmt w:val="lowerRoman"/>
      <w:start w:val="1"/>
    </w:lvl>
  </w:abstractNum>
  <w:abstractNum w:abstractNumId="134">
    <w:nsid w:val="1803D089"/>
    <w:multiLevelType w:val="hybridMultilevel"/>
    <w:lvl w:ilvl="0">
      <w:lvlJc w:val="left"/>
      <w:lvlText w:val="(%1)"/>
      <w:numFmt w:val="lowerLetter"/>
      <w:start w:val="4"/>
    </w:lvl>
  </w:abstractNum>
  <w:abstractNum w:abstractNumId="135">
    <w:nsid w:val="4F3A06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6">
    <w:nsid w:val="59A377B6"/>
    <w:multiLevelType w:val="hybridMultilevel"/>
    <w:lvl w:ilvl="0">
      <w:lvlJc w:val="left"/>
      <w:lvlText w:val="(%1)"/>
      <w:numFmt w:val="lowerLetter"/>
      <w:start w:val="5"/>
    </w:lvl>
    <w:lvl w:ilvl="1">
      <w:lvlJc w:val="left"/>
      <w:lvlText w:val="(%2)"/>
      <w:numFmt w:val="lowerRoman"/>
      <w:start w:val="1"/>
    </w:lvl>
  </w:abstractNum>
  <w:abstractNum w:abstractNumId="137">
    <w:nsid w:val="48AEB063"/>
    <w:multiLevelType w:val="hybridMultilevel"/>
    <w:lvl w:ilvl="0">
      <w:lvlJc w:val="left"/>
      <w:lvlText w:val="%1"/>
      <w:numFmt w:val="lowerLetter"/>
      <w:start w:val="1"/>
    </w:lvl>
    <w:lvl w:ilvl="1">
      <w:lvlJc w:val="left"/>
      <w:lvlText w:val="(%2)"/>
      <w:numFmt w:val="upperLetter"/>
      <w:start w:val="1"/>
    </w:lvl>
  </w:abstractNum>
  <w:abstractNum w:abstractNumId="138">
    <w:nsid w:val="24E135"/>
    <w:multiLevelType w:val="hybridMultilevel"/>
    <w:lvl w:ilvl="0">
      <w:lvlJc w:val="left"/>
      <w:lvlText w:val="(%1)"/>
      <w:numFmt w:val="lowerLetter"/>
      <w:start w:val="6"/>
    </w:lvl>
    <w:lvl w:ilvl="1">
      <w:lvlJc w:val="left"/>
      <w:lvlText w:val="%2"/>
      <w:numFmt w:val="upperLetter"/>
      <w:start w:val="1"/>
    </w:lvl>
  </w:abstractNum>
  <w:abstractNum w:abstractNumId="139">
    <w:nsid w:val="BB13C1"/>
    <w:multiLevelType w:val="hybridMultilevel"/>
    <w:lvl w:ilvl="0">
      <w:lvlJc w:val="left"/>
      <w:lvlText w:val="(%1)"/>
      <w:numFmt w:val="lowerLetter"/>
      <w:start w:val="1"/>
    </w:lvl>
  </w:abstractNum>
  <w:abstractNum w:abstractNumId="140">
    <w:nsid w:val="271210C7"/>
    <w:multiLevelType w:val="hybridMultilevel"/>
    <w:lvl w:ilvl="0">
      <w:lvlJc w:val="left"/>
      <w:lvlText w:val="%1."/>
      <w:numFmt w:val="decimal"/>
      <w:start w:val="13"/>
    </w:lvl>
  </w:abstractNum>
  <w:abstractNum w:abstractNumId="141">
    <w:nsid w:val="217B22E4"/>
    <w:multiLevelType w:val="hybridMultilevel"/>
    <w:lvl w:ilvl="0">
      <w:lvlJc w:val="left"/>
      <w:lvlText w:val="(%1)"/>
      <w:numFmt w:val="lowerLetter"/>
      <w:start w:val="1"/>
    </w:lvl>
    <w:lvl w:ilvl="1">
      <w:lvlJc w:val="left"/>
      <w:lvlText w:val="(%2)"/>
      <w:numFmt w:val="lowerRoman"/>
      <w:start w:val="1"/>
    </w:lvl>
  </w:abstractNum>
  <w:abstractNum w:abstractNumId="142">
    <w:nsid w:val="53E31A24"/>
    <w:multiLevelType w:val="hybridMultilevel"/>
    <w:lvl w:ilvl="0">
      <w:lvlJc w:val="left"/>
      <w:lvlText w:val="(%1)"/>
      <w:numFmt w:val="lowerRoman"/>
      <w:start w:val="1"/>
    </w:lvl>
  </w:abstractNum>
  <w:abstractNum w:abstractNumId="143">
    <w:nsid w:val="6DC45E83"/>
    <w:multiLevelType w:val="hybridMultilevel"/>
    <w:lvl w:ilvl="0">
      <w:lvlJc w:val="left"/>
      <w:lvlText w:val="(%1)"/>
      <w:numFmt w:val="lowerRoman"/>
      <w:start w:val="1"/>
    </w:lvl>
  </w:abstractNum>
  <w:abstractNum w:abstractNumId="144">
    <w:nsid w:val="17304A67"/>
    <w:multiLevelType w:val="hybridMultilevel"/>
    <w:lvl w:ilvl="0">
      <w:lvlJc w:val="left"/>
      <w:lvlText w:val="(%1)"/>
      <w:numFmt w:val="lowerLetter"/>
      <w:start w:val="1"/>
    </w:lvl>
  </w:abstractNum>
  <w:abstractNum w:abstractNumId="145">
    <w:nsid w:val="2BB180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6">
    <w:nsid w:val="556B69E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47">
    <w:nsid w:val="70836196"/>
    <w:multiLevelType w:val="hybridMultilevel"/>
    <w:lvl w:ilvl="0">
      <w:lvlJc w:val="left"/>
      <w:lvlText w:val="(%1)"/>
      <w:numFmt w:val="lowerLetter"/>
      <w:start w:val="1"/>
    </w:lvl>
    <w:lvl w:ilvl="1">
      <w:lvlJc w:val="left"/>
      <w:lvlText w:val="(%2)"/>
      <w:numFmt w:val="lowerRoman"/>
      <w:start w:val="1"/>
    </w:lvl>
  </w:abstractNum>
  <w:abstractNum w:abstractNumId="148">
    <w:nsid w:val="539F7F12"/>
    <w:multiLevelType w:val="hybridMultilevel"/>
    <w:lvl w:ilvl="0">
      <w:lvlJc w:val="left"/>
      <w:lvlText w:val="(%1)"/>
      <w:numFmt w:val="lowerLetter"/>
      <w:start w:val="2"/>
    </w:lvl>
  </w:abstractNum>
  <w:abstractNum w:abstractNumId="149">
    <w:nsid w:val="2817E7EC"/>
    <w:multiLevelType w:val="hybridMultilevel"/>
    <w:lvl w:ilvl="0">
      <w:lvlJc w:val="left"/>
      <w:lvlText w:val="(%1)"/>
      <w:numFmt w:val="lowerLetter"/>
      <w:start w:val="1"/>
    </w:lvl>
  </w:abstractNum>
  <w:abstractNum w:abstractNumId="150">
    <w:nsid w:val="71482545"/>
    <w:multiLevelType w:val="hybridMultilevel"/>
    <w:lvl w:ilvl="0">
      <w:lvlJc w:val="left"/>
      <w:lvlText w:val="%1"/>
      <w:numFmt w:val="decimal"/>
      <w:start w:val="1"/>
    </w:lvl>
    <w:lvl w:ilvl="1">
      <w:lvlJc w:val="left"/>
      <w:lvlText w:val="(%2)"/>
      <w:numFmt w:val="lowerLetter"/>
      <w:start w:val="1"/>
    </w:lvl>
  </w:abstractNum>
  <w:abstractNum w:abstractNumId="151">
    <w:nsid w:val="17D78639"/>
    <w:multiLevelType w:val="hybridMultilevel"/>
    <w:lvl w:ilvl="0">
      <w:lvlJc w:val="left"/>
      <w:lvlText w:val="%1."/>
      <w:numFmt w:val="decimal"/>
      <w:start w:val="15"/>
    </w:lvl>
    <w:lvl w:ilvl="1">
      <w:lvlJc w:val="left"/>
      <w:lvlText w:val="%2"/>
      <w:numFmt w:val="lowerLetter"/>
      <w:start w:val="1"/>
    </w:lvl>
  </w:abstractNum>
  <w:abstractNum w:abstractNumId="152">
    <w:nsid w:val="141D2302"/>
    <w:multiLevelType w:val="hybridMultilevel"/>
    <w:lvl w:ilvl="0">
      <w:lvlJc w:val="left"/>
      <w:lvlText w:val="(%1)"/>
      <w:numFmt w:val="lowerLetter"/>
      <w:start w:val="1"/>
    </w:lvl>
  </w:abstractNum>
  <w:abstractNum w:abstractNumId="153">
    <w:nsid w:val="407168D8"/>
    <w:multiLevelType w:val="hybridMultilevel"/>
    <w:lvl w:ilvl="0">
      <w:lvlJc w:val="left"/>
      <w:lvlText w:val="%1"/>
      <w:numFmt w:val="decimal"/>
      <w:start w:val="1"/>
    </w:lvl>
    <w:lvl w:ilvl="1">
      <w:lvlJc w:val="left"/>
      <w:lvlText w:val="(%2)"/>
      <w:numFmt w:val="lowerLetter"/>
      <w:start w:val="1"/>
    </w:lvl>
  </w:abstractNum>
  <w:abstractNum w:abstractNumId="154">
    <w:nsid w:val="6A1B45E5"/>
    <w:multiLevelType w:val="hybridMultilevel"/>
    <w:lvl w:ilvl="0">
      <w:lvlJc w:val="left"/>
      <w:lvlText w:val="%1."/>
      <w:numFmt w:val="decimal"/>
      <w:start w:val="16"/>
    </w:lvl>
    <w:lvl w:ilvl="1">
      <w:lvlJc w:val="left"/>
      <w:lvlText w:val="%2"/>
      <w:numFmt w:val="lowerLetter"/>
      <w:start w:val="1"/>
    </w:lvl>
  </w:abstractNum>
  <w:abstractNum w:abstractNumId="155">
    <w:nsid w:val="567BD50A"/>
    <w:multiLevelType w:val="hybridMultilevel"/>
    <w:lvl w:ilvl="0">
      <w:lvlJc w:val="left"/>
      <w:lvlText w:val="(%1)"/>
      <w:numFmt w:val="lowerLetter"/>
      <w:start w:val="1"/>
    </w:lvl>
  </w:abstractNum>
  <w:abstractNum w:abstractNumId="156">
    <w:nsid w:val="73BBD7F8"/>
    <w:multiLevelType w:val="hybridMultilevel"/>
    <w:lvl w:ilvl="0">
      <w:lvlJc w:val="left"/>
      <w:lvlText w:val="(%1)"/>
      <w:numFmt w:val="lowerLetter"/>
      <w:start w:val="1"/>
    </w:lvl>
  </w:abstractNum>
  <w:abstractNum w:abstractNumId="157">
    <w:nsid w:val="1876589D"/>
    <w:multiLevelType w:val="hybridMultilevel"/>
    <w:lvl w:ilvl="0">
      <w:lvlJc w:val="left"/>
      <w:lvlText w:val="%1."/>
      <w:numFmt w:val="decimal"/>
      <w:start w:val="17"/>
    </w:lvl>
    <w:lvl w:ilvl="1">
      <w:lvlJc w:val="left"/>
      <w:lvlText w:val="(%2)"/>
      <w:numFmt w:val="lowerLetter"/>
      <w:start w:val="1"/>
    </w:lvl>
  </w:abstractNum>
  <w:abstractNum w:abstractNumId="158">
    <w:nsid w:val="327FAC77"/>
    <w:multiLevelType w:val="hybridMultilevel"/>
    <w:lvl w:ilvl="0">
      <w:lvlJc w:val="left"/>
      <w:lvlText w:val="(%1)"/>
      <w:numFmt w:val="lowerLetter"/>
      <w:start w:val="1"/>
    </w:lvl>
  </w:abstractNum>
  <w:abstractNum w:abstractNumId="159">
    <w:nsid w:val="5A606509"/>
    <w:multiLevelType w:val="hybridMultilevel"/>
    <w:lvl w:ilvl="0">
      <w:lvlJc w:val="left"/>
      <w:lvlText w:val="(%1)"/>
      <w:numFmt w:val="lowerLetter"/>
      <w:start w:val="2"/>
    </w:lvl>
  </w:abstractNum>
  <w:abstractNum w:abstractNumId="160">
    <w:nsid w:val="6F38E6D1"/>
    <w:multiLevelType w:val="hybridMultilevel"/>
    <w:lvl w:ilvl="0">
      <w:lvlJc w:val="left"/>
      <w:lvlText w:val="(%1)"/>
      <w:numFmt w:val="lowerLetter"/>
      <w:start w:val="1"/>
    </w:lvl>
  </w:abstractNum>
  <w:abstractNum w:abstractNumId="161">
    <w:nsid w:val="46111BA5"/>
    <w:multiLevelType w:val="hybridMultilevel"/>
    <w:lvl w:ilvl="0">
      <w:lvlJc w:val="left"/>
      <w:lvlText w:val="(%1)"/>
      <w:numFmt w:val="lowerLetter"/>
      <w:start w:val="1"/>
    </w:lvl>
  </w:abstractNum>
  <w:abstractNum w:abstractNumId="162">
    <w:nsid w:val="5E963896"/>
    <w:multiLevelType w:val="hybridMultilevel"/>
    <w:lvl w:ilvl="0">
      <w:lvlJc w:val="left"/>
      <w:lvlText w:val="(%1)"/>
      <w:numFmt w:val="lowerLetter"/>
      <w:start w:val="1"/>
    </w:lvl>
  </w:abstractNum>
  <w:abstractNum w:abstractNumId="163">
    <w:nsid w:val="775BA7C1"/>
    <w:multiLevelType w:val="hybridMultilevel"/>
    <w:lvl w:ilvl="0">
      <w:lvlJc w:val="left"/>
      <w:lvlText w:val="(%1)"/>
      <w:numFmt w:val="lowerLetter"/>
      <w:start w:val="1"/>
    </w:lvl>
  </w:abstractNum>
  <w:abstractNum w:abstractNumId="164">
    <w:nsid w:val="1DD6D6F4"/>
    <w:multiLevelType w:val="hybridMultilevel"/>
    <w:lvl w:ilvl="0">
      <w:lvlJc w:val="left"/>
      <w:lvlText w:val="(%1)"/>
      <w:numFmt w:val="lowerLetter"/>
      <w:start w:val="1"/>
    </w:lvl>
    <w:lvl w:ilvl="1">
      <w:lvlJc w:val="left"/>
      <w:lvlText w:val="(%2)"/>
      <w:numFmt w:val="lowerRoman"/>
      <w:start w:val="1"/>
    </w:lvl>
  </w:abstractNum>
  <w:abstractNum w:abstractNumId="165">
    <w:nsid w:val="769A091F"/>
    <w:multiLevelType w:val="hybridMultilevel"/>
    <w:lvl w:ilvl="0">
      <w:lvlJc w:val="left"/>
      <w:lvlText w:val="(%1)"/>
      <w:numFmt w:val="lowerLetter"/>
      <w:start w:val="1"/>
    </w:lvl>
  </w:abstractNum>
  <w:abstractNum w:abstractNumId="166">
    <w:nsid w:val="4695AE95"/>
    <w:multiLevelType w:val="hybridMultilevel"/>
    <w:lvl w:ilvl="0">
      <w:lvlJc w:val="left"/>
      <w:lvlText w:val="(%1)"/>
      <w:numFmt w:val="lowerLetter"/>
      <w:start w:val="1"/>
    </w:lvl>
  </w:abstractNum>
  <w:abstractNum w:abstractNumId="167">
    <w:nsid w:val="777A4EAA"/>
    <w:multiLevelType w:val="hybridMultilevel"/>
    <w:lvl w:ilvl="0">
      <w:lvlJc w:val="left"/>
      <w:lvlText w:val="(%1)"/>
      <w:numFmt w:val="lowerLetter"/>
      <w:start w:val="1"/>
    </w:lvl>
    <w:lvl w:ilvl="1">
      <w:lvlJc w:val="left"/>
      <w:lvlText w:val="(%2)"/>
      <w:numFmt w:val="lowerRoman"/>
      <w:start w:val="1"/>
    </w:lvl>
  </w:abstractNum>
  <w:abstractNum w:abstractNumId="168">
    <w:nsid w:val="3F48B982"/>
    <w:multiLevelType w:val="hybridMultilevel"/>
    <w:lvl w:ilvl="0">
      <w:lvlJc w:val="left"/>
      <w:lvlText w:val="(%1)"/>
      <w:numFmt w:val="lowerLetter"/>
      <w:start w:val="1"/>
    </w:lvl>
  </w:abstractNum>
  <w:abstractNum w:abstractNumId="169">
    <w:nsid w:val="46BA8FCA"/>
    <w:multiLevelType w:val="hybridMultilevel"/>
    <w:lvl w:ilvl="0">
      <w:lvlJc w:val="left"/>
      <w:lvlText w:val="(%1)"/>
      <w:numFmt w:val="lowerLetter"/>
      <w:start w:val="2"/>
    </w:lvl>
  </w:abstractNum>
  <w:abstractNum w:abstractNumId="170">
    <w:nsid w:val="7835626C"/>
    <w:multiLevelType w:val="hybridMultilevel"/>
    <w:lvl w:ilvl="0">
      <w:lvlJc w:val="left"/>
      <w:lvlText w:val="(%1)"/>
      <w:numFmt w:val="lowerLetter"/>
      <w:start w:val="1"/>
    </w:lvl>
  </w:abstractNum>
  <w:abstractNum w:abstractNumId="171">
    <w:nsid w:val="665ACA49"/>
    <w:multiLevelType w:val="hybridMultilevel"/>
    <w:lvl w:ilvl="0">
      <w:lvlJc w:val="left"/>
      <w:lvlText w:val="(%1)"/>
      <w:numFmt w:val="lowerLetter"/>
      <w:start w:val="1"/>
    </w:lvl>
    <w:lvl w:ilvl="1">
      <w:lvlJc w:val="left"/>
      <w:lvlText w:val="(%2)"/>
      <w:numFmt w:val="lowerRoman"/>
      <w:start w:val="1"/>
    </w:lvl>
  </w:abstractNum>
  <w:abstractNum w:abstractNumId="172">
    <w:nsid w:val="6835B2AE"/>
    <w:multiLevelType w:val="hybridMultilevel"/>
    <w:lvl w:ilvl="0">
      <w:lvlJc w:val="left"/>
      <w:lvlText w:val="(%1)"/>
      <w:numFmt w:val="lowerLetter"/>
      <w:start w:val="1"/>
    </w:lvl>
  </w:abstractNum>
  <w:abstractNum w:abstractNumId="173">
    <w:nsid w:val="4C187C90"/>
    <w:multiLevelType w:val="hybridMultilevel"/>
    <w:lvl w:ilvl="0">
      <w:lvlJc w:val="left"/>
      <w:lvlText w:val="%1"/>
      <w:numFmt w:val="lowerLetter"/>
      <w:start w:val="1"/>
    </w:lvl>
    <w:lvl w:ilvl="1">
      <w:lvlJc w:val="left"/>
      <w:lvlText w:val="(%2)"/>
      <w:numFmt w:val="lowerLetter"/>
      <w:start w:val="1"/>
    </w:lvl>
  </w:abstractNum>
  <w:abstractNum w:abstractNumId="174">
    <w:nsid w:val="541F28CD"/>
    <w:multiLevelType w:val="hybridMultilevel"/>
    <w:lvl w:ilvl="0">
      <w:lvlJc w:val="left"/>
      <w:lvlText w:val="(%1)"/>
      <w:numFmt w:val="lowerLetter"/>
      <w:start w:val="1"/>
    </w:lvl>
    <w:lvl w:ilvl="1">
      <w:lvlJc w:val="left"/>
      <w:lvlText w:val="%2"/>
      <w:numFmt w:val="lowerLetter"/>
      <w:start w:val="1"/>
    </w:lvl>
  </w:abstractNum>
  <w:abstractNum w:abstractNumId="175">
    <w:nsid w:val="7F65FD16"/>
    <w:multiLevelType w:val="hybridMultilevel"/>
    <w:lvl w:ilvl="0">
      <w:lvlJc w:val="left"/>
      <w:lvlText w:val="(%1)"/>
      <w:numFmt w:val="lowerLetter"/>
      <w:start w:val="1"/>
    </w:lvl>
    <w:lvl w:ilvl="1">
      <w:lvlJc w:val="left"/>
      <w:lvlText w:val="(%2)"/>
      <w:numFmt w:val="lowerRoman"/>
      <w:start w:val="1"/>
    </w:lvl>
  </w:abstractNum>
  <w:abstractNum w:abstractNumId="176">
    <w:nsid w:val="77C9FD68"/>
    <w:multiLevelType w:val="hybridMultilevel"/>
    <w:lvl w:ilvl="0">
      <w:lvlJc w:val="left"/>
      <w:lvlText w:val="(%1)"/>
      <w:numFmt w:val="lowerLetter"/>
      <w:start w:val="2"/>
    </w:lvl>
  </w:abstractNum>
  <w:abstractNum w:abstractNumId="177">
    <w:nsid w:val="298A92BA"/>
    <w:multiLevelType w:val="hybridMultilevel"/>
    <w:lvl w:ilvl="0">
      <w:lvlJc w:val="left"/>
      <w:lvlText w:val="(%1)"/>
      <w:numFmt w:val="lowerLetter"/>
      <w:start w:val="1"/>
    </w:lvl>
    <w:lvl w:ilvl="1">
      <w:lvlJc w:val="left"/>
      <w:lvlText w:val="(%2)"/>
      <w:numFmt w:val="lowerRoman"/>
      <w:start w:val="1"/>
    </w:lvl>
  </w:abstractNum>
  <w:abstractNum w:abstractNumId="178">
    <w:nsid w:val="6FE95EAC"/>
    <w:multiLevelType w:val="hybridMultilevel"/>
    <w:lvl w:ilvl="0">
      <w:lvlJc w:val="left"/>
      <w:lvlText w:val="%1."/>
      <w:numFmt w:val="decimal"/>
      <w:start w:val="18"/>
    </w:lvl>
  </w:abstractNum>
  <w:abstractNum w:abstractNumId="179">
    <w:nsid w:val="4B697C7A"/>
    <w:multiLevelType w:val="hybridMultilevel"/>
    <w:lvl w:ilvl="0">
      <w:lvlJc w:val="left"/>
      <w:lvlText w:val="(%1)"/>
      <w:numFmt w:val="lowerLetter"/>
      <w:start w:val="1"/>
    </w:lvl>
  </w:abstractNum>
  <w:abstractNum w:abstractNumId="180">
    <w:nsid w:val="51A27AA6"/>
    <w:multiLevelType w:val="hybridMultilevel"/>
    <w:lvl w:ilvl="0">
      <w:lvlJc w:val="left"/>
      <w:lvlText w:val="(%1)"/>
      <w:numFmt w:val="lowerLetter"/>
      <w:start w:val="1"/>
    </w:lvl>
  </w:abstractNum>
  <w:abstractNum w:abstractNumId="181">
    <w:nsid w:val="613183F2"/>
    <w:multiLevelType w:val="hybridMultilevel"/>
    <w:lvl w:ilvl="0">
      <w:lvlJc w:val="left"/>
      <w:lvlText w:val="(%1)"/>
      <w:numFmt w:val="lowerLetter"/>
      <w:start w:val="1"/>
    </w:lvl>
    <w:lvl w:ilvl="1">
      <w:lvlJc w:val="left"/>
      <w:lvlText w:val="(%2)"/>
      <w:numFmt w:val="lowerRoman"/>
      <w:start w:val="1"/>
    </w:lvl>
  </w:abstractNum>
  <w:abstractNum w:abstractNumId="182">
    <w:nsid w:val="634102B4"/>
    <w:multiLevelType w:val="hybridMultilevel"/>
    <w:lvl w:ilvl="0">
      <w:lvlJc w:val="left"/>
      <w:lvlText w:val="(%1)"/>
      <w:numFmt w:val="lowerRoman"/>
      <w:start w:val="2"/>
    </w:lvl>
  </w:abstractNum>
  <w:abstractNum w:abstractNumId="183">
    <w:nsid w:val="65BF9DA8"/>
    <w:multiLevelType w:val="hybridMultilevel"/>
    <w:lvl w:ilvl="0">
      <w:lvlJc w:val="left"/>
      <w:lvlText w:val="(%1)"/>
      <w:numFmt w:val="lowerLetter"/>
      <w:start w:val="1"/>
    </w:lvl>
  </w:abstractNum>
  <w:abstractNum w:abstractNumId="184">
    <w:nsid w:val="21A2ECCA"/>
    <w:multiLevelType w:val="hybridMultilevel"/>
    <w:lvl w:ilvl="0">
      <w:lvlJc w:val="left"/>
      <w:lvlText w:val="(%1)"/>
      <w:numFmt w:val="lowerLetter"/>
      <w:start w:val="1"/>
    </w:lvl>
  </w:abstractNum>
  <w:abstractNum w:abstractNumId="185">
    <w:nsid w:val="4D5C4899"/>
    <w:multiLevelType w:val="hybridMultilevel"/>
    <w:lvl w:ilvl="0">
      <w:lvlJc w:val="left"/>
      <w:lvlText w:val="(%1)"/>
      <w:numFmt w:val="lowerLetter"/>
      <w:start w:val="1"/>
    </w:lvl>
    <w:lvl w:ilvl="1">
      <w:lvlJc w:val="left"/>
      <w:lvlText w:val="(%2)"/>
      <w:numFmt w:val="lowerRoman"/>
      <w:start w:val="1"/>
    </w:lvl>
  </w:abstractNum>
  <w:abstractNum w:abstractNumId="186">
    <w:nsid w:val="3C3B72B2"/>
    <w:multiLevelType w:val="hybridMultilevel"/>
    <w:lvl w:ilvl="0">
      <w:lvlJc w:val="left"/>
      <w:lvlText w:val="(%1)"/>
      <w:numFmt w:val="lowerLetter"/>
      <w:start w:val="2"/>
    </w:lvl>
    <w:lvl w:ilvl="1">
      <w:lvlJc w:val="left"/>
      <w:lvlText w:val="(%2)"/>
      <w:numFmt w:val="lowerRoman"/>
      <w:start w:val="1"/>
    </w:lvl>
  </w:abstractNum>
  <w:abstractNum w:abstractNumId="187">
    <w:nsid w:val="155EC4C2"/>
    <w:multiLevelType w:val="hybridMultilevel"/>
    <w:lvl w:ilvl="0">
      <w:lvlJc w:val="left"/>
      <w:lvlText w:val="(%1)"/>
      <w:numFmt w:val="lowerLetter"/>
      <w:start w:val="1"/>
    </w:lvl>
    <w:lvl w:ilvl="1">
      <w:lvlJc w:val="left"/>
      <w:lvlText w:val="(%2)"/>
      <w:numFmt w:val="lowerRoman"/>
      <w:start w:val="1"/>
    </w:lvl>
  </w:abstractNum>
  <w:abstractNum w:abstractNumId="188">
    <w:nsid w:val="65D2A137"/>
    <w:multiLevelType w:val="hybridMultilevel"/>
    <w:lvl w:ilvl="0">
      <w:lvlJc w:val="left"/>
      <w:lvlText w:val="%1"/>
      <w:numFmt w:val="decimal"/>
      <w:start w:val="1"/>
    </w:lvl>
    <w:lvl w:ilvl="1">
      <w:lvlJc w:val="left"/>
      <w:lvlText w:val="(%2)"/>
      <w:numFmt w:val="lowerLetter"/>
      <w:start w:val="2"/>
    </w:lvl>
  </w:abstractNum>
  <w:abstractNum w:abstractNumId="189">
    <w:nsid w:val="6EBB1F2A"/>
    <w:multiLevelType w:val="hybridMultilevel"/>
    <w:lvl w:ilvl="0">
      <w:lvlJc w:val="left"/>
      <w:lvlText w:val="%1."/>
      <w:numFmt w:val="decimal"/>
      <w:start w:val="19"/>
    </w:lvl>
    <w:lvl w:ilvl="1">
      <w:lvlJc w:val="left"/>
      <w:lvlText w:val="%2"/>
      <w:numFmt w:val="lowerLetter"/>
      <w:start w:val="1"/>
    </w:lvl>
  </w:abstractNum>
  <w:abstractNum w:abstractNumId="190">
    <w:nsid w:val="6FBF29CB"/>
    <w:multiLevelType w:val="hybridMultilevel"/>
    <w:lvl w:ilvl="0">
      <w:lvlJc w:val="left"/>
      <w:lvlText w:val="(%1)"/>
      <w:numFmt w:val="lowerLetter"/>
      <w:start w:val="1"/>
    </w:lvl>
  </w:abstractNum>
  <w:abstractNum w:abstractNumId="191">
    <w:nsid w:val="550B8808"/>
    <w:multiLevelType w:val="hybridMultilevel"/>
    <w:lvl w:ilvl="0">
      <w:lvlJc w:val="left"/>
      <w:lvlText w:val="(%1)"/>
      <w:numFmt w:val="lowerLetter"/>
      <w:start w:val="1"/>
    </w:lvl>
  </w:abstractNum>
  <w:abstractNum w:abstractNumId="192">
    <w:nsid w:val="34CC3ACF"/>
    <w:multiLevelType w:val="hybridMultilevel"/>
    <w:lvl w:ilvl="0">
      <w:lvlJc w:val="left"/>
      <w:lvlText w:val="(%1)"/>
      <w:numFmt w:val="lowerLetter"/>
      <w:start w:val="1"/>
    </w:lvl>
  </w:abstractNum>
  <w:abstractNum w:abstractNumId="193">
    <w:nsid w:val="4E556261"/>
    <w:multiLevelType w:val="hybridMultilevel"/>
    <w:lvl w:ilvl="0">
      <w:lvlJc w:val="left"/>
      <w:lvlText w:val="(%1)"/>
      <w:numFmt w:val="lowerLetter"/>
      <w:start w:val="1"/>
    </w:lvl>
  </w:abstractNum>
  <w:abstractNum w:abstractNumId="194">
    <w:nsid w:val="4C672FC9"/>
    <w:multiLevelType w:val="hybridMultilevel"/>
    <w:lvl w:ilvl="0">
      <w:lvlJc w:val="left"/>
      <w:lvlText w:val="%1"/>
      <w:numFmt w:val="decimal"/>
      <w:start w:val="1"/>
    </w:lvl>
    <w:lvl w:ilvl="1">
      <w:lvlJc w:val="left"/>
      <w:lvlText w:val="(%2)"/>
      <w:numFmt w:val="lowerLetter"/>
      <w:start w:val="1"/>
    </w:lvl>
  </w:abstractNum>
  <w:abstractNum w:abstractNumId="195">
    <w:nsid w:val="52A311C3"/>
    <w:multiLevelType w:val="hybridMultilevel"/>
    <w:lvl w:ilvl="0">
      <w:lvlJc w:val="left"/>
      <w:lvlText w:val="%1."/>
      <w:numFmt w:val="decimal"/>
      <w:start w:val="20"/>
    </w:lvl>
    <w:lvl w:ilvl="1">
      <w:lvlJc w:val="left"/>
      <w:lvlText w:val="%2"/>
      <w:numFmt w:val="lowerLetter"/>
      <w:start w:val="1"/>
    </w:lvl>
  </w:abstractNum>
  <w:abstractNum w:abstractNumId="196">
    <w:nsid w:val="44EF6B80"/>
    <w:multiLevelType w:val="hybridMultilevel"/>
    <w:lvl w:ilvl="0">
      <w:lvlJc w:val="left"/>
      <w:lvlText w:val="(%1)"/>
      <w:numFmt w:val="lowerLetter"/>
      <w:start w:val="1"/>
    </w:lvl>
  </w:abstractNum>
  <w:abstractNum w:abstractNumId="197">
    <w:nsid w:val="12FCDE5E"/>
    <w:multiLevelType w:val="hybridMultilevel"/>
    <w:lvl w:ilvl="0">
      <w:lvlJc w:val="left"/>
      <w:lvlText w:val="(%1)"/>
      <w:numFmt w:val="lowerLetter"/>
      <w:start w:val="1"/>
    </w:lvl>
  </w:abstractNum>
  <w:abstractNum w:abstractNumId="198">
    <w:nsid w:val="4A1D606E"/>
    <w:multiLevelType w:val="hybridMultilevel"/>
    <w:lvl w:ilvl="0">
      <w:lvlJc w:val="left"/>
      <w:lvlText w:val="(%1)"/>
      <w:numFmt w:val="lowerLetter"/>
      <w:start w:val="1"/>
    </w:lvl>
  </w:abstractNum>
  <w:abstractNum w:abstractNumId="199">
    <w:nsid w:val="4382503"/>
    <w:multiLevelType w:val="hybridMultilevel"/>
    <w:lvl w:ilvl="0">
      <w:lvlJc w:val="left"/>
      <w:lvlText w:val="(%1)"/>
      <w:numFmt w:val="lowerLetter"/>
      <w:start w:val="1"/>
    </w:lvl>
  </w:abstractNum>
  <w:abstractNum w:abstractNumId="200">
    <w:nsid w:val="59B76E28"/>
    <w:multiLevelType w:val="hybridMultilevel"/>
    <w:lvl w:ilvl="0">
      <w:lvlJc w:val="left"/>
      <w:lvlText w:val="(%1)"/>
      <w:numFmt w:val="lowerLetter"/>
      <w:start w:val="1"/>
    </w:lvl>
  </w:abstractNum>
  <w:abstractNum w:abstractNumId="201">
    <w:nsid w:val="4252C2DA"/>
    <w:multiLevelType w:val="hybridMultilevel"/>
    <w:lvl w:ilvl="0">
      <w:lvlJc w:val="left"/>
      <w:lvlText w:val="(%1)"/>
      <w:numFmt w:val="lowerLetter"/>
      <w:start w:val="1"/>
    </w:lvl>
    <w:lvl w:ilvl="1">
      <w:lvlJc w:val="left"/>
      <w:lvlText w:val="(%2)"/>
      <w:numFmt w:val="lowerRoman"/>
      <w:start w:val="1"/>
    </w:lvl>
  </w:abstractNum>
  <w:abstractNum w:abstractNumId="202">
    <w:nsid w:val="6A92EF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3">
    <w:nsid w:val="41ED20D7"/>
    <w:multiLevelType w:val="hybridMultilevel"/>
    <w:lvl w:ilvl="0">
      <w:lvlJc w:val="left"/>
      <w:lvlText w:val="(%1)"/>
      <w:numFmt w:val="lowerLetter"/>
      <w:start w:val="1"/>
    </w:lvl>
    <w:lvl w:ilvl="1">
      <w:lvlJc w:val="left"/>
      <w:lvlText w:val="(%2)"/>
      <w:numFmt w:val="lowerRoman"/>
      <w:start w:val="1"/>
    </w:lvl>
  </w:abstractNum>
  <w:abstractNum w:abstractNumId="204">
    <w:nsid w:val="E6B3F6A"/>
    <w:multiLevelType w:val="hybridMultilevel"/>
    <w:lvl w:ilvl="0">
      <w:lvlJc w:val="left"/>
      <w:lvlText w:val="(%1)"/>
      <w:numFmt w:val="lowerLetter"/>
      <w:start w:val="3"/>
    </w:lvl>
  </w:abstractNum>
  <w:abstractNum w:abstractNumId="205">
    <w:nsid w:val="3EB21819"/>
    <w:multiLevelType w:val="hybridMultilevel"/>
    <w:lvl w:ilvl="0">
      <w:lvlJc w:val="left"/>
      <w:lvlText w:val="(%1)"/>
      <w:numFmt w:val="lowerLetter"/>
      <w:start w:val="1"/>
    </w:lvl>
    <w:lvl w:ilvl="1">
      <w:lvlJc w:val="left"/>
      <w:lvlText w:val="(%2)"/>
      <w:numFmt w:val="lowerRoman"/>
      <w:start w:val="1"/>
    </w:lvl>
  </w:abstractNum>
  <w:abstractNum w:abstractNumId="206">
    <w:nsid w:val="41531DED"/>
    <w:multiLevelType w:val="hybridMultilevel"/>
    <w:lvl w:ilvl="0">
      <w:lvlJc w:val="left"/>
      <w:lvlText w:val="(%1)"/>
      <w:numFmt w:val="lowerLetter"/>
      <w:start w:val="1"/>
    </w:lvl>
  </w:abstractNum>
  <w:abstractNum w:abstractNumId="207">
    <w:nsid w:val="6353CD2"/>
    <w:multiLevelType w:val="hybridMultilevel"/>
    <w:lvl w:ilvl="0">
      <w:lvlJc w:val="left"/>
      <w:lvlText w:val="(%1)"/>
      <w:numFmt w:val="lowerLetter"/>
      <w:start w:val="1"/>
    </w:lvl>
  </w:abstractNum>
  <w:abstractNum w:abstractNumId="208">
    <w:nsid w:val="683CAAD3"/>
    <w:multiLevelType w:val="hybridMultilevel"/>
    <w:lvl w:ilvl="0">
      <w:lvlJc w:val="left"/>
      <w:lvlText w:val="(%1)"/>
      <w:numFmt w:val="lowerLetter"/>
      <w:start w:val="1"/>
    </w:lvl>
  </w:abstractNum>
  <w:abstractNum w:abstractNumId="209">
    <w:nsid w:val="313C7C99"/>
    <w:multiLevelType w:val="hybridMultilevel"/>
    <w:lvl w:ilvl="0">
      <w:lvlJc w:val="left"/>
      <w:lvlText w:val="(%1)"/>
      <w:numFmt w:val="lowerLetter"/>
      <w:start w:val="2"/>
    </w:lvl>
  </w:abstractNum>
  <w:abstractNum w:abstractNumId="210">
    <w:nsid w:val="519EB94C"/>
    <w:multiLevelType w:val="hybridMultilevel"/>
    <w:lvl w:ilvl="0">
      <w:lvlJc w:val="left"/>
      <w:lvlText w:val="(%1)"/>
      <w:numFmt w:val="lowerLetter"/>
      <w:start w:val="1"/>
    </w:lvl>
  </w:abstractNum>
  <w:abstractNum w:abstractNumId="211">
    <w:nsid w:val="39DF2579"/>
    <w:multiLevelType w:val="hybridMultilevel"/>
    <w:lvl w:ilvl="0">
      <w:lvlJc w:val="left"/>
      <w:lvlText w:val="(%1)"/>
      <w:numFmt w:val="lowerLetter"/>
      <w:start w:val="1"/>
    </w:lvl>
  </w:abstractNum>
  <w:abstractNum w:abstractNumId="212">
    <w:nsid w:val="126E008B"/>
    <w:multiLevelType w:val="hybridMultilevel"/>
    <w:lvl w:ilvl="0">
      <w:lvlJc w:val="left"/>
      <w:lvlText w:val="(%1)"/>
      <w:numFmt w:val="lowerLetter"/>
      <w:start w:val="3"/>
    </w:lvl>
  </w:abstractNum>
  <w:abstractNum w:abstractNumId="213">
    <w:nsid w:val="34DFBC00"/>
    <w:multiLevelType w:val="hybridMultilevel"/>
    <w:lvl w:ilvl="0">
      <w:lvlJc w:val="left"/>
      <w:lvlText w:val="(%1)"/>
      <w:numFmt w:val="lowerLetter"/>
      <w:start w:val="1"/>
    </w:lvl>
    <w:lvl w:ilvl="1">
      <w:lvlJc w:val="left"/>
      <w:lvlText w:val="(%2)"/>
      <w:numFmt w:val="lowerRoman"/>
      <w:start w:val="1"/>
    </w:lvl>
  </w:abstractNum>
  <w:abstractNum w:abstractNumId="214">
    <w:nsid w:val="1F9EC322"/>
    <w:multiLevelType w:val="hybridMultilevel"/>
    <w:lvl w:ilvl="0">
      <w:lvlJc w:val="left"/>
      <w:lvlText w:val="(%1)"/>
      <w:numFmt w:val="lowerLetter"/>
      <w:start w:val="1"/>
    </w:lvl>
    <w:lvl w:ilvl="1">
      <w:lvlJc w:val="left"/>
      <w:lvlText w:val="(%2)"/>
      <w:numFmt w:val="lowerRoman"/>
      <w:start w:val="1"/>
    </w:lvl>
  </w:abstractNum>
  <w:abstractNum w:abstractNumId="215">
    <w:nsid w:val="3410ED56"/>
    <w:multiLevelType w:val="hybridMultilevel"/>
    <w:lvl w:ilvl="0">
      <w:lvlJc w:val="left"/>
      <w:lvlText w:val="%1."/>
      <w:numFmt w:val="decimal"/>
      <w:start w:val="21"/>
    </w:lvl>
  </w:abstractNum>
  <w:abstractNum w:abstractNumId="216">
    <w:nsid w:val="23C049A"/>
    <w:multiLevelType w:val="hybridMultilevel"/>
    <w:lvl w:ilvl="0">
      <w:lvlJc w:val="left"/>
      <w:lvlText w:val="(%1)"/>
      <w:numFmt w:val="lowerLetter"/>
      <w:start w:val="1"/>
    </w:lvl>
    <w:lvl w:ilvl="1">
      <w:lvlJc w:val="left"/>
      <w:lvlText w:val="(%2)"/>
      <w:numFmt w:val="lowerRoman"/>
      <w:start w:val="1"/>
    </w:lvl>
  </w:abstractNum>
  <w:abstractNum w:abstractNumId="217">
    <w:nsid w:val="5BDA35D4"/>
    <w:multiLevelType w:val="hybridMultilevel"/>
    <w:lvl w:ilvl="0">
      <w:lvlJc w:val="left"/>
      <w:lvlText w:val="(%1)"/>
      <w:numFmt w:val="lowerLetter"/>
      <w:start w:val="2"/>
    </w:lvl>
  </w:abstractNum>
  <w:abstractNum w:abstractNumId="218">
    <w:nsid w:val="496FB218"/>
    <w:multiLevelType w:val="hybridMultilevel"/>
    <w:lvl w:ilvl="0">
      <w:lvlJc w:val="left"/>
      <w:lvlText w:val="(%1)"/>
      <w:numFmt w:val="lowerLetter"/>
      <w:start w:val="1"/>
    </w:lvl>
  </w:abstractNum>
  <w:abstractNum w:abstractNumId="219">
    <w:nsid w:val="680EA5D1"/>
    <w:multiLevelType w:val="hybridMultilevel"/>
    <w:lvl w:ilvl="0">
      <w:lvlJc w:val="left"/>
      <w:lvlText w:val="(%1)"/>
      <w:numFmt w:val="lowerLetter"/>
      <w:start w:val="1"/>
    </w:lvl>
  </w:abstractNum>
  <w:abstractNum w:abstractNumId="220">
    <w:nsid w:val="4A9554FE"/>
    <w:multiLevelType w:val="hybridMultilevel"/>
    <w:lvl w:ilvl="0">
      <w:lvlJc w:val="left"/>
      <w:lvlText w:val="(%1)"/>
      <w:numFmt w:val="lowerLetter"/>
      <w:start w:val="1"/>
    </w:lvl>
    <w:lvl w:ilvl="1">
      <w:lvlJc w:val="left"/>
      <w:lvlText w:val="(%2)"/>
      <w:numFmt w:val="lowerRoman"/>
      <w:start w:val="1"/>
    </w:lvl>
  </w:abstractNum>
  <w:abstractNum w:abstractNumId="221">
    <w:nsid w:val="392EDBE4"/>
    <w:multiLevelType w:val="hybridMultilevel"/>
    <w:lvl w:ilvl="0">
      <w:lvlJc w:val="left"/>
      <w:lvlText w:val="%1"/>
      <w:numFmt w:val="lowerLetter"/>
      <w:start w:val="1"/>
    </w:lvl>
    <w:lvl w:ilvl="1">
      <w:lvlJc w:val="left"/>
      <w:lvlText w:val="(%2)"/>
      <w:numFmt w:val="lowerLetter"/>
      <w:start w:val="61"/>
    </w:lvl>
  </w:abstractNum>
  <w:abstractNum w:abstractNumId="222">
    <w:nsid w:val="3D1A2DD9"/>
    <w:multiLevelType w:val="hybridMultilevel"/>
    <w:lvl w:ilvl="0">
      <w:lvlJc w:val="left"/>
      <w:lvlText w:val="(%1)"/>
      <w:numFmt w:val="lowerLetter"/>
      <w:start w:val="2"/>
    </w:lvl>
    <w:lvl w:ilvl="1">
      <w:lvlJc w:val="left"/>
      <w:lvlText w:val="%2"/>
      <w:numFmt w:val="lowerLetter"/>
      <w:start w:val="1"/>
    </w:lvl>
  </w:abstractNum>
  <w:abstractNum w:abstractNumId="223">
    <w:nsid w:val="7F618FCD"/>
    <w:multiLevelType w:val="hybridMultilevel"/>
    <w:lvl w:ilvl="0">
      <w:lvlJc w:val="left"/>
      <w:lvlText w:val="(%1)"/>
      <w:numFmt w:val="lowerLetter"/>
      <w:start w:val="1"/>
    </w:lvl>
    <w:lvl w:ilvl="1">
      <w:lvlJc w:val="left"/>
      <w:lvlText w:val="(%2)"/>
      <w:numFmt w:val="lowerRoman"/>
      <w:start w:val="1"/>
    </w:lvl>
  </w:abstractNum>
  <w:abstractNum w:abstractNumId="224">
    <w:nsid w:val="7843E45"/>
    <w:multiLevelType w:val="hybridMultilevel"/>
    <w:lvl w:ilvl="0">
      <w:lvlJc w:val="left"/>
      <w:lvlText w:val="(%1)"/>
      <w:numFmt w:val="lowerLetter"/>
      <w:start w:val="2"/>
    </w:lvl>
  </w:abstractNum>
  <w:abstractNum w:abstractNumId="225">
    <w:nsid w:val="9815DA3"/>
    <w:multiLevelType w:val="hybridMultilevel"/>
    <w:lvl w:ilvl="0">
      <w:lvlJc w:val="left"/>
      <w:lvlText w:val="(%1)"/>
      <w:numFmt w:val="lowerLetter"/>
      <w:start w:val="1"/>
    </w:lvl>
  </w:abstractNum>
  <w:abstractNum w:abstractNumId="226">
    <w:nsid w:val="5204A191"/>
    <w:multiLevelType w:val="hybridMultilevel"/>
    <w:lvl w:ilvl="0">
      <w:lvlJc w:val="left"/>
      <w:lvlText w:val="(%1)"/>
      <w:numFmt w:val="lowerLetter"/>
      <w:start w:val="1"/>
    </w:lvl>
  </w:abstractNum>
  <w:abstractNum w:abstractNumId="227">
    <w:nsid w:val="4C73A9C6"/>
    <w:multiLevelType w:val="hybridMultilevel"/>
    <w:lvl w:ilvl="0">
      <w:lvlJc w:val="left"/>
      <w:lvlText w:val="%1."/>
      <w:numFmt w:val="decimal"/>
      <w:start w:val="22"/>
    </w:lvl>
  </w:abstractNum>
  <w:abstractNum w:abstractNumId="228">
    <w:nsid w:val="1C7E3C01"/>
    <w:multiLevelType w:val="hybridMultilevel"/>
    <w:lvl w:ilvl="0">
      <w:lvlJc w:val="left"/>
      <w:lvlText w:val="(%1)"/>
      <w:numFmt w:val="lowerLetter"/>
      <w:start w:val="1"/>
    </w:lvl>
  </w:abstractNum>
  <w:abstractNum w:abstractNumId="229">
    <w:nsid w:val="1C2201FF"/>
    <w:multiLevelType w:val="hybridMultilevel"/>
    <w:lvl w:ilvl="0">
      <w:lvlJc w:val="left"/>
      <w:lvlText w:val="(%1)"/>
      <w:numFmt w:val="lowerLetter"/>
      <w:start w:val="1"/>
    </w:lvl>
    <w:lvl w:ilvl="1">
      <w:lvlJc w:val="left"/>
      <w:lvlText w:val="(%2)"/>
      <w:numFmt w:val="lowerRoman"/>
      <w:start w:val="1"/>
    </w:lvl>
  </w:abstractNum>
  <w:abstractNum w:abstractNumId="230">
    <w:nsid w:val="50ABCEC9"/>
    <w:multiLevelType w:val="hybridMultilevel"/>
    <w:lvl w:ilvl="0">
      <w:lvlJc w:val="left"/>
      <w:lvlText w:val="(%1)"/>
      <w:numFmt w:val="lowerLetter"/>
      <w:start w:val="1"/>
    </w:lvl>
    <w:lvl w:ilvl="1">
      <w:lvlJc w:val="left"/>
      <w:lvlText w:val="(%2)"/>
      <w:numFmt w:val="lowerRoman"/>
      <w:start w:val="1"/>
    </w:lvl>
  </w:abstractNum>
  <w:abstractNum w:abstractNumId="231">
    <w:nsid w:val="7635AA2A"/>
    <w:multiLevelType w:val="hybridMultilevel"/>
    <w:lvl w:ilvl="0">
      <w:lvlJc w:val="left"/>
      <w:lvlText w:val="(%1)"/>
      <w:numFmt w:val="lowerLetter"/>
      <w:start w:val="3"/>
    </w:lvl>
    <w:lvl w:ilvl="1">
      <w:lvlJc w:val="left"/>
      <w:lvlText w:val="(%2)"/>
      <w:numFmt w:val="lowerRoman"/>
      <w:start w:val="1"/>
    </w:lvl>
  </w:abstractNum>
  <w:abstractNum w:abstractNumId="232">
    <w:nsid w:val="5E74C4D9"/>
    <w:multiLevelType w:val="hybridMultilevel"/>
    <w:lvl w:ilvl="0">
      <w:lvlJc w:val="left"/>
      <w:lvlText w:val="(%1)"/>
      <w:numFmt w:val="upperLetter"/>
      <w:start w:val="1"/>
    </w:lvl>
  </w:abstractNum>
  <w:abstractNum w:abstractNumId="233">
    <w:nsid w:val="3B3EBE15"/>
    <w:multiLevelType w:val="hybridMultilevel"/>
    <w:lvl w:ilvl="0">
      <w:lvlJc w:val="left"/>
      <w:lvlText w:val="(%1)"/>
      <w:numFmt w:val="lowerLetter"/>
      <w:start w:val="1"/>
    </w:lvl>
    <w:lvl w:ilvl="1">
      <w:lvlJc w:val="left"/>
      <w:lvlText w:val="(%2)"/>
      <w:numFmt w:val="lowerRoman"/>
      <w:start w:val="1"/>
    </w:lvl>
  </w:abstractNum>
  <w:abstractNum w:abstractNumId="234">
    <w:nsid w:val="3822CB01"/>
    <w:multiLevelType w:val="hybridMultilevel"/>
    <w:lvl w:ilvl="0">
      <w:lvlJc w:val="left"/>
      <w:lvlText w:val="(%1)"/>
      <w:numFmt w:val="lowerLetter"/>
      <w:start w:val="2"/>
    </w:lvl>
    <w:lvl w:ilvl="1">
      <w:lvlJc w:val="left"/>
      <w:lvlText w:val="(%2)"/>
      <w:numFmt w:val="lowerRoman"/>
      <w:start w:val="1"/>
    </w:lvl>
  </w:abstractNum>
  <w:abstractNum w:abstractNumId="235">
    <w:nsid w:val="6CE00443"/>
    <w:multiLevelType w:val="hybridMultilevel"/>
    <w:lvl w:ilvl="0">
      <w:lvlJc w:val="left"/>
      <w:lvlText w:val="(%1)"/>
      <w:numFmt w:val="lowerLetter"/>
      <w:start w:val="1"/>
    </w:lvl>
  </w:abstractNum>
  <w:abstractNum w:abstractNumId="236">
    <w:nsid w:val="79F0D62F"/>
    <w:multiLevelType w:val="hybridMultilevel"/>
    <w:lvl w:ilvl="0">
      <w:lvlJc w:val="left"/>
      <w:lvlText w:val="(%1)"/>
      <w:numFmt w:val="lowerRoman"/>
      <w:start w:val="1"/>
    </w:lvl>
  </w:abstractNum>
  <w:abstractNum w:abstractNumId="237">
    <w:nsid w:val="7975E8EE"/>
    <w:multiLevelType w:val="hybridMultilevel"/>
    <w:lvl w:ilvl="0">
      <w:lvlJc w:val="left"/>
      <w:lvlText w:val="(%1)"/>
      <w:numFmt w:val="lowerLetter"/>
      <w:start w:val="1"/>
    </w:lvl>
    <w:lvl w:ilvl="1">
      <w:lvlJc w:val="left"/>
      <w:lvlText w:val="(%2)"/>
      <w:numFmt w:val="lowerRoman"/>
      <w:start w:val="1"/>
    </w:lvl>
  </w:abstractNum>
  <w:abstractNum w:abstractNumId="238">
    <w:nsid w:val="73154115"/>
    <w:multiLevelType w:val="hybridMultilevel"/>
    <w:lvl w:ilvl="0">
      <w:lvlJc w:val="left"/>
      <w:lvlText w:val="(%1)"/>
      <w:numFmt w:val="lowerRoman"/>
      <w:start w:val="2"/>
    </w:lvl>
  </w:abstractNum>
  <w:abstractNum w:abstractNumId="239">
    <w:nsid w:val="622D8102"/>
    <w:multiLevelType w:val="hybridMultilevel"/>
    <w:lvl w:ilvl="0">
      <w:lvlJc w:val="left"/>
      <w:lvlText w:val="(%1)"/>
      <w:numFmt w:val="lowerLetter"/>
      <w:start w:val="4"/>
    </w:lvl>
  </w:abstractNum>
  <w:abstractNum w:abstractNumId="240">
    <w:nsid w:val="2AB26587"/>
    <w:multiLevelType w:val="hybridMultilevel"/>
    <w:lvl w:ilvl="0">
      <w:lvlJc w:val="left"/>
      <w:lvlText w:val="(%1)"/>
      <w:numFmt w:val="lowerLetter"/>
      <w:start w:val="1"/>
    </w:lvl>
  </w:abstractNum>
  <w:abstractNum w:abstractNumId="241">
    <w:nsid w:val="44B3FA61"/>
    <w:multiLevelType w:val="hybridMultilevel"/>
    <w:lvl w:ilvl="0">
      <w:lvlJc w:val="left"/>
      <w:lvlText w:val="(%1)"/>
      <w:numFmt w:val="lowerRoman"/>
      <w:start w:val="1"/>
    </w:lvl>
  </w:abstractNum>
  <w:abstractNum w:abstractNumId="242">
    <w:nsid w:val="1C0CA67C"/>
    <w:multiLevelType w:val="hybridMultilevel"/>
    <w:lvl w:ilvl="0">
      <w:lvlJc w:val="left"/>
      <w:lvlText w:val="(%1)"/>
      <w:numFmt w:val="lowerLetter"/>
      <w:start w:val="1"/>
    </w:lvl>
    <w:lvl w:ilvl="1">
      <w:lvlJc w:val="left"/>
      <w:lvlText w:val="(%2)"/>
      <w:numFmt w:val="lowerRoman"/>
      <w:start w:val="1"/>
    </w:lvl>
  </w:abstractNum>
  <w:abstractNum w:abstractNumId="243">
    <w:nsid w:val="3D2066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44">
    <w:nsid w:val="7993B66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245">
    <w:nsid w:val="3BAB699E"/>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46">
    <w:nsid w:val="71315369"/>
    <w:multiLevelType w:val="hybridMultilevel"/>
    <w:lvl w:ilvl="0">
      <w:lvlJc w:val="left"/>
      <w:lvlText w:val="%1."/>
      <w:numFmt w:val="decimal"/>
      <w:start w:val="24"/>
    </w:lvl>
  </w:abstractNum>
  <w:abstractNum w:abstractNumId="247">
    <w:nsid w:val="7BCFBAFC"/>
    <w:multiLevelType w:val="hybridMultilevel"/>
    <w:lvl w:ilvl="0">
      <w:lvlJc w:val="left"/>
      <w:lvlText w:val="(%1)"/>
      <w:numFmt w:val="lowerLetter"/>
      <w:start w:val="1"/>
    </w:lvl>
  </w:abstractNum>
  <w:abstractNum w:abstractNumId="248">
    <w:nsid w:val="17859F72"/>
    <w:multiLevelType w:val="hybridMultilevel"/>
    <w:lvl w:ilvl="0">
      <w:lvlJc w:val="left"/>
      <w:lvlText w:val="(%1)"/>
      <w:numFmt w:val="lowerLetter"/>
      <w:start w:val="1"/>
    </w:lvl>
    <w:lvl w:ilvl="1">
      <w:lvlJc w:val="left"/>
      <w:lvlText w:val="(%2)"/>
      <w:numFmt w:val="lowerRoman"/>
      <w:start w:val="1"/>
    </w:lvl>
  </w:abstractNum>
  <w:abstractNum w:abstractNumId="249">
    <w:nsid w:val="3AA1058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50">
    <w:nsid w:val="63DE60C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1">
    <w:nsid w:val="621AF471"/>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52">
    <w:nsid w:val="73CFE165"/>
    <w:multiLevelType w:val="hybridMultilevel"/>
    <w:lvl w:ilvl="0">
      <w:lvlJc w:val="left"/>
      <w:lvlText w:val="(%1)"/>
      <w:numFmt w:val="lowerLetter"/>
      <w:start w:val="1"/>
    </w:lvl>
  </w:abstractNum>
  <w:abstractNum w:abstractNumId="253">
    <w:nsid w:val="20F88EA6"/>
    <w:multiLevelType w:val="hybridMultilevel"/>
    <w:lvl w:ilvl="0">
      <w:lvlJc w:val="left"/>
      <w:lvlText w:val="(%1)"/>
      <w:numFmt w:val="lowerLetter"/>
      <w:start w:val="4"/>
    </w:lvl>
  </w:abstractNum>
  <w:abstractNum w:abstractNumId="254">
    <w:nsid w:val="617C843E"/>
    <w:multiLevelType w:val="hybridMultilevel"/>
    <w:lvl w:ilvl="0">
      <w:lvlJc w:val="left"/>
      <w:lvlText w:val="(%1)"/>
      <w:numFmt w:val="lowerLetter"/>
      <w:start w:val="1"/>
    </w:lvl>
  </w:abstractNum>
  <w:abstractNum w:abstractNumId="255">
    <w:nsid w:val="7B541F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6">
    <w:nsid w:val="2A79EC49"/>
    <w:multiLevelType w:val="hybridMultilevel"/>
    <w:lvl w:ilvl="0">
      <w:lvlJc w:val="left"/>
      <w:lvlText w:val="(%1)"/>
      <w:numFmt w:val="upperLetter"/>
      <w:start w:val="1"/>
    </w:lvl>
  </w:abstractNum>
  <w:abstractNum w:abstractNumId="257">
    <w:nsid w:val="338125CF"/>
    <w:multiLevelType w:val="hybridMultilevel"/>
    <w:lvl w:ilvl="0">
      <w:lvlJc w:val="left"/>
      <w:lvlText w:val="(%1)"/>
      <w:numFmt w:val="lowerLetter"/>
      <w:start w:val="2"/>
    </w:lvl>
    <w:lvl w:ilvl="1">
      <w:lvlJc w:val="left"/>
      <w:lvlText w:val="(%2)"/>
      <w:numFmt w:val="lowerRoman"/>
      <w:start w:val="1"/>
    </w:lvl>
  </w:abstractNum>
  <w:abstractNum w:abstractNumId="258">
    <w:nsid w:val="47C7C971"/>
    <w:multiLevelType w:val="hybridMultilevel"/>
    <w:lvl w:ilvl="0">
      <w:lvlJc w:val="left"/>
      <w:lvlText w:val="(%1)"/>
      <w:numFmt w:val="lowerLetter"/>
      <w:start w:val="1"/>
    </w:lvl>
  </w:abstractNum>
  <w:abstractNum w:abstractNumId="259">
    <w:nsid w:val="46F8284B"/>
    <w:multiLevelType w:val="hybridMultilevel"/>
    <w:lvl w:ilvl="0">
      <w:lvlJc w:val="left"/>
      <w:lvlText w:val="(%1)"/>
      <w:numFmt w:val="lowerLetter"/>
      <w:start w:val="1"/>
    </w:lvl>
  </w:abstractNum>
  <w:abstractNum w:abstractNumId="260">
    <w:nsid w:val="4FA327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1">
    <w:nsid w:val="1873983A"/>
    <w:multiLevelType w:val="hybridMultilevel"/>
    <w:lvl w:ilvl="0">
      <w:lvlJc w:val="left"/>
      <w:lvlText w:val="(%1)"/>
      <w:numFmt w:val="upperLetter"/>
      <w:start w:val="2"/>
    </w:lvl>
  </w:abstractNum>
  <w:abstractNum w:abstractNumId="262">
    <w:nsid w:val="3D2DD275"/>
    <w:multiLevelType w:val="hybridMultilevel"/>
    <w:lvl w:ilvl="0">
      <w:lvlJc w:val="left"/>
      <w:lvlText w:val="(%1)"/>
      <w:numFmt w:val="lowerLetter"/>
      <w:start w:val="2"/>
    </w:lvl>
    <w:lvl w:ilvl="1">
      <w:lvlJc w:val="left"/>
      <w:lvlText w:val="(%2)"/>
      <w:numFmt w:val="lowerRoman"/>
      <w:start w:val="1"/>
    </w:lvl>
  </w:abstractNum>
  <w:abstractNum w:abstractNumId="263">
    <w:nsid w:val="2E17ECA7"/>
    <w:multiLevelType w:val="hybridMultilevel"/>
    <w:lvl w:ilvl="0">
      <w:lvlJc w:val="left"/>
      <w:lvlText w:val="(%1)"/>
      <w:numFmt w:val="lowerLetter"/>
      <w:start w:val="5"/>
    </w:lvl>
  </w:abstractNum>
  <w:abstractNum w:abstractNumId="264">
    <w:nsid w:val="53B2564F"/>
    <w:multiLevelType w:val="hybridMultilevel"/>
    <w:lvl w:ilvl="0">
      <w:lvlJc w:val="left"/>
      <w:lvlText w:val="(%1)"/>
      <w:numFmt w:val="lowerLetter"/>
      <w:start w:val="1"/>
    </w:lvl>
  </w:abstractNum>
  <w:abstractNum w:abstractNumId="265">
    <w:nsid w:val="75509D76"/>
    <w:multiLevelType w:val="hybridMultilevel"/>
    <w:lvl w:ilvl="0">
      <w:lvlJc w:val="left"/>
      <w:lvlText w:val="(%1)"/>
      <w:numFmt w:val="lowerRoman"/>
      <w:start w:val="1"/>
    </w:lvl>
  </w:abstractNum>
  <w:abstractNum w:abstractNumId="266">
    <w:nsid w:val="1AF7F0EA"/>
    <w:multiLevelType w:val="hybridMultilevel"/>
    <w:lvl w:ilvl="0">
      <w:lvlJc w:val="left"/>
      <w:lvlText w:val="(%1)"/>
      <w:numFmt w:val="lowerLetter"/>
      <w:start w:val="1"/>
    </w:lvl>
  </w:abstractNum>
  <w:abstractNum w:abstractNumId="267">
    <w:nsid w:val="4DA32C7E"/>
    <w:multiLevelType w:val="hybridMultilevel"/>
    <w:lvl w:ilvl="0">
      <w:lvlJc w:val="left"/>
      <w:lvlText w:val="(%1)"/>
      <w:numFmt w:val="lowerLetter"/>
      <w:start w:val="1"/>
    </w:lvl>
    <w:lvl w:ilvl="1">
      <w:lvlJc w:val="left"/>
      <w:lvlText w:val="(%2)"/>
      <w:numFmt w:val="lowerRoman"/>
      <w:start w:val="1"/>
    </w:lvl>
  </w:abstractNum>
  <w:abstractNum w:abstractNumId="268">
    <w:nsid w:val="6EC68664"/>
    <w:multiLevelType w:val="hybridMultilevel"/>
    <w:lvl w:ilvl="0">
      <w:lvlJc w:val="left"/>
      <w:lvlText w:val="(%1)"/>
      <w:numFmt w:val="lowerLetter"/>
      <w:start w:val="2"/>
    </w:lvl>
  </w:abstractNum>
  <w:abstractNum w:abstractNumId="269">
    <w:nsid w:val="E0D31FF"/>
    <w:multiLevelType w:val="hybridMultilevel"/>
    <w:lvl w:ilvl="0">
      <w:lvlJc w:val="left"/>
      <w:lvlText w:val="(%1)"/>
      <w:numFmt w:val="lowerLetter"/>
      <w:start w:val="1"/>
    </w:lvl>
  </w:abstractNum>
  <w:abstractNum w:abstractNumId="270">
    <w:nsid w:val="2FD0AD81"/>
    <w:multiLevelType w:val="hybridMultilevel"/>
    <w:lvl w:ilvl="0">
      <w:lvlJc w:val="left"/>
      <w:lvlText w:val="%1"/>
      <w:numFmt w:val="decimal"/>
      <w:start w:val="11"/>
    </w:lvl>
  </w:abstractNum>
  <w:abstractNum w:abstractNumId="271">
    <w:nsid w:val="1978EBEB"/>
    <w:multiLevelType w:val="hybridMultilevel"/>
    <w:lvl w:ilvl="0">
      <w:lvlJc w:val="left"/>
      <w:lvlText w:val="(%1)"/>
      <w:numFmt w:val="lowerLetter"/>
      <w:start w:val="1"/>
    </w:lvl>
  </w:abstractNum>
  <w:abstractNum w:abstractNumId="272">
    <w:nsid w:val="52C12C61"/>
    <w:multiLevelType w:val="hybridMultilevel"/>
    <w:lvl w:ilvl="0">
      <w:lvlJc w:val="left"/>
      <w:lvlText w:val="%1."/>
      <w:numFmt w:val="decimal"/>
      <w:start w:val="25"/>
    </w:lvl>
    <w:lvl w:ilvl="1">
      <w:lvlJc w:val="left"/>
      <w:lvlText w:val="(%2)"/>
      <w:numFmt w:val="lowerLetter"/>
      <w:start w:val="1"/>
    </w:lvl>
  </w:abstractNum>
  <w:abstractNum w:abstractNumId="273">
    <w:nsid w:val="4BDD53FD"/>
    <w:multiLevelType w:val="hybridMultilevel"/>
    <w:lvl w:ilvl="0">
      <w:lvlJc w:val="left"/>
      <w:lvlText w:val="(%1)"/>
      <w:numFmt w:val="lowerLetter"/>
      <w:start w:val="1"/>
    </w:lvl>
  </w:abstractNum>
  <w:abstractNum w:abstractNumId="274">
    <w:nsid w:val="569951FE"/>
    <w:multiLevelType w:val="hybridMultilevel"/>
    <w:lvl w:ilvl="0">
      <w:lvlJc w:val="left"/>
      <w:lvlText w:val="(%1)"/>
      <w:numFmt w:val="lowerLetter"/>
      <w:start w:val="1"/>
    </w:lvl>
  </w:abstractNum>
  <w:abstractNum w:abstractNumId="275">
    <w:nsid w:val="4C54E2C3"/>
    <w:multiLevelType w:val="hybridMultilevel"/>
    <w:lvl w:ilvl="0">
      <w:lvlJc w:val="left"/>
      <w:lvlText w:val="(%1)"/>
      <w:numFmt w:val="lowerLetter"/>
      <w:start w:val="1"/>
    </w:lvl>
    <w:lvl w:ilvl="1">
      <w:lvlJc w:val="left"/>
      <w:lvlText w:val="(%2)"/>
      <w:numFmt w:val="lowerRoman"/>
      <w:start w:val="1"/>
    </w:lvl>
  </w:abstractNum>
  <w:abstractNum w:abstractNumId="276">
    <w:nsid w:val="788BD9B"/>
    <w:multiLevelType w:val="hybridMultilevel"/>
    <w:lvl w:ilvl="0">
      <w:lvlJc w:val="left"/>
      <w:lvlText w:val="%1."/>
      <w:numFmt w:val="decimal"/>
      <w:start w:val="27"/>
    </w:lvl>
  </w:abstractNum>
  <w:abstractNum w:abstractNumId="277">
    <w:nsid w:val="47CAA567"/>
    <w:multiLevelType w:val="hybridMultilevel"/>
    <w:lvl w:ilvl="0">
      <w:lvlJc w:val="left"/>
      <w:lvlText w:val="(%1)"/>
      <w:numFmt w:val="lowerLetter"/>
      <w:start w:val="1"/>
    </w:lvl>
  </w:abstractNum>
  <w:abstractNum w:abstractNumId="278">
    <w:nsid w:val="48249DBF"/>
    <w:multiLevelType w:val="hybridMultilevel"/>
    <w:lvl w:ilvl="0">
      <w:lvlJc w:val="left"/>
      <w:lvlText w:val="(%1)"/>
      <w:numFmt w:val="lowerLetter"/>
      <w:start w:val="1"/>
    </w:lvl>
  </w:abstractNum>
  <w:abstractNum w:abstractNumId="279">
    <w:nsid w:val="1F0E5D0D"/>
    <w:multiLevelType w:val="hybridMultilevel"/>
    <w:lvl w:ilvl="0">
      <w:lvlJc w:val="left"/>
      <w:lvlText w:val="(%1)"/>
      <w:numFmt w:val="lowerLetter"/>
      <w:start w:val="1"/>
    </w:lvl>
    <w:lvl w:ilvl="1">
      <w:lvlJc w:val="left"/>
      <w:lvlText w:val="(%2)"/>
      <w:numFmt w:val="lowerRoman"/>
      <w:start w:val="1"/>
    </w:lvl>
  </w:abstractNum>
  <w:abstractNum w:abstractNumId="280">
    <w:nsid w:val="26BAAE9"/>
    <w:multiLevelType w:val="hybridMultilevel"/>
    <w:lvl w:ilvl="0">
      <w:lvlJc w:val="left"/>
      <w:lvlText w:val="(%1)"/>
      <w:numFmt w:val="lowerLetter"/>
      <w:start w:val="1"/>
    </w:lvl>
  </w:abstractNum>
  <w:abstractNum w:abstractNumId="281">
    <w:nsid w:val="2C02FE8C"/>
    <w:multiLevelType w:val="hybridMultilevel"/>
    <w:lvl w:ilvl="0">
      <w:lvlJc w:val="left"/>
      <w:lvlText w:val="(%1)"/>
      <w:numFmt w:val="lowerLetter"/>
      <w:start w:val="1"/>
    </w:lvl>
  </w:abstractNum>
  <w:abstractNum w:abstractNumId="282">
    <w:nsid w:val="129517E"/>
    <w:multiLevelType w:val="hybridMultilevel"/>
    <w:lvl w:ilvl="0">
      <w:lvlJc w:val="left"/>
      <w:lvlText w:val="(%1)"/>
      <w:numFmt w:val="lowerLetter"/>
      <w:start w:val="1"/>
    </w:lvl>
    <w:lvl w:ilvl="1">
      <w:lvlJc w:val="left"/>
      <w:lvlText w:val="(%2)"/>
      <w:numFmt w:val="lowerRoman"/>
      <w:start w:val="1"/>
    </w:lvl>
  </w:abstractNum>
  <w:abstractNum w:abstractNumId="283">
    <w:nsid w:val="763B8C4E"/>
    <w:multiLevelType w:val="hybridMultilevel"/>
    <w:lvl w:ilvl="0">
      <w:lvlJc w:val="left"/>
      <w:lvlText w:val="%1"/>
      <w:numFmt w:val="decimal"/>
      <w:start w:val="1"/>
    </w:lvl>
    <w:lvl w:ilvl="1">
      <w:lvlJc w:val="left"/>
      <w:lvlText w:val="(%2)"/>
      <w:numFmt w:val="lowerLetter"/>
      <w:start w:val="1"/>
    </w:lvl>
  </w:abstractNum>
  <w:abstractNum w:abstractNumId="284">
    <w:nsid w:val="4CFB8D32"/>
    <w:multiLevelType w:val="hybridMultilevel"/>
    <w:lvl w:ilvl="0">
      <w:lvlJc w:val="left"/>
      <w:lvlText w:val="%1."/>
      <w:numFmt w:val="decimal"/>
      <w:start w:val="28"/>
    </w:lvl>
    <w:lvl w:ilvl="1">
      <w:lvlJc w:val="left"/>
      <w:lvlText w:val="%2"/>
      <w:numFmt w:val="lowerLetter"/>
      <w:start w:val="1"/>
    </w:lvl>
  </w:abstractNum>
  <w:abstractNum w:abstractNumId="285">
    <w:nsid w:val="62A5D5BD"/>
    <w:multiLevelType w:val="hybridMultilevel"/>
    <w:lvl w:ilvl="0">
      <w:lvlJc w:val="left"/>
      <w:lvlText w:val="(%1)"/>
      <w:numFmt w:val="lowerLetter"/>
      <w:start w:val="1"/>
    </w:lvl>
  </w:abstractNum>
  <w:abstractNum w:abstractNumId="286">
    <w:nsid w:val="718FABF9"/>
    <w:multiLevelType w:val="hybridMultilevel"/>
    <w:lvl w:ilvl="0">
      <w:lvlJc w:val="left"/>
      <w:lvlText w:val="(%1)"/>
      <w:numFmt w:val="lowerLetter"/>
      <w:start w:val="1"/>
    </w:lvl>
    <w:lvl w:ilvl="1">
      <w:lvlJc w:val="left"/>
      <w:lvlText w:val="(%2)"/>
      <w:numFmt w:val="lowerRoman"/>
      <w:start w:val="1"/>
    </w:lvl>
  </w:abstractNum>
  <w:abstractNum w:abstractNumId="287">
    <w:nsid w:val="7775797C"/>
    <w:multiLevelType w:val="hybridMultilevel"/>
    <w:lvl w:ilvl="0">
      <w:lvlJc w:val="left"/>
      <w:lvlText w:val="(%1)"/>
      <w:numFmt w:val="lowerLetter"/>
      <w:start w:val="2"/>
    </w:lvl>
  </w:abstractNum>
  <w:abstractNum w:abstractNumId="288">
    <w:nsid w:val="1626FB8C"/>
    <w:multiLevelType w:val="hybridMultilevel"/>
    <w:lvl w:ilvl="0">
      <w:lvlJc w:val="left"/>
      <w:lvlText w:val="(%1)"/>
      <w:numFmt w:val="lowerLetter"/>
      <w:start w:val="1"/>
    </w:lvl>
    <w:lvl w:ilvl="1">
      <w:lvlJc w:val="left"/>
      <w:lvlText w:val="(%2)"/>
      <w:numFmt w:val="lowerRoman"/>
      <w:start w:val="1"/>
    </w:lvl>
  </w:abstractNum>
  <w:abstractNum w:abstractNumId="289">
    <w:nsid w:val="3957756A"/>
    <w:multiLevelType w:val="hybridMultilevel"/>
    <w:lvl w:ilvl="0">
      <w:lvlJc w:val="left"/>
      <w:lvlText w:val="%1"/>
      <w:numFmt w:val="lowerLetter"/>
      <w:start w:val="1"/>
    </w:lvl>
    <w:lvl w:ilvl="1">
      <w:lvlJc w:val="left"/>
      <w:lvlText w:val="(%2)"/>
      <w:numFmt w:val="lowerLetter"/>
      <w:start w:val="35"/>
    </w:lvl>
  </w:abstractNum>
  <w:abstractNum w:abstractNumId="290">
    <w:nsid w:val="3E6DA1C7"/>
    <w:multiLevelType w:val="hybridMultilevel"/>
    <w:lvl w:ilvl="0">
      <w:lvlJc w:val="left"/>
      <w:lvlText w:val="(%1)"/>
      <w:numFmt w:val="lowerLetter"/>
      <w:start w:val="2"/>
    </w:lvl>
    <w:lvl w:ilvl="1">
      <w:lvlJc w:val="left"/>
      <w:lvlText w:val="%2"/>
      <w:numFmt w:val="lowerLetter"/>
      <w:start w:val="1"/>
    </w:lvl>
  </w:abstractNum>
  <w:abstractNum w:abstractNumId="291">
    <w:nsid w:val="65CA23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2">
    <w:nsid w:val="51CB0DA4"/>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293">
    <w:nsid w:val="7B9B743C"/>
    <w:multiLevelType w:val="hybridMultilevel"/>
    <w:lvl w:ilvl="0">
      <w:lvlJc w:val="left"/>
      <w:lvlText w:val="%1."/>
      <w:numFmt w:val="decimal"/>
      <w:start w:val="31"/>
    </w:lvl>
  </w:abstractNum>
  <w:abstractNum w:abstractNumId="294">
    <w:nsid w:val="13E21002"/>
    <w:multiLevelType w:val="hybridMultilevel"/>
    <w:lvl w:ilvl="0">
      <w:lvlJc w:val="left"/>
      <w:lvlText w:val="(%1)"/>
      <w:numFmt w:val="lowerLetter"/>
      <w:start w:val="1"/>
    </w:lvl>
  </w:abstractNum>
  <w:abstractNum w:abstractNumId="295">
    <w:nsid w:val="257D63F4"/>
    <w:multiLevelType w:val="hybridMultilevel"/>
    <w:lvl w:ilvl="0">
      <w:lvlJc w:val="left"/>
      <w:lvlText w:val="(%1)"/>
      <w:numFmt w:val="lowerLetter"/>
      <w:start w:val="1"/>
    </w:lvl>
  </w:abstractNum>
  <w:abstractNum w:abstractNumId="296">
    <w:nsid w:val="70EC11B2"/>
    <w:multiLevelType w:val="hybridMultilevel"/>
    <w:lvl w:ilvl="0">
      <w:lvlJc w:val="left"/>
      <w:lvlText w:val="(%1)"/>
      <w:numFmt w:val="lowerLetter"/>
      <w:start w:val="5"/>
    </w:lvl>
  </w:abstractNum>
  <w:abstractNum w:abstractNumId="297">
    <w:nsid w:val="2EDA00ED"/>
    <w:multiLevelType w:val="hybridMultilevel"/>
    <w:lvl w:ilvl="0">
      <w:lvlJc w:val="left"/>
      <w:lvlText w:val="(%1)"/>
      <w:numFmt w:val="lowerLetter"/>
      <w:start w:val="1"/>
    </w:lvl>
    <w:lvl w:ilvl="1">
      <w:lvlJc w:val="left"/>
      <w:lvlText w:val="(%2)"/>
      <w:numFmt w:val="lowerLetter"/>
      <w:start w:val="9"/>
    </w:lvl>
  </w:abstractNum>
  <w:abstractNum w:abstractNumId="298">
    <w:nsid w:val="73209072"/>
    <w:multiLevelType w:val="hybridMultilevel"/>
    <w:lvl w:ilvl="0">
      <w:lvlJc w:val="left"/>
      <w:lvlText w:val="(%1)"/>
      <w:numFmt w:val="upperLetter"/>
      <w:start w:val="1"/>
    </w:lvl>
  </w:abstractNum>
  <w:abstractNum w:abstractNumId="299">
    <w:nsid w:val="5FB29816"/>
    <w:multiLevelType w:val="hybridMultilevel"/>
    <w:lvl w:ilvl="0">
      <w:lvlJc w:val="left"/>
      <w:lvlText w:val="(%1)"/>
      <w:numFmt w:val="lowerLetter"/>
      <w:start w:val="2"/>
    </w:lvl>
  </w:abstractNum>
  <w:abstractNum w:abstractNumId="300">
    <w:nsid w:val="3CE732EC"/>
    <w:multiLevelType w:val="hybridMultilevel"/>
    <w:lvl w:ilvl="0">
      <w:lvlJc w:val="left"/>
      <w:lvlText w:val="(%1)"/>
      <w:numFmt w:val="lowerRoman"/>
      <w:start w:val="1"/>
    </w:lvl>
  </w:abstractNum>
  <w:abstractNum w:abstractNumId="301">
    <w:nsid w:val="22F13DF3"/>
    <w:multiLevelType w:val="hybridMultilevel"/>
    <w:lvl w:ilvl="0">
      <w:lvlJc w:val="left"/>
      <w:lvlText w:val="(%1)"/>
      <w:numFmt w:val="lowerRoman"/>
      <w:start w:val="1"/>
    </w:lvl>
  </w:abstractNum>
  <w:abstractNum w:abstractNumId="302">
    <w:nsid w:val="792B8401"/>
    <w:multiLevelType w:val="hybridMultilevel"/>
    <w:lvl w:ilvl="0">
      <w:lvlJc w:val="left"/>
      <w:lvlText w:val="(%1)"/>
      <w:numFmt w:val="lowerLetter"/>
      <w:start w:val="1"/>
    </w:lvl>
  </w:abstractNum>
  <w:abstractNum w:abstractNumId="303">
    <w:nsid w:val="FA85F4D"/>
    <w:multiLevelType w:val="hybridMultilevel"/>
    <w:lvl w:ilvl="0">
      <w:lvlJc w:val="left"/>
      <w:lvlText w:val="%1"/>
      <w:numFmt w:val="decimal"/>
      <w:start w:val="1"/>
    </w:lvl>
    <w:lvl w:ilvl="1">
      <w:lvlJc w:val="left"/>
      <w:lvlText w:val="(%2)"/>
      <w:numFmt w:val="lowerRoman"/>
      <w:start w:val="1"/>
    </w:lvl>
  </w:abstractNum>
  <w:abstractNum w:abstractNumId="304">
    <w:nsid w:val="6ECE91F0"/>
    <w:multiLevelType w:val="hybridMultilevel"/>
    <w:lvl w:ilvl="0">
      <w:lvlJc w:val="left"/>
      <w:lvlText w:val="%1."/>
      <w:numFmt w:val="decimal"/>
      <w:start w:val="34"/>
    </w:lvl>
    <w:lvl w:ilvl="1">
      <w:lvlJc w:val="left"/>
      <w:lvlText w:val="%2"/>
      <w:numFmt w:val="lowerRoman"/>
      <w:start w:val="1"/>
    </w:lvl>
  </w:abstractNum>
  <w:abstractNum w:abstractNumId="305">
    <w:nsid w:val="4FC4D600"/>
    <w:multiLevelType w:val="hybridMultilevel"/>
    <w:lvl w:ilvl="0">
      <w:lvlJc w:val="left"/>
      <w:lvlText w:val="(%1)"/>
      <w:numFmt w:val="lowerLetter"/>
      <w:start w:val="1"/>
    </w:lvl>
  </w:abstractNum>
  <w:abstractNum w:abstractNumId="306">
    <w:nsid w:val="5BFD4210"/>
    <w:multiLevelType w:val="hybridMultilevel"/>
    <w:lvl w:ilvl="0">
      <w:lvlJc w:val="left"/>
      <w:lvlText w:val="(%1)"/>
      <w:numFmt w:val="lowerLetter"/>
      <w:start w:val="2"/>
    </w:lvl>
    <w:lvl w:ilvl="1">
      <w:lvlJc w:val="left"/>
      <w:lvlText w:val="(%2)"/>
      <w:numFmt w:val="lowerRoman"/>
      <w:start w:val="1"/>
    </w:lvl>
  </w:abstractNum>
  <w:abstractNum w:abstractNumId="307">
    <w:nsid w:val="76574F8B"/>
    <w:multiLevelType w:val="hybridMultilevel"/>
    <w:lvl w:ilvl="0">
      <w:lvlJc w:val="left"/>
      <w:lvlText w:val="%1"/>
      <w:numFmt w:val="lowerLetter"/>
      <w:start w:val="1"/>
    </w:lvl>
    <w:lvl w:ilvl="1">
      <w:lvlJc w:val="left"/>
      <w:lvlText w:val="(%2)"/>
      <w:numFmt w:val="upperLetter"/>
      <w:start w:val="1"/>
    </w:lvl>
  </w:abstractNum>
  <w:abstractNum w:abstractNumId="308">
    <w:nsid w:val="178F7B67"/>
    <w:multiLevelType w:val="hybridMultilevel"/>
    <w:lvl w:ilvl="0">
      <w:lvlJc w:val="left"/>
      <w:lvlText w:val="(%1)"/>
      <w:numFmt w:val="lowerLetter"/>
      <w:start w:val="3"/>
    </w:lvl>
    <w:lvl w:ilvl="1">
      <w:lvlJc w:val="left"/>
      <w:lvlText w:val="%2"/>
      <w:numFmt w:val="upperLetter"/>
      <w:start w:val="1"/>
    </w:lvl>
  </w:abstractNum>
  <w:abstractNum w:abstractNumId="309">
    <w:nsid w:val="2421DFCF"/>
    <w:multiLevelType w:val="hybridMultilevel"/>
    <w:lvl w:ilvl="0">
      <w:lvlJc w:val="left"/>
      <w:lvlText w:val="(%1)"/>
      <w:numFmt w:val="lowerLetter"/>
      <w:start w:val="1"/>
    </w:lvl>
  </w:abstractNum>
  <w:abstractNum w:abstractNumId="310">
    <w:nsid w:val="1565AC99"/>
    <w:multiLevelType w:val="hybridMultilevel"/>
    <w:lvl w:ilvl="0">
      <w:lvlJc w:val="left"/>
      <w:lvlText w:val="(%1)"/>
      <w:numFmt w:val="lowerLetter"/>
      <w:start w:val="2"/>
    </w:lvl>
  </w:abstractNum>
  <w:abstractNum w:abstractNumId="311">
    <w:nsid w:val="19FB2650"/>
    <w:multiLevelType w:val="hybridMultilevel"/>
    <w:lvl w:ilvl="0">
      <w:lvlJc w:val="left"/>
      <w:lvlText w:val="(%1)"/>
      <w:numFmt w:val="lowerLetter"/>
      <w:start w:val="1"/>
    </w:lvl>
    <w:lvl w:ilvl="1">
      <w:lvlJc w:val="left"/>
      <w:lvlText w:val="(%2)"/>
      <w:numFmt w:val="lowerRoman"/>
      <w:start w:val="1"/>
    </w:lvl>
  </w:abstractNum>
  <w:abstractNum w:abstractNumId="312">
    <w:nsid w:val="5024DE5B"/>
    <w:multiLevelType w:val="hybridMultilevel"/>
    <w:lvl w:ilvl="0">
      <w:lvlJc w:val="left"/>
      <w:lvlText w:val="(%1)"/>
      <w:numFmt w:val="lowerLetter"/>
      <w:start w:val="2"/>
    </w:lvl>
  </w:abstractNum>
  <w:abstractNum w:abstractNumId="313">
    <w:nsid w:val="168EFE17"/>
    <w:multiLevelType w:val="hybridMultilevel"/>
    <w:lvl w:ilvl="0">
      <w:lvlJc w:val="left"/>
      <w:lvlText w:val="(%1)"/>
      <w:numFmt w:val="lowerRoman"/>
      <w:start w:val="1"/>
    </w:lvl>
  </w:abstractNum>
  <w:abstractNum w:abstractNumId="314">
    <w:nsid w:val="1036B29F"/>
    <w:multiLevelType w:val="hybridMultilevel"/>
    <w:lvl w:ilvl="0">
      <w:lvlJc w:val="left"/>
      <w:lvlText w:val="(%1)"/>
      <w:numFmt w:val="lowerLetter"/>
      <w:start w:val="1"/>
    </w:lvl>
  </w:abstractNum>
  <w:abstractNum w:abstractNumId="315">
    <w:nsid w:val="1D206B8E"/>
    <w:multiLevelType w:val="hybridMultilevel"/>
    <w:lvl w:ilvl="0">
      <w:lvlJc w:val="left"/>
      <w:lvlText w:val="(%1)"/>
      <w:numFmt w:val="lowerLetter"/>
      <w:start w:val="1"/>
    </w:lvl>
  </w:abstractNum>
  <w:abstractNum w:abstractNumId="316">
    <w:nsid w:val="7934D3D4"/>
    <w:multiLevelType w:val="hybridMultilevel"/>
    <w:lvl w:ilvl="0">
      <w:lvlJc w:val="left"/>
      <w:lvlText w:val="%1."/>
      <w:numFmt w:val="decimal"/>
      <w:start w:val="35"/>
    </w:lvl>
  </w:abstractNum>
  <w:abstractNum w:abstractNumId="317">
    <w:nsid w:val="1C65E98"/>
    <w:multiLevelType w:val="hybridMultilevel"/>
    <w:lvl w:ilvl="0">
      <w:lvlJc w:val="left"/>
      <w:lvlText w:val="(%1)"/>
      <w:numFmt w:val="lowerLetter"/>
      <w:start w:val="1"/>
    </w:lvl>
    <w:lvl w:ilvl="1">
      <w:lvlJc w:val="left"/>
      <w:lvlText w:val="(%2)"/>
      <w:numFmt w:val="lowerRoman"/>
      <w:start w:val="1"/>
    </w:lvl>
  </w:abstractNum>
  <w:abstractNum w:abstractNumId="318">
    <w:nsid w:val="1495E50A"/>
    <w:multiLevelType w:val="hybridMultilevel"/>
    <w:lvl w:ilvl="0">
      <w:lvlJc w:val="left"/>
      <w:lvlText w:val="(%1)"/>
      <w:numFmt w:val="lowerLetter"/>
      <w:start w:val="1"/>
    </w:lvl>
    <w:lvl w:ilvl="1">
      <w:lvlJc w:val="left"/>
      <w:lvlText w:val="(%2)"/>
      <w:numFmt w:val="lowerRoman"/>
      <w:start w:val="1"/>
    </w:lvl>
  </w:abstractNum>
  <w:abstractNum w:abstractNumId="319">
    <w:nsid w:val="F5BCF61"/>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abstractNum>
  <w:abstractNum w:abstractNumId="320">
    <w:nsid w:val="3B1DD403"/>
    <w:multiLevelType w:val="hybridMultilevel"/>
    <w:lvl w:ilvl="0">
      <w:lvlJc w:val="left"/>
      <w:lvlText w:val="%1."/>
      <w:numFmt w:val="decimal"/>
      <w:start w:val="38"/>
    </w:lvl>
    <w:lvl w:ilvl="1">
      <w:lvlJc w:val="left"/>
      <w:lvlText w:val="(%2)"/>
      <w:numFmt w:val="lowerLetter"/>
      <w:start w:val="1"/>
    </w:lvl>
  </w:abstractNum>
  <w:abstractNum w:abstractNumId="321">
    <w:nsid w:val="530386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2">
    <w:nsid w:val="7525F2BC"/>
    <w:multiLevelType w:val="hybridMultilevel"/>
    <w:lvl w:ilvl="0">
      <w:lvlJc w:val="left"/>
      <w:lvlText w:val="%1."/>
      <w:numFmt w:val="decimal"/>
      <w:start w:val="3"/>
    </w:lvl>
    <w:lvl w:ilvl="1">
      <w:lvlJc w:val="left"/>
      <w:lvlText w:val="(%2)"/>
      <w:numFmt w:val="lowerLetter"/>
      <w:start w:val="1"/>
    </w:lvl>
  </w:abstractNum>
  <w:abstractNum w:abstractNumId="323">
    <w:nsid w:val="CE8E1A7"/>
    <w:multiLevelType w:val="hybridMultilevel"/>
    <w:lvl w:ilvl="0">
      <w:lvlJc w:val="left"/>
      <w:lvlText w:val="%1."/>
      <w:numFmt w:val="decimal"/>
      <w:start w:val="1"/>
    </w:lvl>
  </w:abstractNum>
  <w:abstractNum w:abstractNumId="324">
    <w:nsid w:val="4E9EFB0D"/>
    <w:multiLevelType w:val="hybridMultilevel"/>
    <w:lvl w:ilvl="0">
      <w:lvlJc w:val="left"/>
      <w:lvlText w:val="%1."/>
      <w:numFmt w:val="decimal"/>
      <w:start w:val="3"/>
    </w:lvl>
  </w:abstractNum>
  <w:abstractNum w:abstractNumId="325">
    <w:nsid w:val="90802BE"/>
    <w:multiLevelType w:val="hybridMultilevel"/>
    <w:lvl w:ilvl="0">
      <w:lvlJc w:val="left"/>
      <w:lvlText w:val="%1"/>
      <w:numFmt w:val="decimal"/>
      <w:start w:val="1"/>
    </w:lvl>
    <w:lvl w:ilvl="1">
      <w:lvlJc w:val="left"/>
      <w:lvlText w:val="(%2)"/>
      <w:numFmt w:val="lowerLetter"/>
      <w:start w:val="1"/>
    </w:lvl>
  </w:abstractNum>
  <w:abstractNum w:abstractNumId="326">
    <w:nsid w:val="3266459B"/>
    <w:multiLevelType w:val="hybridMultilevel"/>
    <w:lvl w:ilvl="0">
      <w:lvlJc w:val="left"/>
      <w:lvlText w:val="%1."/>
      <w:numFmt w:val="decimal"/>
      <w:start w:val="6"/>
    </w:lvl>
    <w:lvl w:ilvl="1">
      <w:lvlJc w:val="left"/>
      <w:lvlText w:val="%2"/>
      <w:numFmt w:val="lowerLetter"/>
      <w:start w:val="1"/>
    </w:lvl>
  </w:abstractNum>
  <w:abstractNum w:abstractNumId="327">
    <w:nsid w:val="3F8B0CBF"/>
    <w:multiLevelType w:val="hybridMultilevel"/>
    <w:lvl w:ilvl="0">
      <w:lvlJc w:val="left"/>
      <w:lvlText w:val="%1."/>
      <w:numFmt w:val="decimal"/>
      <w:start w:val="1"/>
    </w:lvl>
  </w:abstractNum>
  <w:abstractNum w:abstractNumId="328">
    <w:nsid w:val="37E203AB"/>
    <w:multiLevelType w:val="hybridMultilevel"/>
    <w:lvl w:ilvl="0">
      <w:lvlJc w:val="left"/>
      <w:lvlText w:val="(%1)"/>
      <w:numFmt w:val="lowerLetter"/>
      <w:start w:val="1"/>
    </w:lvl>
  </w:abstractNum>
  <w:abstractNum w:abstractNumId="329">
    <w:nsid w:val="2586D60E"/>
    <w:multiLevelType w:val="hybridMultilevel"/>
    <w:lvl w:ilvl="0">
      <w:lvlJc w:val="left"/>
      <w:lvlText w:val="%1"/>
      <w:numFmt w:val="decimal"/>
      <w:start w:val="1"/>
    </w:lvl>
    <w:lvl w:ilvl="1">
      <w:lvlJc w:val="left"/>
      <w:lvlText w:val="(%2)"/>
      <w:numFmt w:val="lowerLetter"/>
      <w:start w:val="3"/>
    </w:lvl>
  </w:abstractNum>
  <w:abstractNum w:abstractNumId="330">
    <w:nsid w:val="1F3DA4D5"/>
    <w:multiLevelType w:val="hybridMultilevel"/>
    <w:lvl w:ilvl="0">
      <w:lvlJc w:val="left"/>
      <w:lvlText w:val="%1."/>
      <w:numFmt w:val="decimal"/>
      <w:start w:val="3"/>
    </w:lvl>
    <w:lvl w:ilvl="1">
      <w:lvlJc w:val="left"/>
      <w:lvlText w:val="(%2)"/>
      <w:numFmt w:val="lowerLetter"/>
      <w:start w:val="1"/>
    </w:lvl>
  </w:abstractNum>
  <w:abstractNum w:abstractNumId="331">
    <w:nsid w:val="74C93698"/>
    <w:multiLevelType w:val="hybridMultilevel"/>
    <w:lvl w:ilvl="0">
      <w:lvlJc w:val="left"/>
      <w:lvlText w:val="1"/>
      <w:numFmt w:val="bullet"/>
      <w:start w:val="1"/>
    </w:lvl>
  </w:abstractNum>
  <w:abstractNum w:abstractNumId="332">
    <w:nsid w:val="48781401"/>
    <w:multiLevelType w:val="hybridMultilevel"/>
    <w:lvl w:ilvl="0">
      <w:lvlJc w:val="left"/>
      <w:lvlText w:val="%1"/>
      <w:numFmt w:val="lowerLetter"/>
      <w:start w:val="1"/>
    </w:lvl>
    <w:lvl w:ilvl="1">
      <w:lvlJc w:val="left"/>
      <w:lvlText w:val="(%2)"/>
      <w:numFmt w:val="lowerRoman"/>
      <w:start w:val="1"/>
    </w:lvl>
  </w:abstractNum>
  <w:abstractNum w:abstractNumId="333">
    <w:nsid w:val="186928D6"/>
    <w:multiLevelType w:val="hybridMultilevel"/>
    <w:lvl w:ilvl="0">
      <w:lvlJc w:val="left"/>
      <w:lvlText w:val="(%1)"/>
      <w:numFmt w:val="lowerLetter"/>
      <w:start w:val="3"/>
    </w:lvl>
    <w:lvl w:ilvl="1">
      <w:lvlJc w:val="left"/>
      <w:lvlText w:val="%2"/>
      <w:numFmt w:val="lowerRoman"/>
      <w:start w:val="1"/>
    </w:lvl>
  </w:abstractNum>
  <w:abstractNum w:abstractNumId="334">
    <w:nsid w:val="47195E5"/>
    <w:multiLevelType w:val="hybridMultilevel"/>
    <w:lvl w:ilvl="0">
      <w:lvlJc w:val="left"/>
      <w:lvlText w:val="%1."/>
      <w:numFmt w:val="decimal"/>
      <w:start w:val="5"/>
    </w:lvl>
  </w:abstractNum>
  <w:abstractNum w:abstractNumId="335">
    <w:nsid w:val="3746A5F2"/>
    <w:multiLevelType w:val="hybridMultilevel"/>
    <w:lvl w:ilvl="0">
      <w:lvlJc w:val="left"/>
      <w:lvlText w:val="2"/>
      <w:numFmt w:val="bullet"/>
      <w:start w:val="1"/>
    </w:lvl>
  </w:abstractNum>
  <w:abstractNum w:abstractNumId="336">
    <w:nsid w:val="682DFED6"/>
    <w:multiLevelType w:val="hybridMultilevel"/>
    <w:lvl w:ilvl="0">
      <w:lvlJc w:val="left"/>
      <w:lvlText w:val="3"/>
      <w:numFmt w:val="bullet"/>
      <w:start w:val="1"/>
    </w:lvl>
  </w:abstractNum>
  <w:abstractNum w:abstractNumId="337">
    <w:nsid w:val="606ED7F6"/>
    <w:multiLevelType w:val="hybridMultilevel"/>
    <w:lvl w:ilvl="0">
      <w:lvlJc w:val="left"/>
      <w:lvlText w:val="%1."/>
      <w:numFmt w:val="decimal"/>
      <w:start w:val="1"/>
    </w:lvl>
    <w:lvl w:ilvl="1">
      <w:lvlJc w:val="left"/>
      <w:lvlText w:val="(%2)"/>
      <w:numFmt w:val="lowerLetter"/>
      <w:start w:val="1"/>
    </w:lvl>
  </w:abstractNum>
  <w:abstractNum w:abstractNumId="338">
    <w:nsid w:val="2D9DF57D"/>
    <w:multiLevelType w:val="hybridMultilevel"/>
    <w:lvl w:ilvl="0">
      <w:lvlJc w:val="left"/>
      <w:lvlText w:val="4"/>
      <w:numFmt w:val="bullet"/>
      <w:start w:val="1"/>
    </w:lvl>
  </w:abstractNum>
  <w:abstractNum w:abstractNumId="339">
    <w:nsid w:val="7FBD7A3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40">
    <w:nsid w:val="490B7C5"/>
    <w:multiLevelType w:val="hybridMultilevel"/>
    <w:lvl w:ilvl="0">
      <w:lvlJc w:val="left"/>
      <w:lvlText w:val="5"/>
      <w:numFmt w:val="bullet"/>
      <w:start w:val="1"/>
    </w:lvl>
  </w:abstractNum>
  <w:abstractNum w:abstractNumId="341">
    <w:nsid w:val="4303A216"/>
    <w:multiLevelType w:val="hybridMultilevel"/>
    <w:lvl w:ilvl="0">
      <w:lvlJc w:val="left"/>
      <w:lvlText w:val="6"/>
      <w:numFmt w:val="bullet"/>
      <w:start w:val="1"/>
    </w:lvl>
  </w:abstractNum>
  <w:abstractNum w:abstractNumId="342">
    <w:nsid w:val="19B8A08E"/>
    <w:multiLevelType w:val="hybridMultilevel"/>
    <w:lvl w:ilvl="0">
      <w:lvlJc w:val="left"/>
      <w:lvlText w:val="7"/>
      <w:numFmt w:val="bullet"/>
      <w:start w:val="1"/>
    </w:lvl>
  </w:abstractNum>
  <w:abstractNum w:abstractNumId="343">
    <w:nsid w:val="54B59621"/>
    <w:multiLevelType w:val="hybridMultilevel"/>
    <w:lvl w:ilvl="0">
      <w:lvlJc w:val="left"/>
      <w:lvlText w:val="%1."/>
      <w:numFmt w:val="decimal"/>
      <w:start w:val="1"/>
    </w:lvl>
    <w:lvl w:ilvl="1">
      <w:lvlJc w:val="left"/>
      <w:lvlText w:val="(%2)"/>
      <w:numFmt w:val="lowerLetter"/>
      <w:start w:val="1"/>
    </w:lvl>
  </w:abstractNum>
  <w:abstractNum w:abstractNumId="344">
    <w:nsid w:val="5992A02E"/>
    <w:multiLevelType w:val="hybridMultilevel"/>
    <w:lvl w:ilvl="0">
      <w:lvlJc w:val="left"/>
      <w:lvlText w:val="*"/>
      <w:numFmt w:val="bullet"/>
      <w:start w:val="1"/>
    </w:lvl>
  </w:abstractNum>
  <w:abstractNum w:abstractNumId="345">
    <w:nsid w:val="29EF532D"/>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2019-12-28T14:09:29Z</dcterms:created>
  <dcterms:modified xsi:type="dcterms:W3CDTF">2019-12-28T14:09:29Z</dcterms:modified>
</cp:coreProperties>
</file>