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Vecchi Piero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VP &amp; Controller</w:t>
      </w:r>
    </w:p>
    <w:p>
      <w:pPr>
        <w:spacing w:after="0" w:line="406"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ind w:left="180"/>
              <w:spacing w:after="0"/>
              <w:rPr>
                <w:sz w:val="20"/>
                <w:szCs w:val="20"/>
                <w:color w:val="auto"/>
              </w:rPr>
            </w:pPr>
            <w:r>
              <w:rPr>
                <w:rFonts w:ascii="Arial" w:cs="Arial" w:eastAsia="Arial" w:hAnsi="Arial"/>
                <w:sz w:val="14"/>
                <w:szCs w:val="14"/>
                <w:color w:val="0000FF"/>
              </w:rPr>
              <w:t>M</w:t>
            </w:r>
          </w:p>
        </w:tc>
        <w:tc>
          <w:tcPr>
            <w:tcW w:w="3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869</w:t>
            </w:r>
          </w:p>
        </w:tc>
        <w:tc>
          <w:tcPr>
            <w:tcW w:w="80" w:type="dxa"/>
            <w:vAlign w:val="bottom"/>
          </w:tcPr>
          <w:p>
            <w:pPr>
              <w:spacing w:after="0"/>
              <w:rPr>
                <w:sz w:val="23"/>
                <w:szCs w:val="23"/>
                <w:color w:val="auto"/>
              </w:rPr>
            </w:pPr>
          </w:p>
        </w:tc>
        <w:tc>
          <w:tcPr>
            <w:tcW w:w="580" w:type="dxa"/>
            <w:vAlign w:val="bottom"/>
          </w:tcPr>
          <w:p>
            <w:pPr>
              <w:ind w:left="360"/>
              <w:spacing w:after="0"/>
              <w:rPr>
                <w:sz w:val="20"/>
                <w:szCs w:val="20"/>
                <w:color w:val="auto"/>
              </w:rPr>
            </w:pPr>
            <w:r>
              <w:rPr>
                <w:rFonts w:ascii="Arial" w:cs="Arial" w:eastAsia="Arial" w:hAnsi="Arial"/>
                <w:sz w:val="18"/>
                <w:szCs w:val="18"/>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2,272</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97"/>
              <w:spacing w:after="0"/>
              <w:rPr>
                <w:sz w:val="20"/>
                <w:szCs w:val="20"/>
                <w:color w:val="auto"/>
              </w:rPr>
            </w:pPr>
            <w:r>
              <w:rPr>
                <w:rFonts w:ascii="Arial" w:cs="Arial" w:eastAsia="Arial" w:hAnsi="Arial"/>
                <w:sz w:val="14"/>
                <w:szCs w:val="14"/>
                <w:color w:val="0000FF"/>
              </w:rPr>
              <w:t>F</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373</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1,899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3"/>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02/26/2016</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16"/>
                <w:szCs w:val="16"/>
                <w:color w:val="auto"/>
              </w:rPr>
            </w:pPr>
          </w:p>
        </w:tc>
        <w:tc>
          <w:tcPr>
            <w:tcW w:w="820" w:type="dxa"/>
            <w:vAlign w:val="bottom"/>
            <w:vMerge w:val="restart"/>
          </w:tcPr>
          <w:p>
            <w:pPr>
              <w:ind w:left="460"/>
              <w:spacing w:after="0"/>
              <w:rPr>
                <w:sz w:val="20"/>
                <w:szCs w:val="20"/>
                <w:color w:val="auto"/>
              </w:rPr>
            </w:pPr>
            <w:r>
              <w:rPr>
                <w:rFonts w:ascii="Arial" w:cs="Arial" w:eastAsia="Arial" w:hAnsi="Arial"/>
                <w:sz w:val="14"/>
                <w:szCs w:val="14"/>
                <w:color w:val="0000FF"/>
              </w:rPr>
              <w:t>869</w:t>
            </w:r>
          </w:p>
        </w:tc>
        <w:tc>
          <w:tcPr>
            <w:tcW w:w="680" w:type="dxa"/>
            <w:vAlign w:val="bottom"/>
            <w:gridSpan w:val="2"/>
            <w:vMerge w:val="restart"/>
          </w:tcPr>
          <w:p>
            <w:pPr>
              <w:jc w:val="right"/>
              <w:ind w:right="217"/>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869</w:t>
            </w:r>
          </w:p>
        </w:tc>
        <w:tc>
          <w:tcPr>
            <w:tcW w:w="22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stock units</w:t>
            </w: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19, 2015, reporting person was granted 869 RSUs to be issued under the Sorin LTI Award pursuant to the Sorin Plans (as defined below). Each RSU represents a contingent right to receive one ordinary share of the Company. All of such RSUs vested and all restrictions thereon lapsed on February 26, 2016.</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number of ordinary shares otherwise issuable to Reporting Person have been withheld in order to satisfy the tax withholding obligations of LivaNova and its subsidiaries pursuant to the vesting of existing Sorin equity award plans (the "Sorin Plans").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Taylor Pollock,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3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2019-12-09T02:12:28Z</dcterms:created>
  <dcterms:modified xsi:type="dcterms:W3CDTF">2019-12-09T02:12:28Z</dcterms:modified>
</cp:coreProperties>
</file>