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169545</wp:posOffset>
            </wp:positionV>
            <wp:extent cx="1852295"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960" w:type="dxa"/>
        <w:tblCellMar>
          <w:top w:w="0" w:type="dxa"/>
          <w:left w:w="0" w:type="dxa"/>
          <w:bottom w:w="0" w:type="dxa"/>
          <w:right w:w="0" w:type="dxa"/>
        </w:tblCellMar>
      </w:tblPr>
      <w:tr>
        <w:trPr>
          <w:trHeight w:val="225"/>
        </w:trPr>
        <w:tc>
          <w:tcPr>
            <w:tcW w:w="2180" w:type="dxa"/>
            <w:vAlign w:val="bottom"/>
          </w:tcPr>
          <w:p>
            <w:pPr>
              <w:jc w:val="center"/>
              <w:ind w:right="336"/>
              <w:spacing w:after="0"/>
              <w:rPr>
                <w:sz w:val="20"/>
                <w:szCs w:val="20"/>
                <w:color w:val="auto"/>
              </w:rPr>
            </w:pPr>
            <w:r>
              <w:rPr>
                <w:rFonts w:ascii="Arial" w:cs="Arial" w:eastAsia="Arial" w:hAnsi="Arial"/>
                <w:sz w:val="18"/>
                <w:szCs w:val="18"/>
                <w:b w:val="1"/>
                <w:bCs w:val="1"/>
                <w:color w:val="auto"/>
                <w:w w:val="89"/>
              </w:rPr>
              <w:t>England and Wales</w:t>
            </w:r>
          </w:p>
        </w:tc>
        <w:tc>
          <w:tcPr>
            <w:tcW w:w="5280" w:type="dxa"/>
            <w:vAlign w:val="bottom"/>
          </w:tcPr>
          <w:p>
            <w:pPr>
              <w:jc w:val="center"/>
              <w:ind w:right="14"/>
              <w:spacing w:after="0"/>
              <w:rPr>
                <w:sz w:val="20"/>
                <w:szCs w:val="20"/>
                <w:color w:val="auto"/>
              </w:rPr>
            </w:pPr>
            <w:r>
              <w:rPr>
                <w:rFonts w:ascii="Arial" w:cs="Arial" w:eastAsia="Arial" w:hAnsi="Arial"/>
                <w:sz w:val="18"/>
                <w:szCs w:val="18"/>
                <w:b w:val="1"/>
                <w:bCs w:val="1"/>
                <w:color w:val="auto"/>
                <w:w w:val="90"/>
              </w:rPr>
              <w:t>001-37599</w:t>
            </w:r>
          </w:p>
        </w:tc>
        <w:tc>
          <w:tcPr>
            <w:tcW w:w="1780" w:type="dxa"/>
            <w:vAlign w:val="bottom"/>
          </w:tcPr>
          <w:p>
            <w:pPr>
              <w:jc w:val="center"/>
              <w:ind w:left="496"/>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2180" w:type="dxa"/>
            <w:vAlign w:val="bottom"/>
          </w:tcPr>
          <w:p>
            <w:pPr>
              <w:jc w:val="center"/>
              <w:ind w:right="336"/>
              <w:spacing w:after="0"/>
              <w:rPr>
                <w:sz w:val="20"/>
                <w:szCs w:val="20"/>
                <w:color w:val="auto"/>
              </w:rPr>
            </w:pPr>
            <w:r>
              <w:rPr>
                <w:rFonts w:ascii="Arial" w:cs="Arial" w:eastAsia="Arial" w:hAnsi="Arial"/>
                <w:sz w:val="16"/>
                <w:szCs w:val="16"/>
                <w:color w:val="auto"/>
                <w:w w:val="92"/>
              </w:rPr>
              <w:t>(State or Other Jurisdiction</w:t>
            </w:r>
          </w:p>
        </w:tc>
        <w:tc>
          <w:tcPr>
            <w:tcW w:w="5280" w:type="dxa"/>
            <w:vAlign w:val="bottom"/>
          </w:tcPr>
          <w:p>
            <w:pPr>
              <w:jc w:val="center"/>
              <w:ind w:right="14"/>
              <w:spacing w:after="0"/>
              <w:rPr>
                <w:sz w:val="20"/>
                <w:szCs w:val="20"/>
                <w:color w:val="auto"/>
              </w:rPr>
            </w:pPr>
            <w:r>
              <w:rPr>
                <w:rFonts w:ascii="Arial" w:cs="Arial" w:eastAsia="Arial" w:hAnsi="Arial"/>
                <w:sz w:val="16"/>
                <w:szCs w:val="16"/>
                <w:color w:val="auto"/>
                <w:w w:val="92"/>
              </w:rPr>
              <w:t>(Commission</w:t>
            </w:r>
          </w:p>
        </w:tc>
        <w:tc>
          <w:tcPr>
            <w:tcW w:w="1780" w:type="dxa"/>
            <w:vAlign w:val="bottom"/>
          </w:tcPr>
          <w:p>
            <w:pPr>
              <w:jc w:val="center"/>
              <w:ind w:left="476"/>
              <w:spacing w:after="0"/>
              <w:rPr>
                <w:sz w:val="20"/>
                <w:szCs w:val="20"/>
                <w:color w:val="auto"/>
              </w:rPr>
            </w:pPr>
            <w:r>
              <w:rPr>
                <w:rFonts w:ascii="Arial" w:cs="Arial" w:eastAsia="Arial" w:hAnsi="Arial"/>
                <w:sz w:val="16"/>
                <w:szCs w:val="16"/>
                <w:color w:val="auto"/>
                <w:w w:val="94"/>
              </w:rPr>
              <w:t>(IRS Employer</w:t>
            </w:r>
          </w:p>
        </w:tc>
      </w:tr>
      <w:tr>
        <w:trPr>
          <w:trHeight w:val="206"/>
        </w:trPr>
        <w:tc>
          <w:tcPr>
            <w:tcW w:w="2180" w:type="dxa"/>
            <w:vAlign w:val="bottom"/>
          </w:tcPr>
          <w:p>
            <w:pPr>
              <w:jc w:val="center"/>
              <w:ind w:right="296"/>
              <w:spacing w:after="0"/>
              <w:rPr>
                <w:sz w:val="20"/>
                <w:szCs w:val="20"/>
                <w:color w:val="auto"/>
              </w:rPr>
            </w:pPr>
            <w:r>
              <w:rPr>
                <w:rFonts w:ascii="Arial" w:cs="Arial" w:eastAsia="Arial" w:hAnsi="Arial"/>
                <w:sz w:val="16"/>
                <w:szCs w:val="16"/>
                <w:color w:val="auto"/>
                <w:w w:val="96"/>
              </w:rPr>
              <w:t>of Incorporation)</w:t>
            </w:r>
          </w:p>
        </w:tc>
        <w:tc>
          <w:tcPr>
            <w:tcW w:w="5280" w:type="dxa"/>
            <w:vAlign w:val="bottom"/>
          </w:tcPr>
          <w:p>
            <w:pPr>
              <w:jc w:val="center"/>
              <w:ind w:right="34"/>
              <w:spacing w:after="0"/>
              <w:rPr>
                <w:sz w:val="20"/>
                <w:szCs w:val="20"/>
                <w:color w:val="auto"/>
              </w:rPr>
            </w:pPr>
            <w:r>
              <w:rPr>
                <w:rFonts w:ascii="Arial" w:cs="Arial" w:eastAsia="Arial" w:hAnsi="Arial"/>
                <w:sz w:val="16"/>
                <w:szCs w:val="16"/>
                <w:color w:val="auto"/>
                <w:w w:val="95"/>
              </w:rPr>
              <w:t>File Number)</w:t>
            </w:r>
          </w:p>
        </w:tc>
        <w:tc>
          <w:tcPr>
            <w:tcW w:w="1780" w:type="dxa"/>
            <w:vAlign w:val="bottom"/>
          </w:tcPr>
          <w:p>
            <w:pPr>
              <w:jc w:val="center"/>
              <w:ind w:left="496"/>
              <w:spacing w:after="0"/>
              <w:rPr>
                <w:sz w:val="20"/>
                <w:szCs w:val="20"/>
                <w:color w:val="auto"/>
              </w:rPr>
            </w:pPr>
            <w:r>
              <w:rPr>
                <w:rFonts w:ascii="Arial" w:cs="Arial" w:eastAsia="Arial" w:hAnsi="Arial"/>
                <w:sz w:val="16"/>
                <w:szCs w:val="16"/>
                <w:color w:val="auto"/>
                <w:w w:val="96"/>
              </w:rPr>
              <w:t>Identification No.)</w:t>
            </w:r>
          </w:p>
        </w:tc>
      </w:tr>
      <w:tr>
        <w:trPr>
          <w:trHeight w:val="447"/>
        </w:trPr>
        <w:tc>
          <w:tcPr>
            <w:tcW w:w="2180" w:type="dxa"/>
            <w:vAlign w:val="bottom"/>
          </w:tcPr>
          <w:p>
            <w:pPr>
              <w:spacing w:after="0"/>
              <w:rPr>
                <w:sz w:val="24"/>
                <w:szCs w:val="24"/>
                <w:color w:val="auto"/>
              </w:rPr>
            </w:pPr>
          </w:p>
        </w:tc>
        <w:tc>
          <w:tcPr>
            <w:tcW w:w="5280" w:type="dxa"/>
            <w:vAlign w:val="bottom"/>
          </w:tcPr>
          <w:p>
            <w:pPr>
              <w:jc w:val="center"/>
              <w:ind w:right="34"/>
              <w:spacing w:after="0"/>
              <w:rPr>
                <w:sz w:val="20"/>
                <w:szCs w:val="20"/>
                <w:color w:val="auto"/>
              </w:rPr>
            </w:pPr>
            <w:r>
              <w:rPr>
                <w:rFonts w:ascii="Arial" w:cs="Arial" w:eastAsia="Arial" w:hAnsi="Arial"/>
                <w:sz w:val="18"/>
                <w:szCs w:val="18"/>
                <w:b w:val="1"/>
                <w:bCs w:val="1"/>
                <w:color w:val="auto"/>
                <w:w w:val="90"/>
              </w:rPr>
              <w:t>20 Eastbourne Terrace</w:t>
            </w:r>
          </w:p>
        </w:tc>
        <w:tc>
          <w:tcPr>
            <w:tcW w:w="178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280" w:type="dxa"/>
            <w:vAlign w:val="bottom"/>
          </w:tcPr>
          <w:p>
            <w:pPr>
              <w:jc w:val="center"/>
              <w:ind w:right="34"/>
              <w:spacing w:after="0"/>
              <w:rPr>
                <w:sz w:val="20"/>
                <w:szCs w:val="20"/>
                <w:color w:val="auto"/>
              </w:rPr>
            </w:pPr>
            <w:r>
              <w:rPr>
                <w:rFonts w:ascii="Arial" w:cs="Arial" w:eastAsia="Arial" w:hAnsi="Arial"/>
                <w:sz w:val="18"/>
                <w:szCs w:val="18"/>
                <w:b w:val="1"/>
                <w:bCs w:val="1"/>
                <w:color w:val="auto"/>
                <w:w w:val="95"/>
              </w:rPr>
              <w:t>London, W2 6LG</w:t>
            </w:r>
          </w:p>
        </w:tc>
        <w:tc>
          <w:tcPr>
            <w:tcW w:w="1780" w:type="dxa"/>
            <w:vAlign w:val="bottom"/>
          </w:tcPr>
          <w:p>
            <w:pPr>
              <w:spacing w:after="0"/>
              <w:rPr>
                <w:sz w:val="18"/>
                <w:szCs w:val="18"/>
                <w:color w:val="auto"/>
              </w:rPr>
            </w:pPr>
          </w:p>
        </w:tc>
      </w:tr>
      <w:tr>
        <w:trPr>
          <w:trHeight w:val="225"/>
        </w:trPr>
        <w:tc>
          <w:tcPr>
            <w:tcW w:w="2180" w:type="dxa"/>
            <w:vAlign w:val="bottom"/>
          </w:tcPr>
          <w:p>
            <w:pPr>
              <w:spacing w:after="0"/>
              <w:rPr>
                <w:sz w:val="19"/>
                <w:szCs w:val="19"/>
                <w:color w:val="auto"/>
              </w:rPr>
            </w:pPr>
          </w:p>
        </w:tc>
        <w:tc>
          <w:tcPr>
            <w:tcW w:w="5280" w:type="dxa"/>
            <w:vAlign w:val="bottom"/>
          </w:tcPr>
          <w:p>
            <w:pPr>
              <w:jc w:val="center"/>
              <w:ind w:right="34"/>
              <w:spacing w:after="0"/>
              <w:rPr>
                <w:sz w:val="20"/>
                <w:szCs w:val="20"/>
                <w:color w:val="auto"/>
              </w:rPr>
            </w:pPr>
            <w:r>
              <w:rPr>
                <w:rFonts w:ascii="Arial" w:cs="Arial" w:eastAsia="Arial" w:hAnsi="Arial"/>
                <w:sz w:val="18"/>
                <w:szCs w:val="18"/>
                <w:b w:val="1"/>
                <w:bCs w:val="1"/>
                <w:color w:val="auto"/>
                <w:w w:val="92"/>
              </w:rPr>
              <w:t>United Kingdom</w:t>
            </w:r>
          </w:p>
        </w:tc>
        <w:tc>
          <w:tcPr>
            <w:tcW w:w="1780" w:type="dxa"/>
            <w:vAlign w:val="bottom"/>
          </w:tcPr>
          <w:p>
            <w:pPr>
              <w:spacing w:after="0"/>
              <w:rPr>
                <w:sz w:val="19"/>
                <w:szCs w:val="19"/>
                <w:color w:val="auto"/>
              </w:rPr>
            </w:pPr>
          </w:p>
        </w:tc>
      </w:tr>
      <w:tr>
        <w:trPr>
          <w:trHeight w:val="206"/>
        </w:trPr>
        <w:tc>
          <w:tcPr>
            <w:tcW w:w="2180" w:type="dxa"/>
            <w:vAlign w:val="bottom"/>
          </w:tcPr>
          <w:p>
            <w:pPr>
              <w:spacing w:after="0"/>
              <w:rPr>
                <w:sz w:val="17"/>
                <w:szCs w:val="17"/>
                <w:color w:val="auto"/>
              </w:rPr>
            </w:pPr>
          </w:p>
        </w:tc>
        <w:tc>
          <w:tcPr>
            <w:tcW w:w="5280" w:type="dxa"/>
            <w:vAlign w:val="bottom"/>
          </w:tcPr>
          <w:p>
            <w:pPr>
              <w:jc w:val="center"/>
              <w:ind w:right="34"/>
              <w:spacing w:after="0"/>
              <w:rPr>
                <w:sz w:val="20"/>
                <w:szCs w:val="20"/>
                <w:color w:val="auto"/>
              </w:rPr>
            </w:pPr>
            <w:r>
              <w:rPr>
                <w:rFonts w:ascii="Arial" w:cs="Arial" w:eastAsia="Arial" w:hAnsi="Arial"/>
                <w:sz w:val="16"/>
                <w:szCs w:val="16"/>
                <w:color w:val="auto"/>
                <w:w w:val="93"/>
              </w:rPr>
              <w:t>(Address of Principal Executive Offices)</w:t>
            </w:r>
          </w:p>
        </w:tc>
        <w:tc>
          <w:tcPr>
            <w:tcW w:w="1780" w:type="dxa"/>
            <w:vAlign w:val="bottom"/>
          </w:tcPr>
          <w:p>
            <w:pPr>
              <w:spacing w:after="0"/>
              <w:rPr>
                <w:sz w:val="17"/>
                <w:szCs w:val="17"/>
                <w:color w:val="auto"/>
              </w:rPr>
            </w:pPr>
          </w:p>
        </w:tc>
      </w:tr>
      <w:tr>
        <w:trPr>
          <w:trHeight w:val="455"/>
        </w:trPr>
        <w:tc>
          <w:tcPr>
            <w:tcW w:w="2180" w:type="dxa"/>
            <w:vAlign w:val="bottom"/>
          </w:tcPr>
          <w:p>
            <w:pPr>
              <w:spacing w:after="0"/>
              <w:rPr>
                <w:sz w:val="24"/>
                <w:szCs w:val="24"/>
                <w:color w:val="auto"/>
              </w:rPr>
            </w:pPr>
          </w:p>
        </w:tc>
        <w:tc>
          <w:tcPr>
            <w:tcW w:w="5280" w:type="dxa"/>
            <w:vAlign w:val="bottom"/>
          </w:tcPr>
          <w:p>
            <w:pPr>
              <w:jc w:val="center"/>
              <w:ind w:right="34"/>
              <w:spacing w:after="0"/>
              <w:rPr>
                <w:sz w:val="20"/>
                <w:szCs w:val="20"/>
                <w:color w:val="auto"/>
              </w:rPr>
            </w:pPr>
            <w:r>
              <w:rPr>
                <w:rFonts w:ascii="Arial" w:cs="Arial" w:eastAsia="Arial" w:hAnsi="Arial"/>
                <w:sz w:val="18"/>
                <w:szCs w:val="18"/>
                <w:b w:val="1"/>
                <w:bCs w:val="1"/>
                <w:color w:val="auto"/>
                <w:w w:val="90"/>
              </w:rPr>
              <w:t>+44 20 33250660</w:t>
            </w:r>
          </w:p>
        </w:tc>
        <w:tc>
          <w:tcPr>
            <w:tcW w:w="1780" w:type="dxa"/>
            <w:vAlign w:val="bottom"/>
          </w:tcPr>
          <w:p>
            <w:pPr>
              <w:spacing w:after="0"/>
              <w:rPr>
                <w:sz w:val="24"/>
                <w:szCs w:val="24"/>
                <w:color w:val="auto"/>
              </w:rPr>
            </w:pPr>
          </w:p>
        </w:tc>
      </w:tr>
      <w:tr>
        <w:trPr>
          <w:trHeight w:val="206"/>
        </w:trPr>
        <w:tc>
          <w:tcPr>
            <w:tcW w:w="2180" w:type="dxa"/>
            <w:vAlign w:val="bottom"/>
          </w:tcPr>
          <w:p>
            <w:pPr>
              <w:spacing w:after="0"/>
              <w:rPr>
                <w:sz w:val="17"/>
                <w:szCs w:val="17"/>
                <w:color w:val="auto"/>
              </w:rPr>
            </w:pPr>
          </w:p>
        </w:tc>
        <w:tc>
          <w:tcPr>
            <w:tcW w:w="5280" w:type="dxa"/>
            <w:vAlign w:val="bottom"/>
          </w:tcPr>
          <w:p>
            <w:pPr>
              <w:jc w:val="center"/>
              <w:ind w:right="34"/>
              <w:spacing w:after="0"/>
              <w:rPr>
                <w:sz w:val="20"/>
                <w:szCs w:val="20"/>
                <w:color w:val="auto"/>
              </w:rPr>
            </w:pPr>
            <w:r>
              <w:rPr>
                <w:rFonts w:ascii="Arial" w:cs="Arial" w:eastAsia="Arial" w:hAnsi="Arial"/>
                <w:sz w:val="16"/>
                <w:szCs w:val="16"/>
                <w:color w:val="auto"/>
                <w:w w:val="92"/>
              </w:rPr>
              <w:t>(Registrant’s Telephone Number, Including Area Code)</w:t>
            </w:r>
          </w:p>
        </w:tc>
        <w:tc>
          <w:tcPr>
            <w:tcW w:w="1780" w:type="dxa"/>
            <w:vAlign w:val="bottom"/>
          </w:tcPr>
          <w:p>
            <w:pPr>
              <w:spacing w:after="0"/>
              <w:rPr>
                <w:sz w:val="17"/>
                <w:szCs w:val="17"/>
                <w:color w:val="auto"/>
              </w:rPr>
            </w:pPr>
          </w:p>
        </w:tc>
      </w:tr>
      <w:tr>
        <w:trPr>
          <w:trHeight w:val="455"/>
        </w:trPr>
        <w:tc>
          <w:tcPr>
            <w:tcW w:w="2180" w:type="dxa"/>
            <w:vAlign w:val="bottom"/>
          </w:tcPr>
          <w:p>
            <w:pPr>
              <w:spacing w:after="0"/>
              <w:rPr>
                <w:sz w:val="24"/>
                <w:szCs w:val="24"/>
                <w:color w:val="auto"/>
              </w:rPr>
            </w:pPr>
          </w:p>
        </w:tc>
        <w:tc>
          <w:tcPr>
            <w:tcW w:w="5280" w:type="dxa"/>
            <w:vAlign w:val="bottom"/>
          </w:tcPr>
          <w:p>
            <w:pPr>
              <w:jc w:val="center"/>
              <w:ind w:right="54"/>
              <w:spacing w:after="0"/>
              <w:rPr>
                <w:sz w:val="20"/>
                <w:szCs w:val="20"/>
                <w:color w:val="auto"/>
              </w:rPr>
            </w:pPr>
            <w:r>
              <w:rPr>
                <w:rFonts w:ascii="Arial" w:cs="Arial" w:eastAsia="Arial" w:hAnsi="Arial"/>
                <w:sz w:val="18"/>
                <w:szCs w:val="18"/>
                <w:b w:val="1"/>
                <w:bCs w:val="1"/>
                <w:color w:val="auto"/>
                <w:w w:val="96"/>
              </w:rPr>
              <w:t>N/A</w:t>
            </w:r>
          </w:p>
        </w:tc>
        <w:tc>
          <w:tcPr>
            <w:tcW w:w="1780" w:type="dxa"/>
            <w:vAlign w:val="bottom"/>
          </w:tcPr>
          <w:p>
            <w:pPr>
              <w:spacing w:after="0"/>
              <w:rPr>
                <w:sz w:val="24"/>
                <w:szCs w:val="24"/>
                <w:color w:val="auto"/>
              </w:rPr>
            </w:pPr>
          </w:p>
        </w:tc>
      </w:tr>
      <w:tr>
        <w:trPr>
          <w:trHeight w:val="206"/>
        </w:trPr>
        <w:tc>
          <w:tcPr>
            <w:tcW w:w="2180" w:type="dxa"/>
            <w:vAlign w:val="bottom"/>
          </w:tcPr>
          <w:p>
            <w:pPr>
              <w:spacing w:after="0"/>
              <w:rPr>
                <w:sz w:val="17"/>
                <w:szCs w:val="17"/>
                <w:color w:val="auto"/>
              </w:rPr>
            </w:pPr>
          </w:p>
        </w:tc>
        <w:tc>
          <w:tcPr>
            <w:tcW w:w="5280" w:type="dxa"/>
            <w:vAlign w:val="bottom"/>
          </w:tcPr>
          <w:p>
            <w:pPr>
              <w:jc w:val="center"/>
              <w:ind w:right="34"/>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80" w:type="dxa"/>
            <w:vAlign w:val="bottom"/>
          </w:tcPr>
          <w:p>
            <w:pPr>
              <w:spacing w:after="0"/>
              <w:rPr>
                <w:sz w:val="17"/>
                <w:szCs w:val="17"/>
                <w:color w:val="auto"/>
              </w:rPr>
            </w:pPr>
          </w:p>
        </w:tc>
      </w:tr>
    </w:tbl>
    <w:p>
      <w:pPr>
        <w:spacing w:after="0" w:line="239" w:lineRule="exact"/>
        <w:rPr>
          <w:sz w:val="24"/>
          <w:szCs w:val="24"/>
          <w:color w:val="auto"/>
        </w:rPr>
      </w:pPr>
    </w:p>
    <w:p>
      <w:pPr>
        <w:ind w:right="60"/>
        <w:spacing w:after="0" w:line="293"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 (see General Instructions A.2. below):</w:t>
      </w:r>
    </w:p>
    <w:p>
      <w:pPr>
        <w:spacing w:after="0" w:line="7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13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3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13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jc w:val="right"/>
        <w:spacing w:after="0" w:line="184" w:lineRule="exact"/>
        <w:tabs>
          <w:tab w:leader="none" w:pos="14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1"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LivaNova Plc (the “Company”) is furnishing this current report on Form 8-K solely to furnish the press release announcing preliminary unaudited revenue results under Item 2.02 of Form 8-K. This Form 8-K amends, restates and supersedes the Company’s original current report on Form 8-K filed on April 5,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On April 5, 2019, the Company issued a press release announcing preliminary unaudited revenue results for the quarter ended March 31, 2019.</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tab/>
        <w:t>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4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LivaNova Press Release dated April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4020" w:type="dxa"/>
            <w:vAlign w:val="bottom"/>
            <w:gridSpan w:val="3"/>
          </w:tcPr>
          <w:p>
            <w:pPr>
              <w:ind w:left="2160"/>
              <w:spacing w:after="0"/>
              <w:rPr>
                <w:sz w:val="20"/>
                <w:szCs w:val="20"/>
                <w:color w:val="auto"/>
              </w:rPr>
            </w:pPr>
            <w:r>
              <w:rPr>
                <w:rFonts w:ascii="Arial" w:cs="Arial" w:eastAsia="Arial" w:hAnsi="Arial"/>
                <w:sz w:val="18"/>
                <w:szCs w:val="18"/>
                <w:color w:val="auto"/>
              </w:rPr>
              <w:t>LivaNova PLC</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April 5, 2019</w:t>
            </w:r>
          </w:p>
        </w:tc>
        <w:tc>
          <w:tcPr>
            <w:tcW w:w="4020" w:type="dxa"/>
            <w:vAlign w:val="bottom"/>
            <w:gridSpan w:val="3"/>
          </w:tcPr>
          <w:p>
            <w:pPr>
              <w:ind w:left="2160"/>
              <w:spacing w:after="0"/>
              <w:rPr>
                <w:sz w:val="20"/>
                <w:szCs w:val="20"/>
                <w:color w:val="auto"/>
              </w:rPr>
            </w:pPr>
            <w:r>
              <w:rPr>
                <w:rFonts w:ascii="Arial" w:cs="Arial" w:eastAsia="Arial" w:hAnsi="Arial"/>
                <w:sz w:val="18"/>
                <w:szCs w:val="18"/>
                <w:color w:val="auto"/>
                <w:w w:val="97"/>
              </w:rPr>
              <w:t>By: /s/ Catherine Moroz</w:t>
            </w:r>
          </w:p>
        </w:tc>
      </w:tr>
      <w:tr>
        <w:trPr>
          <w:trHeight w:val="20"/>
        </w:trPr>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4020" w:type="dxa"/>
            <w:vAlign w:val="bottom"/>
            <w:gridSpan w:val="3"/>
          </w:tcPr>
          <w:p>
            <w:pPr>
              <w:ind w:left="2160"/>
              <w:spacing w:after="0"/>
              <w:rPr>
                <w:sz w:val="20"/>
                <w:szCs w:val="20"/>
                <w:color w:val="auto"/>
              </w:rPr>
            </w:pPr>
            <w:r>
              <w:rPr>
                <w:rFonts w:ascii="Arial" w:cs="Arial" w:eastAsia="Arial" w:hAnsi="Arial"/>
                <w:sz w:val="18"/>
                <w:szCs w:val="18"/>
                <w:color w:val="auto"/>
                <w:w w:val="96"/>
              </w:rPr>
              <w:t>Name: Catherine Moroz</w:t>
            </w:r>
          </w:p>
        </w:tc>
      </w:tr>
      <w:tr>
        <w:trPr>
          <w:trHeight w:val="230"/>
        </w:trPr>
        <w:tc>
          <w:tcPr>
            <w:tcW w:w="3560" w:type="dxa"/>
            <w:vAlign w:val="bottom"/>
          </w:tcPr>
          <w:p>
            <w:pPr>
              <w:spacing w:after="0"/>
              <w:rPr>
                <w:sz w:val="20"/>
                <w:szCs w:val="20"/>
                <w:color w:val="auto"/>
              </w:rPr>
            </w:pPr>
          </w:p>
        </w:tc>
        <w:tc>
          <w:tcPr>
            <w:tcW w:w="4020" w:type="dxa"/>
            <w:vAlign w:val="bottom"/>
            <w:gridSpan w:val="3"/>
          </w:tcPr>
          <w:p>
            <w:pPr>
              <w:ind w:left="2160"/>
              <w:spacing w:after="0"/>
              <w:rPr>
                <w:sz w:val="20"/>
                <w:szCs w:val="20"/>
                <w:color w:val="auto"/>
              </w:rPr>
            </w:pPr>
            <w:r>
              <w:rPr>
                <w:rFonts w:ascii="Arial" w:cs="Arial" w:eastAsia="Arial" w:hAnsi="Arial"/>
                <w:sz w:val="18"/>
                <w:szCs w:val="18"/>
                <w:color w:val="auto"/>
                <w:w w:val="90"/>
              </w:rPr>
              <w:t>Title: Company Secretary</w:t>
            </w:r>
          </w:p>
        </w:tc>
      </w:tr>
    </w:tbl>
    <w:p>
      <w:pPr>
        <w:sectPr>
          <w:pgSz w:w="11900" w:h="16838" w:orient="portrait"/>
          <w:cols w:equalWidth="0" w:num="1">
            <w:col w:w="11000"/>
          </w:cols>
          <w:pgMar w:left="240" w:top="121" w:right="659" w:bottom="1440" w:gutter="0" w:footer="0" w:header="0"/>
        </w:sectPr>
      </w:pPr>
    </w:p>
    <w:bookmarkStart w:id="3" w:name="page4"/>
    <w:bookmarkEnd w:id="3"/>
    <w:p>
      <w:pPr>
        <w:ind w:left="9860"/>
        <w:spacing w:after="0"/>
        <w:rPr>
          <w:sz w:val="20"/>
          <w:szCs w:val="20"/>
          <w:color w:val="auto"/>
        </w:rPr>
      </w:pPr>
      <w:r>
        <w:rPr>
          <w:rFonts w:ascii="Arial" w:cs="Arial" w:eastAsia="Arial" w:hAnsi="Arial"/>
          <w:sz w:val="19"/>
          <w:szCs w:val="19"/>
          <w:color w:val="FF5C39"/>
        </w:rPr>
        <w:drawing>
          <wp:anchor simplePos="0" relativeHeight="251657728" behindDoc="1" locked="0" layoutInCell="0" allowOverlap="1">
            <wp:simplePos x="0" y="0"/>
            <wp:positionH relativeFrom="page">
              <wp:posOffset>157480</wp:posOffset>
            </wp:positionH>
            <wp:positionV relativeFrom="page">
              <wp:posOffset>88900</wp:posOffset>
            </wp:positionV>
            <wp:extent cx="184404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44040" cy="531495"/>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Reports Preliminary Unaudited First Quarter 2019</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Revenue Results</w:t>
      </w:r>
    </w:p>
    <w:p>
      <w:pPr>
        <w:spacing w:after="0" w:line="33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London, April 5, 2019 – </w:t>
      </w:r>
      <w:r>
        <w:rPr>
          <w:rFonts w:ascii="Arial" w:cs="Arial" w:eastAsia="Arial" w:hAnsi="Arial"/>
          <w:sz w:val="20"/>
          <w:szCs w:val="20"/>
          <w:color w:val="auto"/>
        </w:rPr>
        <w:t>LivaNova PLC (NASDAQ:LIVN), a market-leading medical technology company, today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preliminary unaudited revenue results for the quarter ended March 31, 2019.</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Preliminary First Quarter 2019 Results</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Company expects worldwide sales from continuing operations for the first quarter 2019 to be approximately $251 million, flat on a reported basis and an increase of 4.0 percent on a constant-currency basis compared to the first quarter of 2018. Neuromodulation sales are anticipated to be $94 million, up 0.6 percent on a reported basis and an increase of 2.1 percent for the first quarter of 2019 compared to the same period last year. Cardiovascular sales are expected to be $155 million, down 0.5 percent on a reported basis and an increase of 5.1 percent for first quarter 2019 as compared to the same period last year. In Cardiovascular, LivaNova ended a previously disclosed third-party distribution agreement on January 1, 2019 that accounted for $8 million in sales in the first quarter of 2018 and is located in Cardiopulmonary within the Rest of World region. The following table highlights expected worldwide sales for the first quarter of 2019 by business: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5"/>
          </w:tcPr>
          <w:p>
            <w:pPr>
              <w:jc w:val="right"/>
              <w:ind w:right="480"/>
              <w:spacing w:after="0" w:line="202" w:lineRule="exact"/>
              <w:rPr>
                <w:sz w:val="20"/>
                <w:szCs w:val="20"/>
                <w:color w:val="auto"/>
              </w:rPr>
            </w:pPr>
            <w:r>
              <w:rPr>
                <w:rFonts w:ascii="Arial" w:cs="Arial" w:eastAsia="Arial" w:hAnsi="Arial"/>
                <w:sz w:val="20"/>
                <w:szCs w:val="20"/>
                <w:b w:val="1"/>
                <w:bCs w:val="1"/>
                <w:color w:val="auto"/>
              </w:rPr>
              <w:t>Three months ended</w:t>
            </w:r>
          </w:p>
        </w:tc>
        <w:tc>
          <w:tcPr>
            <w:tcW w:w="1480" w:type="dxa"/>
            <w:vAlign w:val="bottom"/>
            <w:tcBorders>
              <w:top w:val="single" w:sz="8" w:color="auto"/>
            </w:tcBorders>
            <w:gridSpan w:val="2"/>
          </w:tcPr>
          <w:p>
            <w:pPr>
              <w:jc w:val="center"/>
              <w:ind w:right="241"/>
              <w:spacing w:after="0" w:line="202" w:lineRule="exact"/>
              <w:rPr>
                <w:sz w:val="20"/>
                <w:szCs w:val="20"/>
                <w:color w:val="auto"/>
              </w:rPr>
            </w:pPr>
            <w:r>
              <w:rPr>
                <w:rFonts w:ascii="Arial" w:cs="Arial" w:eastAsia="Arial" w:hAnsi="Arial"/>
                <w:sz w:val="20"/>
                <w:szCs w:val="20"/>
                <w:b w:val="1"/>
                <w:bCs w:val="1"/>
                <w:color w:val="auto"/>
              </w:rPr>
              <w:t>As</w:t>
            </w:r>
          </w:p>
        </w:tc>
        <w:tc>
          <w:tcPr>
            <w:tcW w:w="1380" w:type="dxa"/>
            <w:vAlign w:val="bottom"/>
            <w:tcBorders>
              <w:top w:val="single" w:sz="8" w:color="auto"/>
            </w:tcBorders>
            <w:gridSpan w:val="2"/>
          </w:tcPr>
          <w:p>
            <w:pPr>
              <w:jc w:val="center"/>
              <w:ind w:right="141"/>
              <w:spacing w:after="0" w:line="202" w:lineRule="exact"/>
              <w:rPr>
                <w:sz w:val="20"/>
                <w:szCs w:val="20"/>
                <w:color w:val="auto"/>
              </w:rPr>
            </w:pPr>
            <w:r>
              <w:rPr>
                <w:rFonts w:ascii="Arial" w:cs="Arial" w:eastAsia="Arial" w:hAnsi="Arial"/>
                <w:sz w:val="20"/>
                <w:szCs w:val="20"/>
                <w:b w:val="1"/>
                <w:bCs w:val="1"/>
                <w:color w:val="auto"/>
                <w:w w:val="99"/>
              </w:rPr>
              <w:t>Constant</w:t>
            </w:r>
          </w:p>
        </w:tc>
      </w:tr>
      <w:tr>
        <w:trPr>
          <w:trHeight w:val="244"/>
        </w:trPr>
        <w:tc>
          <w:tcPr>
            <w:tcW w:w="4100" w:type="dxa"/>
            <w:vAlign w:val="bottom"/>
          </w:tcPr>
          <w:p>
            <w:pPr>
              <w:spacing w:after="0"/>
              <w:rPr>
                <w:sz w:val="20"/>
                <w:szCs w:val="20"/>
                <w:color w:val="auto"/>
              </w:rPr>
            </w:pPr>
            <w:r>
              <w:rPr>
                <w:rFonts w:ascii="Arial" w:cs="Arial" w:eastAsia="Arial" w:hAnsi="Arial"/>
                <w:sz w:val="20"/>
                <w:szCs w:val="20"/>
                <w:b w:val="1"/>
                <w:bCs w:val="1"/>
                <w:color w:val="auto"/>
              </w:rPr>
              <w:t>$ in millions</w:t>
            </w:r>
          </w:p>
        </w:tc>
        <w:tc>
          <w:tcPr>
            <w:tcW w:w="1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jc w:val="right"/>
              <w:ind w:right="41"/>
              <w:spacing w:after="0"/>
              <w:rPr>
                <w:sz w:val="20"/>
                <w:szCs w:val="20"/>
                <w:color w:val="auto"/>
              </w:rPr>
            </w:pPr>
            <w:r>
              <w:rPr>
                <w:rFonts w:ascii="Arial" w:cs="Arial" w:eastAsia="Arial" w:hAnsi="Arial"/>
                <w:sz w:val="20"/>
                <w:szCs w:val="20"/>
                <w:b w:val="1"/>
                <w:bCs w:val="1"/>
                <w:color w:val="auto"/>
              </w:rPr>
              <w:t>March 31,</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20"/>
                <w:szCs w:val="20"/>
                <w:b w:val="1"/>
                <w:bCs w:val="1"/>
                <w:color w:val="auto"/>
              </w:rPr>
              <w:t>Reported</w:t>
            </w:r>
          </w:p>
        </w:tc>
        <w:tc>
          <w:tcPr>
            <w:tcW w:w="1380" w:type="dxa"/>
            <w:vAlign w:val="bottom"/>
            <w:gridSpan w:val="2"/>
          </w:tcPr>
          <w:p>
            <w:pPr>
              <w:jc w:val="center"/>
              <w:ind w:right="141"/>
              <w:spacing w:after="0"/>
              <w:rPr>
                <w:sz w:val="20"/>
                <w:szCs w:val="20"/>
                <w:color w:val="auto"/>
              </w:rPr>
            </w:pPr>
            <w:r>
              <w:rPr>
                <w:rFonts w:ascii="Arial" w:cs="Arial" w:eastAsia="Arial" w:hAnsi="Arial"/>
                <w:sz w:val="20"/>
                <w:szCs w:val="20"/>
                <w:b w:val="1"/>
                <w:bCs w:val="1"/>
                <w:color w:val="auto"/>
                <w:w w:val="97"/>
              </w:rPr>
              <w:t>Currency</w:t>
            </w:r>
          </w:p>
        </w:tc>
      </w:tr>
      <w:tr>
        <w:trPr>
          <w:trHeight w:val="210"/>
        </w:trPr>
        <w:tc>
          <w:tcPr>
            <w:tcW w:w="4100" w:type="dxa"/>
            <w:vAlign w:val="bottom"/>
          </w:tcPr>
          <w:p>
            <w:pPr>
              <w:spacing w:after="0" w:line="209" w:lineRule="exact"/>
              <w:rPr>
                <w:sz w:val="20"/>
                <w:szCs w:val="20"/>
                <w:color w:val="auto"/>
              </w:rPr>
            </w:pPr>
            <w:r>
              <w:rPr>
                <w:rFonts w:ascii="Arial" w:cs="Arial" w:eastAsia="Arial" w:hAnsi="Arial"/>
                <w:sz w:val="20"/>
                <w:szCs w:val="20"/>
                <w:b w:val="1"/>
                <w:bCs w:val="1"/>
                <w:color w:val="auto"/>
              </w:rPr>
              <w:t>Business / Product Line:</w:t>
            </w:r>
          </w:p>
        </w:tc>
        <w:tc>
          <w:tcPr>
            <w:tcW w:w="1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b w:val="1"/>
                <w:bCs w:val="1"/>
                <w:color w:val="auto"/>
              </w:rPr>
              <w:t>2019</w:t>
            </w: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b w:val="1"/>
                <w:bCs w:val="1"/>
                <w:color w:val="auto"/>
              </w:rPr>
              <w:t>2018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line="209" w:lineRule="exact"/>
              <w:rPr>
                <w:sz w:val="20"/>
                <w:szCs w:val="20"/>
                <w:color w:val="auto"/>
              </w:rPr>
            </w:pPr>
            <w:r>
              <w:rPr>
                <w:rFonts w:ascii="Arial" w:cs="Arial" w:eastAsia="Arial" w:hAnsi="Arial"/>
                <w:sz w:val="20"/>
                <w:szCs w:val="20"/>
                <w:b w:val="1"/>
                <w:bCs w:val="1"/>
                <w:color w:val="auto"/>
                <w:w w:val="99"/>
              </w:rPr>
              <w:t>% Change</w:t>
            </w:r>
          </w:p>
        </w:tc>
        <w:tc>
          <w:tcPr>
            <w:tcW w:w="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line="209" w:lineRule="exact"/>
              <w:rPr>
                <w:sz w:val="20"/>
                <w:szCs w:val="20"/>
                <w:color w:val="auto"/>
              </w:rPr>
            </w:pPr>
            <w:r>
              <w:rPr>
                <w:rFonts w:ascii="Arial" w:cs="Arial" w:eastAsia="Arial" w:hAnsi="Arial"/>
                <w:sz w:val="20"/>
                <w:szCs w:val="20"/>
                <w:b w:val="1"/>
                <w:bCs w:val="1"/>
                <w:color w:val="auto"/>
                <w:w w:val="97"/>
              </w:rPr>
              <w:t>% Change</w:t>
            </w:r>
          </w:p>
        </w:tc>
        <w:tc>
          <w:tcPr>
            <w:tcW w:w="240" w:type="dxa"/>
            <w:vAlign w:val="bottom"/>
          </w:tcPr>
          <w:p>
            <w:pPr>
              <w:spacing w:after="0"/>
              <w:rPr>
                <w:sz w:val="18"/>
                <w:szCs w:val="18"/>
                <w:color w:val="auto"/>
              </w:rPr>
            </w:pPr>
          </w:p>
        </w:tc>
      </w:tr>
      <w:tr>
        <w:trPr>
          <w:trHeight w:val="210"/>
        </w:trPr>
        <w:tc>
          <w:tcPr>
            <w:tcW w:w="410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Cardiopulmonary</w:t>
            </w:r>
          </w:p>
        </w:tc>
        <w:tc>
          <w:tcPr>
            <w:tcW w:w="1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121.5</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81"/>
              <w:spacing w:after="0" w:line="209" w:lineRule="exact"/>
              <w:rPr>
                <w:sz w:val="20"/>
                <w:szCs w:val="20"/>
                <w:color w:val="auto"/>
              </w:rPr>
            </w:pPr>
            <w:r>
              <w:rPr>
                <w:rFonts w:ascii="Arial" w:cs="Arial" w:eastAsia="Arial" w:hAnsi="Arial"/>
                <w:sz w:val="20"/>
                <w:szCs w:val="20"/>
                <w:color w:val="auto"/>
                <w:w w:val="89"/>
              </w:rPr>
              <w:t>$</w:t>
            </w:r>
          </w:p>
        </w:tc>
        <w:tc>
          <w:tcPr>
            <w:tcW w:w="6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125.1</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(2.9</w:t>
            </w:r>
          </w:p>
        </w:tc>
        <w:tc>
          <w:tcPr>
            <w:tcW w:w="34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2.5</w:t>
            </w:r>
          </w:p>
        </w:tc>
        <w:tc>
          <w:tcPr>
            <w:tcW w:w="240" w:type="dxa"/>
            <w:vAlign w:val="bottom"/>
            <w:tcBorders>
              <w:bottom w:val="single" w:sz="8" w:color="CCEEFF"/>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89"/>
              </w:rPr>
              <w:t>%</w:t>
            </w:r>
          </w:p>
        </w:tc>
      </w:tr>
      <w:tr>
        <w:trPr>
          <w:trHeight w:val="210"/>
        </w:trPr>
        <w:tc>
          <w:tcPr>
            <w:tcW w:w="4100" w:type="dxa"/>
            <w:vAlign w:val="bottom"/>
          </w:tcPr>
          <w:p>
            <w:pPr>
              <w:spacing w:after="0" w:line="209" w:lineRule="exact"/>
              <w:rPr>
                <w:sz w:val="20"/>
                <w:szCs w:val="20"/>
                <w:color w:val="auto"/>
              </w:rPr>
            </w:pPr>
            <w:r>
              <w:rPr>
                <w:rFonts w:ascii="Arial" w:cs="Arial" w:eastAsia="Arial" w:hAnsi="Arial"/>
                <w:sz w:val="20"/>
                <w:szCs w:val="20"/>
                <w:color w:val="auto"/>
              </w:rPr>
              <w:t>Heart Valves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25.6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line="209" w:lineRule="exact"/>
              <w:rPr>
                <w:sz w:val="20"/>
                <w:szCs w:val="20"/>
                <w:color w:val="auto"/>
              </w:rPr>
            </w:pPr>
            <w:r>
              <w:rPr>
                <w:rFonts w:ascii="Arial" w:cs="Arial" w:eastAsia="Arial" w:hAnsi="Arial"/>
                <w:sz w:val="20"/>
                <w:szCs w:val="20"/>
                <w:color w:val="auto"/>
              </w:rPr>
              <w:t>31.0</w:t>
            </w:r>
          </w:p>
        </w:tc>
        <w:tc>
          <w:tcPr>
            <w:tcW w:w="1480" w:type="dxa"/>
            <w:vAlign w:val="bottom"/>
            <w:gridSpan w:val="2"/>
          </w:tcPr>
          <w:p>
            <w:pPr>
              <w:jc w:val="right"/>
              <w:ind w:right="1"/>
              <w:spacing w:after="0" w:line="209" w:lineRule="exact"/>
              <w:rPr>
                <w:sz w:val="20"/>
                <w:szCs w:val="20"/>
                <w:color w:val="auto"/>
              </w:rPr>
            </w:pPr>
            <w:r>
              <w:rPr>
                <w:rFonts w:ascii="Arial" w:cs="Arial" w:eastAsia="Arial" w:hAnsi="Arial"/>
                <w:sz w:val="20"/>
                <w:szCs w:val="20"/>
                <w:color w:val="auto"/>
              </w:rPr>
              <w:t>(17.5%)</w:t>
            </w:r>
          </w:p>
        </w:tc>
        <w:tc>
          <w:tcPr>
            <w:tcW w:w="138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(11.4%)</w:t>
            </w:r>
          </w:p>
        </w:tc>
      </w:tr>
      <w:tr>
        <w:trPr>
          <w:trHeight w:val="210"/>
        </w:trPr>
        <w:tc>
          <w:tcPr>
            <w:tcW w:w="410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ACS</w:t>
            </w:r>
          </w:p>
        </w:tc>
        <w:tc>
          <w:tcPr>
            <w:tcW w:w="1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8.2</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N/A</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N/A</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10"/>
        </w:trPr>
        <w:tc>
          <w:tcPr>
            <w:tcW w:w="4100" w:type="dxa"/>
            <w:vAlign w:val="bottom"/>
          </w:tcPr>
          <w:p>
            <w:pPr>
              <w:spacing w:after="0" w:line="209" w:lineRule="exact"/>
              <w:rPr>
                <w:sz w:val="20"/>
                <w:szCs w:val="20"/>
                <w:color w:val="auto"/>
              </w:rPr>
            </w:pPr>
            <w:r>
              <w:rPr>
                <w:rFonts w:ascii="Arial" w:cs="Arial" w:eastAsia="Arial" w:hAnsi="Arial"/>
                <w:sz w:val="20"/>
                <w:szCs w:val="20"/>
                <w:color w:val="auto"/>
              </w:rPr>
              <w:t>Cardiovascular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155.4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line="209" w:lineRule="exact"/>
              <w:rPr>
                <w:sz w:val="20"/>
                <w:szCs w:val="20"/>
                <w:color w:val="auto"/>
              </w:rPr>
            </w:pPr>
            <w:r>
              <w:rPr>
                <w:rFonts w:ascii="Arial" w:cs="Arial" w:eastAsia="Arial" w:hAnsi="Arial"/>
                <w:sz w:val="20"/>
                <w:szCs w:val="20"/>
                <w:color w:val="auto"/>
              </w:rPr>
              <w:t>156.2</w:t>
            </w:r>
          </w:p>
        </w:tc>
        <w:tc>
          <w:tcPr>
            <w:tcW w:w="1480" w:type="dxa"/>
            <w:vAlign w:val="bottom"/>
            <w:gridSpan w:val="2"/>
          </w:tcPr>
          <w:p>
            <w:pPr>
              <w:jc w:val="right"/>
              <w:ind w:right="1"/>
              <w:spacing w:after="0" w:line="209" w:lineRule="exact"/>
              <w:rPr>
                <w:sz w:val="20"/>
                <w:szCs w:val="20"/>
                <w:color w:val="auto"/>
              </w:rPr>
            </w:pPr>
            <w:r>
              <w:rPr>
                <w:rFonts w:ascii="Arial" w:cs="Arial" w:eastAsia="Arial" w:hAnsi="Arial"/>
                <w:sz w:val="20"/>
                <w:szCs w:val="20"/>
                <w:color w:val="auto"/>
              </w:rPr>
              <w:t>(0.5%)</w:t>
            </w:r>
          </w:p>
        </w:tc>
        <w:tc>
          <w:tcPr>
            <w:tcW w:w="138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5.1%</w:t>
            </w:r>
          </w:p>
        </w:tc>
      </w:tr>
      <w:tr>
        <w:trPr>
          <w:trHeight w:val="210"/>
        </w:trPr>
        <w:tc>
          <w:tcPr>
            <w:tcW w:w="410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Neuromodulation</w:t>
            </w:r>
          </w:p>
        </w:tc>
        <w:tc>
          <w:tcPr>
            <w:tcW w:w="1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94.4</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93.8</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0.6</w:t>
            </w:r>
          </w:p>
        </w:tc>
        <w:tc>
          <w:tcPr>
            <w:tcW w:w="34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2.1</w:t>
            </w:r>
          </w:p>
        </w:tc>
        <w:tc>
          <w:tcPr>
            <w:tcW w:w="240" w:type="dxa"/>
            <w:vAlign w:val="bottom"/>
            <w:tcBorders>
              <w:bottom w:val="single" w:sz="8" w:color="CCEEFF"/>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89"/>
              </w:rPr>
              <w:t>%</w:t>
            </w:r>
          </w:p>
        </w:tc>
      </w:tr>
      <w:tr>
        <w:trPr>
          <w:trHeight w:val="210"/>
        </w:trPr>
        <w:tc>
          <w:tcPr>
            <w:tcW w:w="4100" w:type="dxa"/>
            <w:vAlign w:val="bottom"/>
          </w:tcPr>
          <w:p>
            <w:pPr>
              <w:spacing w:after="0" w:line="209" w:lineRule="exact"/>
              <w:rPr>
                <w:sz w:val="20"/>
                <w:szCs w:val="20"/>
                <w:color w:val="auto"/>
              </w:rPr>
            </w:pPr>
            <w:r>
              <w:rPr>
                <w:rFonts w:ascii="Arial" w:cs="Arial" w:eastAsia="Arial" w:hAnsi="Arial"/>
                <w:sz w:val="20"/>
                <w:szCs w:val="20"/>
                <w:color w:val="auto"/>
              </w:rPr>
              <w:t>Other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0.6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line="209" w:lineRule="exact"/>
              <w:rPr>
                <w:sz w:val="20"/>
                <w:szCs w:val="20"/>
                <w:color w:val="auto"/>
              </w:rPr>
            </w:pPr>
            <w:r>
              <w:rPr>
                <w:rFonts w:ascii="Arial" w:cs="Arial" w:eastAsia="Arial" w:hAnsi="Arial"/>
                <w:sz w:val="20"/>
                <w:szCs w:val="20"/>
                <w:color w:val="auto"/>
              </w:rPr>
              <w:t>0.4</w:t>
            </w:r>
          </w:p>
        </w:tc>
        <w:tc>
          <w:tcPr>
            <w:tcW w:w="1480" w:type="dxa"/>
            <w:vAlign w:val="bottom"/>
            <w:gridSpan w:val="2"/>
          </w:tcPr>
          <w:p>
            <w:pPr>
              <w:jc w:val="right"/>
              <w:ind w:right="241"/>
              <w:spacing w:after="0" w:line="209" w:lineRule="exact"/>
              <w:rPr>
                <w:sz w:val="20"/>
                <w:szCs w:val="20"/>
                <w:color w:val="auto"/>
              </w:rPr>
            </w:pPr>
            <w:r>
              <w:rPr>
                <w:rFonts w:ascii="Arial" w:cs="Arial" w:eastAsia="Arial" w:hAnsi="Arial"/>
                <w:sz w:val="20"/>
                <w:szCs w:val="20"/>
                <w:color w:val="auto"/>
              </w:rPr>
              <w:t>N/A</w:t>
            </w:r>
          </w:p>
        </w:tc>
        <w:tc>
          <w:tcPr>
            <w:tcW w:w="1380" w:type="dxa"/>
            <w:vAlign w:val="bottom"/>
            <w:gridSpan w:val="2"/>
          </w:tcPr>
          <w:p>
            <w:pPr>
              <w:jc w:val="right"/>
              <w:ind w:right="141"/>
              <w:spacing w:after="0" w:line="209" w:lineRule="exact"/>
              <w:rPr>
                <w:sz w:val="20"/>
                <w:szCs w:val="20"/>
                <w:color w:val="auto"/>
              </w:rPr>
            </w:pPr>
            <w:r>
              <w:rPr>
                <w:rFonts w:ascii="Arial" w:cs="Arial" w:eastAsia="Arial" w:hAnsi="Arial"/>
                <w:sz w:val="20"/>
                <w:szCs w:val="20"/>
                <w:color w:val="auto"/>
              </w:rPr>
              <w:t>N/A</w:t>
            </w: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line="209" w:lineRule="exact"/>
              <w:rPr>
                <w:sz w:val="20"/>
                <w:szCs w:val="20"/>
                <w:color w:val="auto"/>
              </w:rPr>
            </w:pPr>
            <w:r>
              <w:rPr>
                <w:rFonts w:ascii="Arial" w:cs="Arial" w:eastAsia="Arial" w:hAnsi="Arial"/>
                <w:sz w:val="20"/>
                <w:szCs w:val="20"/>
                <w:b w:val="1"/>
                <w:bCs w:val="1"/>
                <w:color w:val="auto"/>
              </w:rPr>
              <w:t>Total Net Sales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w w:val="71"/>
              </w:rPr>
              <w:t>$</w:t>
            </w:r>
          </w:p>
        </w:tc>
        <w:tc>
          <w:tcPr>
            <w:tcW w:w="96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250.5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81"/>
              <w:spacing w:after="0" w:line="209" w:lineRule="exact"/>
              <w:rPr>
                <w:sz w:val="20"/>
                <w:szCs w:val="20"/>
                <w:color w:val="auto"/>
              </w:rPr>
            </w:pPr>
            <w:r>
              <w:rPr>
                <w:rFonts w:ascii="Arial" w:cs="Arial" w:eastAsia="Arial" w:hAnsi="Arial"/>
                <w:sz w:val="20"/>
                <w:szCs w:val="20"/>
                <w:b w:val="1"/>
                <w:bCs w:val="1"/>
                <w:color w:val="auto"/>
                <w:w w:val="89"/>
              </w:rPr>
              <w:t>$</w:t>
            </w:r>
          </w:p>
        </w:tc>
        <w:tc>
          <w:tcPr>
            <w:tcW w:w="6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250.4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1"/>
              <w:spacing w:after="0" w:line="209" w:lineRule="exact"/>
              <w:rPr>
                <w:sz w:val="20"/>
                <w:szCs w:val="20"/>
                <w:color w:val="auto"/>
              </w:rPr>
            </w:pPr>
            <w:r>
              <w:rPr>
                <w:rFonts w:ascii="Arial" w:cs="Arial" w:eastAsia="Arial" w:hAnsi="Arial"/>
                <w:sz w:val="20"/>
                <w:szCs w:val="20"/>
                <w:b w:val="1"/>
                <w:bCs w:val="1"/>
                <w:color w:val="auto"/>
              </w:rPr>
              <w:t>0.0%</w:t>
            </w:r>
          </w:p>
        </w:tc>
        <w:tc>
          <w:tcPr>
            <w:tcW w:w="138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20"/>
                <w:szCs w:val="20"/>
                <w:b w:val="1"/>
                <w:bCs w:val="1"/>
                <w:color w:val="auto"/>
              </w:rPr>
              <w:t>4.0%</w:t>
            </w:r>
          </w:p>
        </w:tc>
      </w:tr>
      <w:tr>
        <w:trPr>
          <w:trHeight w:val="20"/>
        </w:trPr>
        <w:tc>
          <w:tcPr>
            <w:tcW w:w="4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bl>
    <w:p>
      <w:pPr>
        <w:spacing w:after="0" w:line="286" w:lineRule="exact"/>
        <w:rPr>
          <w:sz w:val="20"/>
          <w:szCs w:val="20"/>
          <w:color w:val="auto"/>
        </w:rPr>
      </w:pPr>
    </w:p>
    <w:p>
      <w:pPr>
        <w:ind w:left="260" w:right="500" w:hanging="252"/>
        <w:spacing w:after="0" w:line="260"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Constant-currency % change is considered a non-GAAP metric. Constant-currency growth accounts for the impact from fluctuations in the various currencies in which the Company operates as compared to reported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9" w:right="239" w:bottom="1440" w:gutter="0" w:footer="0" w:header="0"/>
        </w:sectPr>
      </w:pPr>
    </w:p>
    <w:bookmarkStart w:id="4" w:name="page5"/>
    <w:bookmarkEnd w:id="4"/>
    <w:p>
      <w:pPr>
        <w:jc w:val="both"/>
        <w:spacing w:after="0" w:line="232" w:lineRule="auto"/>
        <w:rPr>
          <w:sz w:val="20"/>
          <w:szCs w:val="20"/>
          <w:color w:val="auto"/>
        </w:rPr>
      </w:pPr>
      <w:r>
        <w:rPr>
          <w:rFonts w:ascii="Arial" w:cs="Arial" w:eastAsia="Arial" w:hAnsi="Arial"/>
          <w:sz w:val="20"/>
          <w:szCs w:val="20"/>
          <w:color w:val="auto"/>
        </w:rPr>
        <w:t>The Neuromodulation business experienced unexpected weakness in the U.S. market due to a combination of factors, including competitive dynamics and salesforce turnover. Softness in Perceval sales coupled with continued declines in overall heart valve sales negatively impacted the Cardiovascular business during the quarter.</w:t>
      </w:r>
    </w:p>
    <w:p>
      <w:pPr>
        <w:spacing w:after="0" w:line="19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"While our Europe and Rest of World regions continued to grow above plan, I am disappointed by our execution in the quarter in light of the changing competitive environment within the U.S. in our Neuromodulation and Heart Valves businesses,” said Damien McDonald, Chief Executive Officer of LivaNova. “We believe we can address these challenges and remain committed to our strategy to drive sales, build global capabilities and establish a strong product portfolio. We believe these efforts will serve the needs of our customers and patients to create quality, long-term value for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Guidance and Financial Outlook</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LivaNova is currently reviewing its 2019 guidance and will provide updates and report its full financial results for first quarter 2019 in connection with its earnings call on Wednesday, May 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 Regarding Preliminary Results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financial results presented in this release are preliminary and may change. This preliminary financial information includes calculations or figures that have been prepared internally by management and have not been reviewed or audited by our independent registered public accounting firm. There can be no assurance that the Company’s actual results for the periods presented herein will not differ from the preliminary financial data presented herein and such changes could be material. This preliminary financial data should not be viewed as a substitute for full financial statements prepared in accordance with GAAP and is not necessarily indicative of the results to be achieved for any future periods.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1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will host a live audio webcast for interested parties commencing at 1 p.m. London time (8 a.m. Eastern Time) on Wednesday, May 1 that will be accessible through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9"/>
          <w:szCs w:val="19"/>
          <w:color w:val="auto"/>
        </w:rPr>
        <w:t>Relations section of the LivaNova corporate website at www.livanova.com. To listen to the conference call live by telephone, dial (844) 601-5111 (if dialing from within the U.S.) or (647) 253-8650 (if dialing from outside the U.S.). The conference ID is 7264769.</w:t>
      </w:r>
    </w:p>
    <w:p>
      <w:pPr>
        <w:spacing w:after="0" w:line="17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Within 24 hours of the webcast, a replay will be available under the "News &amp; Events / Events &amp; Presentations" section of the Investor Relations portion of the LivaNova website, where it will be archived and accessible for approximately 12 months.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9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 please visit www.livanova.com</w:t>
      </w:r>
      <w:r>
        <w:rPr>
          <w:rFonts w:ascii="Arial" w:cs="Arial" w:eastAsia="Arial" w:hAnsi="Arial"/>
          <w:sz w:val="20"/>
          <w:szCs w:val="20"/>
          <w:b w:val="1"/>
          <w:bCs w:val="1"/>
          <w:u w:val="single" w:color="auto"/>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9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 w:name="page7"/>
    <w:bookmarkEnd w:id="6"/>
    <w:p>
      <w:pPr>
        <w:jc w:val="both"/>
        <w:spacing w:after="0" w:line="232" w:lineRule="auto"/>
        <w:rPr>
          <w:sz w:val="20"/>
          <w:szCs w:val="20"/>
          <w:color w:val="auto"/>
        </w:rPr>
      </w:pPr>
      <w:r>
        <w:rPr>
          <w:rFonts w:ascii="Arial" w:cs="Arial" w:eastAsia="Arial" w:hAnsi="Arial"/>
          <w:sz w:val="20"/>
          <w:szCs w:val="20"/>
          <w:color w:val="auto"/>
        </w:rPr>
        <w:t>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are net sales.</w:t>
      </w:r>
    </w:p>
    <w:p>
      <w:pPr>
        <w:spacing w:after="0" w:line="22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9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 w:name="page8"/>
    <w:bookmarkEnd w:id="7"/>
    <w:p>
      <w:pPr>
        <w:jc w:val="both"/>
        <w:spacing w:after="0" w:line="229" w:lineRule="auto"/>
        <w:rPr>
          <w:sz w:val="20"/>
          <w:szCs w:val="20"/>
          <w:color w:val="auto"/>
        </w:rPr>
      </w:pPr>
      <w:r>
        <w:rPr>
          <w:rFonts w:ascii="Arial" w:cs="Arial" w:eastAsia="Arial" w:hAnsi="Arial"/>
          <w:sz w:val="20"/>
          <w:szCs w:val="20"/>
          <w:color w:val="auto"/>
        </w:rPr>
        <w:t>these forward-looking statements, which are not guarantees of future performance or actions that may be taken by LivaNova and involve known and unknown risks, uncertainties and other factors that may be beyond LivaNova’s control. You should carefully consider the risks and uncertainties that affect LivaNova, including those described in the “Risk Factors” section of LivaNova’s most recent Annual Reports on Form 10-K and other documents filed from time to time with the United States Securities and Exchange Commission.</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news release.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Melissa Farina, </w:t>
      </w:r>
      <w:r>
        <w:rPr>
          <w:rFonts w:ascii="Arial" w:cs="Arial" w:eastAsia="Arial" w:hAnsi="Arial"/>
          <w:sz w:val="20"/>
          <w:szCs w:val="20"/>
          <w:color w:val="auto"/>
        </w:rPr>
        <w:t>+1 (281) 228-7262</w:t>
      </w:r>
    </w:p>
    <w:p>
      <w:pPr>
        <w:spacing w:after="0" w:line="236" w:lineRule="auto"/>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InvestorRelations@livanova.com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236" w:lineRule="auto"/>
        <w:rPr>
          <w:sz w:val="20"/>
          <w:szCs w:val="20"/>
          <w:color w:val="auto"/>
        </w:rPr>
      </w:pPr>
      <w:r>
        <w:rPr>
          <w:rFonts w:ascii="Arial" w:cs="Arial" w:eastAsia="Arial" w:hAnsi="Arial"/>
          <w:sz w:val="20"/>
          <w:szCs w:val="20"/>
          <w:color w:val="auto"/>
        </w:rPr>
        <w:t>Director, Corporate Communications</w:t>
      </w:r>
    </w:p>
    <w:p>
      <w:pPr>
        <w:spacing w:after="0"/>
        <w:rPr>
          <w:sz w:val="20"/>
          <w:szCs w:val="20"/>
          <w:color w:val="auto"/>
        </w:rPr>
      </w:pPr>
      <w:r>
        <w:rPr>
          <w:rFonts w:ascii="Arial" w:cs="Arial" w:eastAsia="Arial" w:hAnsi="Arial"/>
          <w:sz w:val="20"/>
          <w:szCs w:val="20"/>
          <w:color w:val="0000FF"/>
        </w:rPr>
        <w:t>Corporate.Communications@livanova.com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9433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2019-12-28T13:51:21Z</dcterms:created>
  <dcterms:modified xsi:type="dcterms:W3CDTF">2019-12-28T13:51:21Z</dcterms:modified>
</cp:coreProperties>
</file>