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CUSIP NO. G5509L101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7"/>
          <w:szCs w:val="17"/>
          <w:color w:val="auto"/>
        </w:rPr>
        <w:t>13G</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8"/>
          <w:szCs w:val="18"/>
          <w:color w:val="auto"/>
        </w:rPr>
        <w:t>Page 1 of 13</w:t>
      </w:r>
    </w:p>
    <w:p>
      <w:pPr>
        <w:spacing w:after="0" w:line="200" w:lineRule="exact"/>
        <w:rPr>
          <w:sz w:val="24"/>
          <w:szCs w:val="24"/>
          <w:color w:val="auto"/>
        </w:rPr>
      </w:pPr>
    </w:p>
    <w:p>
      <w:pPr>
        <w:sectPr>
          <w:pgSz w:w="11900" w:h="16838" w:orient="portrait"/>
          <w:cols w:equalWidth="0" w:num="3">
            <w:col w:w="3500" w:space="720"/>
            <w:col w:w="2940" w:space="720"/>
            <w:col w:w="1740"/>
          </w:cols>
          <w:pgMar w:left="880" w:top="866" w:right="1399" w:bottom="1440" w:gutter="0" w:footer="0" w:header="0"/>
        </w:sectPr>
      </w:pPr>
    </w:p>
    <w:p>
      <w:pPr>
        <w:spacing w:after="0" w:line="285" w:lineRule="exact"/>
        <w:rPr>
          <w:sz w:val="24"/>
          <w:szCs w:val="24"/>
          <w:color w:val="auto"/>
        </w:rPr>
      </w:pPr>
    </w:p>
    <w:p>
      <w:pPr>
        <w:ind w:left="3660"/>
        <w:spacing w:after="0"/>
        <w:rPr>
          <w:sz w:val="20"/>
          <w:szCs w:val="20"/>
          <w:color w:val="auto"/>
        </w:rPr>
      </w:pPr>
      <w:r>
        <w:rPr>
          <w:rFonts w:ascii="Courier New" w:cs="Courier New" w:eastAsia="Courier New" w:hAnsi="Courier New"/>
          <w:sz w:val="18"/>
          <w:szCs w:val="18"/>
          <w:color w:val="auto"/>
        </w:rPr>
        <w:t>UNITED STATES</w:t>
      </w:r>
    </w:p>
    <w:p>
      <w:pPr>
        <w:ind w:left="260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3200"/>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4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SCHEDULE 13G</w:t>
      </w:r>
    </w:p>
    <w:p>
      <w:pPr>
        <w:spacing w:after="0" w:line="244" w:lineRule="exact"/>
        <w:rPr>
          <w:sz w:val="24"/>
          <w:szCs w:val="24"/>
          <w:color w:val="auto"/>
        </w:rPr>
      </w:pPr>
    </w:p>
    <w:p>
      <w:pPr>
        <w:ind w:left="2260"/>
        <w:spacing w:after="0"/>
        <w:rPr>
          <w:sz w:val="20"/>
          <w:szCs w:val="20"/>
          <w:color w:val="auto"/>
        </w:rPr>
      </w:pPr>
      <w:r>
        <w:rPr>
          <w:rFonts w:ascii="Courier New" w:cs="Courier New" w:eastAsia="Courier New" w:hAnsi="Courier New"/>
          <w:sz w:val="17"/>
          <w:szCs w:val="17"/>
          <w:color w:val="auto"/>
        </w:rPr>
        <w:t>Under the Securities Exchange Act of 1934</w:t>
      </w:r>
    </w:p>
    <w:p>
      <w:pPr>
        <w:spacing w:after="0" w:line="8" w:lineRule="exact"/>
        <w:rPr>
          <w:sz w:val="24"/>
          <w:szCs w:val="24"/>
          <w:color w:val="auto"/>
        </w:rPr>
      </w:pPr>
    </w:p>
    <w:p>
      <w:pPr>
        <w:ind w:left="3400"/>
        <w:spacing w:after="0"/>
        <w:rPr>
          <w:sz w:val="20"/>
          <w:szCs w:val="20"/>
          <w:color w:val="auto"/>
        </w:rPr>
      </w:pPr>
      <w:r>
        <w:rPr>
          <w:rFonts w:ascii="Courier New" w:cs="Courier New" w:eastAsia="Courier New" w:hAnsi="Courier New"/>
          <w:sz w:val="18"/>
          <w:szCs w:val="18"/>
          <w:color w:val="auto"/>
        </w:rPr>
        <w:t>(Amendment No. 3)*</w:t>
      </w:r>
    </w:p>
    <w:p>
      <w:pPr>
        <w:spacing w:after="0" w:line="24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LivaNova PLC</w:t>
      </w:r>
    </w:p>
    <w:p>
      <w:pPr>
        <w:spacing w:after="0" w:line="12" w:lineRule="exact"/>
        <w:rPr>
          <w:sz w:val="24"/>
          <w:szCs w:val="24"/>
          <w:color w:val="auto"/>
        </w:rPr>
      </w:pPr>
    </w:p>
    <w:p>
      <w:pPr>
        <w:ind w:left="3500"/>
        <w:spacing w:after="0"/>
        <w:rPr>
          <w:sz w:val="20"/>
          <w:szCs w:val="20"/>
          <w:color w:val="auto"/>
        </w:rPr>
      </w:pPr>
      <w:r>
        <w:rPr>
          <w:rFonts w:ascii="Courier New" w:cs="Courier New" w:eastAsia="Courier New" w:hAnsi="Courier New"/>
          <w:sz w:val="18"/>
          <w:szCs w:val="18"/>
          <w:color w:val="auto"/>
        </w:rPr>
        <w:t>(Name of Issuer)</w:t>
      </w:r>
    </w:p>
    <w:p>
      <w:pPr>
        <w:sectPr>
          <w:pgSz w:w="11900" w:h="16838" w:orient="portrait"/>
          <w:cols w:equalWidth="0" w:num="1">
            <w:col w:w="9620"/>
          </w:cols>
          <w:pgMar w:left="880" w:top="866" w:right="1399" w:bottom="1440" w:gutter="0" w:footer="0" w:header="0"/>
          <w:type w:val="continuous"/>
        </w:sectPr>
      </w:pPr>
    </w:p>
    <w:p>
      <w:pPr>
        <w:spacing w:after="0" w:line="269" w:lineRule="exact"/>
        <w:rPr>
          <w:sz w:val="24"/>
          <w:szCs w:val="24"/>
          <w:color w:val="auto"/>
        </w:rPr>
      </w:pPr>
    </w:p>
    <w:p>
      <w:pPr>
        <w:ind w:left="2160"/>
        <w:spacing w:after="0"/>
        <w:rPr>
          <w:sz w:val="20"/>
          <w:szCs w:val="20"/>
          <w:color w:val="auto"/>
        </w:rPr>
      </w:pPr>
      <w:r>
        <w:rPr>
          <w:rFonts w:ascii="Courier New" w:cs="Courier New" w:eastAsia="Courier New" w:hAnsi="Courier New"/>
          <w:sz w:val="18"/>
          <w:szCs w:val="18"/>
          <w:color w:val="auto"/>
        </w:rPr>
        <w:t>Ordinary Shares — £1.00 par value per share</w:t>
      </w:r>
    </w:p>
    <w:p>
      <w:pPr>
        <w:spacing w:after="0" w:line="26" w:lineRule="exact"/>
        <w:rPr>
          <w:sz w:val="24"/>
          <w:szCs w:val="24"/>
          <w:color w:val="auto"/>
        </w:rPr>
      </w:pPr>
    </w:p>
    <w:p>
      <w:pPr>
        <w:ind w:left="2800"/>
        <w:spacing w:after="0"/>
        <w:rPr>
          <w:sz w:val="20"/>
          <w:szCs w:val="20"/>
          <w:color w:val="auto"/>
        </w:rPr>
      </w:pPr>
      <w:r>
        <w:rPr>
          <w:rFonts w:ascii="Courier New" w:cs="Courier New" w:eastAsia="Courier New" w:hAnsi="Courier New"/>
          <w:sz w:val="18"/>
          <w:szCs w:val="18"/>
          <w:color w:val="auto"/>
        </w:rPr>
        <w:t>(Title of Class of Securities)</w:t>
      </w:r>
    </w:p>
    <w:p>
      <w:pPr>
        <w:spacing w:after="0" w:line="269" w:lineRule="exact"/>
        <w:rPr>
          <w:sz w:val="24"/>
          <w:szCs w:val="24"/>
          <w:color w:val="auto"/>
        </w:rPr>
      </w:pPr>
    </w:p>
    <w:p>
      <w:pPr>
        <w:ind w:left="3860"/>
        <w:spacing w:after="0"/>
        <w:rPr>
          <w:sz w:val="20"/>
          <w:szCs w:val="20"/>
          <w:color w:val="auto"/>
        </w:rPr>
      </w:pPr>
      <w:r>
        <w:rPr>
          <w:rFonts w:ascii="Courier New" w:cs="Courier New" w:eastAsia="Courier New" w:hAnsi="Courier New"/>
          <w:sz w:val="18"/>
          <w:szCs w:val="18"/>
          <w:color w:val="auto"/>
        </w:rPr>
        <w:t>G5509L101</w:t>
      </w:r>
    </w:p>
    <w:p>
      <w:pPr>
        <w:spacing w:after="0" w:line="228" w:lineRule="exact"/>
        <w:rPr>
          <w:sz w:val="24"/>
          <w:szCs w:val="24"/>
          <w:color w:val="auto"/>
        </w:rPr>
      </w:pPr>
    </w:p>
    <w:p>
      <w:pPr>
        <w:ind w:left="3600"/>
        <w:spacing w:after="0"/>
        <w:rPr>
          <w:sz w:val="20"/>
          <w:szCs w:val="20"/>
          <w:color w:val="auto"/>
        </w:rPr>
      </w:pPr>
      <w:r>
        <w:rPr>
          <w:rFonts w:ascii="Courier New" w:cs="Courier New" w:eastAsia="Courier New" w:hAnsi="Courier New"/>
          <w:sz w:val="18"/>
          <w:szCs w:val="18"/>
          <w:color w:val="auto"/>
        </w:rPr>
        <w:t>(CUSIP Number)</w:t>
      </w:r>
    </w:p>
    <w:p>
      <w:pPr>
        <w:spacing w:after="0" w:line="242" w:lineRule="exact"/>
        <w:rPr>
          <w:sz w:val="24"/>
          <w:szCs w:val="24"/>
          <w:color w:val="auto"/>
        </w:rPr>
      </w:pPr>
    </w:p>
    <w:p>
      <w:pPr>
        <w:ind w:left="3460"/>
        <w:spacing w:after="0"/>
        <w:rPr>
          <w:sz w:val="20"/>
          <w:szCs w:val="20"/>
          <w:color w:val="auto"/>
        </w:rPr>
      </w:pPr>
      <w:r>
        <w:rPr>
          <w:rFonts w:ascii="Courier New" w:cs="Courier New" w:eastAsia="Courier New" w:hAnsi="Courier New"/>
          <w:sz w:val="18"/>
          <w:szCs w:val="18"/>
          <w:color w:val="auto"/>
        </w:rPr>
        <w:t>December 31, 2018</w:t>
      </w:r>
    </w:p>
    <w:p>
      <w:pPr>
        <w:ind w:left="1560"/>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5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44" w:lineRule="exact"/>
        <w:rPr>
          <w:sz w:val="24"/>
          <w:szCs w:val="24"/>
          <w:color w:val="auto"/>
        </w:rPr>
      </w:pPr>
    </w:p>
    <w:p>
      <w:pPr>
        <w:jc w:val="both"/>
        <w:ind w:right="7780" w:firstLine="4"/>
        <w:spacing w:after="0" w:line="216" w:lineRule="exact"/>
        <w:tabs>
          <w:tab w:leader="none" w:pos="432"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w:t>
      </w:r>
      <w:r>
        <w:rPr>
          <w:rFonts w:ascii="MS Gothic" w:cs="MS Gothic" w:eastAsia="MS Gothic" w:hAnsi="MS Gothic"/>
          <w:sz w:val="18"/>
          <w:szCs w:val="18"/>
          <w:color w:val="auto"/>
        </w:rPr>
        <w:t>‑</w:t>
      </w:r>
      <w:r>
        <w:rPr>
          <w:rFonts w:ascii="Courier New" w:cs="Courier New" w:eastAsia="Courier New" w:hAnsi="Courier New"/>
          <w:sz w:val="18"/>
          <w:szCs w:val="18"/>
          <w:color w:val="auto"/>
        </w:rPr>
        <w:t>1(b) [ ] Rule 13d</w:t>
      </w:r>
      <w:r>
        <w:rPr>
          <w:rFonts w:ascii="MS Gothic" w:cs="MS Gothic" w:eastAsia="MS Gothic" w:hAnsi="MS Gothic"/>
          <w:sz w:val="18"/>
          <w:szCs w:val="18"/>
          <w:color w:val="auto"/>
        </w:rPr>
        <w:t>‑</w:t>
      </w:r>
      <w:r>
        <w:rPr>
          <w:rFonts w:ascii="Courier New" w:cs="Courier New" w:eastAsia="Courier New" w:hAnsi="Courier New"/>
          <w:sz w:val="18"/>
          <w:szCs w:val="18"/>
          <w:color w:val="auto"/>
        </w:rPr>
        <w:t>1(c) [ ] Rule 13d</w:t>
      </w:r>
      <w:r>
        <w:rPr>
          <w:rFonts w:ascii="MS Gothic" w:cs="MS Gothic" w:eastAsia="MS Gothic" w:hAnsi="MS Gothic"/>
          <w:sz w:val="18"/>
          <w:szCs w:val="18"/>
          <w:color w:val="auto"/>
        </w:rPr>
        <w:t>‑</w:t>
      </w:r>
      <w:r>
        <w:rPr>
          <w:rFonts w:ascii="Courier New" w:cs="Courier New" w:eastAsia="Courier New" w:hAnsi="Courier New"/>
          <w:sz w:val="18"/>
          <w:szCs w:val="18"/>
          <w:color w:val="auto"/>
        </w:rPr>
        <w:t>1(d)</w:t>
      </w:r>
    </w:p>
    <w:p>
      <w:pPr>
        <w:spacing w:after="0" w:line="257" w:lineRule="exact"/>
        <w:rPr>
          <w:sz w:val="24"/>
          <w:szCs w:val="24"/>
          <w:color w:val="auto"/>
        </w:rPr>
      </w:pPr>
    </w:p>
    <w:p>
      <w:pPr>
        <w:ind w:right="980"/>
        <w:spacing w:after="0" w:line="238"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44" w:lineRule="exact"/>
        <w:rPr>
          <w:sz w:val="24"/>
          <w:szCs w:val="24"/>
          <w:color w:val="auto"/>
        </w:rPr>
      </w:pPr>
    </w:p>
    <w:p>
      <w:pPr>
        <w:ind w:right="980"/>
        <w:spacing w:after="0" w:line="238"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-453390</wp:posOffset>
            </wp:positionH>
            <wp:positionV relativeFrom="paragraph">
              <wp:posOffset>205740</wp:posOffset>
            </wp:positionV>
            <wp:extent cx="7359015"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359015" cy="20955"/>
                    </a:xfrm>
                    <a:prstGeom prst="rect">
                      <a:avLst/>
                    </a:prstGeom>
                    <a:noFill/>
                  </pic:spPr>
                </pic:pic>
              </a:graphicData>
            </a:graphic>
          </wp:anchor>
        </w:drawing>
      </w:r>
    </w:p>
    <w:p>
      <w:pPr>
        <w:sectPr>
          <w:pgSz w:w="11900" w:h="16838" w:orient="portrait"/>
          <w:cols w:equalWidth="0" w:num="1">
            <w:col w:w="9620"/>
          </w:cols>
          <w:pgMar w:left="880" w:top="866" w:right="1399" w:bottom="1440" w:gutter="0" w:footer="0" w:header="0"/>
          <w:type w:val="continuous"/>
        </w:sectPr>
      </w:pPr>
    </w:p>
    <w:bookmarkStart w:id="1" w:name="page2"/>
    <w:bookmarkEnd w:id="1"/>
    <w:p>
      <w:pPr>
        <w:spacing w:after="0"/>
        <w:tabs>
          <w:tab w:leader="none" w:pos="4200" w:val="left"/>
          <w:tab w:leader="none" w:pos="7860" w:val="left"/>
        </w:tabs>
        <w:rPr>
          <w:sz w:val="20"/>
          <w:szCs w:val="20"/>
          <w:color w:val="auto"/>
        </w:rPr>
      </w:pPr>
      <w:r>
        <w:rPr>
          <w:rFonts w:ascii="Courier New" w:cs="Courier New" w:eastAsia="Courier New" w:hAnsi="Courier New"/>
          <w:sz w:val="18"/>
          <w:szCs w:val="18"/>
          <w:color w:val="auto"/>
        </w:rPr>
        <w:t>CUSIP NO. G5509L101</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2 of 13</w:t>
      </w:r>
    </w:p>
    <w:p>
      <w:pPr>
        <w:spacing w:after="0" w:line="200" w:lineRule="exact"/>
        <w:rPr>
          <w:sz w:val="20"/>
          <w:szCs w:val="20"/>
          <w:color w:val="auto"/>
        </w:rPr>
      </w:pPr>
    </w:p>
    <w:p>
      <w:pPr>
        <w:spacing w:after="0" w:line="314" w:lineRule="exact"/>
        <w:rPr>
          <w:sz w:val="20"/>
          <w:szCs w:val="20"/>
          <w:color w:val="auto"/>
        </w:rPr>
      </w:pPr>
    </w:p>
    <w:p>
      <w:pPr>
        <w:ind w:left="600" w:right="6019" w:hanging="596"/>
        <w:spacing w:after="0" w:line="546" w:lineRule="auto"/>
        <w:tabs>
          <w:tab w:leader="none" w:pos="648"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NAMES OF REPORTING PERSONS. Franklin Resources, Inc.</w:t>
      </w:r>
    </w:p>
    <w:p>
      <w:pPr>
        <w:ind w:left="660" w:hanging="656"/>
        <w:spacing w:after="0"/>
        <w:tabs>
          <w:tab w:leader="none" w:pos="6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42" w:lineRule="exact"/>
        <w:rPr>
          <w:sz w:val="20"/>
          <w:szCs w:val="20"/>
          <w:color w:val="auto"/>
        </w:rPr>
      </w:pPr>
    </w:p>
    <w:p>
      <w:pPr>
        <w:ind w:left="600"/>
        <w:spacing w:after="0"/>
        <w:rPr>
          <w:sz w:val="20"/>
          <w:szCs w:val="20"/>
          <w:color w:val="auto"/>
        </w:rPr>
      </w:pPr>
      <w:r>
        <w:rPr>
          <w:rFonts w:ascii="Courier New" w:cs="Courier New" w:eastAsia="Courier New" w:hAnsi="Courier New"/>
          <w:sz w:val="18"/>
          <w:szCs w:val="18"/>
          <w:color w:val="auto"/>
        </w:rPr>
        <w:t>(a)</w:t>
      </w:r>
    </w:p>
    <w:p>
      <w:pPr>
        <w:spacing w:after="0" w:line="12" w:lineRule="exact"/>
        <w:rPr>
          <w:sz w:val="20"/>
          <w:szCs w:val="20"/>
          <w:color w:val="auto"/>
        </w:rPr>
      </w:pPr>
    </w:p>
    <w:p>
      <w:pPr>
        <w:ind w:left="1040" w:hanging="436"/>
        <w:spacing w:after="0"/>
        <w:tabs>
          <w:tab w:leader="none" w:pos="104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55" w:lineRule="exact"/>
        <w:rPr>
          <w:rFonts w:ascii="Courier New" w:cs="Courier New" w:eastAsia="Courier New" w:hAnsi="Courier New"/>
          <w:sz w:val="18"/>
          <w:szCs w:val="18"/>
          <w:color w:val="auto"/>
        </w:rPr>
      </w:pPr>
    </w:p>
    <w:p>
      <w:pPr>
        <w:ind w:left="660" w:hanging="656"/>
        <w:spacing w:after="0"/>
        <w:tabs>
          <w:tab w:leader="none" w:pos="6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43" w:lineRule="exact"/>
        <w:rPr>
          <w:rFonts w:ascii="Courier New" w:cs="Courier New" w:eastAsia="Courier New" w:hAnsi="Courier New"/>
          <w:sz w:val="18"/>
          <w:szCs w:val="18"/>
          <w:color w:val="auto"/>
        </w:rPr>
      </w:pPr>
    </w:p>
    <w:p>
      <w:pPr>
        <w:ind w:left="600" w:right="5039" w:hanging="596"/>
        <w:spacing w:after="0" w:line="516" w:lineRule="auto"/>
        <w:tabs>
          <w:tab w:leader="none" w:pos="648"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238" w:lineRule="auto"/>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44" w:lineRule="exact"/>
        <w:rPr>
          <w:sz w:val="20"/>
          <w:szCs w:val="20"/>
          <w:color w:val="auto"/>
        </w:rPr>
      </w:pPr>
    </w:p>
    <w:p>
      <w:pPr>
        <w:ind w:left="1260" w:right="6379" w:hanging="656"/>
        <w:spacing w:after="0" w:line="555" w:lineRule="auto"/>
        <w:tabs>
          <w:tab w:leader="none" w:pos="1366" w:val="left"/>
        </w:tabs>
        <w:numPr>
          <w:ilvl w:val="1"/>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SOLE VOTING POWER (See Item 4)</w:t>
      </w:r>
    </w:p>
    <w:p>
      <w:pPr>
        <w:ind w:left="1260" w:right="6159" w:hanging="656"/>
        <w:spacing w:after="0" w:line="521" w:lineRule="auto"/>
        <w:tabs>
          <w:tab w:leader="none" w:pos="1366"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(See Item 4)</w:t>
      </w:r>
    </w:p>
    <w:p>
      <w:pPr>
        <w:spacing w:after="0" w:line="5" w:lineRule="exact"/>
        <w:rPr>
          <w:rFonts w:ascii="Courier New" w:cs="Courier New" w:eastAsia="Courier New" w:hAnsi="Courier New"/>
          <w:sz w:val="18"/>
          <w:szCs w:val="18"/>
          <w:color w:val="auto"/>
        </w:rPr>
      </w:pPr>
    </w:p>
    <w:p>
      <w:pPr>
        <w:ind w:left="1260" w:right="5839" w:hanging="656"/>
        <w:spacing w:after="0" w:line="521" w:lineRule="auto"/>
        <w:tabs>
          <w:tab w:leader="none" w:pos="1366"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(See Item 4)</w:t>
      </w:r>
    </w:p>
    <w:p>
      <w:pPr>
        <w:spacing w:after="0" w:line="5" w:lineRule="exact"/>
        <w:rPr>
          <w:rFonts w:ascii="Courier New" w:cs="Courier New" w:eastAsia="Courier New" w:hAnsi="Courier New"/>
          <w:sz w:val="18"/>
          <w:szCs w:val="18"/>
          <w:color w:val="auto"/>
        </w:rPr>
      </w:pPr>
    </w:p>
    <w:p>
      <w:pPr>
        <w:ind w:left="1260" w:right="5619" w:hanging="656"/>
        <w:spacing w:after="0" w:line="521" w:lineRule="auto"/>
        <w:tabs>
          <w:tab w:leader="none" w:pos="1366"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(See Item 4)</w:t>
      </w:r>
    </w:p>
    <w:p>
      <w:pPr>
        <w:spacing w:after="0" w:line="5" w:lineRule="exact"/>
        <w:rPr>
          <w:rFonts w:ascii="Courier New" w:cs="Courier New" w:eastAsia="Courier New" w:hAnsi="Courier New"/>
          <w:sz w:val="18"/>
          <w:szCs w:val="18"/>
          <w:color w:val="auto"/>
        </w:rPr>
      </w:pPr>
    </w:p>
    <w:p>
      <w:pPr>
        <w:ind w:left="660" w:right="2439" w:hanging="656"/>
        <w:spacing w:after="0" w:line="516" w:lineRule="auto"/>
        <w:tabs>
          <w:tab w:leader="none" w:pos="65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1,808,724</w:t>
      </w:r>
    </w:p>
    <w:p>
      <w:pPr>
        <w:ind w:left="660" w:right="3639" w:hanging="656"/>
        <w:spacing w:after="0" w:line="237" w:lineRule="auto"/>
        <w:tabs>
          <w:tab w:leader="none" w:pos="658"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 ]</w:t>
      </w:r>
    </w:p>
    <w:p>
      <w:pPr>
        <w:spacing w:after="0" w:line="245" w:lineRule="exact"/>
        <w:rPr>
          <w:rFonts w:ascii="Courier New" w:cs="Courier New" w:eastAsia="Courier New" w:hAnsi="Courier New"/>
          <w:sz w:val="18"/>
          <w:szCs w:val="18"/>
          <w:color w:val="auto"/>
        </w:rPr>
      </w:pPr>
    </w:p>
    <w:p>
      <w:pPr>
        <w:ind w:left="660" w:right="3639" w:hanging="656"/>
        <w:spacing w:after="0" w:line="516" w:lineRule="auto"/>
        <w:tabs>
          <w:tab w:leader="none" w:pos="658"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3.7%</w:t>
      </w:r>
    </w:p>
    <w:p>
      <w:pPr>
        <w:ind w:left="660" w:right="6339" w:hanging="656"/>
        <w:spacing w:after="0" w:line="566" w:lineRule="auto"/>
        <w:tabs>
          <w:tab w:leader="none" w:pos="658"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TYPE OF REPORTING PERSON HC, CO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-453390</wp:posOffset>
            </wp:positionH>
            <wp:positionV relativeFrom="paragraph">
              <wp:posOffset>193675</wp:posOffset>
            </wp:positionV>
            <wp:extent cx="735901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359015" cy="21590"/>
                    </a:xfrm>
                    <a:prstGeom prst="rect">
                      <a:avLst/>
                    </a:prstGeom>
                    <a:noFill/>
                  </pic:spPr>
                </pic:pic>
              </a:graphicData>
            </a:graphic>
          </wp:anchor>
        </w:drawing>
      </w:r>
    </w:p>
    <w:p>
      <w:pPr>
        <w:sectPr>
          <w:pgSz w:w="11900" w:h="16838" w:orient="portrait"/>
          <w:cols w:equalWidth="0" w:num="1">
            <w:col w:w="9579"/>
          </w:cols>
          <w:pgMar w:left="880" w:top="1285" w:right="1440" w:bottom="1440" w:gutter="0" w:footer="0" w:header="0"/>
        </w:sectPr>
      </w:pPr>
    </w:p>
    <w:bookmarkStart w:id="2" w:name="page3"/>
    <w:bookmarkEnd w:id="2"/>
    <w:p>
      <w:pPr>
        <w:spacing w:after="0"/>
        <w:tabs>
          <w:tab w:leader="none" w:pos="4200" w:val="left"/>
          <w:tab w:leader="none" w:pos="7860" w:val="left"/>
        </w:tabs>
        <w:rPr>
          <w:sz w:val="20"/>
          <w:szCs w:val="20"/>
          <w:color w:val="auto"/>
        </w:rPr>
      </w:pPr>
      <w:r>
        <w:rPr>
          <w:rFonts w:ascii="Courier New" w:cs="Courier New" w:eastAsia="Courier New" w:hAnsi="Courier New"/>
          <w:sz w:val="18"/>
          <w:szCs w:val="18"/>
          <w:color w:val="auto"/>
        </w:rPr>
        <w:t>CUSIP NO. G5509L101</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3 of 13</w:t>
      </w:r>
    </w:p>
    <w:p>
      <w:pPr>
        <w:spacing w:after="0" w:line="200" w:lineRule="exact"/>
        <w:rPr>
          <w:sz w:val="20"/>
          <w:szCs w:val="20"/>
          <w:color w:val="auto"/>
        </w:rPr>
      </w:pPr>
    </w:p>
    <w:p>
      <w:pPr>
        <w:spacing w:after="0" w:line="287" w:lineRule="exact"/>
        <w:rPr>
          <w:sz w:val="20"/>
          <w:szCs w:val="20"/>
          <w:color w:val="auto"/>
        </w:rPr>
      </w:pPr>
    </w:p>
    <w:p>
      <w:pPr>
        <w:ind w:left="600" w:right="6019" w:hanging="596"/>
        <w:spacing w:after="0" w:line="521" w:lineRule="auto"/>
        <w:tabs>
          <w:tab w:leader="none" w:pos="648"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 Charles B. Johnson</w:t>
      </w:r>
    </w:p>
    <w:p>
      <w:pPr>
        <w:spacing w:after="0" w:line="3" w:lineRule="exact"/>
        <w:rPr>
          <w:rFonts w:ascii="Courier New" w:cs="Courier New" w:eastAsia="Courier New" w:hAnsi="Courier New"/>
          <w:sz w:val="18"/>
          <w:szCs w:val="18"/>
          <w:color w:val="auto"/>
        </w:rPr>
      </w:pPr>
    </w:p>
    <w:p>
      <w:pPr>
        <w:ind w:left="660" w:hanging="656"/>
        <w:spacing w:after="0"/>
        <w:tabs>
          <w:tab w:leader="none" w:pos="6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42" w:lineRule="exact"/>
        <w:rPr>
          <w:sz w:val="20"/>
          <w:szCs w:val="20"/>
          <w:color w:val="auto"/>
        </w:rPr>
      </w:pPr>
    </w:p>
    <w:p>
      <w:pPr>
        <w:ind w:left="600"/>
        <w:spacing w:after="0"/>
        <w:rPr>
          <w:sz w:val="20"/>
          <w:szCs w:val="20"/>
          <w:color w:val="auto"/>
        </w:rPr>
      </w:pPr>
      <w:r>
        <w:rPr>
          <w:rFonts w:ascii="Courier New" w:cs="Courier New" w:eastAsia="Courier New" w:hAnsi="Courier New"/>
          <w:sz w:val="18"/>
          <w:szCs w:val="18"/>
          <w:color w:val="auto"/>
        </w:rPr>
        <w:t>(a)</w:t>
      </w:r>
    </w:p>
    <w:p>
      <w:pPr>
        <w:spacing w:after="0" w:line="12" w:lineRule="exact"/>
        <w:rPr>
          <w:sz w:val="20"/>
          <w:szCs w:val="20"/>
          <w:color w:val="auto"/>
        </w:rPr>
      </w:pPr>
    </w:p>
    <w:p>
      <w:pPr>
        <w:ind w:left="1040" w:hanging="436"/>
        <w:spacing w:after="0"/>
        <w:tabs>
          <w:tab w:leader="none" w:pos="104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55" w:lineRule="exact"/>
        <w:rPr>
          <w:rFonts w:ascii="Courier New" w:cs="Courier New" w:eastAsia="Courier New" w:hAnsi="Courier New"/>
          <w:sz w:val="18"/>
          <w:szCs w:val="18"/>
          <w:color w:val="auto"/>
        </w:rPr>
      </w:pPr>
    </w:p>
    <w:p>
      <w:pPr>
        <w:ind w:left="660" w:hanging="656"/>
        <w:spacing w:after="0"/>
        <w:tabs>
          <w:tab w:leader="none" w:pos="6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43" w:lineRule="exact"/>
        <w:rPr>
          <w:rFonts w:ascii="Courier New" w:cs="Courier New" w:eastAsia="Courier New" w:hAnsi="Courier New"/>
          <w:sz w:val="18"/>
          <w:szCs w:val="18"/>
          <w:color w:val="auto"/>
        </w:rPr>
      </w:pPr>
    </w:p>
    <w:p>
      <w:pPr>
        <w:ind w:left="600" w:right="5039" w:hanging="596"/>
        <w:spacing w:after="0" w:line="521" w:lineRule="auto"/>
        <w:tabs>
          <w:tab w:leader="none" w:pos="648"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44" w:lineRule="exact"/>
        <w:rPr>
          <w:sz w:val="20"/>
          <w:szCs w:val="20"/>
          <w:color w:val="auto"/>
        </w:rPr>
      </w:pPr>
    </w:p>
    <w:p>
      <w:pPr>
        <w:ind w:left="1200" w:right="6499" w:hanging="596"/>
        <w:spacing w:after="0" w:line="546" w:lineRule="auto"/>
        <w:tabs>
          <w:tab w:leader="none" w:pos="1248" w:val="left"/>
        </w:tabs>
        <w:numPr>
          <w:ilvl w:val="1"/>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SOLE VOTING POWER (See Item 4)</w:t>
      </w:r>
    </w:p>
    <w:p>
      <w:pPr>
        <w:spacing w:after="0" w:line="1" w:lineRule="exact"/>
        <w:rPr>
          <w:rFonts w:ascii="Courier New" w:cs="Courier New" w:eastAsia="Courier New" w:hAnsi="Courier New"/>
          <w:sz w:val="17"/>
          <w:szCs w:val="17"/>
          <w:color w:val="auto"/>
        </w:rPr>
      </w:pPr>
    </w:p>
    <w:p>
      <w:pPr>
        <w:ind w:left="1200" w:right="6279" w:hanging="596"/>
        <w:spacing w:after="0" w:line="516" w:lineRule="auto"/>
        <w:tabs>
          <w:tab w:leader="none" w:pos="1248"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(See Item 4)</w:t>
      </w:r>
    </w:p>
    <w:p>
      <w:pPr>
        <w:ind w:left="1200" w:right="5959" w:hanging="596"/>
        <w:spacing w:after="0" w:line="516" w:lineRule="auto"/>
        <w:tabs>
          <w:tab w:leader="none" w:pos="1248"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(See Item 4)</w:t>
      </w:r>
    </w:p>
    <w:p>
      <w:pPr>
        <w:ind w:left="1200" w:right="5739" w:hanging="596"/>
        <w:spacing w:after="0" w:line="516" w:lineRule="auto"/>
        <w:tabs>
          <w:tab w:leader="none" w:pos="1248"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(See Item 4)</w:t>
      </w:r>
    </w:p>
    <w:p>
      <w:pPr>
        <w:ind w:left="660" w:right="2439" w:hanging="656"/>
        <w:spacing w:after="0" w:line="516" w:lineRule="auto"/>
        <w:tabs>
          <w:tab w:leader="none" w:pos="65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1,808,724</w:t>
      </w:r>
    </w:p>
    <w:p>
      <w:pPr>
        <w:ind w:left="660" w:hanging="656"/>
        <w:spacing w:after="0"/>
        <w:tabs>
          <w:tab w:leader="none" w:pos="6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w:t>
      </w:r>
    </w:p>
    <w:p>
      <w:pPr>
        <w:spacing w:after="0" w:line="200" w:lineRule="exact"/>
        <w:rPr>
          <w:sz w:val="20"/>
          <w:szCs w:val="20"/>
          <w:color w:val="auto"/>
        </w:rPr>
      </w:pPr>
    </w:p>
    <w:p>
      <w:pPr>
        <w:spacing w:after="0" w:line="246" w:lineRule="exact"/>
        <w:rPr>
          <w:sz w:val="20"/>
          <w:szCs w:val="20"/>
          <w:color w:val="auto"/>
        </w:rPr>
      </w:pPr>
    </w:p>
    <w:p>
      <w:pPr>
        <w:ind w:left="600" w:right="3639" w:hanging="596"/>
        <w:spacing w:after="0" w:line="516" w:lineRule="auto"/>
        <w:tabs>
          <w:tab w:leader="none" w:pos="648"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3.7%</w:t>
      </w:r>
    </w:p>
    <w:p>
      <w:pPr>
        <w:ind w:left="660" w:hanging="656"/>
        <w:spacing w:after="0"/>
        <w:tabs>
          <w:tab w:leader="none" w:pos="6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42" w:lineRule="exact"/>
        <w:rPr>
          <w:sz w:val="20"/>
          <w:szCs w:val="20"/>
          <w:color w:val="auto"/>
        </w:rPr>
      </w:pPr>
    </w:p>
    <w:p>
      <w:pPr>
        <w:ind w:left="600"/>
        <w:spacing w:after="0"/>
        <w:rPr>
          <w:sz w:val="20"/>
          <w:szCs w:val="20"/>
          <w:color w:val="auto"/>
        </w:rPr>
      </w:pPr>
      <w:r>
        <w:rPr>
          <w:rFonts w:ascii="Courier New" w:cs="Courier New" w:eastAsia="Courier New" w:hAnsi="Courier New"/>
          <w:sz w:val="18"/>
          <w:szCs w:val="18"/>
          <w:color w:val="auto"/>
        </w:rPr>
        <w:t>HC, IN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-453390</wp:posOffset>
            </wp:positionH>
            <wp:positionV relativeFrom="paragraph">
              <wp:posOffset>359410</wp:posOffset>
            </wp:positionV>
            <wp:extent cx="735901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359015" cy="21590"/>
                    </a:xfrm>
                    <a:prstGeom prst="rect">
                      <a:avLst/>
                    </a:prstGeom>
                    <a:noFill/>
                  </pic:spPr>
                </pic:pic>
              </a:graphicData>
            </a:graphic>
          </wp:anchor>
        </w:drawing>
      </w:r>
    </w:p>
    <w:p>
      <w:pPr>
        <w:sectPr>
          <w:pgSz w:w="11900" w:h="16838" w:orient="portrait"/>
          <w:cols w:equalWidth="0" w:num="1">
            <w:col w:w="9579"/>
          </w:cols>
          <w:pgMar w:left="880" w:top="1244" w:right="1440" w:bottom="1440" w:gutter="0" w:footer="0" w:header="0"/>
        </w:sectPr>
      </w:pPr>
    </w:p>
    <w:bookmarkStart w:id="3" w:name="page4"/>
    <w:bookmarkEnd w:id="3"/>
    <w:p>
      <w:pPr>
        <w:spacing w:after="0"/>
        <w:tabs>
          <w:tab w:leader="none" w:pos="4200" w:val="left"/>
          <w:tab w:leader="none" w:pos="7860" w:val="left"/>
        </w:tabs>
        <w:rPr>
          <w:sz w:val="20"/>
          <w:szCs w:val="20"/>
          <w:color w:val="auto"/>
        </w:rPr>
      </w:pPr>
      <w:r>
        <w:rPr>
          <w:rFonts w:ascii="Courier New" w:cs="Courier New" w:eastAsia="Courier New" w:hAnsi="Courier New"/>
          <w:sz w:val="18"/>
          <w:szCs w:val="18"/>
          <w:color w:val="auto"/>
        </w:rPr>
        <w:t>CUSIP NO. G5509L101</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4 of 13</w:t>
      </w:r>
    </w:p>
    <w:p>
      <w:pPr>
        <w:spacing w:after="0" w:line="200" w:lineRule="exact"/>
        <w:rPr>
          <w:sz w:val="20"/>
          <w:szCs w:val="20"/>
          <w:color w:val="auto"/>
        </w:rPr>
      </w:pPr>
    </w:p>
    <w:p>
      <w:pPr>
        <w:spacing w:after="0" w:line="287" w:lineRule="exact"/>
        <w:rPr>
          <w:sz w:val="20"/>
          <w:szCs w:val="20"/>
          <w:color w:val="auto"/>
        </w:rPr>
      </w:pPr>
    </w:p>
    <w:p>
      <w:pPr>
        <w:ind w:left="600" w:right="6019" w:hanging="596"/>
        <w:spacing w:after="0" w:line="555" w:lineRule="auto"/>
        <w:tabs>
          <w:tab w:leader="none" w:pos="648"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NAMES OF REPORTING PERSONS. Rupert H. Johnson, Jr.</w:t>
      </w:r>
    </w:p>
    <w:p>
      <w:pPr>
        <w:ind w:left="660" w:hanging="656"/>
        <w:spacing w:after="0"/>
        <w:tabs>
          <w:tab w:leader="none" w:pos="6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42" w:lineRule="exact"/>
        <w:rPr>
          <w:sz w:val="20"/>
          <w:szCs w:val="20"/>
          <w:color w:val="auto"/>
        </w:rPr>
      </w:pPr>
    </w:p>
    <w:p>
      <w:pPr>
        <w:ind w:left="600"/>
        <w:spacing w:after="0"/>
        <w:rPr>
          <w:sz w:val="20"/>
          <w:szCs w:val="20"/>
          <w:color w:val="auto"/>
        </w:rPr>
      </w:pPr>
      <w:r>
        <w:rPr>
          <w:rFonts w:ascii="Courier New" w:cs="Courier New" w:eastAsia="Courier New" w:hAnsi="Courier New"/>
          <w:sz w:val="18"/>
          <w:szCs w:val="18"/>
          <w:color w:val="auto"/>
        </w:rPr>
        <w:t>(a)</w:t>
      </w:r>
    </w:p>
    <w:p>
      <w:pPr>
        <w:spacing w:after="0" w:line="12" w:lineRule="exact"/>
        <w:rPr>
          <w:sz w:val="20"/>
          <w:szCs w:val="20"/>
          <w:color w:val="auto"/>
        </w:rPr>
      </w:pPr>
    </w:p>
    <w:p>
      <w:pPr>
        <w:ind w:left="1040" w:hanging="436"/>
        <w:spacing w:after="0"/>
        <w:tabs>
          <w:tab w:leader="none" w:pos="1040"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55" w:lineRule="exact"/>
        <w:rPr>
          <w:rFonts w:ascii="Courier New" w:cs="Courier New" w:eastAsia="Courier New" w:hAnsi="Courier New"/>
          <w:sz w:val="18"/>
          <w:szCs w:val="18"/>
          <w:color w:val="auto"/>
        </w:rPr>
      </w:pPr>
    </w:p>
    <w:p>
      <w:pPr>
        <w:ind w:left="660" w:hanging="656"/>
        <w:spacing w:after="0"/>
        <w:tabs>
          <w:tab w:leader="none" w:pos="6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43" w:lineRule="exact"/>
        <w:rPr>
          <w:rFonts w:ascii="Courier New" w:cs="Courier New" w:eastAsia="Courier New" w:hAnsi="Courier New"/>
          <w:sz w:val="18"/>
          <w:szCs w:val="18"/>
          <w:color w:val="auto"/>
        </w:rPr>
      </w:pPr>
    </w:p>
    <w:p>
      <w:pPr>
        <w:ind w:left="600" w:right="5039" w:hanging="596"/>
        <w:spacing w:after="0" w:line="521" w:lineRule="auto"/>
        <w:tabs>
          <w:tab w:leader="none" w:pos="648"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44" w:lineRule="exact"/>
        <w:rPr>
          <w:sz w:val="20"/>
          <w:szCs w:val="20"/>
          <w:color w:val="auto"/>
        </w:rPr>
      </w:pPr>
    </w:p>
    <w:p>
      <w:pPr>
        <w:ind w:left="1200" w:right="6499" w:hanging="596"/>
        <w:spacing w:after="0" w:line="546" w:lineRule="auto"/>
        <w:tabs>
          <w:tab w:leader="none" w:pos="1248" w:val="left"/>
        </w:tabs>
        <w:numPr>
          <w:ilvl w:val="0"/>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SOLE VOTING POWER (See Item 4)</w:t>
      </w:r>
    </w:p>
    <w:p>
      <w:pPr>
        <w:spacing w:after="0" w:line="1" w:lineRule="exact"/>
        <w:rPr>
          <w:rFonts w:ascii="Courier New" w:cs="Courier New" w:eastAsia="Courier New" w:hAnsi="Courier New"/>
          <w:sz w:val="17"/>
          <w:szCs w:val="17"/>
          <w:color w:val="auto"/>
        </w:rPr>
      </w:pPr>
    </w:p>
    <w:p>
      <w:pPr>
        <w:ind w:left="1200" w:right="6279" w:hanging="596"/>
        <w:spacing w:after="0" w:line="516" w:lineRule="auto"/>
        <w:tabs>
          <w:tab w:leader="none" w:pos="1248"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(See Item 4)</w:t>
      </w:r>
    </w:p>
    <w:p>
      <w:pPr>
        <w:ind w:left="1200" w:right="5959" w:hanging="596"/>
        <w:spacing w:after="0" w:line="516" w:lineRule="auto"/>
        <w:tabs>
          <w:tab w:leader="none" w:pos="1248"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(See Item 4)</w:t>
      </w:r>
    </w:p>
    <w:p>
      <w:pPr>
        <w:ind w:left="1260" w:hanging="656"/>
        <w:spacing w:after="0"/>
        <w:tabs>
          <w:tab w:leader="none" w:pos="126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0" w:lineRule="exact"/>
        <w:rPr>
          <w:sz w:val="20"/>
          <w:szCs w:val="20"/>
          <w:color w:val="auto"/>
        </w:rPr>
      </w:pPr>
    </w:p>
    <w:p>
      <w:pPr>
        <w:spacing w:after="0" w:line="273" w:lineRule="exact"/>
        <w:rPr>
          <w:sz w:val="20"/>
          <w:szCs w:val="20"/>
          <w:color w:val="auto"/>
        </w:rPr>
      </w:pPr>
    </w:p>
    <w:p>
      <w:pPr>
        <w:ind w:left="660" w:right="2439" w:hanging="656"/>
        <w:spacing w:after="0" w:line="532" w:lineRule="auto"/>
        <w:tabs>
          <w:tab w:leader="none" w:pos="65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1,808,724</w:t>
      </w:r>
    </w:p>
    <w:p>
      <w:pPr>
        <w:ind w:left="660" w:hanging="656"/>
        <w:spacing w:after="0"/>
        <w:tabs>
          <w:tab w:leader="none" w:pos="6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w:t>
      </w:r>
    </w:p>
    <w:p>
      <w:pPr>
        <w:spacing w:after="0" w:line="200" w:lineRule="exact"/>
        <w:rPr>
          <w:sz w:val="20"/>
          <w:szCs w:val="20"/>
          <w:color w:val="auto"/>
        </w:rPr>
      </w:pPr>
    </w:p>
    <w:p>
      <w:pPr>
        <w:spacing w:after="0" w:line="246" w:lineRule="exact"/>
        <w:rPr>
          <w:sz w:val="20"/>
          <w:szCs w:val="20"/>
          <w:color w:val="auto"/>
        </w:rPr>
      </w:pPr>
    </w:p>
    <w:p>
      <w:pPr>
        <w:ind w:left="600" w:right="3639" w:hanging="596"/>
        <w:spacing w:after="0" w:line="516" w:lineRule="auto"/>
        <w:tabs>
          <w:tab w:leader="none" w:pos="648"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3.7%</w:t>
      </w:r>
    </w:p>
    <w:p>
      <w:pPr>
        <w:ind w:left="660" w:hanging="656"/>
        <w:spacing w:after="0"/>
        <w:tabs>
          <w:tab w:leader="none" w:pos="6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42" w:lineRule="exact"/>
        <w:rPr>
          <w:sz w:val="20"/>
          <w:szCs w:val="20"/>
          <w:color w:val="auto"/>
        </w:rPr>
      </w:pPr>
    </w:p>
    <w:p>
      <w:pPr>
        <w:ind w:left="600"/>
        <w:spacing w:after="0"/>
        <w:rPr>
          <w:sz w:val="20"/>
          <w:szCs w:val="20"/>
          <w:color w:val="auto"/>
        </w:rPr>
      </w:pPr>
      <w:r>
        <w:rPr>
          <w:rFonts w:ascii="Courier New" w:cs="Courier New" w:eastAsia="Courier New" w:hAnsi="Courier New"/>
          <w:sz w:val="18"/>
          <w:szCs w:val="18"/>
          <w:color w:val="auto"/>
        </w:rPr>
        <w:t>HC, IN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-453390</wp:posOffset>
            </wp:positionH>
            <wp:positionV relativeFrom="paragraph">
              <wp:posOffset>205105</wp:posOffset>
            </wp:positionV>
            <wp:extent cx="7359015"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59015" cy="20955"/>
                    </a:xfrm>
                    <a:prstGeom prst="rect">
                      <a:avLst/>
                    </a:prstGeom>
                    <a:noFill/>
                  </pic:spPr>
                </pic:pic>
              </a:graphicData>
            </a:graphic>
          </wp:anchor>
        </w:drawing>
      </w:r>
    </w:p>
    <w:p>
      <w:pPr>
        <w:sectPr>
          <w:pgSz w:w="11900" w:h="16838" w:orient="portrait"/>
          <w:cols w:equalWidth="0" w:num="1">
            <w:col w:w="9579"/>
          </w:cols>
          <w:pgMar w:left="880" w:top="1244" w:right="1440" w:bottom="1440" w:gutter="0" w:footer="0" w:header="0"/>
        </w:sectPr>
      </w:pPr>
    </w:p>
    <w:bookmarkStart w:id="4" w:name="page5"/>
    <w:bookmarkEnd w:id="4"/>
    <w:p>
      <w:pPr>
        <w:spacing w:after="0"/>
        <w:tabs>
          <w:tab w:leader="none" w:pos="4200" w:val="left"/>
          <w:tab w:leader="none" w:pos="7860" w:val="left"/>
        </w:tabs>
        <w:rPr>
          <w:sz w:val="20"/>
          <w:szCs w:val="20"/>
          <w:color w:val="auto"/>
        </w:rPr>
      </w:pPr>
      <w:r>
        <w:rPr>
          <w:rFonts w:ascii="Courier New" w:cs="Courier New" w:eastAsia="Courier New" w:hAnsi="Courier New"/>
          <w:sz w:val="18"/>
          <w:szCs w:val="18"/>
          <w:color w:val="auto"/>
        </w:rPr>
        <w:t>CUSIP NO. G5509L101</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5 of 13</w:t>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44" w:lineRule="exact"/>
        <w:rPr>
          <w:sz w:val="20"/>
          <w:szCs w:val="20"/>
          <w:color w:val="auto"/>
        </w:rPr>
      </w:pPr>
    </w:p>
    <w:p>
      <w:pPr>
        <w:ind w:left="600" w:right="7419" w:hanging="596"/>
        <w:spacing w:after="0" w:line="546" w:lineRule="auto"/>
        <w:tabs>
          <w:tab w:leader="none" w:pos="648" w:val="left"/>
        </w:tabs>
        <w:numPr>
          <w:ilvl w:val="0"/>
          <w:numId w:val="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Name of Issuer LivaNova PLC</w:t>
      </w:r>
    </w:p>
    <w:p>
      <w:pPr>
        <w:ind w:left="660" w:hanging="656"/>
        <w:spacing w:after="0"/>
        <w:tabs>
          <w:tab w:leader="none" w:pos="66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spacing w:after="0" w:line="215" w:lineRule="exact"/>
        <w:rPr>
          <w:sz w:val="20"/>
          <w:szCs w:val="20"/>
          <w:color w:val="auto"/>
        </w:rPr>
      </w:pPr>
    </w:p>
    <w:p>
      <w:pPr>
        <w:ind w:left="700"/>
        <w:spacing w:after="0"/>
        <w:rPr>
          <w:sz w:val="20"/>
          <w:szCs w:val="20"/>
          <w:color w:val="auto"/>
        </w:rPr>
      </w:pPr>
      <w:r>
        <w:rPr>
          <w:rFonts w:ascii="Courier New" w:cs="Courier New" w:eastAsia="Courier New" w:hAnsi="Courier New"/>
          <w:sz w:val="18"/>
          <w:szCs w:val="18"/>
          <w:color w:val="auto"/>
        </w:rPr>
        <w:t>20 Eastbourne Terrace</w:t>
      </w:r>
    </w:p>
    <w:p>
      <w:pPr>
        <w:ind w:left="700"/>
        <w:spacing w:after="0" w:line="222" w:lineRule="auto"/>
        <w:rPr>
          <w:sz w:val="20"/>
          <w:szCs w:val="20"/>
          <w:color w:val="auto"/>
        </w:rPr>
      </w:pPr>
      <w:r>
        <w:rPr>
          <w:rFonts w:ascii="Courier New" w:cs="Courier New" w:eastAsia="Courier New" w:hAnsi="Courier New"/>
          <w:sz w:val="18"/>
          <w:szCs w:val="18"/>
          <w:color w:val="auto"/>
        </w:rPr>
        <w:t>London, United Kingdom</w:t>
      </w:r>
    </w:p>
    <w:p>
      <w:pPr>
        <w:ind w:left="700"/>
        <w:spacing w:after="0" w:line="238" w:lineRule="auto"/>
        <w:rPr>
          <w:sz w:val="20"/>
          <w:szCs w:val="20"/>
          <w:color w:val="auto"/>
        </w:rPr>
      </w:pPr>
      <w:r>
        <w:rPr>
          <w:rFonts w:ascii="Courier New" w:cs="Courier New" w:eastAsia="Courier New" w:hAnsi="Courier New"/>
          <w:sz w:val="18"/>
          <w:szCs w:val="18"/>
          <w:color w:val="auto"/>
        </w:rPr>
        <w:t>W2 6LG</w:t>
      </w:r>
    </w:p>
    <w:p>
      <w:pPr>
        <w:spacing w:after="0" w:line="24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42" w:lineRule="exact"/>
        <w:rPr>
          <w:sz w:val="20"/>
          <w:szCs w:val="20"/>
          <w:color w:val="auto"/>
        </w:rPr>
      </w:pPr>
    </w:p>
    <w:p>
      <w:pPr>
        <w:ind w:left="660" w:hanging="656"/>
        <w:spacing w:after="0"/>
        <w:tabs>
          <w:tab w:leader="none" w:pos="66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Person Filing</w:t>
      </w:r>
    </w:p>
    <w:p>
      <w:pPr>
        <w:spacing w:after="0" w:line="242" w:lineRule="exact"/>
        <w:rPr>
          <w:sz w:val="20"/>
          <w:szCs w:val="20"/>
          <w:color w:val="auto"/>
        </w:rPr>
      </w:pPr>
    </w:p>
    <w:p>
      <w:pPr>
        <w:ind w:left="600"/>
        <w:spacing w:after="0"/>
        <w:tabs>
          <w:tab w:leader="none" w:pos="1340" w:val="left"/>
        </w:tabs>
        <w:rPr>
          <w:sz w:val="20"/>
          <w:szCs w:val="20"/>
          <w:color w:val="auto"/>
        </w:rPr>
      </w:pPr>
      <w:r>
        <w:rPr>
          <w:rFonts w:ascii="Courier New" w:cs="Courier New" w:eastAsia="Courier New" w:hAnsi="Courier New"/>
          <w:sz w:val="18"/>
          <w:szCs w:val="18"/>
          <w:color w:val="auto"/>
        </w:rPr>
        <w:t>(i):</w:t>
        <w:tab/>
        <w:t>Franklin Resources, Inc.</w:t>
      </w:r>
    </w:p>
    <w:p>
      <w:pPr>
        <w:spacing w:after="0" w:line="242" w:lineRule="exact"/>
        <w:rPr>
          <w:sz w:val="20"/>
          <w:szCs w:val="20"/>
          <w:color w:val="auto"/>
        </w:rPr>
      </w:pPr>
    </w:p>
    <w:p>
      <w:pPr>
        <w:ind w:left="600"/>
        <w:spacing w:after="0"/>
        <w:tabs>
          <w:tab w:leader="none" w:pos="1340" w:val="left"/>
        </w:tabs>
        <w:rPr>
          <w:sz w:val="20"/>
          <w:szCs w:val="20"/>
          <w:color w:val="auto"/>
        </w:rPr>
      </w:pPr>
      <w:r>
        <w:rPr>
          <w:rFonts w:ascii="Courier New" w:cs="Courier New" w:eastAsia="Courier New" w:hAnsi="Courier New"/>
          <w:sz w:val="18"/>
          <w:szCs w:val="18"/>
          <w:color w:val="auto"/>
        </w:rPr>
        <w:t>(ii):</w:t>
        <w:tab/>
        <w:t>Charles B. Johnson</w:t>
      </w:r>
    </w:p>
    <w:p>
      <w:pPr>
        <w:spacing w:after="0" w:line="242" w:lineRule="exact"/>
        <w:rPr>
          <w:sz w:val="20"/>
          <w:szCs w:val="20"/>
          <w:color w:val="auto"/>
        </w:rPr>
      </w:pPr>
    </w:p>
    <w:p>
      <w:pPr>
        <w:ind w:left="600"/>
        <w:spacing w:after="0"/>
        <w:rPr>
          <w:sz w:val="20"/>
          <w:szCs w:val="20"/>
          <w:color w:val="auto"/>
        </w:rPr>
      </w:pPr>
      <w:r>
        <w:rPr>
          <w:rFonts w:ascii="Courier New" w:cs="Courier New" w:eastAsia="Courier New" w:hAnsi="Courier New"/>
          <w:sz w:val="18"/>
          <w:szCs w:val="18"/>
          <w:color w:val="auto"/>
        </w:rPr>
        <w:t>(iii): Rupert H. Johnson, Jr.</w:t>
      </w:r>
    </w:p>
    <w:p>
      <w:pPr>
        <w:spacing w:after="0" w:line="200" w:lineRule="exact"/>
        <w:rPr>
          <w:sz w:val="20"/>
          <w:szCs w:val="20"/>
          <w:color w:val="auto"/>
        </w:rPr>
      </w:pPr>
    </w:p>
    <w:p>
      <w:pPr>
        <w:spacing w:after="0" w:line="285" w:lineRule="exact"/>
        <w:rPr>
          <w:sz w:val="20"/>
          <w:szCs w:val="20"/>
          <w:color w:val="auto"/>
        </w:rPr>
      </w:pPr>
    </w:p>
    <w:p>
      <w:pPr>
        <w:ind w:left="660" w:hanging="656"/>
        <w:spacing w:after="0"/>
        <w:tabs>
          <w:tab w:leader="none" w:pos="66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 or, if none, Residence</w:t>
      </w:r>
    </w:p>
    <w:p>
      <w:pPr>
        <w:spacing w:after="0" w:line="242" w:lineRule="exact"/>
        <w:rPr>
          <w:sz w:val="20"/>
          <w:szCs w:val="20"/>
          <w:color w:val="auto"/>
        </w:rPr>
      </w:pPr>
    </w:p>
    <w:p>
      <w:pPr>
        <w:ind w:left="600"/>
        <w:spacing w:after="0"/>
        <w:rPr>
          <w:sz w:val="20"/>
          <w:szCs w:val="20"/>
          <w:color w:val="auto"/>
        </w:rPr>
      </w:pPr>
      <w:r>
        <w:rPr>
          <w:rFonts w:ascii="Courier New" w:cs="Courier New" w:eastAsia="Courier New" w:hAnsi="Courier New"/>
          <w:sz w:val="18"/>
          <w:szCs w:val="18"/>
          <w:color w:val="auto"/>
        </w:rPr>
        <w:t>(i), (ii), and (iii):</w:t>
      </w:r>
    </w:p>
    <w:p>
      <w:pPr>
        <w:spacing w:after="0" w:line="39" w:lineRule="exact"/>
        <w:rPr>
          <w:sz w:val="20"/>
          <w:szCs w:val="20"/>
          <w:color w:val="auto"/>
        </w:rPr>
      </w:pPr>
    </w:p>
    <w:p>
      <w:pPr>
        <w:ind w:left="600"/>
        <w:spacing w:after="0"/>
        <w:rPr>
          <w:sz w:val="20"/>
          <w:szCs w:val="20"/>
          <w:color w:val="auto"/>
        </w:rPr>
      </w:pPr>
      <w:r>
        <w:rPr>
          <w:rFonts w:ascii="Courier New" w:cs="Courier New" w:eastAsia="Courier New" w:hAnsi="Courier New"/>
          <w:sz w:val="18"/>
          <w:szCs w:val="18"/>
          <w:color w:val="auto"/>
        </w:rPr>
        <w:t>One Franklin Parkway</w:t>
      </w:r>
    </w:p>
    <w:p>
      <w:pPr>
        <w:spacing w:after="0" w:line="34" w:lineRule="exact"/>
        <w:rPr>
          <w:sz w:val="20"/>
          <w:szCs w:val="20"/>
          <w:color w:val="auto"/>
        </w:rPr>
      </w:pPr>
    </w:p>
    <w:p>
      <w:pPr>
        <w:ind w:left="600"/>
        <w:spacing w:after="0" w:line="209" w:lineRule="exact"/>
        <w:rPr>
          <w:sz w:val="20"/>
          <w:szCs w:val="20"/>
          <w:color w:val="auto"/>
        </w:rPr>
      </w:pPr>
      <w:r>
        <w:rPr>
          <w:rFonts w:ascii="Courier New" w:cs="Courier New" w:eastAsia="Courier New" w:hAnsi="Courier New"/>
          <w:sz w:val="18"/>
          <w:szCs w:val="18"/>
          <w:color w:val="auto"/>
        </w:rPr>
        <w:t>San Mateo, CA 94403</w:t>
      </w:r>
      <w:r>
        <w:rPr>
          <w:rFonts w:ascii="MS Gothic" w:cs="MS Gothic" w:eastAsia="MS Gothic" w:hAnsi="MS Gothic"/>
          <w:sz w:val="18"/>
          <w:szCs w:val="18"/>
          <w:color w:val="auto"/>
        </w:rPr>
        <w:t>‑</w:t>
      </w:r>
      <w:r>
        <w:rPr>
          <w:rFonts w:ascii="Courier New" w:cs="Courier New" w:eastAsia="Courier New" w:hAnsi="Courier New"/>
          <w:sz w:val="18"/>
          <w:szCs w:val="18"/>
          <w:color w:val="auto"/>
        </w:rPr>
        <w:t>1906</w:t>
      </w:r>
    </w:p>
    <w:p>
      <w:pPr>
        <w:spacing w:after="0" w:line="296" w:lineRule="exact"/>
        <w:rPr>
          <w:sz w:val="20"/>
          <w:szCs w:val="20"/>
          <w:color w:val="auto"/>
        </w:rPr>
      </w:pPr>
    </w:p>
    <w:p>
      <w:pPr>
        <w:ind w:left="660" w:hanging="656"/>
        <w:spacing w:after="0"/>
        <w:tabs>
          <w:tab w:leader="none" w:pos="66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w:t>
      </w:r>
    </w:p>
    <w:p>
      <w:pPr>
        <w:spacing w:after="0" w:line="282" w:lineRule="exact"/>
        <w:rPr>
          <w:sz w:val="20"/>
          <w:szCs w:val="20"/>
          <w:color w:val="auto"/>
        </w:rPr>
      </w:pPr>
    </w:p>
    <w:p>
      <w:pPr>
        <w:ind w:left="600"/>
        <w:spacing w:after="0"/>
        <w:rPr>
          <w:sz w:val="20"/>
          <w:szCs w:val="20"/>
          <w:color w:val="auto"/>
        </w:rPr>
      </w:pPr>
      <w:r>
        <w:rPr>
          <w:rFonts w:ascii="Courier New" w:cs="Courier New" w:eastAsia="Courier New" w:hAnsi="Courier New"/>
          <w:sz w:val="18"/>
          <w:szCs w:val="18"/>
          <w:color w:val="auto"/>
        </w:rPr>
        <w:t>(i): Delaware</w:t>
      </w:r>
    </w:p>
    <w:p>
      <w:pPr>
        <w:spacing w:after="0" w:line="39" w:lineRule="exact"/>
        <w:rPr>
          <w:sz w:val="20"/>
          <w:szCs w:val="20"/>
          <w:color w:val="auto"/>
        </w:rPr>
      </w:pPr>
    </w:p>
    <w:p>
      <w:pPr>
        <w:ind w:left="1140" w:hanging="536"/>
        <w:spacing w:after="0"/>
        <w:tabs>
          <w:tab w:leader="none" w:pos="1140" w:val="left"/>
        </w:tabs>
        <w:numPr>
          <w:ilvl w:val="1"/>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and (iii): USA</w:t>
      </w:r>
    </w:p>
    <w:p>
      <w:pPr>
        <w:spacing w:after="0" w:line="268" w:lineRule="exact"/>
        <w:rPr>
          <w:rFonts w:ascii="Courier New" w:cs="Courier New" w:eastAsia="Courier New" w:hAnsi="Courier New"/>
          <w:sz w:val="18"/>
          <w:szCs w:val="18"/>
          <w:color w:val="auto"/>
        </w:rPr>
      </w:pPr>
    </w:p>
    <w:p>
      <w:pPr>
        <w:ind w:left="660" w:hanging="656"/>
        <w:spacing w:after="0"/>
        <w:tabs>
          <w:tab w:leader="none" w:pos="66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w:t>
      </w:r>
    </w:p>
    <w:p>
      <w:pPr>
        <w:spacing w:after="0" w:line="242" w:lineRule="exact"/>
        <w:rPr>
          <w:sz w:val="20"/>
          <w:szCs w:val="20"/>
          <w:color w:val="auto"/>
        </w:rPr>
      </w:pPr>
    </w:p>
    <w:p>
      <w:pPr>
        <w:ind w:left="600"/>
        <w:spacing w:after="0"/>
        <w:rPr>
          <w:sz w:val="20"/>
          <w:szCs w:val="20"/>
          <w:color w:val="auto"/>
        </w:rPr>
      </w:pPr>
      <w:r>
        <w:rPr>
          <w:rFonts w:ascii="Courier New" w:cs="Courier New" w:eastAsia="Courier New" w:hAnsi="Courier New"/>
          <w:sz w:val="18"/>
          <w:szCs w:val="18"/>
          <w:color w:val="auto"/>
        </w:rPr>
        <w:t>Ordinary Shares — £1.00 par value per share</w:t>
      </w:r>
    </w:p>
    <w:p>
      <w:pPr>
        <w:spacing w:after="0" w:line="230" w:lineRule="exact"/>
        <w:rPr>
          <w:sz w:val="20"/>
          <w:szCs w:val="20"/>
          <w:color w:val="auto"/>
        </w:rPr>
      </w:pPr>
    </w:p>
    <w:p>
      <w:pPr>
        <w:ind w:left="600" w:right="7639" w:hanging="596"/>
        <w:spacing w:after="0" w:line="566" w:lineRule="auto"/>
        <w:tabs>
          <w:tab w:leader="none" w:pos="648" w:val="left"/>
        </w:tabs>
        <w:numPr>
          <w:ilvl w:val="0"/>
          <w:numId w:val="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CUSIP Number G5509L101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-453390</wp:posOffset>
            </wp:positionH>
            <wp:positionV relativeFrom="paragraph">
              <wp:posOffset>184785</wp:posOffset>
            </wp:positionV>
            <wp:extent cx="735901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359015" cy="21590"/>
                    </a:xfrm>
                    <a:prstGeom prst="rect">
                      <a:avLst/>
                    </a:prstGeom>
                    <a:noFill/>
                  </pic:spPr>
                </pic:pic>
              </a:graphicData>
            </a:graphic>
          </wp:anchor>
        </w:drawing>
      </w:r>
    </w:p>
    <w:p>
      <w:pPr>
        <w:sectPr>
          <w:pgSz w:w="11900" w:h="16838" w:orient="portrait"/>
          <w:cols w:equalWidth="0" w:num="1">
            <w:col w:w="9579"/>
          </w:cols>
          <w:pgMar w:left="880" w:top="1285" w:right="1440" w:bottom="1440" w:gutter="0" w:footer="0" w:header="0"/>
        </w:sectPr>
      </w:pPr>
    </w:p>
    <w:bookmarkStart w:id="5" w:name="page6"/>
    <w:bookmarkEnd w:id="5"/>
    <w:p>
      <w:pPr>
        <w:spacing w:after="0"/>
        <w:tabs>
          <w:tab w:leader="none" w:pos="4200" w:val="left"/>
          <w:tab w:leader="none" w:pos="7860" w:val="left"/>
        </w:tabs>
        <w:rPr>
          <w:sz w:val="20"/>
          <w:szCs w:val="20"/>
          <w:color w:val="auto"/>
        </w:rPr>
      </w:pPr>
      <w:r>
        <w:rPr>
          <w:rFonts w:ascii="Courier New" w:cs="Courier New" w:eastAsia="Courier New" w:hAnsi="Courier New"/>
          <w:sz w:val="18"/>
          <w:szCs w:val="18"/>
          <w:color w:val="auto"/>
        </w:rPr>
        <w:t>CUSIP NO. G5509L101</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6 of 13</w:t>
      </w:r>
    </w:p>
    <w:p>
      <w:pPr>
        <w:spacing w:after="0" w:line="200" w:lineRule="exact"/>
        <w:rPr>
          <w:sz w:val="20"/>
          <w:szCs w:val="20"/>
          <w:color w:val="auto"/>
        </w:rPr>
      </w:pPr>
    </w:p>
    <w:p>
      <w:pPr>
        <w:spacing w:after="0" w:line="287" w:lineRule="exact"/>
        <w:rPr>
          <w:sz w:val="20"/>
          <w:szCs w:val="20"/>
          <w:color w:val="auto"/>
        </w:rPr>
      </w:pPr>
    </w:p>
    <w:p>
      <w:pPr>
        <w:ind w:left="1000" w:right="320" w:hanging="999"/>
        <w:spacing w:after="0" w:line="203" w:lineRule="exact"/>
        <w:tabs>
          <w:tab w:leader="none" w:pos="980" w:val="left"/>
        </w:tabs>
        <w:rPr>
          <w:sz w:val="20"/>
          <w:szCs w:val="20"/>
          <w:color w:val="auto"/>
        </w:rPr>
      </w:pPr>
      <w:r>
        <w:rPr>
          <w:rFonts w:ascii="Courier New" w:cs="Courier New" w:eastAsia="Courier New" w:hAnsi="Courier New"/>
          <w:sz w:val="18"/>
          <w:szCs w:val="18"/>
          <w:color w:val="auto"/>
        </w:rPr>
        <w:t>Item 3.</w:t>
        <w:tab/>
        <w:t>If this statement is filed pursuant to §§240.13d</w:t>
      </w:r>
      <w:r>
        <w:rPr>
          <w:rFonts w:ascii="MS Gothic" w:cs="MS Gothic" w:eastAsia="MS Gothic" w:hAnsi="MS Gothic"/>
          <w:sz w:val="18"/>
          <w:szCs w:val="18"/>
          <w:color w:val="auto"/>
        </w:rPr>
        <w:t>‑</w:t>
      </w:r>
      <w:r>
        <w:rPr>
          <w:rFonts w:ascii="Courier New" w:cs="Courier New" w:eastAsia="Courier New" w:hAnsi="Courier New"/>
          <w:sz w:val="18"/>
          <w:szCs w:val="18"/>
          <w:color w:val="auto"/>
        </w:rPr>
        <w:t>1(b) or 240.13d</w:t>
      </w:r>
      <w:r>
        <w:rPr>
          <w:rFonts w:ascii="MS Gothic" w:cs="MS Gothic" w:eastAsia="MS Gothic" w:hAnsi="MS Gothic"/>
          <w:sz w:val="18"/>
          <w:szCs w:val="18"/>
          <w:color w:val="auto"/>
        </w:rPr>
        <w:t>‑</w:t>
      </w:r>
      <w:r>
        <w:rPr>
          <w:rFonts w:ascii="Courier New" w:cs="Courier New" w:eastAsia="Courier New" w:hAnsi="Courier New"/>
          <w:sz w:val="18"/>
          <w:szCs w:val="18"/>
          <w:color w:val="auto"/>
        </w:rPr>
        <w:t>2(b) or (c), check whether the person filing is a:</w:t>
      </w:r>
    </w:p>
    <w:p>
      <w:pPr>
        <w:spacing w:after="0" w:line="242" w:lineRule="exact"/>
        <w:rPr>
          <w:sz w:val="20"/>
          <w:szCs w:val="20"/>
          <w:color w:val="auto"/>
        </w:rPr>
      </w:pPr>
    </w:p>
    <w:p>
      <w:pPr>
        <w:ind w:left="1140" w:hanging="436"/>
        <w:spacing w:after="0"/>
        <w:tabs>
          <w:tab w:leader="none" w:pos="114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 (15 U.S.C. 78o).</w:t>
      </w:r>
    </w:p>
    <w:p>
      <w:pPr>
        <w:spacing w:after="0" w:line="241" w:lineRule="exact"/>
        <w:rPr>
          <w:rFonts w:ascii="Courier New" w:cs="Courier New" w:eastAsia="Courier New" w:hAnsi="Courier New"/>
          <w:sz w:val="18"/>
          <w:szCs w:val="18"/>
          <w:color w:val="auto"/>
        </w:rPr>
      </w:pPr>
    </w:p>
    <w:p>
      <w:pPr>
        <w:ind w:left="1140" w:hanging="436"/>
        <w:spacing w:after="0"/>
        <w:tabs>
          <w:tab w:leader="none" w:pos="114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 (15 U.S.C. 78c).</w:t>
      </w:r>
    </w:p>
    <w:p>
      <w:pPr>
        <w:spacing w:after="0" w:line="241" w:lineRule="exact"/>
        <w:rPr>
          <w:rFonts w:ascii="Courier New" w:cs="Courier New" w:eastAsia="Courier New" w:hAnsi="Courier New"/>
          <w:sz w:val="18"/>
          <w:szCs w:val="18"/>
          <w:color w:val="auto"/>
        </w:rPr>
      </w:pPr>
    </w:p>
    <w:p>
      <w:pPr>
        <w:ind w:left="1140" w:hanging="436"/>
        <w:spacing w:after="0"/>
        <w:tabs>
          <w:tab w:leader="none" w:pos="114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 (15 U.S.C. 78c)</w:t>
      </w:r>
    </w:p>
    <w:p>
      <w:pPr>
        <w:spacing w:after="0" w:line="243" w:lineRule="exact"/>
        <w:rPr>
          <w:rFonts w:ascii="Courier New" w:cs="Courier New" w:eastAsia="Courier New" w:hAnsi="Courier New"/>
          <w:sz w:val="18"/>
          <w:szCs w:val="18"/>
          <w:color w:val="auto"/>
        </w:rPr>
      </w:pPr>
    </w:p>
    <w:p>
      <w:pPr>
        <w:ind w:left="1500" w:right="60" w:hanging="796"/>
        <w:spacing w:after="0" w:line="203" w:lineRule="exact"/>
        <w:tabs>
          <w:tab w:leader="none" w:pos="1132"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 of 1940 (15 U.S.C 80a</w:t>
      </w:r>
      <w:r>
        <w:rPr>
          <w:rFonts w:ascii="MS Gothic" w:cs="MS Gothic" w:eastAsia="MS Gothic" w:hAnsi="MS Gothic"/>
          <w:sz w:val="18"/>
          <w:szCs w:val="18"/>
          <w:color w:val="auto"/>
        </w:rPr>
        <w:t>‑</w:t>
      </w:r>
      <w:r>
        <w:rPr>
          <w:rFonts w:ascii="Courier New" w:cs="Courier New" w:eastAsia="Courier New" w:hAnsi="Courier New"/>
          <w:sz w:val="18"/>
          <w:szCs w:val="18"/>
          <w:color w:val="auto"/>
        </w:rPr>
        <w:t>8).</w:t>
      </w:r>
    </w:p>
    <w:p>
      <w:pPr>
        <w:spacing w:after="0" w:line="237" w:lineRule="exact"/>
        <w:rPr>
          <w:rFonts w:ascii="Courier New" w:cs="Courier New" w:eastAsia="Courier New" w:hAnsi="Courier New"/>
          <w:sz w:val="18"/>
          <w:szCs w:val="18"/>
          <w:color w:val="auto"/>
        </w:rPr>
      </w:pPr>
    </w:p>
    <w:p>
      <w:pPr>
        <w:ind w:left="1140" w:hanging="436"/>
        <w:spacing w:after="0" w:line="209" w:lineRule="exact"/>
        <w:tabs>
          <w:tab w:leader="none" w:pos="114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investment adviser in accordance with §240.13d</w:t>
      </w:r>
      <w:r>
        <w:rPr>
          <w:rFonts w:ascii="MS Gothic" w:cs="MS Gothic" w:eastAsia="MS Gothic" w:hAnsi="MS Gothic"/>
          <w:sz w:val="18"/>
          <w:szCs w:val="18"/>
          <w:color w:val="auto"/>
        </w:rPr>
        <w:t>‑</w:t>
      </w:r>
      <w:r>
        <w:rPr>
          <w:rFonts w:ascii="Courier New" w:cs="Courier New" w:eastAsia="Courier New" w:hAnsi="Courier New"/>
          <w:sz w:val="18"/>
          <w:szCs w:val="18"/>
          <w:color w:val="auto"/>
        </w:rPr>
        <w:t>1(b)(1)(ii)(E);</w:t>
      </w:r>
    </w:p>
    <w:p>
      <w:pPr>
        <w:spacing w:after="0" w:line="236" w:lineRule="exact"/>
        <w:rPr>
          <w:rFonts w:ascii="Courier New" w:cs="Courier New" w:eastAsia="Courier New" w:hAnsi="Courier New"/>
          <w:sz w:val="18"/>
          <w:szCs w:val="18"/>
          <w:color w:val="auto"/>
        </w:rPr>
      </w:pPr>
    </w:p>
    <w:p>
      <w:pPr>
        <w:ind w:left="1140" w:hanging="436"/>
        <w:spacing w:after="0" w:line="209" w:lineRule="exact"/>
        <w:tabs>
          <w:tab w:leader="none" w:pos="114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employee benefit plan or endowment fund in accordance with §240.13d</w:t>
      </w:r>
      <w:r>
        <w:rPr>
          <w:rFonts w:ascii="MS Gothic" w:cs="MS Gothic" w:eastAsia="MS Gothic" w:hAnsi="MS Gothic"/>
          <w:sz w:val="18"/>
          <w:szCs w:val="18"/>
          <w:color w:val="auto"/>
        </w:rPr>
        <w:t>‑</w:t>
      </w:r>
      <w:r>
        <w:rPr>
          <w:rFonts w:ascii="Courier New" w:cs="Courier New" w:eastAsia="Courier New" w:hAnsi="Courier New"/>
          <w:sz w:val="18"/>
          <w:szCs w:val="18"/>
          <w:color w:val="auto"/>
        </w:rPr>
        <w:t>1(b)</w:t>
      </w:r>
    </w:p>
    <w:p>
      <w:pPr>
        <w:ind w:left="15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(1)(ii)(F);</w:t>
      </w:r>
    </w:p>
    <w:p>
      <w:pPr>
        <w:spacing w:after="0" w:line="237" w:lineRule="exact"/>
        <w:rPr>
          <w:rFonts w:ascii="Courier New" w:cs="Courier New" w:eastAsia="Courier New" w:hAnsi="Courier New"/>
          <w:sz w:val="18"/>
          <w:szCs w:val="18"/>
          <w:color w:val="auto"/>
        </w:rPr>
      </w:pPr>
    </w:p>
    <w:p>
      <w:pPr>
        <w:ind w:left="1140" w:hanging="436"/>
        <w:spacing w:after="0" w:line="209" w:lineRule="exact"/>
        <w:tabs>
          <w:tab w:leader="none" w:pos="114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 parent holding company or control person in accordance with §240.13d</w:t>
      </w:r>
      <w:r>
        <w:rPr>
          <w:rFonts w:ascii="MS Gothic" w:cs="MS Gothic" w:eastAsia="MS Gothic" w:hAnsi="MS Gothic"/>
          <w:sz w:val="18"/>
          <w:szCs w:val="18"/>
          <w:color w:val="auto"/>
        </w:rPr>
        <w:t>‑</w:t>
      </w:r>
      <w:r>
        <w:rPr>
          <w:rFonts w:ascii="Courier New" w:cs="Courier New" w:eastAsia="Courier New" w:hAnsi="Courier New"/>
          <w:sz w:val="18"/>
          <w:szCs w:val="18"/>
          <w:color w:val="auto"/>
        </w:rPr>
        <w:t>1(b)</w:t>
      </w:r>
    </w:p>
    <w:p>
      <w:pPr>
        <w:ind w:left="15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(1)(ii)(G);</w:t>
      </w:r>
    </w:p>
    <w:p>
      <w:pPr>
        <w:spacing w:after="0" w:line="243" w:lineRule="exact"/>
        <w:rPr>
          <w:rFonts w:ascii="Courier New" w:cs="Courier New" w:eastAsia="Courier New" w:hAnsi="Courier New"/>
          <w:sz w:val="18"/>
          <w:szCs w:val="18"/>
          <w:color w:val="auto"/>
        </w:rPr>
      </w:pPr>
    </w:p>
    <w:p>
      <w:pPr>
        <w:ind w:left="1500" w:right="380" w:hanging="796"/>
        <w:spacing w:after="0" w:line="237" w:lineRule="auto"/>
        <w:tabs>
          <w:tab w:leader="none" w:pos="1132"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line="245" w:lineRule="exact"/>
        <w:rPr>
          <w:rFonts w:ascii="Courier New" w:cs="Courier New" w:eastAsia="Courier New" w:hAnsi="Courier New"/>
          <w:sz w:val="18"/>
          <w:szCs w:val="18"/>
          <w:color w:val="auto"/>
        </w:rPr>
      </w:pPr>
    </w:p>
    <w:p>
      <w:pPr>
        <w:ind w:left="1500" w:right="60" w:hanging="796"/>
        <w:spacing w:after="0" w:line="203" w:lineRule="exact"/>
        <w:tabs>
          <w:tab w:leader="none" w:pos="1132"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 investment company under section 3(c)(14) of the Investment Company Act of 1940 (15 U.S.C. 80a</w:t>
      </w:r>
      <w:r>
        <w:rPr>
          <w:rFonts w:ascii="MS Gothic" w:cs="MS Gothic" w:eastAsia="MS Gothic" w:hAnsi="MS Gothic"/>
          <w:sz w:val="18"/>
          <w:szCs w:val="18"/>
          <w:color w:val="auto"/>
        </w:rPr>
        <w:t>‑</w:t>
      </w:r>
      <w:r>
        <w:rPr>
          <w:rFonts w:ascii="Courier New" w:cs="Courier New" w:eastAsia="Courier New" w:hAnsi="Courier New"/>
          <w:sz w:val="18"/>
          <w:szCs w:val="18"/>
          <w:color w:val="auto"/>
        </w:rPr>
        <w:t>3);</w:t>
      </w:r>
    </w:p>
    <w:p>
      <w:pPr>
        <w:spacing w:after="0" w:line="34" w:lineRule="exact"/>
        <w:rPr>
          <w:rFonts w:ascii="Courier New" w:cs="Courier New" w:eastAsia="Courier New" w:hAnsi="Courier New"/>
          <w:sz w:val="18"/>
          <w:szCs w:val="18"/>
          <w:color w:val="auto"/>
        </w:rPr>
      </w:pPr>
    </w:p>
    <w:p>
      <w:pPr>
        <w:ind w:left="1140" w:hanging="436"/>
        <w:spacing w:after="0" w:line="209" w:lineRule="exact"/>
        <w:tabs>
          <w:tab w:leader="none" w:pos="114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non</w:t>
      </w:r>
      <w:r>
        <w:rPr>
          <w:rFonts w:ascii="MS Gothic" w:cs="MS Gothic" w:eastAsia="MS Gothic" w:hAnsi="MS Gothic"/>
          <w:sz w:val="18"/>
          <w:szCs w:val="18"/>
          <w:color w:val="auto"/>
        </w:rPr>
        <w:t>‑</w:t>
      </w:r>
      <w:r>
        <w:rPr>
          <w:rFonts w:ascii="Courier New" w:cs="Courier New" w:eastAsia="Courier New" w:hAnsi="Courier New"/>
          <w:sz w:val="18"/>
          <w:szCs w:val="18"/>
          <w:color w:val="auto"/>
        </w:rPr>
        <w:t>U.S. institution in accordance with §240.13d</w:t>
      </w:r>
      <w:r>
        <w:rPr>
          <w:rFonts w:ascii="MS Gothic" w:cs="MS Gothic" w:eastAsia="MS Gothic" w:hAnsi="MS Gothic"/>
          <w:sz w:val="18"/>
          <w:szCs w:val="18"/>
          <w:color w:val="auto"/>
        </w:rPr>
        <w:t>‑</w:t>
      </w:r>
      <w:r>
        <w:rPr>
          <w:rFonts w:ascii="Courier New" w:cs="Courier New" w:eastAsia="Courier New" w:hAnsi="Courier New"/>
          <w:sz w:val="18"/>
          <w:szCs w:val="18"/>
          <w:color w:val="auto"/>
        </w:rPr>
        <w:t>1(b)(ii)(J);</w:t>
      </w:r>
    </w:p>
    <w:p>
      <w:pPr>
        <w:spacing w:after="0" w:line="263" w:lineRule="exact"/>
        <w:rPr>
          <w:rFonts w:ascii="Courier New" w:cs="Courier New" w:eastAsia="Courier New" w:hAnsi="Courier New"/>
          <w:sz w:val="18"/>
          <w:szCs w:val="18"/>
          <w:color w:val="auto"/>
        </w:rPr>
      </w:pPr>
    </w:p>
    <w:p>
      <w:pPr>
        <w:ind w:left="1140" w:hanging="436"/>
        <w:spacing w:after="0" w:line="209" w:lineRule="exact"/>
        <w:tabs>
          <w:tab w:leader="none" w:pos="114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§240.13d</w:t>
      </w:r>
      <w:r>
        <w:rPr>
          <w:rFonts w:ascii="MS Gothic" w:cs="MS Gothic" w:eastAsia="MS Gothic" w:hAnsi="MS Gothic"/>
          <w:sz w:val="18"/>
          <w:szCs w:val="18"/>
          <w:color w:val="auto"/>
        </w:rPr>
        <w:t>‑</w:t>
      </w:r>
      <w:r>
        <w:rPr>
          <w:rFonts w:ascii="Courier New" w:cs="Courier New" w:eastAsia="Courier New" w:hAnsi="Courier New"/>
          <w:sz w:val="18"/>
          <w:szCs w:val="18"/>
          <w:color w:val="auto"/>
        </w:rPr>
        <w:t>1(b)(1)(ii)(K).</w:t>
      </w:r>
    </w:p>
    <w:p>
      <w:pPr>
        <w:spacing w:after="0" w:line="244" w:lineRule="exact"/>
        <w:rPr>
          <w:sz w:val="20"/>
          <w:szCs w:val="20"/>
          <w:color w:val="auto"/>
        </w:rPr>
      </w:pPr>
    </w:p>
    <w:p>
      <w:pPr>
        <w:ind w:left="700" w:right="480"/>
        <w:spacing w:after="0" w:line="203" w:lineRule="exact"/>
        <w:rPr>
          <w:sz w:val="20"/>
          <w:szCs w:val="20"/>
          <w:color w:val="auto"/>
        </w:rPr>
      </w:pPr>
      <w:r>
        <w:rPr>
          <w:rFonts w:ascii="Courier New" w:cs="Courier New" w:eastAsia="Courier New" w:hAnsi="Courier New"/>
          <w:sz w:val="18"/>
          <w:szCs w:val="18"/>
          <w:color w:val="auto"/>
        </w:rPr>
        <w:t>If filing as a non</w:t>
      </w:r>
      <w:r>
        <w:rPr>
          <w:rFonts w:ascii="MS Gothic" w:cs="MS Gothic" w:eastAsia="MS Gothic" w:hAnsi="MS Gothic"/>
          <w:sz w:val="18"/>
          <w:szCs w:val="18"/>
          <w:color w:val="auto"/>
        </w:rPr>
        <w:t>‑</w:t>
      </w:r>
      <w:r>
        <w:rPr>
          <w:rFonts w:ascii="Courier New" w:cs="Courier New" w:eastAsia="Courier New" w:hAnsi="Courier New"/>
          <w:sz w:val="18"/>
          <w:szCs w:val="18"/>
          <w:color w:val="auto"/>
        </w:rPr>
        <w:t>U.S. institution in accordance with §240.13d</w:t>
      </w:r>
      <w:r>
        <w:rPr>
          <w:rFonts w:ascii="MS Gothic" w:cs="MS Gothic" w:eastAsia="MS Gothic" w:hAnsi="MS Gothic"/>
          <w:sz w:val="18"/>
          <w:szCs w:val="18"/>
          <w:color w:val="auto"/>
        </w:rPr>
        <w:t>‑</w:t>
      </w:r>
      <w:r>
        <w:rPr>
          <w:rFonts w:ascii="Courier New" w:cs="Courier New" w:eastAsia="Courier New" w:hAnsi="Courier New"/>
          <w:sz w:val="18"/>
          <w:szCs w:val="18"/>
          <w:color w:val="auto"/>
        </w:rPr>
        <w:t>1(b)(1)(ii)(J), please specify the type of institution:</w:t>
      </w:r>
    </w:p>
    <w:p>
      <w:pPr>
        <w:spacing w:after="0" w:line="200" w:lineRule="exact"/>
        <w:rPr>
          <w:sz w:val="20"/>
          <w:szCs w:val="20"/>
          <w:color w:val="auto"/>
        </w:rPr>
      </w:pPr>
    </w:p>
    <w:p>
      <w:pPr>
        <w:spacing w:after="0" w:line="285"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7"/>
          <w:szCs w:val="17"/>
          <w:color w:val="auto"/>
        </w:rPr>
        <w:t>Ownership</w:t>
      </w:r>
    </w:p>
    <w:p>
      <w:pPr>
        <w:spacing w:after="0" w:line="244" w:lineRule="exact"/>
        <w:rPr>
          <w:sz w:val="20"/>
          <w:szCs w:val="20"/>
          <w:color w:val="auto"/>
        </w:rPr>
      </w:pPr>
    </w:p>
    <w:p>
      <w:pPr>
        <w:spacing w:after="0" w:line="203" w:lineRule="exact"/>
        <w:rPr>
          <w:sz w:val="20"/>
          <w:szCs w:val="20"/>
          <w:color w:val="auto"/>
        </w:rPr>
      </w:pPr>
      <w:r>
        <w:rPr>
          <w:rFonts w:ascii="Courier New" w:cs="Courier New" w:eastAsia="Courier New" w:hAnsi="Courier New"/>
          <w:sz w:val="18"/>
          <w:szCs w:val="18"/>
          <w:color w:val="auto"/>
        </w:rPr>
        <w:t xml:space="preserve">The securities reported herein are beneficially owned by one or more open </w:t>
      </w:r>
      <w:r>
        <w:rPr>
          <w:rFonts w:ascii="MS Gothic" w:cs="MS Gothic" w:eastAsia="MS Gothic" w:hAnsi="MS Gothic"/>
          <w:sz w:val="18"/>
          <w:szCs w:val="18"/>
          <w:color w:val="auto"/>
        </w:rPr>
        <w:t>‑</w:t>
      </w:r>
      <w:r>
        <w:rPr>
          <w:rFonts w:ascii="Courier New" w:cs="Courier New" w:eastAsia="Courier New" w:hAnsi="Courier New"/>
          <w:sz w:val="18"/>
          <w:szCs w:val="18"/>
          <w:color w:val="auto"/>
        </w:rPr>
        <w:t xml:space="preserve"> or closed </w:t>
      </w:r>
      <w:r>
        <w:rPr>
          <w:rFonts w:ascii="MS Gothic" w:cs="MS Gothic" w:eastAsia="MS Gothic" w:hAnsi="MS Gothic"/>
          <w:sz w:val="18"/>
          <w:szCs w:val="18"/>
          <w:color w:val="auto"/>
        </w:rPr>
        <w:t>‑</w:t>
      </w:r>
      <w:r>
        <w:rPr>
          <w:rFonts w:ascii="Courier New" w:cs="Courier New" w:eastAsia="Courier New" w:hAnsi="Courier New"/>
          <w:sz w:val="18"/>
          <w:szCs w:val="18"/>
          <w:color w:val="auto"/>
        </w:rPr>
        <w:t xml:space="preserve"> end investment companies or other managed accounts that are investment management clients of investment managers that are direct and indirect subsidiaries (each, an “Investment Management Subsidiary” and, collectively, the “Investment Management Subsidiaries”) of Franklin Resources, Inc.(“FRI”), including the Investment Management Subsidiaries listed in this Item 4. When an investment management contract (including a sub</w:t>
      </w:r>
      <w:r>
        <w:rPr>
          <w:rFonts w:ascii="MS Gothic" w:cs="MS Gothic" w:eastAsia="MS Gothic" w:hAnsi="MS Gothic"/>
          <w:sz w:val="18"/>
          <w:szCs w:val="18"/>
          <w:color w:val="auto"/>
        </w:rPr>
        <w:t>‑</w:t>
      </w:r>
      <w:r>
        <w:rPr>
          <w:rFonts w:ascii="Courier New" w:cs="Courier New" w:eastAsia="Courier New" w:hAnsi="Courier New"/>
          <w:sz w:val="18"/>
          <w:szCs w:val="18"/>
          <w:color w:val="auto"/>
        </w:rPr>
        <w:t>advisory agreement) delegates to an Investment Management Subsidiary investment discretion or voting power over the securities held in the investment advisory accounts that are subject to that agreement, FRI treats the Investment Management Subsidiary as having sole investment discretion or voting authority, as the case may be, unless the agreement specifies otherwise. Accordingly, each Investment Management Subsidiary reports on Schedule 13G that it has sole investment discretion and voting authority over the securities covered by any such investment management agreement, unless otherwise noted in this Item 4. As a result, for purposes of Rule 13d</w:t>
      </w:r>
      <w:r>
        <w:rPr>
          <w:rFonts w:ascii="MS Gothic" w:cs="MS Gothic" w:eastAsia="MS Gothic" w:hAnsi="MS Gothic"/>
          <w:sz w:val="18"/>
          <w:szCs w:val="18"/>
          <w:color w:val="auto"/>
        </w:rPr>
        <w:t>‑</w:t>
      </w:r>
      <w:r>
        <w:rPr>
          <w:rFonts w:ascii="Courier New" w:cs="Courier New" w:eastAsia="Courier New" w:hAnsi="Courier New"/>
          <w:sz w:val="18"/>
          <w:szCs w:val="18"/>
          <w:color w:val="auto"/>
        </w:rPr>
        <w:t>3 under the Act, the Investment Management Subsidiaries listed in this Item 4 may be deemed to be the beneficial owners of the securities reported in this Schedule 13G.</w:t>
      </w:r>
    </w:p>
    <w:p>
      <w:pPr>
        <w:spacing w:after="0" w:line="200" w:lineRule="exact"/>
        <w:rPr>
          <w:sz w:val="20"/>
          <w:szCs w:val="20"/>
          <w:color w:val="auto"/>
        </w:rPr>
      </w:pPr>
    </w:p>
    <w:p>
      <w:pPr>
        <w:spacing w:after="0" w:line="290" w:lineRule="exact"/>
        <w:rPr>
          <w:sz w:val="20"/>
          <w:szCs w:val="20"/>
          <w:color w:val="auto"/>
        </w:rPr>
      </w:pPr>
    </w:p>
    <w:p>
      <w:pPr>
        <w:spacing w:after="0" w:line="203" w:lineRule="exact"/>
        <w:rPr>
          <w:sz w:val="20"/>
          <w:szCs w:val="20"/>
          <w:color w:val="auto"/>
        </w:rPr>
      </w:pPr>
      <w:r>
        <w:rPr>
          <w:rFonts w:ascii="Courier New" w:cs="Courier New" w:eastAsia="Courier New" w:hAnsi="Courier New"/>
          <w:sz w:val="18"/>
          <w:szCs w:val="18"/>
          <w:color w:val="auto"/>
        </w:rPr>
        <w:t>Beneficial ownership by Investment Management Subsidiaries and other FRI affiliates is being reported in conformity with the guidelines articulated by the SEC staff in Release No. 34</w:t>
      </w:r>
      <w:r>
        <w:rPr>
          <w:rFonts w:ascii="MS Gothic" w:cs="MS Gothic" w:eastAsia="MS Gothic" w:hAnsi="MS Gothic"/>
          <w:sz w:val="18"/>
          <w:szCs w:val="18"/>
          <w:color w:val="auto"/>
        </w:rPr>
        <w:t>‑</w:t>
      </w:r>
      <w:r>
        <w:rPr>
          <w:rFonts w:ascii="Courier New" w:cs="Courier New" w:eastAsia="Courier New" w:hAnsi="Courier New"/>
          <w:sz w:val="18"/>
          <w:szCs w:val="18"/>
          <w:color w:val="auto"/>
        </w:rPr>
        <w:t>39538 (January 12, 1998) relating to organizations, such as FRI, where related entities exercise voting and investment powers over the securities being reported independently from each other. The voting and investment powers held by Franklin Mutual Advisers, LLC (“FMA”), an indirect wholly</w:t>
      </w:r>
      <w:r>
        <w:rPr>
          <w:rFonts w:ascii="MS Gothic" w:cs="MS Gothic" w:eastAsia="MS Gothic" w:hAnsi="MS Gothic"/>
          <w:sz w:val="18"/>
          <w:szCs w:val="18"/>
          <w:color w:val="auto"/>
        </w:rPr>
        <w:t>‑</w:t>
      </w:r>
      <w:r>
        <w:rPr>
          <w:rFonts w:ascii="Courier New" w:cs="Courier New" w:eastAsia="Courier New" w:hAnsi="Courier New"/>
          <w:sz w:val="18"/>
          <w:szCs w:val="18"/>
          <w:color w:val="auto"/>
        </w:rPr>
        <w:t>owned Investment Management Subsidiary, are exercised independently from FRI and from all other Investment Management Subsidiaries (FRI, its affiliates and the Investment Management Subsidiaries other than FMA are collectively, “FRI affiliates”). Furthermore, internal policies and procedures of FMA and FRI establish informational barriers that prevent the flow between FMA and the FRI affiliates of information that relates to the voting and investment powers over the securities owned by their respective investment management clients. Consequently, FMA and the FRI affiliates report the securities over which they hold investment and voting power separately from each other for purposes of Section 13 of the Act.</w:t>
      </w:r>
    </w:p>
    <w:p>
      <w:pPr>
        <w:sectPr>
          <w:pgSz w:w="11900" w:h="16838" w:orient="portrait"/>
          <w:cols w:equalWidth="0" w:num="1">
            <w:col w:w="9720"/>
          </w:cols>
          <w:pgMar w:left="880" w:top="1244" w:right="1299" w:bottom="0" w:gutter="0" w:footer="0" w:header="0"/>
        </w:sectPr>
      </w:pPr>
    </w:p>
    <w:bookmarkStart w:id="6" w:name="page7"/>
    <w:bookmarkEnd w:id="6"/>
    <w:p>
      <w:pPr>
        <w:spacing w:after="0" w:line="20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104775</wp:posOffset>
            </wp:positionH>
            <wp:positionV relativeFrom="page">
              <wp:posOffset>181610</wp:posOffset>
            </wp:positionV>
            <wp:extent cx="7359015" cy="20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359015" cy="209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tabs>
          <w:tab w:leader="none" w:pos="4200" w:val="left"/>
          <w:tab w:leader="none" w:pos="7860" w:val="left"/>
        </w:tabs>
        <w:rPr>
          <w:sz w:val="20"/>
          <w:szCs w:val="20"/>
          <w:color w:val="auto"/>
        </w:rPr>
      </w:pPr>
      <w:r>
        <w:rPr>
          <w:rFonts w:ascii="Courier New" w:cs="Courier New" w:eastAsia="Courier New" w:hAnsi="Courier New"/>
          <w:sz w:val="18"/>
          <w:szCs w:val="18"/>
          <w:color w:val="auto"/>
        </w:rPr>
        <w:t>CUSIP NO. G5509L101</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7 of 13</w:t>
      </w:r>
    </w:p>
    <w:p>
      <w:pPr>
        <w:spacing w:after="0" w:line="200" w:lineRule="exact"/>
        <w:rPr>
          <w:sz w:val="20"/>
          <w:szCs w:val="20"/>
          <w:color w:val="auto"/>
        </w:rPr>
      </w:pPr>
    </w:p>
    <w:p>
      <w:pPr>
        <w:spacing w:after="0" w:line="287" w:lineRule="exact"/>
        <w:rPr>
          <w:sz w:val="20"/>
          <w:szCs w:val="20"/>
          <w:color w:val="auto"/>
        </w:rPr>
      </w:pPr>
    </w:p>
    <w:p>
      <w:pPr>
        <w:spacing w:after="0" w:line="203" w:lineRule="exact"/>
        <w:rPr>
          <w:sz w:val="20"/>
          <w:szCs w:val="20"/>
          <w:color w:val="auto"/>
        </w:rPr>
      </w:pPr>
      <w:r>
        <w:rPr>
          <w:rFonts w:ascii="Courier New" w:cs="Courier New" w:eastAsia="Courier New" w:hAnsi="Courier New"/>
          <w:sz w:val="18"/>
          <w:szCs w:val="18"/>
          <w:color w:val="auto"/>
        </w:rPr>
        <w:t>Charles B. Johnson and Rupert H. Johnson, Jr. (the “Principal Shareholders”) each own in excess of 10% of the outstanding common stock of FRI and are the principal stockholders of FRI. FRI and the Principal Shareholders may be deemed to be, for purposes of Rule 13d</w:t>
      </w:r>
      <w:r>
        <w:rPr>
          <w:rFonts w:ascii="MS Gothic" w:cs="MS Gothic" w:eastAsia="MS Gothic" w:hAnsi="MS Gothic"/>
          <w:sz w:val="18"/>
          <w:szCs w:val="18"/>
          <w:color w:val="auto"/>
        </w:rPr>
        <w:t>‑</w:t>
      </w:r>
      <w:r>
        <w:rPr>
          <w:rFonts w:ascii="Courier New" w:cs="Courier New" w:eastAsia="Courier New" w:hAnsi="Courier New"/>
          <w:sz w:val="18"/>
          <w:szCs w:val="18"/>
          <w:color w:val="auto"/>
        </w:rPr>
        <w:t>3 under the Act, the beneficial owners of securities held by persons and entities for whom or for which FRI subsidiaries provide investment management services. The number of shares that may be deemed to be beneficially owned and the percentage of the class of which such shares are a part are reported in Items 9 and 11 of the cover pages for FRI and each of the Principal Shareholders. FRI, the Principal Shareholders and each of the Investment Management Subsidiaries disclaim any pecuniary interest in any of such securities. In addition, the filing of this Schedule 13G on behalf of the Principal Shareholders, FRI and the FRI affiliates, as applicable, should not be construed as an admission that any of them is, and each of them disclaims that it is, the beneficial owner, as defined in Rule 13d</w:t>
      </w:r>
      <w:r>
        <w:rPr>
          <w:rFonts w:ascii="MS Gothic" w:cs="MS Gothic" w:eastAsia="MS Gothic" w:hAnsi="MS Gothic"/>
          <w:sz w:val="18"/>
          <w:szCs w:val="18"/>
          <w:color w:val="auto"/>
        </w:rPr>
        <w:t>‑</w:t>
      </w:r>
      <w:r>
        <w:rPr>
          <w:rFonts w:ascii="Courier New" w:cs="Courier New" w:eastAsia="Courier New" w:hAnsi="Courier New"/>
          <w:sz w:val="18"/>
          <w:szCs w:val="18"/>
          <w:color w:val="auto"/>
        </w:rPr>
        <w:t>3, of any of the securities reported in this Schedule 13G.</w:t>
      </w:r>
    </w:p>
    <w:p>
      <w:pPr>
        <w:spacing w:after="0" w:line="200" w:lineRule="exact"/>
        <w:rPr>
          <w:sz w:val="20"/>
          <w:szCs w:val="20"/>
          <w:color w:val="auto"/>
        </w:rPr>
      </w:pPr>
    </w:p>
    <w:p>
      <w:pPr>
        <w:spacing w:after="0" w:line="291" w:lineRule="exact"/>
        <w:rPr>
          <w:sz w:val="20"/>
          <w:szCs w:val="20"/>
          <w:color w:val="auto"/>
        </w:rPr>
      </w:pPr>
    </w:p>
    <w:p>
      <w:pPr>
        <w:ind w:right="100"/>
        <w:spacing w:after="0" w:line="203" w:lineRule="exact"/>
        <w:rPr>
          <w:sz w:val="20"/>
          <w:szCs w:val="20"/>
          <w:color w:val="auto"/>
        </w:rPr>
      </w:pPr>
      <w:r>
        <w:rPr>
          <w:rFonts w:ascii="Courier New" w:cs="Courier New" w:eastAsia="Courier New" w:hAnsi="Courier New"/>
          <w:sz w:val="18"/>
          <w:szCs w:val="18"/>
          <w:color w:val="auto"/>
        </w:rPr>
        <w:t>FRI, the Principal Shareholders, and each of the Investment Management Subsidiaries believe that they are not a “group” within the meaning of Rule 13d</w:t>
      </w:r>
      <w:r>
        <w:rPr>
          <w:rFonts w:ascii="MS Gothic" w:cs="MS Gothic" w:eastAsia="MS Gothic" w:hAnsi="MS Gothic"/>
          <w:sz w:val="18"/>
          <w:szCs w:val="18"/>
          <w:color w:val="auto"/>
        </w:rPr>
        <w:t>‑</w:t>
      </w:r>
      <w:r>
        <w:rPr>
          <w:rFonts w:ascii="Courier New" w:cs="Courier New" w:eastAsia="Courier New" w:hAnsi="Courier New"/>
          <w:sz w:val="18"/>
          <w:szCs w:val="18"/>
          <w:color w:val="auto"/>
        </w:rPr>
        <w:t>5 under the Act and that they are not otherwise required to attribute to each other the beneficial ownership of the securities held by any of them or by any persons or entities for whom or for which the Investment Management Subsidiaries provide investment management services.</w:t>
      </w:r>
    </w:p>
    <w:p>
      <w:pPr>
        <w:spacing w:after="0" w:line="244" w:lineRule="exact"/>
        <w:rPr>
          <w:sz w:val="20"/>
          <w:szCs w:val="20"/>
          <w:color w:val="auto"/>
        </w:rPr>
      </w:pPr>
    </w:p>
    <w:p>
      <w:pPr>
        <w:ind w:left="1320" w:right="5560" w:hanging="716"/>
        <w:spacing w:after="0" w:line="516" w:lineRule="auto"/>
        <w:tabs>
          <w:tab w:leader="none" w:pos="1368"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1,808,724</w:t>
      </w:r>
    </w:p>
    <w:p>
      <w:pPr>
        <w:ind w:left="1360" w:hanging="756"/>
        <w:spacing w:after="0"/>
        <w:tabs>
          <w:tab w:leader="none" w:pos="136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242" w:lineRule="exact"/>
        <w:rPr>
          <w:sz w:val="20"/>
          <w:szCs w:val="20"/>
          <w:color w:val="auto"/>
        </w:rPr>
      </w:pPr>
    </w:p>
    <w:p>
      <w:pPr>
        <w:ind w:left="1300"/>
        <w:spacing w:after="0"/>
        <w:rPr>
          <w:sz w:val="20"/>
          <w:szCs w:val="20"/>
          <w:color w:val="auto"/>
        </w:rPr>
      </w:pPr>
      <w:r>
        <w:rPr>
          <w:rFonts w:ascii="Courier New" w:cs="Courier New" w:eastAsia="Courier New" w:hAnsi="Courier New"/>
          <w:sz w:val="18"/>
          <w:szCs w:val="18"/>
          <w:color w:val="auto"/>
        </w:rPr>
        <w:t>3.7%</w:t>
      </w:r>
    </w:p>
    <w:p>
      <w:pPr>
        <w:spacing w:after="0" w:line="228" w:lineRule="exact"/>
        <w:rPr>
          <w:sz w:val="20"/>
          <w:szCs w:val="20"/>
          <w:color w:val="auto"/>
        </w:rPr>
      </w:pPr>
    </w:p>
    <w:p>
      <w:pPr>
        <w:ind w:left="1360" w:hanging="756"/>
        <w:spacing w:after="0"/>
        <w:tabs>
          <w:tab w:leader="none" w:pos="136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spacing w:after="0" w:line="241" w:lineRule="exact"/>
        <w:rPr>
          <w:rFonts w:ascii="Courier New" w:cs="Courier New" w:eastAsia="Courier New" w:hAnsi="Courier New"/>
          <w:sz w:val="18"/>
          <w:szCs w:val="18"/>
          <w:color w:val="auto"/>
        </w:rPr>
      </w:pPr>
    </w:p>
    <w:p>
      <w:pPr>
        <w:ind w:left="1660" w:hanging="656"/>
        <w:spacing w:after="0"/>
        <w:tabs>
          <w:tab w:leader="none" w:pos="1660" w:val="left"/>
        </w:tabs>
        <w:numPr>
          <w:ilvl w:val="1"/>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spacing w:after="0" w:line="242" w:lineRule="exact"/>
        <w:rPr>
          <w:sz w:val="20"/>
          <w:szCs w:val="20"/>
          <w:color w:val="auto"/>
        </w:rPr>
      </w:pPr>
    </w:p>
    <w:tbl>
      <w:tblPr>
        <w:tblLayout w:type="fixed"/>
        <w:tblInd w:w="1600" w:type="dxa"/>
        <w:tblCellMar>
          <w:top w:w="0" w:type="dxa"/>
          <w:left w:w="0" w:type="dxa"/>
          <w:bottom w:w="0" w:type="dxa"/>
          <w:right w:w="0" w:type="dxa"/>
        </w:tblCellMar>
      </w:tblPr>
      <w:tr>
        <w:trPr>
          <w:trHeight w:val="204"/>
        </w:trPr>
        <w:tc>
          <w:tcPr>
            <w:tcW w:w="5880" w:type="dxa"/>
            <w:vAlign w:val="bottom"/>
            <w:gridSpan w:val="2"/>
          </w:tcPr>
          <w:p>
            <w:pPr>
              <w:spacing w:after="0"/>
              <w:rPr>
                <w:sz w:val="20"/>
                <w:szCs w:val="20"/>
                <w:color w:val="auto"/>
              </w:rPr>
            </w:pPr>
            <w:r>
              <w:rPr>
                <w:rFonts w:ascii="Courier New" w:cs="Courier New" w:eastAsia="Courier New" w:hAnsi="Courier New"/>
                <w:sz w:val="18"/>
                <w:szCs w:val="18"/>
                <w:color w:val="auto"/>
              </w:rPr>
              <w:t>Franklin Resources, Inc.:</w:t>
            </w:r>
          </w:p>
        </w:tc>
        <w:tc>
          <w:tcPr>
            <w:tcW w:w="136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445"/>
        </w:trPr>
        <w:tc>
          <w:tcPr>
            <w:tcW w:w="2060" w:type="dxa"/>
            <w:vAlign w:val="bottom"/>
          </w:tcPr>
          <w:p>
            <w:pPr>
              <w:spacing w:after="0"/>
              <w:rPr>
                <w:sz w:val="20"/>
                <w:szCs w:val="20"/>
                <w:color w:val="auto"/>
              </w:rPr>
            </w:pPr>
            <w:r>
              <w:rPr>
                <w:rFonts w:ascii="Courier New" w:cs="Courier New" w:eastAsia="Courier New" w:hAnsi="Courier New"/>
                <w:sz w:val="18"/>
                <w:szCs w:val="18"/>
                <w:color w:val="auto"/>
                <w:w w:val="99"/>
              </w:rPr>
              <w:t>Charles B. Johnson:</w:t>
            </w:r>
          </w:p>
        </w:tc>
        <w:tc>
          <w:tcPr>
            <w:tcW w:w="382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445"/>
        </w:trPr>
        <w:tc>
          <w:tcPr>
            <w:tcW w:w="2060" w:type="dxa"/>
            <w:vAlign w:val="bottom"/>
          </w:tcPr>
          <w:p>
            <w:pPr>
              <w:spacing w:after="0"/>
              <w:rPr>
                <w:sz w:val="20"/>
                <w:szCs w:val="20"/>
                <w:color w:val="auto"/>
              </w:rPr>
            </w:pPr>
            <w:r>
              <w:rPr>
                <w:rFonts w:ascii="Courier New" w:cs="Courier New" w:eastAsia="Courier New" w:hAnsi="Courier New"/>
                <w:sz w:val="18"/>
                <w:szCs w:val="18"/>
                <w:color w:val="auto"/>
              </w:rPr>
              <w:t>Rupert H. Johnson,</w:t>
            </w:r>
          </w:p>
        </w:tc>
        <w:tc>
          <w:tcPr>
            <w:tcW w:w="3820" w:type="dxa"/>
            <w:vAlign w:val="bottom"/>
          </w:tcPr>
          <w:p>
            <w:pPr>
              <w:spacing w:after="0"/>
              <w:rPr>
                <w:sz w:val="20"/>
                <w:szCs w:val="20"/>
                <w:color w:val="auto"/>
              </w:rPr>
            </w:pPr>
            <w:r>
              <w:rPr>
                <w:rFonts w:ascii="Courier New" w:cs="Courier New" w:eastAsia="Courier New" w:hAnsi="Courier New"/>
                <w:sz w:val="18"/>
                <w:szCs w:val="18"/>
                <w:color w:val="auto"/>
              </w:rPr>
              <w:t>Jr.:</w:t>
            </w:r>
          </w:p>
        </w:tc>
        <w:tc>
          <w:tcPr>
            <w:tcW w:w="136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459"/>
        </w:trPr>
        <w:tc>
          <w:tcPr>
            <w:tcW w:w="2060" w:type="dxa"/>
            <w:vAlign w:val="bottom"/>
          </w:tcPr>
          <w:p>
            <w:pPr>
              <w:spacing w:after="0"/>
              <w:rPr>
                <w:sz w:val="20"/>
                <w:szCs w:val="20"/>
                <w:color w:val="auto"/>
              </w:rPr>
            </w:pPr>
            <w:r>
              <w:rPr>
                <w:rFonts w:ascii="Courier New" w:cs="Courier New" w:eastAsia="Courier New" w:hAnsi="Courier New"/>
                <w:sz w:val="18"/>
                <w:szCs w:val="18"/>
                <w:color w:val="auto"/>
              </w:rPr>
              <w:t>Franklin Templeton</w:t>
            </w:r>
          </w:p>
        </w:tc>
        <w:tc>
          <w:tcPr>
            <w:tcW w:w="3820" w:type="dxa"/>
            <w:vAlign w:val="bottom"/>
          </w:tcPr>
          <w:p>
            <w:pPr>
              <w:spacing w:after="0"/>
              <w:rPr>
                <w:sz w:val="20"/>
                <w:szCs w:val="20"/>
                <w:color w:val="auto"/>
              </w:rPr>
            </w:pPr>
            <w:r>
              <w:rPr>
                <w:rFonts w:ascii="Courier New" w:cs="Courier New" w:eastAsia="Courier New" w:hAnsi="Courier New"/>
                <w:sz w:val="18"/>
                <w:szCs w:val="18"/>
                <w:color w:val="auto"/>
              </w:rPr>
              <w:t>Institutional, LLC:</w:t>
            </w:r>
          </w:p>
        </w:tc>
        <w:tc>
          <w:tcPr>
            <w:tcW w:w="1360" w:type="dxa"/>
            <w:vAlign w:val="bottom"/>
          </w:tcPr>
          <w:p>
            <w:pPr>
              <w:jc w:val="right"/>
              <w:spacing w:after="0"/>
              <w:rPr>
                <w:sz w:val="20"/>
                <w:szCs w:val="20"/>
                <w:color w:val="auto"/>
              </w:rPr>
            </w:pPr>
            <w:r>
              <w:rPr>
                <w:rFonts w:ascii="Courier New" w:cs="Courier New" w:eastAsia="Courier New" w:hAnsi="Courier New"/>
                <w:sz w:val="18"/>
                <w:szCs w:val="18"/>
                <w:color w:val="auto"/>
              </w:rPr>
              <w:t>553,500</w:t>
            </w:r>
          </w:p>
        </w:tc>
      </w:tr>
      <w:tr>
        <w:trPr>
          <w:trHeight w:val="459"/>
        </w:trPr>
        <w:tc>
          <w:tcPr>
            <w:tcW w:w="5880" w:type="dxa"/>
            <w:vAlign w:val="bottom"/>
            <w:gridSpan w:val="2"/>
          </w:tcPr>
          <w:p>
            <w:pPr>
              <w:spacing w:after="0"/>
              <w:rPr>
                <w:sz w:val="20"/>
                <w:szCs w:val="20"/>
                <w:color w:val="auto"/>
              </w:rPr>
            </w:pPr>
            <w:r>
              <w:rPr>
                <w:rFonts w:ascii="Courier New" w:cs="Courier New" w:eastAsia="Courier New" w:hAnsi="Courier New"/>
                <w:sz w:val="18"/>
                <w:szCs w:val="18"/>
                <w:color w:val="auto"/>
              </w:rPr>
              <w:t>Fiduciary Trust Company International:</w:t>
            </w:r>
          </w:p>
        </w:tc>
        <w:tc>
          <w:tcPr>
            <w:tcW w:w="1360" w:type="dxa"/>
            <w:vAlign w:val="bottom"/>
          </w:tcPr>
          <w:p>
            <w:pPr>
              <w:jc w:val="right"/>
              <w:spacing w:after="0"/>
              <w:rPr>
                <w:sz w:val="20"/>
                <w:szCs w:val="20"/>
                <w:color w:val="auto"/>
              </w:rPr>
            </w:pPr>
            <w:r>
              <w:rPr>
                <w:rFonts w:ascii="Courier New" w:cs="Courier New" w:eastAsia="Courier New" w:hAnsi="Courier New"/>
                <w:sz w:val="18"/>
                <w:szCs w:val="18"/>
                <w:color w:val="auto"/>
              </w:rPr>
              <w:t>344,600</w:t>
            </w:r>
          </w:p>
        </w:tc>
      </w:tr>
      <w:tr>
        <w:trPr>
          <w:trHeight w:val="432"/>
        </w:trPr>
        <w:tc>
          <w:tcPr>
            <w:tcW w:w="5880" w:type="dxa"/>
            <w:vAlign w:val="bottom"/>
            <w:gridSpan w:val="2"/>
          </w:tcPr>
          <w:p>
            <w:pPr>
              <w:spacing w:after="0"/>
              <w:rPr>
                <w:sz w:val="20"/>
                <w:szCs w:val="20"/>
                <w:color w:val="auto"/>
              </w:rPr>
            </w:pPr>
            <w:r>
              <w:rPr>
                <w:rFonts w:ascii="Courier New" w:cs="Courier New" w:eastAsia="Courier New" w:hAnsi="Courier New"/>
                <w:sz w:val="18"/>
                <w:szCs w:val="18"/>
                <w:color w:val="auto"/>
              </w:rPr>
              <w:t>Templeton Investment Counsel, LLC:</w:t>
            </w:r>
          </w:p>
        </w:tc>
        <w:tc>
          <w:tcPr>
            <w:tcW w:w="1360" w:type="dxa"/>
            <w:vAlign w:val="bottom"/>
          </w:tcPr>
          <w:p>
            <w:pPr>
              <w:jc w:val="right"/>
              <w:spacing w:after="0"/>
              <w:rPr>
                <w:sz w:val="20"/>
                <w:szCs w:val="20"/>
                <w:color w:val="auto"/>
              </w:rPr>
            </w:pPr>
            <w:r>
              <w:rPr>
                <w:rFonts w:ascii="Courier New" w:cs="Courier New" w:eastAsia="Courier New" w:hAnsi="Courier New"/>
                <w:sz w:val="18"/>
                <w:szCs w:val="18"/>
                <w:color w:val="auto"/>
              </w:rPr>
              <w:t>125,588</w:t>
            </w:r>
          </w:p>
        </w:tc>
      </w:tr>
      <w:tr>
        <w:trPr>
          <w:trHeight w:val="432"/>
        </w:trPr>
        <w:tc>
          <w:tcPr>
            <w:tcW w:w="2060" w:type="dxa"/>
            <w:vAlign w:val="bottom"/>
          </w:tcPr>
          <w:p>
            <w:pPr>
              <w:spacing w:after="0"/>
              <w:rPr>
                <w:sz w:val="20"/>
                <w:szCs w:val="20"/>
                <w:color w:val="auto"/>
              </w:rPr>
            </w:pPr>
            <w:r>
              <w:rPr>
                <w:rFonts w:ascii="Courier New" w:cs="Courier New" w:eastAsia="Courier New" w:hAnsi="Courier New"/>
                <w:sz w:val="18"/>
                <w:szCs w:val="18"/>
                <w:color w:val="auto"/>
              </w:rPr>
              <w:t>Franklin Templeton</w:t>
            </w:r>
          </w:p>
        </w:tc>
        <w:tc>
          <w:tcPr>
            <w:tcW w:w="3820" w:type="dxa"/>
            <w:vAlign w:val="bottom"/>
          </w:tcPr>
          <w:p>
            <w:pPr>
              <w:spacing w:after="0"/>
              <w:rPr>
                <w:sz w:val="20"/>
                <w:szCs w:val="20"/>
                <w:color w:val="auto"/>
              </w:rPr>
            </w:pPr>
            <w:r>
              <w:rPr>
                <w:rFonts w:ascii="Courier New" w:cs="Courier New" w:eastAsia="Courier New" w:hAnsi="Courier New"/>
                <w:sz w:val="18"/>
                <w:szCs w:val="18"/>
                <w:color w:val="auto"/>
              </w:rPr>
              <w:t>Investments Corp.:</w:t>
            </w:r>
          </w:p>
        </w:tc>
        <w:tc>
          <w:tcPr>
            <w:tcW w:w="1360" w:type="dxa"/>
            <w:vAlign w:val="bottom"/>
          </w:tcPr>
          <w:p>
            <w:pPr>
              <w:jc w:val="right"/>
              <w:spacing w:after="0"/>
              <w:rPr>
                <w:sz w:val="20"/>
                <w:szCs w:val="20"/>
                <w:color w:val="auto"/>
              </w:rPr>
            </w:pPr>
            <w:r>
              <w:rPr>
                <w:rFonts w:ascii="Courier New" w:cs="Courier New" w:eastAsia="Courier New" w:hAnsi="Courier New"/>
                <w:sz w:val="18"/>
                <w:szCs w:val="18"/>
                <w:color w:val="auto"/>
              </w:rPr>
              <w:t>88,409</w:t>
            </w:r>
          </w:p>
        </w:tc>
      </w:tr>
      <w:tr>
        <w:trPr>
          <w:trHeight w:val="432"/>
        </w:trPr>
        <w:tc>
          <w:tcPr>
            <w:tcW w:w="2060" w:type="dxa"/>
            <w:vAlign w:val="bottom"/>
          </w:tcPr>
          <w:p>
            <w:pPr>
              <w:spacing w:after="0"/>
              <w:rPr>
                <w:sz w:val="20"/>
                <w:szCs w:val="20"/>
                <w:color w:val="auto"/>
              </w:rPr>
            </w:pPr>
            <w:r>
              <w:rPr>
                <w:rFonts w:ascii="Courier New" w:cs="Courier New" w:eastAsia="Courier New" w:hAnsi="Courier New"/>
                <w:sz w:val="18"/>
                <w:szCs w:val="18"/>
                <w:color w:val="auto"/>
              </w:rPr>
              <w:t>Franklin Templeton</w:t>
            </w:r>
          </w:p>
        </w:tc>
        <w:tc>
          <w:tcPr>
            <w:tcW w:w="3820" w:type="dxa"/>
            <w:vAlign w:val="bottom"/>
          </w:tcPr>
          <w:p>
            <w:pPr>
              <w:spacing w:after="0"/>
              <w:rPr>
                <w:sz w:val="20"/>
                <w:szCs w:val="20"/>
                <w:color w:val="auto"/>
              </w:rPr>
            </w:pPr>
            <w:r>
              <w:rPr>
                <w:rFonts w:ascii="Courier New" w:cs="Courier New" w:eastAsia="Courier New" w:hAnsi="Courier New"/>
                <w:sz w:val="18"/>
                <w:szCs w:val="18"/>
                <w:color w:val="auto"/>
              </w:rPr>
              <w:t>Investments Australia Limited:</w:t>
            </w:r>
          </w:p>
        </w:tc>
        <w:tc>
          <w:tcPr>
            <w:tcW w:w="1360" w:type="dxa"/>
            <w:vAlign w:val="bottom"/>
          </w:tcPr>
          <w:p>
            <w:pPr>
              <w:jc w:val="right"/>
              <w:spacing w:after="0"/>
              <w:rPr>
                <w:sz w:val="20"/>
                <w:szCs w:val="20"/>
                <w:color w:val="auto"/>
              </w:rPr>
            </w:pPr>
            <w:r>
              <w:rPr>
                <w:rFonts w:ascii="Courier New" w:cs="Courier New" w:eastAsia="Courier New" w:hAnsi="Courier New"/>
                <w:sz w:val="18"/>
                <w:szCs w:val="18"/>
                <w:color w:val="auto"/>
              </w:rPr>
              <w:t>58,000</w:t>
            </w:r>
          </w:p>
        </w:tc>
      </w:tr>
      <w:tr>
        <w:trPr>
          <w:trHeight w:val="432"/>
        </w:trPr>
        <w:tc>
          <w:tcPr>
            <w:tcW w:w="2060" w:type="dxa"/>
            <w:vAlign w:val="bottom"/>
          </w:tcPr>
          <w:p>
            <w:pPr>
              <w:spacing w:after="0"/>
              <w:rPr>
                <w:sz w:val="20"/>
                <w:szCs w:val="20"/>
                <w:color w:val="auto"/>
              </w:rPr>
            </w:pPr>
            <w:r>
              <w:rPr>
                <w:rFonts w:ascii="Courier New" w:cs="Courier New" w:eastAsia="Courier New" w:hAnsi="Courier New"/>
                <w:sz w:val="18"/>
                <w:szCs w:val="18"/>
                <w:color w:val="auto"/>
              </w:rPr>
              <w:t>Franklin Templeton</w:t>
            </w:r>
          </w:p>
        </w:tc>
        <w:tc>
          <w:tcPr>
            <w:tcW w:w="3820" w:type="dxa"/>
            <w:vAlign w:val="bottom"/>
          </w:tcPr>
          <w:p>
            <w:pPr>
              <w:spacing w:after="0"/>
              <w:rPr>
                <w:sz w:val="20"/>
                <w:szCs w:val="20"/>
                <w:color w:val="auto"/>
              </w:rPr>
            </w:pPr>
            <w:r>
              <w:rPr>
                <w:rFonts w:ascii="Courier New" w:cs="Courier New" w:eastAsia="Courier New" w:hAnsi="Courier New"/>
                <w:sz w:val="18"/>
                <w:szCs w:val="18"/>
                <w:color w:val="auto"/>
              </w:rPr>
              <w:t>Investment Management Limited:</w:t>
            </w:r>
          </w:p>
        </w:tc>
        <w:tc>
          <w:tcPr>
            <w:tcW w:w="1360" w:type="dxa"/>
            <w:vAlign w:val="bottom"/>
          </w:tcPr>
          <w:p>
            <w:pPr>
              <w:jc w:val="right"/>
              <w:spacing w:after="0"/>
              <w:rPr>
                <w:sz w:val="20"/>
                <w:szCs w:val="20"/>
                <w:color w:val="auto"/>
              </w:rPr>
            </w:pPr>
            <w:r>
              <w:rPr>
                <w:rFonts w:ascii="Courier New" w:cs="Courier New" w:eastAsia="Courier New" w:hAnsi="Courier New"/>
                <w:sz w:val="18"/>
                <w:szCs w:val="18"/>
                <w:color w:val="auto"/>
              </w:rPr>
              <w:t>53,050</w:t>
            </w:r>
          </w:p>
        </w:tc>
      </w:tr>
      <w:tr>
        <w:trPr>
          <w:trHeight w:val="432"/>
        </w:trPr>
        <w:tc>
          <w:tcPr>
            <w:tcW w:w="2060" w:type="dxa"/>
            <w:vAlign w:val="bottom"/>
          </w:tcPr>
          <w:p>
            <w:pPr>
              <w:spacing w:after="0"/>
              <w:rPr>
                <w:sz w:val="20"/>
                <w:szCs w:val="20"/>
                <w:color w:val="auto"/>
              </w:rPr>
            </w:pPr>
            <w:r>
              <w:rPr>
                <w:rFonts w:ascii="Courier New" w:cs="Courier New" w:eastAsia="Courier New" w:hAnsi="Courier New"/>
                <w:sz w:val="18"/>
                <w:szCs w:val="18"/>
                <w:color w:val="auto"/>
              </w:rPr>
              <w:t>Franklin Templeton</w:t>
            </w:r>
          </w:p>
        </w:tc>
        <w:tc>
          <w:tcPr>
            <w:tcW w:w="3820" w:type="dxa"/>
            <w:vAlign w:val="bottom"/>
          </w:tcPr>
          <w:p>
            <w:pPr>
              <w:spacing w:after="0"/>
              <w:rPr>
                <w:sz w:val="20"/>
                <w:szCs w:val="20"/>
                <w:color w:val="auto"/>
              </w:rPr>
            </w:pPr>
            <w:r>
              <w:rPr>
                <w:rFonts w:ascii="Courier New" w:cs="Courier New" w:eastAsia="Courier New" w:hAnsi="Courier New"/>
                <w:sz w:val="18"/>
                <w:szCs w:val="18"/>
                <w:color w:val="auto"/>
              </w:rPr>
              <w:t>Investments (Asia) Ltd.:</w:t>
            </w:r>
          </w:p>
        </w:tc>
        <w:tc>
          <w:tcPr>
            <w:tcW w:w="1360" w:type="dxa"/>
            <w:vAlign w:val="bottom"/>
          </w:tcPr>
          <w:p>
            <w:pPr>
              <w:jc w:val="right"/>
              <w:spacing w:after="0"/>
              <w:rPr>
                <w:sz w:val="20"/>
                <w:szCs w:val="20"/>
                <w:color w:val="auto"/>
              </w:rPr>
            </w:pPr>
            <w:r>
              <w:rPr>
                <w:rFonts w:ascii="Courier New" w:cs="Courier New" w:eastAsia="Courier New" w:hAnsi="Courier New"/>
                <w:sz w:val="18"/>
                <w:szCs w:val="18"/>
                <w:color w:val="auto"/>
              </w:rPr>
              <w:t>1,967</w:t>
            </w:r>
          </w:p>
        </w:tc>
      </w:tr>
      <w:tr>
        <w:trPr>
          <w:trHeight w:val="432"/>
        </w:trPr>
        <w:tc>
          <w:tcPr>
            <w:tcW w:w="5880" w:type="dxa"/>
            <w:vAlign w:val="bottom"/>
            <w:gridSpan w:val="2"/>
          </w:tcPr>
          <w:p>
            <w:pPr>
              <w:spacing w:after="0"/>
              <w:rPr>
                <w:sz w:val="20"/>
                <w:szCs w:val="20"/>
                <w:color w:val="auto"/>
              </w:rPr>
            </w:pPr>
            <w:r>
              <w:rPr>
                <w:rFonts w:ascii="Courier New" w:cs="Courier New" w:eastAsia="Courier New" w:hAnsi="Courier New"/>
                <w:sz w:val="18"/>
                <w:szCs w:val="18"/>
                <w:color w:val="auto"/>
              </w:rPr>
              <w:t>Templeton Global Advisors Limited:</w:t>
            </w:r>
          </w:p>
        </w:tc>
        <w:tc>
          <w:tcPr>
            <w:tcW w:w="1360" w:type="dxa"/>
            <w:vAlign w:val="bottom"/>
          </w:tcPr>
          <w:p>
            <w:pPr>
              <w:jc w:val="right"/>
              <w:spacing w:after="0"/>
              <w:rPr>
                <w:sz w:val="20"/>
                <w:szCs w:val="20"/>
                <w:color w:val="auto"/>
              </w:rPr>
            </w:pPr>
            <w:r>
              <w:rPr>
                <w:rFonts w:ascii="Courier New" w:cs="Courier New" w:eastAsia="Courier New" w:hAnsi="Courier New"/>
                <w:sz w:val="18"/>
                <w:szCs w:val="18"/>
                <w:color w:val="auto"/>
              </w:rPr>
              <w:t>450</w:t>
            </w:r>
          </w:p>
        </w:tc>
      </w:tr>
    </w:tbl>
    <w:p>
      <w:pPr>
        <w:spacing w:after="0" w:line="200" w:lineRule="exact"/>
        <w:rPr>
          <w:sz w:val="20"/>
          <w:szCs w:val="20"/>
          <w:color w:val="auto"/>
        </w:rPr>
      </w:pPr>
    </w:p>
    <w:p>
      <w:pPr>
        <w:spacing w:after="0" w:line="271" w:lineRule="exact"/>
        <w:rPr>
          <w:sz w:val="20"/>
          <w:szCs w:val="20"/>
          <w:color w:val="auto"/>
        </w:rPr>
      </w:pPr>
    </w:p>
    <w:p>
      <w:pPr>
        <w:ind w:left="1660" w:hanging="756"/>
        <w:spacing w:after="0"/>
        <w:tabs>
          <w:tab w:leader="none" w:pos="166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spacing w:after="0" w:line="200" w:lineRule="exact"/>
        <w:rPr>
          <w:sz w:val="20"/>
          <w:szCs w:val="20"/>
          <w:color w:val="auto"/>
        </w:rPr>
      </w:pPr>
    </w:p>
    <w:p>
      <w:pPr>
        <w:spacing w:after="0" w:line="298" w:lineRule="exact"/>
        <w:rPr>
          <w:sz w:val="20"/>
          <w:szCs w:val="20"/>
          <w:color w:val="auto"/>
        </w:rPr>
      </w:pPr>
    </w:p>
    <w:tbl>
      <w:tblPr>
        <w:tblLayout w:type="fixed"/>
        <w:tblInd w:w="1600" w:type="dxa"/>
        <w:tblCellMar>
          <w:top w:w="0" w:type="dxa"/>
          <w:left w:w="0" w:type="dxa"/>
          <w:bottom w:w="0" w:type="dxa"/>
          <w:right w:w="0" w:type="dxa"/>
        </w:tblCellMar>
      </w:tblPr>
      <w:tr>
        <w:trPr>
          <w:trHeight w:val="204"/>
        </w:trPr>
        <w:tc>
          <w:tcPr>
            <w:tcW w:w="5320" w:type="dxa"/>
            <w:vAlign w:val="bottom"/>
          </w:tcPr>
          <w:p>
            <w:pPr>
              <w:spacing w:after="0"/>
              <w:rPr>
                <w:sz w:val="20"/>
                <w:szCs w:val="20"/>
                <w:color w:val="auto"/>
              </w:rPr>
            </w:pPr>
            <w:r>
              <w:rPr>
                <w:rFonts w:ascii="Courier New" w:cs="Courier New" w:eastAsia="Courier New" w:hAnsi="Courier New"/>
                <w:sz w:val="18"/>
                <w:szCs w:val="18"/>
                <w:color w:val="auto"/>
              </w:rPr>
              <w:t>Franklin Templeton Institutional, LLC:</w:t>
            </w:r>
          </w:p>
        </w:tc>
        <w:tc>
          <w:tcPr>
            <w:tcW w:w="1860" w:type="dxa"/>
            <w:vAlign w:val="bottom"/>
          </w:tcPr>
          <w:p>
            <w:pPr>
              <w:jc w:val="right"/>
              <w:spacing w:after="0"/>
              <w:rPr>
                <w:sz w:val="20"/>
                <w:szCs w:val="20"/>
                <w:color w:val="auto"/>
              </w:rPr>
            </w:pPr>
            <w:r>
              <w:rPr>
                <w:rFonts w:ascii="Courier New" w:cs="Courier New" w:eastAsia="Courier New" w:hAnsi="Courier New"/>
                <w:sz w:val="18"/>
                <w:szCs w:val="18"/>
                <w:color w:val="auto"/>
              </w:rPr>
              <w:t>23,000</w:t>
            </w:r>
          </w:p>
        </w:tc>
      </w:tr>
    </w:tbl>
    <w:p>
      <w:pPr>
        <w:spacing w:after="0" w:line="269" w:lineRule="exact"/>
        <w:rPr>
          <w:sz w:val="20"/>
          <w:szCs w:val="20"/>
          <w:color w:val="auto"/>
        </w:rPr>
      </w:pPr>
    </w:p>
    <w:p>
      <w:pPr>
        <w:ind w:left="1660" w:hanging="856"/>
        <w:spacing w:after="0"/>
        <w:tabs>
          <w:tab w:leader="none" w:pos="166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spacing w:after="0" w:line="282" w:lineRule="exact"/>
        <w:rPr>
          <w:sz w:val="20"/>
          <w:szCs w:val="20"/>
          <w:color w:val="auto"/>
        </w:rPr>
      </w:pPr>
    </w:p>
    <w:tbl>
      <w:tblPr>
        <w:tblLayout w:type="fixed"/>
        <w:tblInd w:w="1600" w:type="dxa"/>
        <w:tblCellMar>
          <w:top w:w="0" w:type="dxa"/>
          <w:left w:w="0" w:type="dxa"/>
          <w:bottom w:w="0" w:type="dxa"/>
          <w:right w:w="0" w:type="dxa"/>
        </w:tblCellMar>
      </w:tblPr>
      <w:tr>
        <w:trPr>
          <w:trHeight w:val="204"/>
        </w:trPr>
        <w:tc>
          <w:tcPr>
            <w:tcW w:w="2100" w:type="dxa"/>
            <w:vAlign w:val="bottom"/>
          </w:tcPr>
          <w:p>
            <w:pPr>
              <w:spacing w:after="0"/>
              <w:rPr>
                <w:sz w:val="20"/>
                <w:szCs w:val="20"/>
                <w:color w:val="auto"/>
              </w:rPr>
            </w:pPr>
            <w:r>
              <w:rPr>
                <w:rFonts w:ascii="Courier New" w:cs="Courier New" w:eastAsia="Courier New" w:hAnsi="Courier New"/>
                <w:sz w:val="18"/>
                <w:szCs w:val="18"/>
                <w:color w:val="auto"/>
              </w:rPr>
              <w:t>Franklin Resources,</w:t>
            </w:r>
          </w:p>
        </w:tc>
        <w:tc>
          <w:tcPr>
            <w:tcW w:w="2820" w:type="dxa"/>
            <w:vAlign w:val="bottom"/>
          </w:tcPr>
          <w:p>
            <w:pPr>
              <w:ind w:left="60"/>
              <w:spacing w:after="0"/>
              <w:rPr>
                <w:sz w:val="20"/>
                <w:szCs w:val="20"/>
                <w:color w:val="auto"/>
              </w:rPr>
            </w:pPr>
            <w:r>
              <w:rPr>
                <w:rFonts w:ascii="Courier New" w:cs="Courier New" w:eastAsia="Courier New" w:hAnsi="Courier New"/>
                <w:sz w:val="18"/>
                <w:szCs w:val="18"/>
                <w:color w:val="auto"/>
              </w:rPr>
              <w:t>Inc.:</w:t>
            </w:r>
          </w:p>
        </w:tc>
        <w:tc>
          <w:tcPr>
            <w:tcW w:w="232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445"/>
        </w:trPr>
        <w:tc>
          <w:tcPr>
            <w:tcW w:w="2100" w:type="dxa"/>
            <w:vAlign w:val="bottom"/>
          </w:tcPr>
          <w:p>
            <w:pPr>
              <w:spacing w:after="0"/>
              <w:rPr>
                <w:sz w:val="20"/>
                <w:szCs w:val="20"/>
                <w:color w:val="auto"/>
              </w:rPr>
            </w:pPr>
            <w:r>
              <w:rPr>
                <w:rFonts w:ascii="Courier New" w:cs="Courier New" w:eastAsia="Courier New" w:hAnsi="Courier New"/>
                <w:sz w:val="18"/>
                <w:szCs w:val="18"/>
                <w:color w:val="auto"/>
              </w:rPr>
              <w:t>Charles B. Johnson:</w:t>
            </w:r>
          </w:p>
        </w:tc>
        <w:tc>
          <w:tcPr>
            <w:tcW w:w="2820" w:type="dxa"/>
            <w:vAlign w:val="bottom"/>
          </w:tcPr>
          <w:p>
            <w:pPr>
              <w:spacing w:after="0"/>
              <w:rPr>
                <w:sz w:val="24"/>
                <w:szCs w:val="24"/>
                <w:color w:val="auto"/>
              </w:rPr>
            </w:pPr>
          </w:p>
        </w:tc>
        <w:tc>
          <w:tcPr>
            <w:tcW w:w="232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bl>
    <w:p>
      <w:pPr>
        <w:sectPr>
          <w:pgSz w:w="11900" w:h="16838" w:orient="portrait"/>
          <w:cols w:equalWidth="0" w:num="1">
            <w:col w:w="9720"/>
          </w:cols>
          <w:pgMar w:left="880" w:top="1244" w:right="1299" w:bottom="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120" w:type="dxa"/>
            <w:vAlign w:val="bottom"/>
          </w:tcPr>
          <w:p>
            <w:pPr>
              <w:ind w:left="2320"/>
              <w:spacing w:after="0"/>
              <w:rPr>
                <w:sz w:val="20"/>
                <w:szCs w:val="20"/>
                <w:color w:val="auto"/>
              </w:rPr>
            </w:pPr>
            <w:r>
              <w:rPr>
                <w:rFonts w:ascii="Courier New" w:cs="Courier New" w:eastAsia="Courier New" w:hAnsi="Courier New"/>
                <w:sz w:val="18"/>
                <w:szCs w:val="18"/>
                <w:color w:val="auto"/>
              </w:rPr>
              <w:t>Rupert H. Johnson, Jr.:</w:t>
            </w:r>
          </w:p>
        </w:tc>
        <w:tc>
          <w:tcPr>
            <w:tcW w:w="4480" w:type="dxa"/>
            <w:vAlign w:val="bottom"/>
          </w:tcPr>
          <w:p>
            <w:pPr>
              <w:jc w:val="right"/>
              <w:ind w:right="1950"/>
              <w:spacing w:after="0"/>
              <w:rPr>
                <w:sz w:val="20"/>
                <w:szCs w:val="20"/>
                <w:color w:val="auto"/>
              </w:rPr>
            </w:pPr>
            <w:r>
              <w:rPr>
                <w:rFonts w:ascii="Courier New" w:cs="Courier New" w:eastAsia="Courier New" w:hAnsi="Courier New"/>
                <w:sz w:val="18"/>
                <w:szCs w:val="18"/>
                <w:color w:val="auto"/>
              </w:rPr>
              <w:t>0</w:t>
            </w:r>
          </w:p>
        </w:tc>
      </w:tr>
      <w:tr>
        <w:trPr>
          <w:trHeight w:val="579"/>
        </w:trPr>
        <w:tc>
          <w:tcPr>
            <w:tcW w:w="7120" w:type="dxa"/>
            <w:vAlign w:val="bottom"/>
            <w:tcBorders>
              <w:bottom w:val="single" w:sz="8" w:color="808080"/>
            </w:tcBorders>
          </w:tcPr>
          <w:p>
            <w:pPr>
              <w:spacing w:after="0"/>
              <w:rPr>
                <w:sz w:val="24"/>
                <w:szCs w:val="24"/>
                <w:color w:val="auto"/>
              </w:rPr>
            </w:pPr>
          </w:p>
        </w:tc>
        <w:tc>
          <w:tcPr>
            <w:tcW w:w="44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7349490</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600"/>
          </w:cols>
          <w:pgMar w:left="160" w:top="56" w:right="139" w:bottom="1440" w:gutter="0" w:footer="0" w:header="0"/>
        </w:sectPr>
      </w:pPr>
    </w:p>
    <w:bookmarkStart w:id="9" w:name="page10"/>
    <w:bookmarkEnd w:id="9"/>
    <w:tbl>
      <w:tblPr>
        <w:tblLayout w:type="fixed"/>
        <w:tblInd w:w="496" w:type="dxa"/>
        <w:tblCellMar>
          <w:top w:w="0" w:type="dxa"/>
          <w:left w:w="0" w:type="dxa"/>
          <w:bottom w:w="0" w:type="dxa"/>
          <w:right w:w="0" w:type="dxa"/>
        </w:tblCellMar>
      </w:tblPr>
      <w:tr>
        <w:trPr>
          <w:trHeight w:val="204"/>
        </w:trPr>
        <w:tc>
          <w:tcPr>
            <w:tcW w:w="3140" w:type="dxa"/>
            <w:vAlign w:val="bottom"/>
          </w:tcPr>
          <w:p>
            <w:pPr>
              <w:spacing w:after="0"/>
              <w:rPr>
                <w:sz w:val="20"/>
                <w:szCs w:val="20"/>
                <w:color w:val="auto"/>
              </w:rPr>
            </w:pPr>
            <w:r>
              <w:rPr>
                <w:rFonts w:ascii="Courier New" w:cs="Courier New" w:eastAsia="Courier New" w:hAnsi="Courier New"/>
                <w:sz w:val="18"/>
                <w:szCs w:val="18"/>
                <w:color w:val="auto"/>
              </w:rPr>
              <w:t>CUSIP NO. G5509L101</w:t>
            </w:r>
          </w:p>
        </w:tc>
        <w:tc>
          <w:tcPr>
            <w:tcW w:w="4240" w:type="dxa"/>
            <w:vAlign w:val="bottom"/>
          </w:tcPr>
          <w:p>
            <w:pPr>
              <w:ind w:left="1080"/>
              <w:spacing w:after="0"/>
              <w:rPr>
                <w:sz w:val="20"/>
                <w:szCs w:val="20"/>
                <w:color w:val="auto"/>
              </w:rPr>
            </w:pPr>
            <w:r>
              <w:rPr>
                <w:rFonts w:ascii="Courier New" w:cs="Courier New" w:eastAsia="Courier New" w:hAnsi="Courier New"/>
                <w:sz w:val="18"/>
                <w:szCs w:val="18"/>
                <w:color w:val="auto"/>
              </w:rPr>
              <w:t>13G</w:t>
            </w:r>
          </w:p>
        </w:tc>
        <w:tc>
          <w:tcPr>
            <w:tcW w:w="1800" w:type="dxa"/>
            <w:vAlign w:val="bottom"/>
          </w:tcPr>
          <w:p>
            <w:pPr>
              <w:jc w:val="right"/>
              <w:spacing w:after="0"/>
              <w:rPr>
                <w:sz w:val="20"/>
                <w:szCs w:val="20"/>
                <w:color w:val="auto"/>
              </w:rPr>
            </w:pPr>
            <w:r>
              <w:rPr>
                <w:rFonts w:ascii="Courier New" w:cs="Courier New" w:eastAsia="Courier New" w:hAnsi="Courier New"/>
                <w:sz w:val="18"/>
                <w:szCs w:val="18"/>
                <w:color w:val="auto"/>
              </w:rPr>
              <w:t>Page 8 of 13</w:t>
            </w:r>
          </w:p>
        </w:tc>
      </w:tr>
      <w:tr>
        <w:trPr>
          <w:trHeight w:val="459"/>
        </w:trPr>
        <w:tc>
          <w:tcPr>
            <w:tcW w:w="7380" w:type="dxa"/>
            <w:vAlign w:val="bottom"/>
            <w:gridSpan w:val="2"/>
          </w:tcPr>
          <w:p>
            <w:pPr>
              <w:ind w:left="1600"/>
              <w:spacing w:after="0"/>
              <w:rPr>
                <w:sz w:val="20"/>
                <w:szCs w:val="20"/>
                <w:color w:val="auto"/>
              </w:rPr>
            </w:pPr>
            <w:r>
              <w:rPr>
                <w:rFonts w:ascii="Courier New" w:cs="Courier New" w:eastAsia="Courier New" w:hAnsi="Courier New"/>
                <w:sz w:val="18"/>
                <w:szCs w:val="18"/>
                <w:color w:val="auto"/>
              </w:rPr>
              <w:t>Franklin Templeton Institutional, LLC:</w:t>
            </w:r>
          </w:p>
        </w:tc>
        <w:tc>
          <w:tcPr>
            <w:tcW w:w="1800" w:type="dxa"/>
            <w:vAlign w:val="bottom"/>
          </w:tcPr>
          <w:p>
            <w:pPr>
              <w:jc w:val="right"/>
              <w:ind w:right="250"/>
              <w:spacing w:after="0"/>
              <w:rPr>
                <w:sz w:val="20"/>
                <w:szCs w:val="20"/>
                <w:color w:val="auto"/>
              </w:rPr>
            </w:pPr>
            <w:r>
              <w:rPr>
                <w:rFonts w:ascii="Courier New" w:cs="Courier New" w:eastAsia="Courier New" w:hAnsi="Courier New"/>
                <w:sz w:val="18"/>
                <w:szCs w:val="18"/>
                <w:color w:val="auto"/>
              </w:rPr>
              <w:t>1,088,200</w:t>
            </w:r>
          </w:p>
        </w:tc>
      </w:tr>
      <w:tr>
        <w:trPr>
          <w:trHeight w:val="459"/>
        </w:trPr>
        <w:tc>
          <w:tcPr>
            <w:tcW w:w="7380" w:type="dxa"/>
            <w:vAlign w:val="bottom"/>
            <w:gridSpan w:val="2"/>
          </w:tcPr>
          <w:p>
            <w:pPr>
              <w:ind w:left="1600"/>
              <w:spacing w:after="0"/>
              <w:rPr>
                <w:sz w:val="20"/>
                <w:szCs w:val="20"/>
                <w:color w:val="auto"/>
              </w:rPr>
            </w:pPr>
            <w:r>
              <w:rPr>
                <w:rFonts w:ascii="Courier New" w:cs="Courier New" w:eastAsia="Courier New" w:hAnsi="Courier New"/>
                <w:sz w:val="18"/>
                <w:szCs w:val="18"/>
                <w:color w:val="auto"/>
              </w:rPr>
              <w:t>Fiduciary Trust Company International:</w:t>
            </w:r>
          </w:p>
        </w:tc>
        <w:tc>
          <w:tcPr>
            <w:tcW w:w="1800" w:type="dxa"/>
            <w:vAlign w:val="bottom"/>
          </w:tcPr>
          <w:p>
            <w:pPr>
              <w:jc w:val="right"/>
              <w:ind w:right="250"/>
              <w:spacing w:after="0"/>
              <w:rPr>
                <w:sz w:val="20"/>
                <w:szCs w:val="20"/>
                <w:color w:val="auto"/>
              </w:rPr>
            </w:pPr>
            <w:r>
              <w:rPr>
                <w:rFonts w:ascii="Courier New" w:cs="Courier New" w:eastAsia="Courier New" w:hAnsi="Courier New"/>
                <w:sz w:val="18"/>
                <w:szCs w:val="18"/>
                <w:color w:val="auto"/>
              </w:rPr>
              <w:t>344,600</w:t>
            </w:r>
          </w:p>
        </w:tc>
      </w:tr>
      <w:tr>
        <w:trPr>
          <w:trHeight w:val="432"/>
        </w:trPr>
        <w:tc>
          <w:tcPr>
            <w:tcW w:w="7380" w:type="dxa"/>
            <w:vAlign w:val="bottom"/>
            <w:gridSpan w:val="2"/>
          </w:tcPr>
          <w:p>
            <w:pPr>
              <w:ind w:left="1600"/>
              <w:spacing w:after="0"/>
              <w:rPr>
                <w:sz w:val="20"/>
                <w:szCs w:val="20"/>
                <w:color w:val="auto"/>
              </w:rPr>
            </w:pPr>
            <w:r>
              <w:rPr>
                <w:rFonts w:ascii="Courier New" w:cs="Courier New" w:eastAsia="Courier New" w:hAnsi="Courier New"/>
                <w:sz w:val="18"/>
                <w:szCs w:val="18"/>
                <w:color w:val="auto"/>
              </w:rPr>
              <w:t>Templeton Investment Counsel, LLC:</w:t>
            </w:r>
          </w:p>
        </w:tc>
        <w:tc>
          <w:tcPr>
            <w:tcW w:w="1800" w:type="dxa"/>
            <w:vAlign w:val="bottom"/>
          </w:tcPr>
          <w:p>
            <w:pPr>
              <w:jc w:val="right"/>
              <w:ind w:right="250"/>
              <w:spacing w:after="0"/>
              <w:rPr>
                <w:sz w:val="20"/>
                <w:szCs w:val="20"/>
                <w:color w:val="auto"/>
              </w:rPr>
            </w:pPr>
            <w:r>
              <w:rPr>
                <w:rFonts w:ascii="Courier New" w:cs="Courier New" w:eastAsia="Courier New" w:hAnsi="Courier New"/>
                <w:sz w:val="18"/>
                <w:szCs w:val="18"/>
                <w:color w:val="auto"/>
              </w:rPr>
              <w:t>151,048</w:t>
            </w:r>
          </w:p>
        </w:tc>
      </w:tr>
      <w:tr>
        <w:trPr>
          <w:trHeight w:val="432"/>
        </w:trPr>
        <w:tc>
          <w:tcPr>
            <w:tcW w:w="7380" w:type="dxa"/>
            <w:vAlign w:val="bottom"/>
            <w:gridSpan w:val="2"/>
          </w:tcPr>
          <w:p>
            <w:pPr>
              <w:ind w:left="1600"/>
              <w:spacing w:after="0"/>
              <w:rPr>
                <w:sz w:val="20"/>
                <w:szCs w:val="20"/>
                <w:color w:val="auto"/>
              </w:rPr>
            </w:pPr>
            <w:r>
              <w:rPr>
                <w:rFonts w:ascii="Courier New" w:cs="Courier New" w:eastAsia="Courier New" w:hAnsi="Courier New"/>
                <w:sz w:val="18"/>
                <w:szCs w:val="18"/>
                <w:color w:val="auto"/>
              </w:rPr>
              <w:t>Franklin Templeton Investments Corp.:</w:t>
            </w:r>
          </w:p>
        </w:tc>
        <w:tc>
          <w:tcPr>
            <w:tcW w:w="1800" w:type="dxa"/>
            <w:vAlign w:val="bottom"/>
          </w:tcPr>
          <w:p>
            <w:pPr>
              <w:jc w:val="right"/>
              <w:ind w:right="250"/>
              <w:spacing w:after="0"/>
              <w:rPr>
                <w:sz w:val="20"/>
                <w:szCs w:val="20"/>
                <w:color w:val="auto"/>
              </w:rPr>
            </w:pPr>
            <w:r>
              <w:rPr>
                <w:rFonts w:ascii="Courier New" w:cs="Courier New" w:eastAsia="Courier New" w:hAnsi="Courier New"/>
                <w:sz w:val="18"/>
                <w:szCs w:val="18"/>
                <w:color w:val="auto"/>
              </w:rPr>
              <w:t>88,409</w:t>
            </w:r>
          </w:p>
        </w:tc>
      </w:tr>
      <w:tr>
        <w:trPr>
          <w:trHeight w:val="432"/>
        </w:trPr>
        <w:tc>
          <w:tcPr>
            <w:tcW w:w="7380" w:type="dxa"/>
            <w:vAlign w:val="bottom"/>
            <w:gridSpan w:val="2"/>
          </w:tcPr>
          <w:p>
            <w:pPr>
              <w:ind w:left="1600"/>
              <w:spacing w:after="0"/>
              <w:rPr>
                <w:sz w:val="20"/>
                <w:szCs w:val="20"/>
                <w:color w:val="auto"/>
              </w:rPr>
            </w:pPr>
            <w:r>
              <w:rPr>
                <w:rFonts w:ascii="Courier New" w:cs="Courier New" w:eastAsia="Courier New" w:hAnsi="Courier New"/>
                <w:sz w:val="18"/>
                <w:szCs w:val="18"/>
                <w:color w:val="auto"/>
              </w:rPr>
              <w:t>Franklin Templeton Investments Australia Limited:</w:t>
            </w:r>
          </w:p>
        </w:tc>
        <w:tc>
          <w:tcPr>
            <w:tcW w:w="1800" w:type="dxa"/>
            <w:vAlign w:val="bottom"/>
          </w:tcPr>
          <w:p>
            <w:pPr>
              <w:jc w:val="right"/>
              <w:ind w:right="250"/>
              <w:spacing w:after="0"/>
              <w:rPr>
                <w:sz w:val="20"/>
                <w:szCs w:val="20"/>
                <w:color w:val="auto"/>
              </w:rPr>
            </w:pPr>
            <w:r>
              <w:rPr>
                <w:rFonts w:ascii="Courier New" w:cs="Courier New" w:eastAsia="Courier New" w:hAnsi="Courier New"/>
                <w:sz w:val="18"/>
                <w:szCs w:val="18"/>
                <w:color w:val="auto"/>
              </w:rPr>
              <w:t>58,000</w:t>
            </w:r>
          </w:p>
        </w:tc>
      </w:tr>
      <w:tr>
        <w:trPr>
          <w:trHeight w:val="432"/>
        </w:trPr>
        <w:tc>
          <w:tcPr>
            <w:tcW w:w="7380" w:type="dxa"/>
            <w:vAlign w:val="bottom"/>
            <w:gridSpan w:val="2"/>
          </w:tcPr>
          <w:p>
            <w:pPr>
              <w:ind w:left="1600"/>
              <w:spacing w:after="0"/>
              <w:rPr>
                <w:sz w:val="20"/>
                <w:szCs w:val="20"/>
                <w:color w:val="auto"/>
              </w:rPr>
            </w:pPr>
            <w:r>
              <w:rPr>
                <w:rFonts w:ascii="Courier New" w:cs="Courier New" w:eastAsia="Courier New" w:hAnsi="Courier New"/>
                <w:sz w:val="18"/>
                <w:szCs w:val="18"/>
                <w:color w:val="auto"/>
              </w:rPr>
              <w:t>Franklin Templeton Investment Management Limited:</w:t>
            </w:r>
          </w:p>
        </w:tc>
        <w:tc>
          <w:tcPr>
            <w:tcW w:w="1800" w:type="dxa"/>
            <w:vAlign w:val="bottom"/>
          </w:tcPr>
          <w:p>
            <w:pPr>
              <w:jc w:val="right"/>
              <w:ind w:right="250"/>
              <w:spacing w:after="0"/>
              <w:rPr>
                <w:sz w:val="20"/>
                <w:szCs w:val="20"/>
                <w:color w:val="auto"/>
              </w:rPr>
            </w:pPr>
            <w:r>
              <w:rPr>
                <w:rFonts w:ascii="Courier New" w:cs="Courier New" w:eastAsia="Courier New" w:hAnsi="Courier New"/>
                <w:sz w:val="18"/>
                <w:szCs w:val="18"/>
                <w:color w:val="auto"/>
              </w:rPr>
              <w:t>53,050</w:t>
            </w:r>
          </w:p>
        </w:tc>
      </w:tr>
      <w:tr>
        <w:trPr>
          <w:trHeight w:val="432"/>
        </w:trPr>
        <w:tc>
          <w:tcPr>
            <w:tcW w:w="7380" w:type="dxa"/>
            <w:vAlign w:val="bottom"/>
            <w:gridSpan w:val="2"/>
          </w:tcPr>
          <w:p>
            <w:pPr>
              <w:ind w:left="1600"/>
              <w:spacing w:after="0"/>
              <w:rPr>
                <w:sz w:val="20"/>
                <w:szCs w:val="20"/>
                <w:color w:val="auto"/>
              </w:rPr>
            </w:pPr>
            <w:r>
              <w:rPr>
                <w:rFonts w:ascii="Courier New" w:cs="Courier New" w:eastAsia="Courier New" w:hAnsi="Courier New"/>
                <w:sz w:val="18"/>
                <w:szCs w:val="18"/>
                <w:color w:val="auto"/>
              </w:rPr>
              <w:t>Franklin Templeton Investments (Asia) Ltd.:</w:t>
            </w:r>
          </w:p>
        </w:tc>
        <w:tc>
          <w:tcPr>
            <w:tcW w:w="1800" w:type="dxa"/>
            <w:vAlign w:val="bottom"/>
          </w:tcPr>
          <w:p>
            <w:pPr>
              <w:jc w:val="right"/>
              <w:ind w:right="250"/>
              <w:spacing w:after="0"/>
              <w:rPr>
                <w:sz w:val="20"/>
                <w:szCs w:val="20"/>
                <w:color w:val="auto"/>
              </w:rPr>
            </w:pPr>
            <w:r>
              <w:rPr>
                <w:rFonts w:ascii="Courier New" w:cs="Courier New" w:eastAsia="Courier New" w:hAnsi="Courier New"/>
                <w:sz w:val="18"/>
                <w:szCs w:val="18"/>
                <w:color w:val="auto"/>
              </w:rPr>
              <w:t>1,967</w:t>
            </w:r>
          </w:p>
        </w:tc>
      </w:tr>
      <w:tr>
        <w:trPr>
          <w:trHeight w:val="432"/>
        </w:trPr>
        <w:tc>
          <w:tcPr>
            <w:tcW w:w="7380" w:type="dxa"/>
            <w:vAlign w:val="bottom"/>
            <w:gridSpan w:val="2"/>
          </w:tcPr>
          <w:p>
            <w:pPr>
              <w:ind w:left="1600"/>
              <w:spacing w:after="0"/>
              <w:rPr>
                <w:sz w:val="20"/>
                <w:szCs w:val="20"/>
                <w:color w:val="auto"/>
              </w:rPr>
            </w:pPr>
            <w:r>
              <w:rPr>
                <w:rFonts w:ascii="Courier New" w:cs="Courier New" w:eastAsia="Courier New" w:hAnsi="Courier New"/>
                <w:sz w:val="18"/>
                <w:szCs w:val="18"/>
                <w:color w:val="auto"/>
              </w:rPr>
              <w:t>Templeton Global Advisors Limited:</w:t>
            </w:r>
          </w:p>
        </w:tc>
        <w:tc>
          <w:tcPr>
            <w:tcW w:w="1800" w:type="dxa"/>
            <w:vAlign w:val="bottom"/>
          </w:tcPr>
          <w:p>
            <w:pPr>
              <w:jc w:val="right"/>
              <w:ind w:right="250"/>
              <w:spacing w:after="0"/>
              <w:rPr>
                <w:sz w:val="20"/>
                <w:szCs w:val="20"/>
                <w:color w:val="auto"/>
              </w:rPr>
            </w:pPr>
            <w:r>
              <w:rPr>
                <w:rFonts w:ascii="Courier New" w:cs="Courier New" w:eastAsia="Courier New" w:hAnsi="Courier New"/>
                <w:sz w:val="18"/>
                <w:szCs w:val="18"/>
                <w:color w:val="auto"/>
              </w:rPr>
              <w:t>450</w:t>
            </w:r>
          </w:p>
        </w:tc>
      </w:tr>
    </w:tbl>
    <w:p>
      <w:pPr>
        <w:spacing w:after="0" w:line="244" w:lineRule="exact"/>
        <w:rPr>
          <w:sz w:val="20"/>
          <w:szCs w:val="20"/>
          <w:color w:val="auto"/>
        </w:rPr>
      </w:pPr>
    </w:p>
    <w:p>
      <w:pPr>
        <w:ind w:left="2156" w:hanging="756"/>
        <w:spacing w:after="0"/>
        <w:tabs>
          <w:tab w:leader="none" w:pos="2156"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r>
        <w:rPr>
          <w:rFonts w:ascii="Courier New" w:cs="Courier New" w:eastAsia="Courier New" w:hAnsi="Courier New"/>
          <w:sz w:val="35"/>
          <w:szCs w:val="35"/>
          <w:color w:val="auto"/>
          <w:vertAlign w:val="superscript"/>
        </w:rPr>
        <w:t>1</w:t>
      </w:r>
    </w:p>
    <w:p>
      <w:pPr>
        <w:spacing w:after="0" w:line="200" w:lineRule="exact"/>
        <w:rPr>
          <w:sz w:val="20"/>
          <w:szCs w:val="20"/>
          <w:color w:val="auto"/>
        </w:rPr>
      </w:pPr>
    </w:p>
    <w:p>
      <w:pPr>
        <w:spacing w:after="0" w:line="387" w:lineRule="exact"/>
        <w:rPr>
          <w:sz w:val="20"/>
          <w:szCs w:val="20"/>
          <w:color w:val="auto"/>
        </w:rPr>
      </w:pPr>
    </w:p>
    <w:tbl>
      <w:tblPr>
        <w:tblLayout w:type="fixed"/>
        <w:tblInd w:w="2096" w:type="dxa"/>
        <w:tblCellMar>
          <w:top w:w="0" w:type="dxa"/>
          <w:left w:w="0" w:type="dxa"/>
          <w:bottom w:w="0" w:type="dxa"/>
          <w:right w:w="0" w:type="dxa"/>
        </w:tblCellMar>
      </w:tblPr>
      <w:tr>
        <w:trPr>
          <w:trHeight w:val="204"/>
        </w:trPr>
        <w:tc>
          <w:tcPr>
            <w:tcW w:w="5340" w:type="dxa"/>
            <w:vAlign w:val="bottom"/>
          </w:tcPr>
          <w:p>
            <w:pPr>
              <w:spacing w:after="0"/>
              <w:rPr>
                <w:sz w:val="20"/>
                <w:szCs w:val="20"/>
                <w:color w:val="auto"/>
              </w:rPr>
            </w:pPr>
            <w:r>
              <w:rPr>
                <w:rFonts w:ascii="Courier New" w:cs="Courier New" w:eastAsia="Courier New" w:hAnsi="Courier New"/>
                <w:sz w:val="18"/>
                <w:szCs w:val="18"/>
                <w:color w:val="auto"/>
              </w:rPr>
              <w:t>Franklin Templeton Institutional, LLC:</w:t>
            </w:r>
          </w:p>
        </w:tc>
        <w:tc>
          <w:tcPr>
            <w:tcW w:w="1900" w:type="dxa"/>
            <w:vAlign w:val="bottom"/>
          </w:tcPr>
          <w:p>
            <w:pPr>
              <w:jc w:val="right"/>
              <w:spacing w:after="0"/>
              <w:rPr>
                <w:sz w:val="20"/>
                <w:szCs w:val="20"/>
                <w:color w:val="auto"/>
              </w:rPr>
            </w:pPr>
            <w:r>
              <w:rPr>
                <w:rFonts w:ascii="Courier New" w:cs="Courier New" w:eastAsia="Courier New" w:hAnsi="Courier New"/>
                <w:sz w:val="18"/>
                <w:szCs w:val="18"/>
                <w:color w:val="auto"/>
              </w:rPr>
              <w:t>23,000</w:t>
            </w:r>
          </w:p>
        </w:tc>
      </w:tr>
    </w:tbl>
    <w:p>
      <w:pPr>
        <w:spacing w:after="0" w:line="228" w:lineRule="exact"/>
        <w:rPr>
          <w:sz w:val="20"/>
          <w:szCs w:val="20"/>
          <w:color w:val="auto"/>
        </w:rPr>
      </w:pPr>
    </w:p>
    <w:p>
      <w:pPr>
        <w:ind w:left="496"/>
        <w:spacing w:after="0"/>
        <w:tabs>
          <w:tab w:leader="none" w:pos="1456"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7"/>
          <w:szCs w:val="17"/>
          <w:color w:val="auto"/>
        </w:rPr>
        <w:t>Ownership of Five Percent or Less of a Class</w:t>
      </w:r>
    </w:p>
    <w:p>
      <w:pPr>
        <w:spacing w:after="0" w:line="244" w:lineRule="exact"/>
        <w:rPr>
          <w:sz w:val="20"/>
          <w:szCs w:val="20"/>
          <w:color w:val="auto"/>
        </w:rPr>
      </w:pPr>
    </w:p>
    <w:p>
      <w:pPr>
        <w:ind w:left="1396" w:right="440"/>
        <w:spacing w:after="0" w:line="238"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[X].</w:t>
      </w:r>
    </w:p>
    <w:p>
      <w:pPr>
        <w:spacing w:after="0" w:line="242" w:lineRule="exact"/>
        <w:rPr>
          <w:sz w:val="20"/>
          <w:szCs w:val="20"/>
          <w:color w:val="auto"/>
        </w:rPr>
      </w:pPr>
    </w:p>
    <w:p>
      <w:pPr>
        <w:ind w:left="496"/>
        <w:spacing w:after="0"/>
        <w:tabs>
          <w:tab w:leader="none" w:pos="1456"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7"/>
          <w:szCs w:val="17"/>
          <w:color w:val="auto"/>
        </w:rPr>
        <w:t>Ownership of More than Five Percent on Behalf of Another Person</w:t>
      </w:r>
    </w:p>
    <w:p>
      <w:pPr>
        <w:spacing w:after="0" w:line="244" w:lineRule="exact"/>
        <w:rPr>
          <w:sz w:val="20"/>
          <w:szCs w:val="20"/>
          <w:color w:val="auto"/>
        </w:rPr>
      </w:pPr>
    </w:p>
    <w:p>
      <w:pPr>
        <w:ind w:left="1396" w:right="540"/>
        <w:spacing w:after="0" w:line="238" w:lineRule="auto"/>
        <w:rPr>
          <w:sz w:val="20"/>
          <w:szCs w:val="20"/>
          <w:color w:val="auto"/>
        </w:rPr>
      </w:pPr>
      <w:r>
        <w:rPr>
          <w:rFonts w:ascii="Courier New" w:cs="Courier New" w:eastAsia="Courier New" w:hAnsi="Courier New"/>
          <w:sz w:val="18"/>
          <w:szCs w:val="18"/>
          <w:color w:val="auto"/>
        </w:rPr>
        <w:t>The clients of the Investment Management Subsidiaries, including investment companies registered under the Investment Company Act of 1940 and other managed accounts, have the right to receive or power to direct the receipt of dividends from, and the proceeds from the sale of, the securities reported herein.</w:t>
      </w:r>
    </w:p>
    <w:p>
      <w:pPr>
        <w:spacing w:after="0" w:line="244" w:lineRule="exact"/>
        <w:rPr>
          <w:sz w:val="20"/>
          <w:szCs w:val="20"/>
          <w:color w:val="auto"/>
        </w:rPr>
      </w:pPr>
    </w:p>
    <w:p>
      <w:pPr>
        <w:ind w:left="1396" w:right="1220" w:hanging="899"/>
        <w:spacing w:after="0" w:line="237" w:lineRule="auto"/>
        <w:tabs>
          <w:tab w:leader="none" w:pos="1376"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w:t>
      </w:r>
    </w:p>
    <w:p>
      <w:pPr>
        <w:spacing w:after="0" w:line="243" w:lineRule="exact"/>
        <w:rPr>
          <w:sz w:val="20"/>
          <w:szCs w:val="20"/>
          <w:color w:val="auto"/>
        </w:rPr>
      </w:pPr>
    </w:p>
    <w:p>
      <w:pPr>
        <w:ind w:left="1396"/>
        <w:spacing w:after="0"/>
        <w:rPr>
          <w:sz w:val="20"/>
          <w:szCs w:val="20"/>
          <w:color w:val="auto"/>
        </w:rPr>
      </w:pPr>
      <w:r>
        <w:rPr>
          <w:rFonts w:ascii="Courier New" w:cs="Courier New" w:eastAsia="Courier New" w:hAnsi="Courier New"/>
          <w:sz w:val="18"/>
          <w:szCs w:val="18"/>
          <w:color w:val="auto"/>
        </w:rPr>
        <w:t>See Attached Exhibit C</w:t>
      </w:r>
    </w:p>
    <w:p>
      <w:pPr>
        <w:spacing w:after="0" w:line="242" w:lineRule="exact"/>
        <w:rPr>
          <w:sz w:val="20"/>
          <w:szCs w:val="20"/>
          <w:color w:val="auto"/>
        </w:rPr>
      </w:pPr>
    </w:p>
    <w:p>
      <w:pPr>
        <w:ind w:left="496"/>
        <w:spacing w:after="0"/>
        <w:tabs>
          <w:tab w:leader="none" w:pos="1456" w:val="left"/>
        </w:tabs>
        <w:rPr>
          <w:sz w:val="20"/>
          <w:szCs w:val="20"/>
          <w:color w:val="auto"/>
        </w:rPr>
      </w:pPr>
      <w:r>
        <w:rPr>
          <w:rFonts w:ascii="Courier New" w:cs="Courier New" w:eastAsia="Courier New" w:hAnsi="Courier New"/>
          <w:sz w:val="18"/>
          <w:szCs w:val="18"/>
          <w:color w:val="auto"/>
        </w:rPr>
        <w:t>Item 8.</w:t>
        <w:tab/>
        <w:t>Identification and Classification of Members of the Group</w:t>
      </w:r>
    </w:p>
    <w:p>
      <w:pPr>
        <w:spacing w:after="0" w:line="242" w:lineRule="exact"/>
        <w:rPr>
          <w:sz w:val="20"/>
          <w:szCs w:val="20"/>
          <w:color w:val="auto"/>
        </w:rPr>
      </w:pPr>
    </w:p>
    <w:p>
      <w:pPr>
        <w:ind w:left="1396"/>
        <w:spacing w:after="0"/>
        <w:rPr>
          <w:sz w:val="20"/>
          <w:szCs w:val="20"/>
          <w:color w:val="auto"/>
        </w:rPr>
      </w:pPr>
      <w:r>
        <w:rPr>
          <w:rFonts w:ascii="Courier New" w:cs="Courier New" w:eastAsia="Courier New" w:hAnsi="Courier New"/>
          <w:sz w:val="18"/>
          <w:szCs w:val="18"/>
          <w:color w:val="auto"/>
        </w:rPr>
        <w:t>Not Applicable</w:t>
      </w:r>
    </w:p>
    <w:p>
      <w:pPr>
        <w:spacing w:after="0" w:line="242" w:lineRule="exact"/>
        <w:rPr>
          <w:sz w:val="20"/>
          <w:szCs w:val="20"/>
          <w:color w:val="auto"/>
        </w:rPr>
      </w:pPr>
    </w:p>
    <w:p>
      <w:pPr>
        <w:ind w:left="496"/>
        <w:spacing w:after="0"/>
        <w:tabs>
          <w:tab w:leader="none" w:pos="1456"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7"/>
          <w:szCs w:val="17"/>
          <w:color w:val="auto"/>
        </w:rPr>
        <w:t>Notice of Dissolution of Group</w:t>
      </w:r>
    </w:p>
    <w:p>
      <w:pPr>
        <w:spacing w:after="0" w:line="242" w:lineRule="exact"/>
        <w:rPr>
          <w:sz w:val="20"/>
          <w:szCs w:val="20"/>
          <w:color w:val="auto"/>
        </w:rPr>
      </w:pPr>
    </w:p>
    <w:p>
      <w:pPr>
        <w:ind w:left="1396"/>
        <w:spacing w:after="0"/>
        <w:rPr>
          <w:sz w:val="20"/>
          <w:szCs w:val="20"/>
          <w:color w:val="auto"/>
        </w:rPr>
      </w:pPr>
      <w:r>
        <w:rPr>
          <w:rFonts w:ascii="Courier New" w:cs="Courier New" w:eastAsia="Courier New" w:hAnsi="Courier New"/>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211455</wp:posOffset>
            </wp:positionV>
            <wp:extent cx="2361565"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361565" cy="34290"/>
                    </a:xfrm>
                    <a:prstGeom prst="rect">
                      <a:avLst/>
                    </a:prstGeom>
                    <a:noFill/>
                  </pic:spPr>
                </pic:pic>
              </a:graphicData>
            </a:graphic>
          </wp:anchor>
        </w:drawing>
      </w:r>
    </w:p>
    <w:p>
      <w:pPr>
        <w:spacing w:after="0" w:line="200" w:lineRule="exact"/>
        <w:rPr>
          <w:sz w:val="20"/>
          <w:szCs w:val="20"/>
          <w:color w:val="auto"/>
        </w:rPr>
      </w:pPr>
    </w:p>
    <w:p>
      <w:pPr>
        <w:spacing w:after="0" w:line="348" w:lineRule="exact"/>
        <w:rPr>
          <w:sz w:val="20"/>
          <w:szCs w:val="20"/>
          <w:color w:val="auto"/>
        </w:rPr>
      </w:pPr>
    </w:p>
    <w:p>
      <w:pPr>
        <w:ind w:left="436" w:hanging="436"/>
        <w:spacing w:after="0" w:line="202" w:lineRule="exact"/>
        <w:tabs>
          <w:tab w:leader="none" w:pos="454" w:val="left"/>
        </w:tabs>
        <w:numPr>
          <w:ilvl w:val="0"/>
          <w:numId w:val="32"/>
        </w:numPr>
        <w:rPr>
          <w:rFonts w:ascii="Arial" w:cs="Arial" w:eastAsia="Arial" w:hAnsi="Arial"/>
          <w:sz w:val="36"/>
          <w:szCs w:val="36"/>
          <w:color w:val="auto"/>
          <w:vertAlign w:val="superscript"/>
        </w:rPr>
      </w:pPr>
      <w:r>
        <w:rPr>
          <w:rFonts w:ascii="Courier New" w:cs="Courier New" w:eastAsia="Courier New" w:hAnsi="Courier New"/>
          <w:sz w:val="18"/>
          <w:szCs w:val="18"/>
          <w:color w:val="auto"/>
        </w:rPr>
        <w:t>One of the investment management contracts that relates to these securities provides that the applicable FRI affiliate share investment power over the securities held in the client’s account with another unaffiliated entity. The issuer's securities held in such account are less than 5% of the outstanding shares of the class. In addition, FRI does not believe that such contract causes such client or unaffiliated entity to be part of a group with FRI or any FRI affiliate within the meaning of Rule 13d</w:t>
      </w:r>
      <w:r>
        <w:rPr>
          <w:rFonts w:ascii="MS Gothic" w:cs="MS Gothic" w:eastAsia="MS Gothic" w:hAnsi="MS Gothic"/>
          <w:sz w:val="18"/>
          <w:szCs w:val="18"/>
          <w:color w:val="auto"/>
        </w:rPr>
        <w:t>‑</w:t>
      </w:r>
      <w:r>
        <w:rPr>
          <w:rFonts w:ascii="Courier New" w:cs="Courier New" w:eastAsia="Courier New" w:hAnsi="Courier New"/>
          <w:sz w:val="18"/>
          <w:szCs w:val="18"/>
          <w:color w:val="auto"/>
        </w:rPr>
        <w:t>5 under the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361950</wp:posOffset>
            </wp:positionV>
            <wp:extent cx="7359015" cy="209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359015" cy="20955"/>
                    </a:xfrm>
                    <a:prstGeom prst="rect">
                      <a:avLst/>
                    </a:prstGeom>
                    <a:noFill/>
                  </pic:spPr>
                </pic:pic>
              </a:graphicData>
            </a:graphic>
          </wp:anchor>
        </w:drawing>
      </w:r>
    </w:p>
    <w:p>
      <w:pPr>
        <w:sectPr>
          <w:pgSz w:w="11900" w:h="16838" w:orient="portrait"/>
          <w:cols w:equalWidth="0" w:num="1">
            <w:col w:w="10256"/>
          </w:cols>
          <w:pgMar w:left="384" w:top="1244" w:right="1259" w:bottom="1440" w:gutter="0" w:footer="0" w:header="0"/>
        </w:sectPr>
      </w:pPr>
    </w:p>
    <w:bookmarkStart w:id="10" w:name="page11"/>
    <w:bookmarkEnd w:id="10"/>
    <w:p>
      <w:pPr>
        <w:spacing w:after="0"/>
        <w:tabs>
          <w:tab w:leader="none" w:pos="4200" w:val="left"/>
          <w:tab w:leader="none" w:pos="7860" w:val="left"/>
        </w:tabs>
        <w:rPr>
          <w:sz w:val="20"/>
          <w:szCs w:val="20"/>
          <w:color w:val="auto"/>
        </w:rPr>
      </w:pPr>
      <w:r>
        <w:rPr>
          <w:rFonts w:ascii="Courier New" w:cs="Courier New" w:eastAsia="Courier New" w:hAnsi="Courier New"/>
          <w:sz w:val="18"/>
          <w:szCs w:val="18"/>
          <w:color w:val="auto"/>
        </w:rPr>
        <w:t>CUSIP NO. G5509L101</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9 of 13</w:t>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44" w:lineRule="exact"/>
        <w:rPr>
          <w:sz w:val="20"/>
          <w:szCs w:val="20"/>
          <w:color w:val="auto"/>
        </w:rPr>
      </w:pPr>
    </w:p>
    <w:p>
      <w:pPr>
        <w:ind w:right="839"/>
        <w:spacing w:after="0" w:line="266"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3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Exhibits</w:t>
      </w:r>
    </w:p>
    <w:p>
      <w:pPr>
        <w:spacing w:after="0" w:line="237" w:lineRule="exact"/>
        <w:rPr>
          <w:sz w:val="20"/>
          <w:szCs w:val="20"/>
          <w:color w:val="auto"/>
        </w:rPr>
      </w:pPr>
    </w:p>
    <w:p>
      <w:pPr>
        <w:spacing w:after="0" w:line="209" w:lineRule="exact"/>
        <w:rPr>
          <w:sz w:val="20"/>
          <w:szCs w:val="20"/>
          <w:color w:val="auto"/>
        </w:rPr>
      </w:pPr>
      <w:r>
        <w:rPr>
          <w:rFonts w:ascii="Courier New" w:cs="Courier New" w:eastAsia="Courier New" w:hAnsi="Courier New"/>
          <w:sz w:val="18"/>
          <w:szCs w:val="18"/>
          <w:color w:val="auto"/>
        </w:rPr>
        <w:t xml:space="preserve">Exhibit A </w:t>
      </w:r>
      <w:r>
        <w:rPr>
          <w:rFonts w:ascii="MS Gothic" w:cs="MS Gothic" w:eastAsia="MS Gothic" w:hAnsi="MS Gothic"/>
          <w:sz w:val="18"/>
          <w:szCs w:val="18"/>
          <w:color w:val="auto"/>
        </w:rPr>
        <w:t>‑</w:t>
      </w:r>
      <w:r>
        <w:rPr>
          <w:rFonts w:ascii="Courier New" w:cs="Courier New" w:eastAsia="Courier New" w:hAnsi="Courier New"/>
          <w:sz w:val="18"/>
          <w:szCs w:val="18"/>
          <w:color w:val="auto"/>
        </w:rPr>
        <w:t xml:space="preserve"> Joint Filing Agreement</w:t>
      </w:r>
    </w:p>
    <w:p>
      <w:pPr>
        <w:spacing w:after="0" w:line="1" w:lineRule="exact"/>
        <w:rPr>
          <w:sz w:val="20"/>
          <w:szCs w:val="20"/>
          <w:color w:val="auto"/>
        </w:rPr>
      </w:pPr>
    </w:p>
    <w:p>
      <w:pPr>
        <w:ind w:right="1479"/>
        <w:spacing w:after="0" w:line="209" w:lineRule="exact"/>
        <w:rPr>
          <w:sz w:val="20"/>
          <w:szCs w:val="20"/>
          <w:color w:val="auto"/>
        </w:rPr>
      </w:pPr>
      <w:r>
        <w:rPr>
          <w:rFonts w:ascii="Courier New" w:cs="Courier New" w:eastAsia="Courier New" w:hAnsi="Courier New"/>
          <w:sz w:val="18"/>
          <w:szCs w:val="18"/>
          <w:color w:val="auto"/>
        </w:rPr>
        <w:t xml:space="preserve">Exhibit B </w:t>
      </w:r>
      <w:r>
        <w:rPr>
          <w:rFonts w:ascii="MS Gothic" w:cs="MS Gothic" w:eastAsia="MS Gothic" w:hAnsi="MS Gothic"/>
          <w:sz w:val="18"/>
          <w:szCs w:val="18"/>
          <w:color w:val="auto"/>
        </w:rPr>
        <w:t>‑</w:t>
      </w:r>
      <w:r>
        <w:rPr>
          <w:rFonts w:ascii="Courier New" w:cs="Courier New" w:eastAsia="Courier New" w:hAnsi="Courier New"/>
          <w:sz w:val="18"/>
          <w:szCs w:val="18"/>
          <w:color w:val="auto"/>
        </w:rPr>
        <w:t xml:space="preserve"> Limited Powers of Attorney for Section 13 Reporting Obligations Exhibit C </w:t>
      </w:r>
      <w:r>
        <w:rPr>
          <w:rFonts w:ascii="MS Gothic" w:cs="MS Gothic" w:eastAsia="MS Gothic" w:hAnsi="MS Gothic"/>
          <w:sz w:val="18"/>
          <w:szCs w:val="18"/>
          <w:color w:val="auto"/>
        </w:rPr>
        <w:t>‑</w:t>
      </w:r>
      <w:r>
        <w:rPr>
          <w:rFonts w:ascii="Courier New" w:cs="Courier New" w:eastAsia="Courier New" w:hAnsi="Courier New"/>
          <w:sz w:val="18"/>
          <w:szCs w:val="18"/>
          <w:color w:val="auto"/>
        </w:rPr>
        <w:t xml:space="preserve"> Item 7 Identification and Classification of Subsidiaries</w:t>
      </w:r>
    </w:p>
    <w:p>
      <w:pPr>
        <w:spacing w:after="0" w:line="256" w:lineRule="exact"/>
        <w:rPr>
          <w:sz w:val="20"/>
          <w:szCs w:val="20"/>
          <w:color w:val="auto"/>
        </w:rPr>
      </w:pPr>
    </w:p>
    <w:p>
      <w:pPr>
        <w:ind w:left="3600"/>
        <w:spacing w:after="0"/>
        <w:rPr>
          <w:sz w:val="20"/>
          <w:szCs w:val="20"/>
          <w:color w:val="auto"/>
        </w:rPr>
      </w:pPr>
      <w:r>
        <w:rPr>
          <w:rFonts w:ascii="Courier New" w:cs="Courier New" w:eastAsia="Courier New" w:hAnsi="Courier New"/>
          <w:sz w:val="18"/>
          <w:szCs w:val="18"/>
          <w:color w:val="auto"/>
        </w:rPr>
        <w:t>SIGNATURE</w:t>
      </w:r>
    </w:p>
    <w:p>
      <w:pPr>
        <w:spacing w:after="0" w:line="244" w:lineRule="exact"/>
        <w:rPr>
          <w:sz w:val="20"/>
          <w:szCs w:val="20"/>
          <w:color w:val="auto"/>
        </w:rPr>
      </w:pPr>
    </w:p>
    <w:p>
      <w:pPr>
        <w:ind w:right="619"/>
        <w:spacing w:after="0" w:line="237"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43"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8"/>
          <w:szCs w:val="18"/>
          <w:color w:val="auto"/>
        </w:rPr>
        <w:t>Dated:</w:t>
        <w:tab/>
        <w:t>January 23, 2019</w:t>
      </w:r>
    </w:p>
    <w:p>
      <w:pPr>
        <w:spacing w:after="0" w:line="24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Franklin Resources, Inc.</w:t>
      </w:r>
    </w:p>
    <w:p>
      <w:pPr>
        <w:spacing w:after="0" w:line="24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Charles B. Johnson</w:t>
      </w:r>
    </w:p>
    <w:p>
      <w:pPr>
        <w:spacing w:after="0" w:line="2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Rupert H. Johnson, Jr.</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tabs>
          <w:tab w:leader="none" w:pos="74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/s/VIRGINIA ROSAS</w:t>
      </w:r>
    </w:p>
    <w:p>
      <w:pPr>
        <w:spacing w:after="0" w:line="41" w:lineRule="exact"/>
        <w:rPr>
          <w:sz w:val="20"/>
          <w:szCs w:val="20"/>
          <w:color w:val="auto"/>
        </w:rPr>
      </w:pPr>
    </w:p>
    <w:p>
      <w:pPr>
        <w:ind w:left="660"/>
        <w:spacing w:after="0" w:line="181" w:lineRule="exact"/>
        <w:rPr>
          <w:sz w:val="20"/>
          <w:szCs w:val="20"/>
          <w:color w:val="auto"/>
        </w:rPr>
      </w:pPr>
      <w:r>
        <w:rPr>
          <w:rFonts w:ascii="MS Gothic" w:cs="MS Gothic" w:eastAsia="MS Gothic" w:hAnsi="MS Gothic"/>
          <w:sz w:val="18"/>
          <w:szCs w:val="18"/>
          <w:color w:val="auto"/>
        </w:rPr>
        <w:t>‑‑‑‑‑‑‑‑‑‑‑‑‑‑‑‑‑‑‑‑‑‑‑‑‑‑‑‑‑</w:t>
      </w:r>
    </w:p>
    <w:p>
      <w:pPr>
        <w:spacing w:after="0" w:line="34" w:lineRule="exact"/>
        <w:rPr>
          <w:sz w:val="20"/>
          <w:szCs w:val="20"/>
          <w:color w:val="auto"/>
        </w:rPr>
      </w:pPr>
    </w:p>
    <w:p>
      <w:pPr>
        <w:ind w:left="660"/>
        <w:spacing w:after="0"/>
        <w:rPr>
          <w:sz w:val="20"/>
          <w:szCs w:val="20"/>
          <w:color w:val="auto"/>
        </w:rPr>
      </w:pPr>
      <w:r>
        <w:rPr>
          <w:rFonts w:ascii="Courier New" w:cs="Courier New" w:eastAsia="Courier New" w:hAnsi="Courier New"/>
          <w:sz w:val="18"/>
          <w:szCs w:val="18"/>
          <w:color w:val="auto"/>
        </w:rPr>
        <w:t>Virginia Rosas</w:t>
      </w:r>
    </w:p>
    <w:p>
      <w:pPr>
        <w:spacing w:after="0" w:line="26" w:lineRule="exact"/>
        <w:rPr>
          <w:sz w:val="20"/>
          <w:szCs w:val="20"/>
          <w:color w:val="auto"/>
        </w:rPr>
      </w:pPr>
    </w:p>
    <w:p>
      <w:pPr>
        <w:ind w:left="660"/>
        <w:spacing w:after="0"/>
        <w:rPr>
          <w:sz w:val="20"/>
          <w:szCs w:val="20"/>
          <w:color w:val="auto"/>
        </w:rPr>
      </w:pPr>
      <w:r>
        <w:rPr>
          <w:rFonts w:ascii="Courier New" w:cs="Courier New" w:eastAsia="Courier New" w:hAnsi="Courier New"/>
          <w:sz w:val="18"/>
          <w:szCs w:val="18"/>
          <w:color w:val="auto"/>
        </w:rPr>
        <w:t>Assistant Secretary of Franklin Resources, Inc.</w:t>
      </w:r>
    </w:p>
    <w:p>
      <w:pPr>
        <w:spacing w:after="0" w:line="284" w:lineRule="exact"/>
        <w:rPr>
          <w:sz w:val="20"/>
          <w:szCs w:val="20"/>
          <w:color w:val="auto"/>
        </w:rPr>
      </w:pPr>
    </w:p>
    <w:p>
      <w:pPr>
        <w:ind w:left="660" w:right="499"/>
        <w:spacing w:after="0" w:line="215" w:lineRule="exact"/>
        <w:rPr>
          <w:sz w:val="20"/>
          <w:szCs w:val="20"/>
          <w:color w:val="auto"/>
        </w:rPr>
      </w:pPr>
      <w:r>
        <w:rPr>
          <w:rFonts w:ascii="Courier New" w:cs="Courier New" w:eastAsia="Courier New" w:hAnsi="Courier New"/>
          <w:sz w:val="18"/>
          <w:szCs w:val="18"/>
          <w:color w:val="auto"/>
        </w:rPr>
        <w:t>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for Charles B. Johnson pursuant to Power of Attorney attached to this Schedule 13G</w:t>
      </w:r>
    </w:p>
    <w:p>
      <w:pPr>
        <w:spacing w:after="0" w:line="272" w:lineRule="exact"/>
        <w:rPr>
          <w:sz w:val="20"/>
          <w:szCs w:val="20"/>
          <w:color w:val="auto"/>
        </w:rPr>
      </w:pPr>
    </w:p>
    <w:p>
      <w:pPr>
        <w:ind w:left="660" w:right="1039"/>
        <w:spacing w:after="0" w:line="215" w:lineRule="exact"/>
        <w:rPr>
          <w:sz w:val="20"/>
          <w:szCs w:val="20"/>
          <w:color w:val="auto"/>
        </w:rPr>
      </w:pPr>
      <w:r>
        <w:rPr>
          <w:rFonts w:ascii="Courier New" w:cs="Courier New" w:eastAsia="Courier New" w:hAnsi="Courier New"/>
          <w:sz w:val="18"/>
          <w:szCs w:val="18"/>
          <w:color w:val="auto"/>
        </w:rPr>
        <w:t>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for Rupert H. Johnson, Jr. pursuant to Power of Attorney attached to this Schedule 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-453390</wp:posOffset>
            </wp:positionH>
            <wp:positionV relativeFrom="paragraph">
              <wp:posOffset>214630</wp:posOffset>
            </wp:positionV>
            <wp:extent cx="7359015" cy="209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359015" cy="20955"/>
                    </a:xfrm>
                    <a:prstGeom prst="rect">
                      <a:avLst/>
                    </a:prstGeom>
                    <a:noFill/>
                  </pic:spPr>
                </pic:pic>
              </a:graphicData>
            </a:graphic>
          </wp:anchor>
        </w:drawing>
      </w:r>
    </w:p>
    <w:p>
      <w:pPr>
        <w:sectPr>
          <w:pgSz w:w="11900" w:h="16838" w:orient="portrait"/>
          <w:cols w:equalWidth="0" w:num="1">
            <w:col w:w="9579"/>
          </w:cols>
          <w:pgMar w:left="880" w:top="1244" w:right="1440" w:bottom="1440" w:gutter="0" w:footer="0" w:header="0"/>
        </w:sectPr>
      </w:pPr>
    </w:p>
    <w:bookmarkStart w:id="11" w:name="page12"/>
    <w:bookmarkEnd w:id="11"/>
    <w:p>
      <w:pPr>
        <w:spacing w:after="0"/>
        <w:tabs>
          <w:tab w:leader="none" w:pos="4200" w:val="left"/>
          <w:tab w:leader="none" w:pos="7860" w:val="left"/>
        </w:tabs>
        <w:rPr>
          <w:sz w:val="20"/>
          <w:szCs w:val="20"/>
          <w:color w:val="auto"/>
        </w:rPr>
      </w:pPr>
      <w:r>
        <w:rPr>
          <w:rFonts w:ascii="Courier New" w:cs="Courier New" w:eastAsia="Courier New" w:hAnsi="Courier New"/>
          <w:sz w:val="18"/>
          <w:szCs w:val="18"/>
          <w:color w:val="auto"/>
        </w:rPr>
        <w:t>CUSIP NO. G5509L101</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10 of 13</w:t>
      </w:r>
    </w:p>
    <w:p>
      <w:pPr>
        <w:spacing w:after="0" w:line="2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JOINT FILING AGREEMENT</w:t>
      </w:r>
    </w:p>
    <w:p>
      <w:pPr>
        <w:spacing w:after="0" w:line="244" w:lineRule="exact"/>
        <w:rPr>
          <w:sz w:val="20"/>
          <w:szCs w:val="20"/>
          <w:color w:val="auto"/>
        </w:rPr>
      </w:pPr>
    </w:p>
    <w:p>
      <w:pPr>
        <w:ind w:right="179"/>
        <w:spacing w:after="0" w:line="202" w:lineRule="exact"/>
        <w:rPr>
          <w:sz w:val="20"/>
          <w:szCs w:val="20"/>
          <w:color w:val="auto"/>
        </w:rPr>
      </w:pPr>
      <w:r>
        <w:rPr>
          <w:rFonts w:ascii="Courier New" w:cs="Courier New" w:eastAsia="Courier New" w:hAnsi="Courier New"/>
          <w:sz w:val="18"/>
          <w:szCs w:val="18"/>
          <w:color w:val="auto"/>
        </w:rPr>
        <w:t>In accordance with Rule 13d</w:t>
      </w:r>
      <w:r>
        <w:rPr>
          <w:rFonts w:ascii="MS Gothic" w:cs="MS Gothic" w:eastAsia="MS Gothic" w:hAnsi="MS Gothic"/>
          <w:sz w:val="18"/>
          <w:szCs w:val="18"/>
          <w:color w:val="auto"/>
        </w:rPr>
        <w:t>‑</w:t>
      </w:r>
      <w:r>
        <w:rPr>
          <w:rFonts w:ascii="Courier New" w:cs="Courier New" w:eastAsia="Courier New" w:hAnsi="Courier New"/>
          <w:sz w:val="18"/>
          <w:szCs w:val="18"/>
          <w:color w:val="auto"/>
        </w:rPr>
        <w:t>1(k) under the Securities Exchange Act of 1934, as amended, the undersigned hereby agree to the joint filing with each other of the attached statement on Schedule 13G and to all amendments to such statement and that such statement and all amendments to such statement are made on behalf of each of them.</w:t>
      </w:r>
    </w:p>
    <w:p>
      <w:pPr>
        <w:spacing w:after="0" w:line="244" w:lineRule="exact"/>
        <w:rPr>
          <w:sz w:val="20"/>
          <w:szCs w:val="20"/>
          <w:color w:val="auto"/>
        </w:rPr>
      </w:pPr>
    </w:p>
    <w:p>
      <w:pPr>
        <w:spacing w:after="0"/>
        <w:tabs>
          <w:tab w:leader="none" w:pos="7440" w:val="left"/>
        </w:tabs>
        <w:rPr>
          <w:sz w:val="20"/>
          <w:szCs w:val="20"/>
          <w:color w:val="auto"/>
        </w:rPr>
      </w:pPr>
      <w:r>
        <w:rPr>
          <w:rFonts w:ascii="Courier New" w:cs="Courier New" w:eastAsia="Courier New" w:hAnsi="Courier New"/>
          <w:sz w:val="18"/>
          <w:szCs w:val="18"/>
          <w:color w:val="auto"/>
        </w:rPr>
        <w:t>IN WITNESS WHEREOF, the undersigned have executed this agreement on</w:t>
      </w:r>
      <w:r>
        <w:rPr>
          <w:sz w:val="20"/>
          <w:szCs w:val="20"/>
          <w:color w:val="auto"/>
        </w:rPr>
        <w:tab/>
      </w:r>
      <w:r>
        <w:rPr>
          <w:rFonts w:ascii="Courier New" w:cs="Courier New" w:eastAsia="Courier New" w:hAnsi="Courier New"/>
          <w:sz w:val="17"/>
          <w:szCs w:val="17"/>
          <w:color w:val="auto"/>
        </w:rPr>
        <w:t>January 23, 2019.</w:t>
      </w:r>
    </w:p>
    <w:p>
      <w:pPr>
        <w:spacing w:after="0" w:line="24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Franklin Resources, Inc.</w:t>
      </w:r>
    </w:p>
    <w:p>
      <w:pPr>
        <w:spacing w:after="0" w:line="24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Charles B. Johnson</w:t>
      </w:r>
    </w:p>
    <w:p>
      <w:pPr>
        <w:spacing w:after="0" w:line="2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Rupert H. Johnson, Jr.</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tabs>
          <w:tab w:leader="none" w:pos="74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/s/VIRGINIA ROSAS</w:t>
      </w:r>
    </w:p>
    <w:p>
      <w:pPr>
        <w:spacing w:after="0" w:line="41" w:lineRule="exact"/>
        <w:rPr>
          <w:sz w:val="20"/>
          <w:szCs w:val="20"/>
          <w:color w:val="auto"/>
        </w:rPr>
      </w:pPr>
    </w:p>
    <w:p>
      <w:pPr>
        <w:ind w:left="660"/>
        <w:spacing w:after="0" w:line="181" w:lineRule="exact"/>
        <w:rPr>
          <w:sz w:val="20"/>
          <w:szCs w:val="20"/>
          <w:color w:val="auto"/>
        </w:rPr>
      </w:pPr>
      <w:r>
        <w:rPr>
          <w:rFonts w:ascii="MS Gothic" w:cs="MS Gothic" w:eastAsia="MS Gothic" w:hAnsi="MS Gothic"/>
          <w:sz w:val="18"/>
          <w:szCs w:val="18"/>
          <w:color w:val="auto"/>
        </w:rPr>
        <w:t>‑‑‑‑‑‑‑‑‑‑‑‑‑‑‑‑‑‑‑‑‑‑‑‑‑‑‑‑‑</w:t>
      </w:r>
    </w:p>
    <w:p>
      <w:pPr>
        <w:spacing w:after="0" w:line="34" w:lineRule="exact"/>
        <w:rPr>
          <w:sz w:val="20"/>
          <w:szCs w:val="20"/>
          <w:color w:val="auto"/>
        </w:rPr>
      </w:pPr>
    </w:p>
    <w:p>
      <w:pPr>
        <w:ind w:left="660"/>
        <w:spacing w:after="0"/>
        <w:rPr>
          <w:sz w:val="20"/>
          <w:szCs w:val="20"/>
          <w:color w:val="auto"/>
        </w:rPr>
      </w:pPr>
      <w:r>
        <w:rPr>
          <w:rFonts w:ascii="Courier New" w:cs="Courier New" w:eastAsia="Courier New" w:hAnsi="Courier New"/>
          <w:sz w:val="18"/>
          <w:szCs w:val="18"/>
          <w:color w:val="auto"/>
        </w:rPr>
        <w:t>Virginia Rosas</w:t>
      </w:r>
    </w:p>
    <w:p>
      <w:pPr>
        <w:spacing w:after="0" w:line="26" w:lineRule="exact"/>
        <w:rPr>
          <w:sz w:val="20"/>
          <w:szCs w:val="20"/>
          <w:color w:val="auto"/>
        </w:rPr>
      </w:pPr>
    </w:p>
    <w:p>
      <w:pPr>
        <w:ind w:left="660"/>
        <w:spacing w:after="0"/>
        <w:rPr>
          <w:sz w:val="20"/>
          <w:szCs w:val="20"/>
          <w:color w:val="auto"/>
        </w:rPr>
      </w:pPr>
      <w:r>
        <w:rPr>
          <w:rFonts w:ascii="Courier New" w:cs="Courier New" w:eastAsia="Courier New" w:hAnsi="Courier New"/>
          <w:sz w:val="18"/>
          <w:szCs w:val="18"/>
          <w:color w:val="auto"/>
        </w:rPr>
        <w:t>Assistant Secretary of Franklin Resources, Inc.</w:t>
      </w:r>
    </w:p>
    <w:p>
      <w:pPr>
        <w:spacing w:after="0" w:line="284" w:lineRule="exact"/>
        <w:rPr>
          <w:sz w:val="20"/>
          <w:szCs w:val="20"/>
          <w:color w:val="auto"/>
        </w:rPr>
      </w:pPr>
    </w:p>
    <w:p>
      <w:pPr>
        <w:ind w:left="660" w:right="499"/>
        <w:spacing w:after="0" w:line="215" w:lineRule="exact"/>
        <w:rPr>
          <w:sz w:val="20"/>
          <w:szCs w:val="20"/>
          <w:color w:val="auto"/>
        </w:rPr>
      </w:pPr>
      <w:r>
        <w:rPr>
          <w:rFonts w:ascii="Courier New" w:cs="Courier New" w:eastAsia="Courier New" w:hAnsi="Courier New"/>
          <w:sz w:val="18"/>
          <w:szCs w:val="18"/>
          <w:color w:val="auto"/>
        </w:rPr>
        <w:t>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for Charles B. Johnson pursuant to Power of Attorney attached to this Schedule 13G</w:t>
      </w:r>
    </w:p>
    <w:p>
      <w:pPr>
        <w:spacing w:after="0" w:line="272" w:lineRule="exact"/>
        <w:rPr>
          <w:sz w:val="20"/>
          <w:szCs w:val="20"/>
          <w:color w:val="auto"/>
        </w:rPr>
      </w:pPr>
    </w:p>
    <w:p>
      <w:pPr>
        <w:ind w:left="660" w:right="1039"/>
        <w:spacing w:after="0" w:line="215" w:lineRule="exact"/>
        <w:rPr>
          <w:sz w:val="20"/>
          <w:szCs w:val="20"/>
          <w:color w:val="auto"/>
        </w:rPr>
      </w:pPr>
      <w:r>
        <w:rPr>
          <w:rFonts w:ascii="Courier New" w:cs="Courier New" w:eastAsia="Courier New" w:hAnsi="Courier New"/>
          <w:sz w:val="18"/>
          <w:szCs w:val="18"/>
          <w:color w:val="auto"/>
        </w:rPr>
        <w:t>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for Rupert H. Johnson, Jr. pursuant to Power of Attorney attached to this Schedule 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-453390</wp:posOffset>
            </wp:positionH>
            <wp:positionV relativeFrom="paragraph">
              <wp:posOffset>368935</wp:posOffset>
            </wp:positionV>
            <wp:extent cx="7359015"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359015" cy="21590"/>
                    </a:xfrm>
                    <a:prstGeom prst="rect">
                      <a:avLst/>
                    </a:prstGeom>
                    <a:noFill/>
                  </pic:spPr>
                </pic:pic>
              </a:graphicData>
            </a:graphic>
          </wp:anchor>
        </w:drawing>
      </w:r>
    </w:p>
    <w:p>
      <w:pPr>
        <w:sectPr>
          <w:pgSz w:w="11900" w:h="16838" w:orient="portrait"/>
          <w:cols w:equalWidth="0" w:num="1">
            <w:col w:w="9579"/>
          </w:cols>
          <w:pgMar w:left="880" w:top="1244" w:right="1440" w:bottom="1440" w:gutter="0" w:footer="0" w:header="0"/>
        </w:sectPr>
      </w:pPr>
    </w:p>
    <w:bookmarkStart w:id="12" w:name="page13"/>
    <w:bookmarkEnd w:id="12"/>
    <w:p>
      <w:pPr>
        <w:ind w:left="500"/>
        <w:spacing w:after="0"/>
        <w:rPr>
          <w:sz w:val="20"/>
          <w:szCs w:val="20"/>
          <w:color w:val="auto"/>
        </w:rPr>
      </w:pPr>
      <w:r>
        <w:rPr>
          <w:rFonts w:ascii="Courier New" w:cs="Courier New" w:eastAsia="Courier New" w:hAnsi="Courier New"/>
          <w:sz w:val="18"/>
          <w:szCs w:val="18"/>
          <w:color w:val="auto"/>
        </w:rPr>
        <w:t>CUSIP NO. G5509L101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13G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Page 11 of 13</w:t>
      </w:r>
    </w:p>
    <w:p>
      <w:pPr>
        <w:spacing w:after="0" w:line="209" w:lineRule="exact"/>
        <w:rPr>
          <w:sz w:val="20"/>
          <w:szCs w:val="20"/>
          <w:color w:val="auto"/>
        </w:rPr>
      </w:pPr>
    </w:p>
    <w:p>
      <w:pPr>
        <w:sectPr>
          <w:pgSz w:w="11900" w:h="16838" w:orient="portrait"/>
          <w:cols w:equalWidth="0" w:num="3">
            <w:col w:w="4000" w:space="720"/>
            <w:col w:w="2940" w:space="720"/>
            <w:col w:w="2740"/>
          </w:cols>
          <w:pgMar w:left="380" w:top="1001" w:right="399" w:bottom="1440" w:gutter="0" w:footer="0" w:header="0"/>
        </w:sectPr>
      </w:pPr>
    </w:p>
    <w:p>
      <w:pPr>
        <w:spacing w:after="0" w:line="42" w:lineRule="exact"/>
        <w:rPr>
          <w:sz w:val="20"/>
          <w:szCs w:val="20"/>
          <w:color w:val="auto"/>
        </w:rPr>
      </w:pPr>
    </w:p>
    <w:p>
      <w:pPr>
        <w:ind w:left="500"/>
        <w:spacing w:after="0"/>
        <w:rPr>
          <w:sz w:val="20"/>
          <w:szCs w:val="20"/>
          <w:color w:val="auto"/>
        </w:rPr>
      </w:pPr>
      <w:r>
        <w:rPr>
          <w:rFonts w:ascii="Courier New" w:cs="Courier New" w:eastAsia="Courier New" w:hAnsi="Courier New"/>
          <w:sz w:val="18"/>
          <w:szCs w:val="18"/>
          <w:color w:val="auto"/>
        </w:rPr>
        <w:t>EXHIBIT B</w:t>
      </w:r>
    </w:p>
    <w:p>
      <w:pPr>
        <w:jc w:val="center"/>
        <w:spacing w:after="0" w:line="238" w:lineRule="auto"/>
        <w:rPr>
          <w:sz w:val="20"/>
          <w:szCs w:val="20"/>
          <w:color w:val="auto"/>
        </w:rPr>
      </w:pPr>
      <w:r>
        <w:rPr>
          <w:rFonts w:ascii="Courier New" w:cs="Courier New" w:eastAsia="Courier New" w:hAnsi="Courier New"/>
          <w:sz w:val="18"/>
          <w:szCs w:val="18"/>
          <w:color w:val="auto"/>
        </w:rPr>
        <w:t>LIMITED POWER OF ATTORNEY</w:t>
      </w:r>
    </w:p>
    <w:p>
      <w:pPr>
        <w:spacing w:after="0" w:line="1" w:lineRule="exact"/>
        <w:rPr>
          <w:sz w:val="20"/>
          <w:szCs w:val="20"/>
          <w:color w:val="auto"/>
        </w:rPr>
      </w:pPr>
    </w:p>
    <w:p>
      <w:pPr>
        <w:jc w:val="center"/>
        <w:spacing w:after="0"/>
        <w:rPr>
          <w:sz w:val="20"/>
          <w:szCs w:val="20"/>
          <w:color w:val="auto"/>
        </w:rPr>
      </w:pPr>
      <w:r>
        <w:rPr>
          <w:rFonts w:ascii="Courier New" w:cs="Courier New" w:eastAsia="Courier New" w:hAnsi="Courier New"/>
          <w:sz w:val="17"/>
          <w:szCs w:val="17"/>
          <w:color w:val="auto"/>
        </w:rPr>
        <w:t>FOR SECTION 13 AND 16 REPORTING OBLIGATIONS</w:t>
      </w:r>
    </w:p>
    <w:p>
      <w:pPr>
        <w:sectPr>
          <w:pgSz w:w="11900" w:h="16838" w:orient="portrait"/>
          <w:cols w:equalWidth="0" w:num="1">
            <w:col w:w="11120"/>
          </w:cols>
          <w:pgMar w:left="380" w:top="1001" w:right="399" w:bottom="1440" w:gutter="0" w:footer="0" w:header="0"/>
          <w:type w:val="continuous"/>
        </w:sectPr>
      </w:pPr>
    </w:p>
    <w:p>
      <w:pPr>
        <w:spacing w:after="0" w:line="253" w:lineRule="exact"/>
        <w:rPr>
          <w:sz w:val="20"/>
          <w:szCs w:val="20"/>
          <w:color w:val="auto"/>
        </w:rPr>
      </w:pPr>
    </w:p>
    <w:p>
      <w:pPr>
        <w:ind w:firstLine="540"/>
        <w:spacing w:after="0" w:line="253" w:lineRule="auto"/>
        <w:rPr>
          <w:sz w:val="20"/>
          <w:szCs w:val="20"/>
          <w:color w:val="auto"/>
        </w:rPr>
      </w:pPr>
      <w:r>
        <w:rPr>
          <w:rFonts w:ascii="Courier New" w:cs="Courier New" w:eastAsia="Courier New" w:hAnsi="Courier New"/>
          <w:sz w:val="18"/>
          <w:szCs w:val="18"/>
          <w:color w:val="auto"/>
        </w:rPr>
        <w:t>Know all by these presents, that the undersigned hereby makes, constitutes and appoints each of Alison E. Baur, Maria Gray, Steven J. Gray, Kimberly H. Novotny, Virginia E. Rosas, Navid J. Tofigh and Lori A. Weber each acting individually, as the undersigned’s true and lawful attorney-in-fact, with full power and authority as hereinafter described on behalf of and in the name, place and stead of the undersigned to:</w:t>
      </w:r>
    </w:p>
    <w:p>
      <w:pPr>
        <w:spacing w:after="0" w:line="248" w:lineRule="exact"/>
        <w:rPr>
          <w:sz w:val="20"/>
          <w:szCs w:val="20"/>
          <w:color w:val="auto"/>
        </w:rPr>
      </w:pPr>
    </w:p>
    <w:p>
      <w:pPr>
        <w:ind w:firstLine="544"/>
        <w:spacing w:after="0" w:line="253" w:lineRule="auto"/>
        <w:tabs>
          <w:tab w:leader="none" w:pos="864"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acknowledge, deliver and file Forms ID, Schedules 13D and 13G, and Forms 3, 4 and 5 (including any amendments thereto and any related documentation) with the United States Securities and Exchange Commission and any national securities exchanges relating to Franklin Resources, Inc. (“FRI”) and/or any registered closed-end company to which an affiliate of FRI is an investment adviser (each, a “Reporting Entity”), as considered necessary or advisable under Regulation S-T and Sections 13(d) and 16(a) of the Securities Exchange Act of 1934 and the rules and regulations promulgated thereunder, as amended from time to time (the “Exchange Act”); and</w:t>
      </w:r>
    </w:p>
    <w:p>
      <w:pPr>
        <w:spacing w:after="0" w:line="250" w:lineRule="exact"/>
        <w:rPr>
          <w:rFonts w:ascii="Courier New" w:cs="Courier New" w:eastAsia="Courier New" w:hAnsi="Courier New"/>
          <w:sz w:val="18"/>
          <w:szCs w:val="18"/>
          <w:color w:val="auto"/>
        </w:rPr>
      </w:pPr>
    </w:p>
    <w:p>
      <w:pPr>
        <w:ind w:right="220" w:firstLine="544"/>
        <w:spacing w:after="0" w:line="253" w:lineRule="auto"/>
        <w:tabs>
          <w:tab w:leader="none" w:pos="864"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seek or obtain, as the undersigned’s representative and on the undersigned’s behalf, information on transactions in the securities of any Reporting Entity from any person, including brokers, employee benefit plan administrators and trustees, and the undersigned hereby authorizes any such person to release any such information to the undersigned and approves and ratifies any such release of information; and</w:t>
      </w:r>
    </w:p>
    <w:p>
      <w:pPr>
        <w:spacing w:after="0" w:line="248" w:lineRule="exact"/>
        <w:rPr>
          <w:rFonts w:ascii="Courier New" w:cs="Courier New" w:eastAsia="Courier New" w:hAnsi="Courier New"/>
          <w:sz w:val="18"/>
          <w:szCs w:val="18"/>
          <w:color w:val="auto"/>
        </w:rPr>
      </w:pPr>
    </w:p>
    <w:p>
      <w:pPr>
        <w:ind w:right="220" w:firstLine="544"/>
        <w:spacing w:after="0" w:line="251" w:lineRule="auto"/>
        <w:tabs>
          <w:tab w:leader="none" w:pos="864"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perform any and all other acts which in the discretion of such attorney-in-fact are necessary or desirable for and on behalf of the undersigned in connection with the foregoing.</w:t>
      </w:r>
    </w:p>
    <w:p>
      <w:pPr>
        <w:spacing w:after="0" w:line="24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undersigned acknowledges that:</w:t>
      </w:r>
    </w:p>
    <w:p>
      <w:pPr>
        <w:spacing w:after="0" w:line="14" w:lineRule="exact"/>
        <w:rPr>
          <w:sz w:val="20"/>
          <w:szCs w:val="20"/>
          <w:color w:val="auto"/>
        </w:rPr>
      </w:pPr>
    </w:p>
    <w:p>
      <w:pPr>
        <w:ind w:right="100" w:firstLine="544"/>
        <w:spacing w:after="0" w:line="253" w:lineRule="auto"/>
        <w:tabs>
          <w:tab w:leader="none" w:pos="864"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Limited Power of Attorney authorizes, but does not require, each such attorney-in-fact to act in their discretion on information provided to such attorney-in-fact without independent verification of such information;</w:t>
      </w:r>
    </w:p>
    <w:p>
      <w:pPr>
        <w:spacing w:after="0" w:line="3" w:lineRule="exact"/>
        <w:rPr>
          <w:rFonts w:ascii="Courier New" w:cs="Courier New" w:eastAsia="Courier New" w:hAnsi="Courier New"/>
          <w:sz w:val="18"/>
          <w:szCs w:val="18"/>
          <w:color w:val="auto"/>
        </w:rPr>
      </w:pPr>
    </w:p>
    <w:p>
      <w:pPr>
        <w:ind w:right="640" w:firstLine="544"/>
        <w:spacing w:after="0" w:line="253" w:lineRule="auto"/>
        <w:tabs>
          <w:tab w:leader="none" w:pos="864"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documents prepared and/or executed by any such attorney-in-fact on behalf of the undersigned pursuant to this Limited Power of Attorney will be in such form and will contain such information and disclosure as such attorney-in-fact, in his or her discretion, deems necessary or desirable;</w:t>
      </w:r>
    </w:p>
    <w:p>
      <w:pPr>
        <w:spacing w:after="0" w:line="4" w:lineRule="exact"/>
        <w:rPr>
          <w:rFonts w:ascii="Courier New" w:cs="Courier New" w:eastAsia="Courier New" w:hAnsi="Courier New"/>
          <w:sz w:val="18"/>
          <w:szCs w:val="18"/>
          <w:color w:val="auto"/>
        </w:rPr>
      </w:pPr>
    </w:p>
    <w:p>
      <w:pPr>
        <w:ind w:right="100" w:firstLine="544"/>
        <w:spacing w:after="0" w:line="253" w:lineRule="auto"/>
        <w:tabs>
          <w:tab w:leader="none" w:pos="864"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 of FRI, any Reporting Entity nor any of such attorneys-in-fact assumes (i) any liability for the undersigned’s responsibility to comply with the requirements of the Exchange Act, (ii) any liability of the undersigned for any failure to comply with such requirements, or (iii) any obligation or liability of the undersigned for profit disgorgement under Section 16(b) of the Exchange Act; and</w:t>
      </w:r>
    </w:p>
    <w:p>
      <w:pPr>
        <w:spacing w:after="0" w:line="2" w:lineRule="exact"/>
        <w:rPr>
          <w:rFonts w:ascii="Courier New" w:cs="Courier New" w:eastAsia="Courier New" w:hAnsi="Courier New"/>
          <w:sz w:val="18"/>
          <w:szCs w:val="18"/>
          <w:color w:val="auto"/>
        </w:rPr>
      </w:pPr>
    </w:p>
    <w:p>
      <w:pPr>
        <w:ind w:left="860" w:hanging="316"/>
        <w:spacing w:after="0"/>
        <w:tabs>
          <w:tab w:leader="none" w:pos="86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Limited Power of Attorney does not relieve the undersigned from responsibility for</w:t>
      </w:r>
    </w:p>
    <w:p>
      <w:pPr>
        <w:spacing w:after="0" w:line="14" w:lineRule="exact"/>
        <w:rPr>
          <w:rFonts w:ascii="Courier New" w:cs="Courier New" w:eastAsia="Courier New" w:hAnsi="Courier New"/>
          <w:sz w:val="18"/>
          <w:szCs w:val="18"/>
          <w:color w:val="auto"/>
        </w:rPr>
      </w:pPr>
    </w:p>
    <w:p>
      <w:pPr>
        <w:spacing w:after="0" w:line="251"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compliance with the undersigned’s obligations under the Exchange Act, including without limitation, the reporting requirements under Section 16 of the Exchange Act.</w:t>
      </w:r>
    </w:p>
    <w:p>
      <w:pPr>
        <w:spacing w:after="0" w:line="248" w:lineRule="exact"/>
        <w:rPr>
          <w:sz w:val="20"/>
          <w:szCs w:val="20"/>
          <w:color w:val="auto"/>
        </w:rPr>
      </w:pPr>
    </w:p>
    <w:p>
      <w:pPr>
        <w:ind w:right="100" w:firstLine="540"/>
        <w:spacing w:after="0" w:line="253" w:lineRule="auto"/>
        <w:rPr>
          <w:sz w:val="20"/>
          <w:szCs w:val="20"/>
          <w:color w:val="auto"/>
        </w:rPr>
      </w:pPr>
      <w:r>
        <w:rPr>
          <w:rFonts w:ascii="Courier New" w:cs="Courier New" w:eastAsia="Courier New" w:hAnsi="Courier New"/>
          <w:sz w:val="18"/>
          <w:szCs w:val="18"/>
          <w:color w:val="auto"/>
        </w:rPr>
        <w:t>The undersigned hereby gives and grants each of the foregoing attorneys-in-fact full power and authority to do and perform all and every act and thing whatsoever requisite, necessary or appropriate to be done in and about the foregoing matters as fully to all intents and purposes as the undersigned might or could do if present, hereby ratifying all that each such attorney-in-fact of, for and on behalf of the undersigned, shall lawfully do or cause to be done by virtue of this Limited Power of Attorney, and indemnifies each of the foregoing attorneys-in-fact against any loss of any nature whatsoever arising in connection therewith.</w:t>
      </w:r>
    </w:p>
    <w:p>
      <w:pPr>
        <w:spacing w:after="0" w:line="7" w:lineRule="exact"/>
        <w:rPr>
          <w:sz w:val="20"/>
          <w:szCs w:val="20"/>
          <w:color w:val="auto"/>
        </w:rPr>
      </w:pPr>
    </w:p>
    <w:p>
      <w:pPr>
        <w:ind w:right="960" w:firstLine="540"/>
        <w:spacing w:after="0" w:line="251" w:lineRule="auto"/>
        <w:rPr>
          <w:sz w:val="20"/>
          <w:szCs w:val="20"/>
          <w:color w:val="auto"/>
        </w:rPr>
      </w:pPr>
      <w:r>
        <w:rPr>
          <w:rFonts w:ascii="Courier New" w:cs="Courier New" w:eastAsia="Courier New" w:hAnsi="Courier New"/>
          <w:sz w:val="18"/>
          <w:szCs w:val="18"/>
          <w:color w:val="auto"/>
        </w:rPr>
        <w:t>This Limited Power of Attorney shall remain in full force and effect until revoked by the undersigned in a signed writing delivered to each such attorney-in-fact.</w:t>
      </w:r>
    </w:p>
    <w:p>
      <w:pPr>
        <w:spacing w:after="0" w:line="5" w:lineRule="exact"/>
        <w:rPr>
          <w:sz w:val="20"/>
          <w:szCs w:val="20"/>
          <w:color w:val="auto"/>
        </w:rPr>
      </w:pPr>
    </w:p>
    <w:p>
      <w:pPr>
        <w:ind w:firstLine="540"/>
        <w:spacing w:after="0" w:line="287" w:lineRule="auto"/>
        <w:rPr>
          <w:sz w:val="20"/>
          <w:szCs w:val="20"/>
          <w:color w:val="auto"/>
        </w:rPr>
      </w:pPr>
      <w:r>
        <w:rPr>
          <w:rFonts w:ascii="Courier New" w:cs="Courier New" w:eastAsia="Courier New" w:hAnsi="Courier New"/>
          <w:sz w:val="18"/>
          <w:szCs w:val="18"/>
          <w:color w:val="auto"/>
        </w:rPr>
        <w:t>IN WITNESS WHEREOF, the undersigned has caused this Limited Power of Attorney to be executed as of this 14</w:t>
      </w:r>
      <w:r>
        <w:rPr>
          <w:rFonts w:ascii="Courier New" w:cs="Courier New" w:eastAsia="Courier New" w:hAnsi="Courier New"/>
          <w:sz w:val="29"/>
          <w:szCs w:val="29"/>
          <w:color w:val="auto"/>
          <w:vertAlign w:val="superscript"/>
        </w:rPr>
        <w:t>th</w:t>
      </w:r>
      <w:r>
        <w:rPr>
          <w:rFonts w:ascii="Courier New" w:cs="Courier New" w:eastAsia="Courier New" w:hAnsi="Courier New"/>
          <w:sz w:val="18"/>
          <w:szCs w:val="18"/>
          <w:color w:val="auto"/>
        </w:rPr>
        <w:t xml:space="preserve"> day of January, 2019.</w:t>
      </w:r>
    </w:p>
    <w:p>
      <w:pPr>
        <w:spacing w:after="0" w:line="104" w:lineRule="exact"/>
        <w:rPr>
          <w:sz w:val="20"/>
          <w:szCs w:val="20"/>
          <w:color w:val="auto"/>
        </w:rPr>
      </w:pPr>
    </w:p>
    <w:p>
      <w:pPr>
        <w:ind w:left="6800"/>
        <w:spacing w:after="0"/>
        <w:rPr>
          <w:sz w:val="20"/>
          <w:szCs w:val="20"/>
          <w:color w:val="auto"/>
        </w:rPr>
      </w:pPr>
      <w:r>
        <w:rPr>
          <w:rFonts w:ascii="Courier New" w:cs="Courier New" w:eastAsia="Courier New" w:hAnsi="Courier New"/>
          <w:sz w:val="18"/>
          <w:szCs w:val="18"/>
          <w:u w:val="single" w:color="auto"/>
          <w:color w:val="auto"/>
        </w:rPr>
        <w:t>/s/Charles B. Johnson</w:t>
      </w:r>
    </w:p>
    <w:p>
      <w:pPr>
        <w:spacing w:after="0" w:line="12" w:lineRule="exact"/>
        <w:rPr>
          <w:sz w:val="20"/>
          <w:szCs w:val="20"/>
          <w:color w:val="auto"/>
        </w:rPr>
      </w:pPr>
    </w:p>
    <w:p>
      <w:pPr>
        <w:ind w:left="6800"/>
        <w:spacing w:after="0"/>
        <w:rPr>
          <w:sz w:val="20"/>
          <w:szCs w:val="20"/>
          <w:color w:val="auto"/>
        </w:rPr>
      </w:pPr>
      <w:r>
        <w:rPr>
          <w:rFonts w:ascii="Courier New" w:cs="Courier New" w:eastAsia="Courier New" w:hAnsi="Courier New"/>
          <w:sz w:val="18"/>
          <w:szCs w:val="18"/>
          <w:color w:val="auto"/>
        </w:rPr>
        <w:t>Signature</w:t>
      </w:r>
    </w:p>
    <w:p>
      <w:pPr>
        <w:spacing w:after="0" w:line="255" w:lineRule="exact"/>
        <w:rPr>
          <w:sz w:val="20"/>
          <w:szCs w:val="20"/>
          <w:color w:val="auto"/>
        </w:rPr>
      </w:pPr>
    </w:p>
    <w:p>
      <w:pPr>
        <w:ind w:left="6800"/>
        <w:spacing w:after="0"/>
        <w:rPr>
          <w:sz w:val="20"/>
          <w:szCs w:val="20"/>
          <w:color w:val="auto"/>
        </w:rPr>
      </w:pPr>
      <w:r>
        <w:rPr>
          <w:rFonts w:ascii="Courier New" w:cs="Courier New" w:eastAsia="Courier New" w:hAnsi="Courier New"/>
          <w:sz w:val="18"/>
          <w:szCs w:val="18"/>
          <w:u w:val="single" w:color="auto"/>
          <w:color w:val="auto"/>
        </w:rPr>
        <w:t>Charles B. Johnson</w:t>
      </w:r>
    </w:p>
    <w:p>
      <w:pPr>
        <w:spacing w:after="0" w:line="12" w:lineRule="exact"/>
        <w:rPr>
          <w:sz w:val="20"/>
          <w:szCs w:val="20"/>
          <w:color w:val="auto"/>
        </w:rPr>
      </w:pPr>
    </w:p>
    <w:p>
      <w:pPr>
        <w:ind w:left="6800"/>
        <w:spacing w:after="0"/>
        <w:rPr>
          <w:sz w:val="20"/>
          <w:szCs w:val="20"/>
          <w:color w:val="auto"/>
        </w:rPr>
      </w:pPr>
      <w:r>
        <w:rPr>
          <w:rFonts w:ascii="Courier New" w:cs="Courier New" w:eastAsia="Courier New" w:hAnsi="Courier New"/>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367665</wp:posOffset>
            </wp:positionV>
            <wp:extent cx="7359015"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359015" cy="21590"/>
                    </a:xfrm>
                    <a:prstGeom prst="rect">
                      <a:avLst/>
                    </a:prstGeom>
                    <a:noFill/>
                  </pic:spPr>
                </pic:pic>
              </a:graphicData>
            </a:graphic>
          </wp:anchor>
        </w:drawing>
      </w:r>
    </w:p>
    <w:p>
      <w:pPr>
        <w:sectPr>
          <w:pgSz w:w="11900" w:h="16838" w:orient="portrait"/>
          <w:cols w:equalWidth="0" w:num="1">
            <w:col w:w="11120"/>
          </w:cols>
          <w:pgMar w:left="380" w:top="1001" w:right="399" w:bottom="1440" w:gutter="0" w:footer="0" w:header="0"/>
          <w:type w:val="continuous"/>
        </w:sectPr>
      </w:pPr>
    </w:p>
    <w:bookmarkStart w:id="13" w:name="page14"/>
    <w:bookmarkEnd w:id="13"/>
    <w:p>
      <w:pPr>
        <w:ind w:left="500"/>
        <w:spacing w:after="0"/>
        <w:rPr>
          <w:sz w:val="20"/>
          <w:szCs w:val="20"/>
          <w:color w:val="auto"/>
        </w:rPr>
      </w:pPr>
      <w:r>
        <w:rPr>
          <w:rFonts w:ascii="Courier New" w:cs="Courier New" w:eastAsia="Courier New" w:hAnsi="Courier New"/>
          <w:sz w:val="18"/>
          <w:szCs w:val="18"/>
          <w:color w:val="auto"/>
        </w:rPr>
        <w:t>CUSIP NO. G5509L101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13G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Page 12 of 13</w:t>
      </w:r>
    </w:p>
    <w:p>
      <w:pPr>
        <w:spacing w:after="0" w:line="209" w:lineRule="exact"/>
        <w:rPr>
          <w:sz w:val="20"/>
          <w:szCs w:val="20"/>
          <w:color w:val="auto"/>
        </w:rPr>
      </w:pPr>
    </w:p>
    <w:p>
      <w:pPr>
        <w:sectPr>
          <w:pgSz w:w="11900" w:h="16838" w:orient="portrait"/>
          <w:cols w:equalWidth="0" w:num="3">
            <w:col w:w="4000" w:space="720"/>
            <w:col w:w="2940" w:space="720"/>
            <w:col w:w="2740"/>
          </w:cols>
          <w:pgMar w:left="380" w:top="1001" w:right="399" w:bottom="1440" w:gutter="0" w:footer="0" w:header="0"/>
        </w:sectPr>
      </w:pPr>
    </w:p>
    <w:p>
      <w:pPr>
        <w:spacing w:after="0" w:line="55" w:lineRule="exact"/>
        <w:rPr>
          <w:sz w:val="20"/>
          <w:szCs w:val="20"/>
          <w:color w:val="auto"/>
        </w:rPr>
      </w:pPr>
    </w:p>
    <w:p>
      <w:pPr>
        <w:ind w:left="4460"/>
        <w:spacing w:after="0"/>
        <w:rPr>
          <w:sz w:val="20"/>
          <w:szCs w:val="20"/>
          <w:color w:val="auto"/>
        </w:rPr>
      </w:pPr>
      <w:r>
        <w:rPr>
          <w:rFonts w:ascii="Courier New" w:cs="Courier New" w:eastAsia="Courier New" w:hAnsi="Courier New"/>
          <w:sz w:val="18"/>
          <w:szCs w:val="18"/>
          <w:color w:val="auto"/>
        </w:rPr>
        <w:t>LIMITED POWER OF ATTORNEY</w:t>
      </w:r>
    </w:p>
    <w:p>
      <w:pPr>
        <w:spacing w:after="0" w:line="14" w:lineRule="exact"/>
        <w:rPr>
          <w:sz w:val="20"/>
          <w:szCs w:val="20"/>
          <w:color w:val="auto"/>
        </w:rPr>
      </w:pPr>
    </w:p>
    <w:p>
      <w:pPr>
        <w:ind w:left="3240"/>
        <w:spacing w:after="0"/>
        <w:rPr>
          <w:sz w:val="20"/>
          <w:szCs w:val="20"/>
          <w:color w:val="auto"/>
        </w:rPr>
      </w:pPr>
      <w:r>
        <w:rPr>
          <w:rFonts w:ascii="Courier New" w:cs="Courier New" w:eastAsia="Courier New" w:hAnsi="Courier New"/>
          <w:sz w:val="17"/>
          <w:szCs w:val="17"/>
          <w:color w:val="auto"/>
        </w:rPr>
        <w:t>FOR SECTION 13 AND 16 REPORTING OBLIGATIONS</w:t>
      </w:r>
    </w:p>
    <w:p>
      <w:pPr>
        <w:sectPr>
          <w:pgSz w:w="11900" w:h="16838" w:orient="portrait"/>
          <w:cols w:equalWidth="0" w:num="1">
            <w:col w:w="11120"/>
          </w:cols>
          <w:pgMar w:left="380" w:top="1001" w:right="399" w:bottom="1440" w:gutter="0" w:footer="0" w:header="0"/>
          <w:type w:val="continuous"/>
        </w:sectPr>
      </w:pPr>
    </w:p>
    <w:p>
      <w:pPr>
        <w:spacing w:after="0" w:line="239" w:lineRule="exact"/>
        <w:rPr>
          <w:sz w:val="20"/>
          <w:szCs w:val="20"/>
          <w:color w:val="auto"/>
        </w:rPr>
      </w:pPr>
    </w:p>
    <w:p>
      <w:pPr>
        <w:ind w:firstLine="540"/>
        <w:spacing w:after="0" w:line="253" w:lineRule="auto"/>
        <w:rPr>
          <w:sz w:val="20"/>
          <w:szCs w:val="20"/>
          <w:color w:val="auto"/>
        </w:rPr>
      </w:pPr>
      <w:r>
        <w:rPr>
          <w:rFonts w:ascii="Courier New" w:cs="Courier New" w:eastAsia="Courier New" w:hAnsi="Courier New"/>
          <w:sz w:val="18"/>
          <w:szCs w:val="18"/>
          <w:color w:val="auto"/>
        </w:rPr>
        <w:t>Know all by these presents, that the undersigned hereby makes, constitutes and appoints each of Alison E. Baur, Maria Gray, Steven J. Gray, Kimberly H. Novotny, Virginia E. Rosas, Navid J. Tofigh and Lori A. Weber each acting individually, as the undersigned’s true and lawful attorney-in-fact, with full power and authority as hereinafter described on behalf of and in the name, place and stead of the undersigned to:</w:t>
      </w:r>
    </w:p>
    <w:p>
      <w:pPr>
        <w:spacing w:after="0" w:line="248" w:lineRule="exact"/>
        <w:rPr>
          <w:sz w:val="20"/>
          <w:szCs w:val="20"/>
          <w:color w:val="auto"/>
        </w:rPr>
      </w:pPr>
    </w:p>
    <w:p>
      <w:pPr>
        <w:ind w:firstLine="544"/>
        <w:spacing w:after="0" w:line="253" w:lineRule="auto"/>
        <w:tabs>
          <w:tab w:leader="none" w:pos="864"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acknowledge, deliver and file Forms ID, Schedules 13D and 13G, and Forms 3, 4 and 5 (including any amendments thereto and any related documentation) with the United States Securities and Exchange Commission and any national securities exchanges relating to Franklin Resources, Inc. (“FRI”) and/or any registered closed-end company to which an affiliate of FRI is an investment adviser (each, a “Reporting Entity”), as considered necessary or advisable under Regulation S-T and Sections 13(d) and 16(a) of the Securities Exchange Act of 1934 and the rules and regulations promulgated thereunder, as amended from time to time (the “Exchange Act”); and</w:t>
      </w:r>
    </w:p>
    <w:p>
      <w:pPr>
        <w:spacing w:after="0" w:line="250" w:lineRule="exact"/>
        <w:rPr>
          <w:rFonts w:ascii="Courier New" w:cs="Courier New" w:eastAsia="Courier New" w:hAnsi="Courier New"/>
          <w:sz w:val="18"/>
          <w:szCs w:val="18"/>
          <w:color w:val="auto"/>
        </w:rPr>
      </w:pPr>
    </w:p>
    <w:p>
      <w:pPr>
        <w:ind w:right="220" w:firstLine="544"/>
        <w:spacing w:after="0" w:line="253" w:lineRule="auto"/>
        <w:tabs>
          <w:tab w:leader="none" w:pos="864"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seek or obtain, as the undersigned’s representative and on the undersigned’s behalf, information on transactions in the securities of any Reporting Entity from any person, including brokers, employee benefit plan administrators and trustees, and the undersigned hereby authorizes any such person to release any such information to the undersigned and approves and ratifies any such release of information; and</w:t>
      </w:r>
    </w:p>
    <w:p>
      <w:pPr>
        <w:spacing w:after="0" w:line="248" w:lineRule="exact"/>
        <w:rPr>
          <w:rFonts w:ascii="Courier New" w:cs="Courier New" w:eastAsia="Courier New" w:hAnsi="Courier New"/>
          <w:sz w:val="18"/>
          <w:szCs w:val="18"/>
          <w:color w:val="auto"/>
        </w:rPr>
      </w:pPr>
    </w:p>
    <w:p>
      <w:pPr>
        <w:ind w:right="220" w:firstLine="544"/>
        <w:spacing w:after="0" w:line="251" w:lineRule="auto"/>
        <w:tabs>
          <w:tab w:leader="none" w:pos="864"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perform any and all other acts which in the discretion of such attorney-in-fact are necessary or desirable for and on behalf of the undersigned in connection with the foregoing.</w:t>
      </w:r>
    </w:p>
    <w:p>
      <w:pPr>
        <w:spacing w:after="0" w:line="24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undersigned acknowledges that:</w:t>
      </w:r>
    </w:p>
    <w:p>
      <w:pPr>
        <w:spacing w:after="0" w:line="257" w:lineRule="exact"/>
        <w:rPr>
          <w:sz w:val="20"/>
          <w:szCs w:val="20"/>
          <w:color w:val="auto"/>
        </w:rPr>
      </w:pPr>
    </w:p>
    <w:p>
      <w:pPr>
        <w:ind w:right="100" w:firstLine="544"/>
        <w:spacing w:after="0" w:line="253" w:lineRule="auto"/>
        <w:tabs>
          <w:tab w:leader="none" w:pos="864"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Limited Power of Attorney authorizes, but does not require, each such attorney-in-fact to act in their discretion on information provided to such attorney-in-fact without independent verification of such information;</w:t>
      </w:r>
    </w:p>
    <w:p>
      <w:pPr>
        <w:spacing w:after="0" w:line="3" w:lineRule="exact"/>
        <w:rPr>
          <w:rFonts w:ascii="Courier New" w:cs="Courier New" w:eastAsia="Courier New" w:hAnsi="Courier New"/>
          <w:sz w:val="18"/>
          <w:szCs w:val="18"/>
          <w:color w:val="auto"/>
        </w:rPr>
      </w:pPr>
    </w:p>
    <w:p>
      <w:pPr>
        <w:ind w:right="640" w:firstLine="544"/>
        <w:spacing w:after="0" w:line="253" w:lineRule="auto"/>
        <w:tabs>
          <w:tab w:leader="none" w:pos="864"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documents prepared and/or executed by any such attorney-in-fact on behalf of the undersigned pursuant to this Limited Power of Attorney will be in such form and will contain such information and disclosure as such attorney-in-fact, in his or her discretion, deems necessary or desirable;</w:t>
      </w:r>
    </w:p>
    <w:p>
      <w:pPr>
        <w:spacing w:after="0" w:line="4" w:lineRule="exact"/>
        <w:rPr>
          <w:rFonts w:ascii="Courier New" w:cs="Courier New" w:eastAsia="Courier New" w:hAnsi="Courier New"/>
          <w:sz w:val="18"/>
          <w:szCs w:val="18"/>
          <w:color w:val="auto"/>
        </w:rPr>
      </w:pPr>
    </w:p>
    <w:p>
      <w:pPr>
        <w:ind w:right="100" w:firstLine="544"/>
        <w:spacing w:after="0" w:line="253" w:lineRule="auto"/>
        <w:tabs>
          <w:tab w:leader="none" w:pos="864"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 of FRI, any Reporting Entity nor any of such attorneys-in-fact assumes (i) any liability for the undersigned’s responsibility to comply with the requirements of the Exchange Act, (ii) any liability of the undersigned for any failure to comply with such requirements, or (iii) any obligation or liability of the undersigned for profit disgorgement under Section 16(b) of the Exchange Act; and</w:t>
      </w:r>
    </w:p>
    <w:p>
      <w:pPr>
        <w:spacing w:after="0" w:line="2" w:lineRule="exact"/>
        <w:rPr>
          <w:rFonts w:ascii="Courier New" w:cs="Courier New" w:eastAsia="Courier New" w:hAnsi="Courier New"/>
          <w:sz w:val="18"/>
          <w:szCs w:val="18"/>
          <w:color w:val="auto"/>
        </w:rPr>
      </w:pPr>
    </w:p>
    <w:p>
      <w:pPr>
        <w:ind w:left="860" w:hanging="316"/>
        <w:spacing w:after="0"/>
        <w:tabs>
          <w:tab w:leader="none" w:pos="86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Limited Power of Attorney does not relieve the undersigned from responsibility for</w:t>
      </w:r>
    </w:p>
    <w:p>
      <w:pPr>
        <w:spacing w:after="0" w:line="14" w:lineRule="exact"/>
        <w:rPr>
          <w:rFonts w:ascii="Courier New" w:cs="Courier New" w:eastAsia="Courier New" w:hAnsi="Courier New"/>
          <w:sz w:val="18"/>
          <w:szCs w:val="18"/>
          <w:color w:val="auto"/>
        </w:rPr>
      </w:pPr>
    </w:p>
    <w:p>
      <w:pPr>
        <w:spacing w:after="0" w:line="251"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compliance with the undersigned’s obligations under the Exchange Act, including without limitation, the reporting requirements under Section 16 of the Exchange Act.</w:t>
      </w:r>
    </w:p>
    <w:p>
      <w:pPr>
        <w:spacing w:after="0" w:line="248" w:lineRule="exact"/>
        <w:rPr>
          <w:sz w:val="20"/>
          <w:szCs w:val="20"/>
          <w:color w:val="auto"/>
        </w:rPr>
      </w:pPr>
    </w:p>
    <w:p>
      <w:pPr>
        <w:ind w:right="100" w:firstLine="540"/>
        <w:spacing w:after="0" w:line="253" w:lineRule="auto"/>
        <w:rPr>
          <w:sz w:val="20"/>
          <w:szCs w:val="20"/>
          <w:color w:val="auto"/>
        </w:rPr>
      </w:pPr>
      <w:r>
        <w:rPr>
          <w:rFonts w:ascii="Courier New" w:cs="Courier New" w:eastAsia="Courier New" w:hAnsi="Courier New"/>
          <w:sz w:val="18"/>
          <w:szCs w:val="18"/>
          <w:color w:val="auto"/>
        </w:rPr>
        <w:t>The undersigned hereby gives and grants each of the foregoing attorneys-in-fact full power and authority to do and perform all and every act and thing whatsoever requisite, necessary or appropriate to be done in and about the foregoing matters as fully to all intents and purposes as the undersigned might or could do if present, hereby ratifying all that each such attorney-in-fact of, for and on behalf of the undersigned, shall lawfully do or cause to be done by virtue of this Limited Power of Attorney, and indemnifies each of the foregoing attorneys-in-fact against any loss of any nature whatsoever arising in connection therewith.</w:t>
      </w:r>
    </w:p>
    <w:p>
      <w:pPr>
        <w:spacing w:after="0" w:line="7" w:lineRule="exact"/>
        <w:rPr>
          <w:sz w:val="20"/>
          <w:szCs w:val="20"/>
          <w:color w:val="auto"/>
        </w:rPr>
      </w:pPr>
    </w:p>
    <w:p>
      <w:pPr>
        <w:ind w:right="960" w:firstLine="540"/>
        <w:spacing w:after="0" w:line="251" w:lineRule="auto"/>
        <w:rPr>
          <w:sz w:val="20"/>
          <w:szCs w:val="20"/>
          <w:color w:val="auto"/>
        </w:rPr>
      </w:pPr>
      <w:r>
        <w:rPr>
          <w:rFonts w:ascii="Courier New" w:cs="Courier New" w:eastAsia="Courier New" w:hAnsi="Courier New"/>
          <w:sz w:val="18"/>
          <w:szCs w:val="18"/>
          <w:color w:val="auto"/>
        </w:rPr>
        <w:t>This Limited Power of Attorney shall remain in full force and effect until revoked by the undersigned in a signed writing delivered to each such attorney-in-fact.</w:t>
      </w:r>
    </w:p>
    <w:p>
      <w:pPr>
        <w:spacing w:after="0" w:line="5" w:lineRule="exact"/>
        <w:rPr>
          <w:sz w:val="20"/>
          <w:szCs w:val="20"/>
          <w:color w:val="auto"/>
        </w:rPr>
      </w:pPr>
    </w:p>
    <w:p>
      <w:pPr>
        <w:ind w:firstLine="540"/>
        <w:spacing w:after="0" w:line="287" w:lineRule="auto"/>
        <w:rPr>
          <w:sz w:val="20"/>
          <w:szCs w:val="20"/>
          <w:color w:val="auto"/>
        </w:rPr>
      </w:pPr>
      <w:r>
        <w:rPr>
          <w:rFonts w:ascii="Courier New" w:cs="Courier New" w:eastAsia="Courier New" w:hAnsi="Courier New"/>
          <w:sz w:val="18"/>
          <w:szCs w:val="18"/>
          <w:color w:val="auto"/>
        </w:rPr>
        <w:t>IN WITNESS WHEREOF, the undersigned has caused this Limited Power of Attorney to be executed as of this 11</w:t>
      </w:r>
      <w:r>
        <w:rPr>
          <w:rFonts w:ascii="Courier New" w:cs="Courier New" w:eastAsia="Courier New" w:hAnsi="Courier New"/>
          <w:sz w:val="29"/>
          <w:szCs w:val="29"/>
          <w:color w:val="auto"/>
          <w:vertAlign w:val="superscript"/>
        </w:rPr>
        <w:t>th</w:t>
      </w:r>
      <w:r>
        <w:rPr>
          <w:rFonts w:ascii="Courier New" w:cs="Courier New" w:eastAsia="Courier New" w:hAnsi="Courier New"/>
          <w:sz w:val="18"/>
          <w:szCs w:val="18"/>
          <w:color w:val="auto"/>
        </w:rPr>
        <w:t xml:space="preserve"> day of January, 2019.</w:t>
      </w:r>
    </w:p>
    <w:p>
      <w:pPr>
        <w:spacing w:after="0" w:line="104" w:lineRule="exact"/>
        <w:rPr>
          <w:sz w:val="20"/>
          <w:szCs w:val="20"/>
          <w:color w:val="auto"/>
        </w:rPr>
      </w:pPr>
    </w:p>
    <w:p>
      <w:pPr>
        <w:ind w:left="6480"/>
        <w:spacing w:after="0"/>
        <w:rPr>
          <w:sz w:val="20"/>
          <w:szCs w:val="20"/>
          <w:color w:val="auto"/>
        </w:rPr>
      </w:pPr>
      <w:r>
        <w:rPr>
          <w:rFonts w:ascii="Courier New" w:cs="Courier New" w:eastAsia="Courier New" w:hAnsi="Courier New"/>
          <w:sz w:val="18"/>
          <w:szCs w:val="18"/>
          <w:u w:val="single" w:color="auto"/>
          <w:color w:val="auto"/>
        </w:rPr>
        <w:t>/s/Rupert H. Johnson, Jr.</w:t>
      </w:r>
    </w:p>
    <w:p>
      <w:pPr>
        <w:spacing w:after="0" w:line="12" w:lineRule="exact"/>
        <w:rPr>
          <w:sz w:val="20"/>
          <w:szCs w:val="20"/>
          <w:color w:val="auto"/>
        </w:rPr>
      </w:pPr>
    </w:p>
    <w:p>
      <w:pPr>
        <w:ind w:left="6480"/>
        <w:spacing w:after="0"/>
        <w:rPr>
          <w:sz w:val="20"/>
          <w:szCs w:val="20"/>
          <w:color w:val="auto"/>
        </w:rPr>
      </w:pPr>
      <w:r>
        <w:rPr>
          <w:rFonts w:ascii="Courier New" w:cs="Courier New" w:eastAsia="Courier New" w:hAnsi="Courier New"/>
          <w:sz w:val="18"/>
          <w:szCs w:val="18"/>
          <w:color w:val="auto"/>
        </w:rPr>
        <w:t>Signature</w:t>
      </w:r>
    </w:p>
    <w:p>
      <w:pPr>
        <w:spacing w:after="0" w:line="255" w:lineRule="exact"/>
        <w:rPr>
          <w:sz w:val="20"/>
          <w:szCs w:val="20"/>
          <w:color w:val="auto"/>
        </w:rPr>
      </w:pPr>
    </w:p>
    <w:p>
      <w:pPr>
        <w:ind w:left="6480"/>
        <w:spacing w:after="0"/>
        <w:rPr>
          <w:sz w:val="20"/>
          <w:szCs w:val="20"/>
          <w:color w:val="auto"/>
        </w:rPr>
      </w:pPr>
      <w:r>
        <w:rPr>
          <w:rFonts w:ascii="Courier New" w:cs="Courier New" w:eastAsia="Courier New" w:hAnsi="Courier New"/>
          <w:sz w:val="18"/>
          <w:szCs w:val="18"/>
          <w:u w:val="single" w:color="auto"/>
          <w:color w:val="auto"/>
        </w:rPr>
        <w:t>Rupert H. Johnson, Jr.</w:t>
      </w:r>
    </w:p>
    <w:p>
      <w:pPr>
        <w:spacing w:after="0" w:line="12" w:lineRule="exact"/>
        <w:rPr>
          <w:sz w:val="20"/>
          <w:szCs w:val="20"/>
          <w:color w:val="auto"/>
        </w:rPr>
      </w:pPr>
    </w:p>
    <w:p>
      <w:pPr>
        <w:ind w:left="6480"/>
        <w:spacing w:after="0"/>
        <w:rPr>
          <w:sz w:val="20"/>
          <w:szCs w:val="20"/>
          <w:color w:val="auto"/>
        </w:rPr>
      </w:pPr>
      <w:r>
        <w:rPr>
          <w:rFonts w:ascii="Courier New" w:cs="Courier New" w:eastAsia="Courier New" w:hAnsi="Courier New"/>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367665</wp:posOffset>
            </wp:positionV>
            <wp:extent cx="7359015"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359015" cy="21590"/>
                    </a:xfrm>
                    <a:prstGeom prst="rect">
                      <a:avLst/>
                    </a:prstGeom>
                    <a:noFill/>
                  </pic:spPr>
                </pic:pic>
              </a:graphicData>
            </a:graphic>
          </wp:anchor>
        </w:drawing>
      </w:r>
    </w:p>
    <w:p>
      <w:pPr>
        <w:sectPr>
          <w:pgSz w:w="11900" w:h="16838" w:orient="portrait"/>
          <w:cols w:equalWidth="0" w:num="1">
            <w:col w:w="11120"/>
          </w:cols>
          <w:pgMar w:left="380" w:top="1001" w:right="399" w:bottom="1440" w:gutter="0" w:footer="0" w:header="0"/>
          <w:type w:val="continuous"/>
        </w:sectPr>
      </w:pPr>
    </w:p>
    <w:bookmarkStart w:id="14" w:name="page15"/>
    <w:bookmarkEnd w:id="14"/>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120" w:type="dxa"/>
            <w:vAlign w:val="bottom"/>
          </w:tcPr>
          <w:p>
            <w:pPr>
              <w:spacing w:after="0"/>
              <w:rPr>
                <w:sz w:val="20"/>
                <w:szCs w:val="20"/>
                <w:color w:val="auto"/>
              </w:rPr>
            </w:pPr>
            <w:r>
              <w:rPr>
                <w:rFonts w:ascii="Courier New" w:cs="Courier New" w:eastAsia="Courier New" w:hAnsi="Courier New"/>
                <w:sz w:val="18"/>
                <w:szCs w:val="18"/>
                <w:color w:val="auto"/>
              </w:rPr>
              <w:t>CUSIP NO. G5509L101</w:t>
            </w:r>
          </w:p>
        </w:tc>
        <w:tc>
          <w:tcPr>
            <w:tcW w:w="1420" w:type="dxa"/>
            <w:vAlign w:val="bottom"/>
          </w:tcPr>
          <w:p>
            <w:pPr>
              <w:ind w:left="100"/>
              <w:spacing w:after="0"/>
              <w:rPr>
                <w:sz w:val="20"/>
                <w:szCs w:val="20"/>
                <w:color w:val="auto"/>
              </w:rPr>
            </w:pPr>
            <w:r>
              <w:rPr>
                <w:rFonts w:ascii="Courier New" w:cs="Courier New" w:eastAsia="Courier New" w:hAnsi="Courier New"/>
                <w:sz w:val="18"/>
                <w:szCs w:val="18"/>
                <w:color w:val="auto"/>
              </w:rPr>
              <w:t>13G</w:t>
            </w:r>
          </w:p>
        </w:tc>
        <w:tc>
          <w:tcPr>
            <w:tcW w:w="1000" w:type="dxa"/>
            <w:vAlign w:val="bottom"/>
          </w:tcPr>
          <w:p>
            <w:pPr>
              <w:spacing w:after="0"/>
              <w:rPr>
                <w:sz w:val="17"/>
                <w:szCs w:val="17"/>
                <w:color w:val="auto"/>
              </w:rPr>
            </w:pPr>
          </w:p>
        </w:tc>
        <w:tc>
          <w:tcPr>
            <w:tcW w:w="2740" w:type="dxa"/>
            <w:vAlign w:val="bottom"/>
          </w:tcPr>
          <w:p>
            <w:pPr>
              <w:ind w:left="1340"/>
              <w:spacing w:after="0"/>
              <w:rPr>
                <w:sz w:val="20"/>
                <w:szCs w:val="20"/>
                <w:color w:val="auto"/>
              </w:rPr>
            </w:pPr>
            <w:r>
              <w:rPr>
                <w:rFonts w:ascii="Courier New" w:cs="Courier New" w:eastAsia="Courier New" w:hAnsi="Courier New"/>
                <w:sz w:val="18"/>
                <w:szCs w:val="18"/>
                <w:color w:val="auto"/>
                <w:w w:val="98"/>
              </w:rPr>
              <w:t>Page 13 of 13</w:t>
            </w:r>
          </w:p>
        </w:tc>
      </w:tr>
      <w:tr>
        <w:trPr>
          <w:trHeight w:val="689"/>
        </w:trPr>
        <w:tc>
          <w:tcPr>
            <w:tcW w:w="4120" w:type="dxa"/>
            <w:vAlign w:val="bottom"/>
          </w:tcPr>
          <w:p>
            <w:pPr>
              <w:spacing w:after="0"/>
              <w:rPr>
                <w:sz w:val="20"/>
                <w:szCs w:val="20"/>
                <w:color w:val="auto"/>
              </w:rPr>
            </w:pPr>
            <w:r>
              <w:rPr>
                <w:rFonts w:ascii="Courier New" w:cs="Courier New" w:eastAsia="Courier New" w:hAnsi="Courier New"/>
                <w:sz w:val="18"/>
                <w:szCs w:val="18"/>
                <w:color w:val="auto"/>
              </w:rPr>
              <w:t>EXHIBIT C</w:t>
            </w:r>
          </w:p>
        </w:tc>
        <w:tc>
          <w:tcPr>
            <w:tcW w:w="1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740" w:type="dxa"/>
            <w:vAlign w:val="bottom"/>
          </w:tcPr>
          <w:p>
            <w:pPr>
              <w:spacing w:after="0"/>
              <w:rPr>
                <w:sz w:val="24"/>
                <w:szCs w:val="24"/>
                <w:color w:val="auto"/>
              </w:rPr>
            </w:pPr>
          </w:p>
        </w:tc>
      </w:tr>
      <w:tr>
        <w:trPr>
          <w:trHeight w:val="688"/>
        </w:trPr>
        <w:tc>
          <w:tcPr>
            <w:tcW w:w="4120" w:type="dxa"/>
            <w:vAlign w:val="bottom"/>
          </w:tcPr>
          <w:p>
            <w:pPr>
              <w:spacing w:after="0"/>
              <w:rPr>
                <w:sz w:val="20"/>
                <w:szCs w:val="20"/>
                <w:color w:val="auto"/>
              </w:rPr>
            </w:pPr>
            <w:r>
              <w:rPr>
                <w:rFonts w:ascii="Courier New" w:cs="Courier New" w:eastAsia="Courier New" w:hAnsi="Courier New"/>
                <w:sz w:val="18"/>
                <w:szCs w:val="18"/>
                <w:color w:val="auto"/>
              </w:rPr>
              <w:t>Franklin Templeton Institutional, LLC</w:t>
            </w:r>
          </w:p>
        </w:tc>
        <w:tc>
          <w:tcPr>
            <w:tcW w:w="1420" w:type="dxa"/>
            <w:vAlign w:val="bottom"/>
          </w:tcPr>
          <w:p>
            <w:pPr>
              <w:spacing w:after="0"/>
              <w:rPr>
                <w:sz w:val="24"/>
                <w:szCs w:val="24"/>
                <w:color w:val="auto"/>
              </w:rPr>
            </w:pPr>
          </w:p>
        </w:tc>
        <w:tc>
          <w:tcPr>
            <w:tcW w:w="3740" w:type="dxa"/>
            <w:vAlign w:val="bottom"/>
            <w:gridSpan w:val="2"/>
          </w:tcPr>
          <w:p>
            <w:pPr>
              <w:ind w:left="300"/>
              <w:spacing w:after="0"/>
              <w:rPr>
                <w:sz w:val="20"/>
                <w:szCs w:val="20"/>
                <w:color w:val="auto"/>
              </w:rPr>
            </w:pPr>
            <w:r>
              <w:rPr>
                <w:rFonts w:ascii="Courier New" w:cs="Courier New" w:eastAsia="Courier New" w:hAnsi="Courier New"/>
                <w:sz w:val="18"/>
                <w:szCs w:val="18"/>
                <w:color w:val="auto"/>
              </w:rPr>
              <w:t>Item 3 Classification: 3(e)</w:t>
            </w:r>
          </w:p>
        </w:tc>
      </w:tr>
      <w:tr>
        <w:trPr>
          <w:trHeight w:val="445"/>
        </w:trPr>
        <w:tc>
          <w:tcPr>
            <w:tcW w:w="5540" w:type="dxa"/>
            <w:vAlign w:val="bottom"/>
            <w:gridSpan w:val="2"/>
          </w:tcPr>
          <w:p>
            <w:pPr>
              <w:spacing w:after="0"/>
              <w:rPr>
                <w:sz w:val="20"/>
                <w:szCs w:val="20"/>
                <w:color w:val="auto"/>
              </w:rPr>
            </w:pPr>
            <w:r>
              <w:rPr>
                <w:rFonts w:ascii="Courier New" w:cs="Courier New" w:eastAsia="Courier New" w:hAnsi="Courier New"/>
                <w:sz w:val="18"/>
                <w:szCs w:val="18"/>
                <w:color w:val="auto"/>
              </w:rPr>
              <w:t>Franklin Templeton Investment Management Limited</w:t>
            </w:r>
          </w:p>
        </w:tc>
        <w:tc>
          <w:tcPr>
            <w:tcW w:w="3740" w:type="dxa"/>
            <w:vAlign w:val="bottom"/>
            <w:gridSpan w:val="2"/>
          </w:tcPr>
          <w:p>
            <w:pPr>
              <w:ind w:left="300"/>
              <w:spacing w:after="0"/>
              <w:rPr>
                <w:sz w:val="20"/>
                <w:szCs w:val="20"/>
                <w:color w:val="auto"/>
              </w:rPr>
            </w:pPr>
            <w:r>
              <w:rPr>
                <w:rFonts w:ascii="Courier New" w:cs="Courier New" w:eastAsia="Courier New" w:hAnsi="Courier New"/>
                <w:sz w:val="18"/>
                <w:szCs w:val="18"/>
                <w:color w:val="auto"/>
              </w:rPr>
              <w:t>Item 3 Classification: 3(e)</w:t>
            </w:r>
          </w:p>
        </w:tc>
      </w:tr>
      <w:tr>
        <w:trPr>
          <w:trHeight w:val="446"/>
        </w:trPr>
        <w:tc>
          <w:tcPr>
            <w:tcW w:w="5540" w:type="dxa"/>
            <w:vAlign w:val="bottom"/>
            <w:gridSpan w:val="2"/>
          </w:tcPr>
          <w:p>
            <w:pPr>
              <w:spacing w:after="0"/>
              <w:rPr>
                <w:sz w:val="20"/>
                <w:szCs w:val="20"/>
                <w:color w:val="auto"/>
              </w:rPr>
            </w:pPr>
            <w:r>
              <w:rPr>
                <w:rFonts w:ascii="Courier New" w:cs="Courier New" w:eastAsia="Courier New" w:hAnsi="Courier New"/>
                <w:sz w:val="18"/>
                <w:szCs w:val="18"/>
                <w:color w:val="auto"/>
              </w:rPr>
              <w:t>Franklin Templeton Investments (Asia) Ltd.</w:t>
            </w:r>
          </w:p>
        </w:tc>
        <w:tc>
          <w:tcPr>
            <w:tcW w:w="1000" w:type="dxa"/>
            <w:vAlign w:val="bottom"/>
          </w:tcPr>
          <w:p>
            <w:pPr>
              <w:ind w:left="300"/>
              <w:spacing w:after="0"/>
              <w:rPr>
                <w:sz w:val="20"/>
                <w:szCs w:val="20"/>
                <w:color w:val="auto"/>
              </w:rPr>
            </w:pPr>
            <w:r>
              <w:rPr>
                <w:rFonts w:ascii="Courier New" w:cs="Courier New" w:eastAsia="Courier New" w:hAnsi="Courier New"/>
                <w:sz w:val="18"/>
                <w:szCs w:val="18"/>
                <w:color w:val="auto"/>
              </w:rPr>
              <w:t>Item 3</w:t>
            </w:r>
          </w:p>
        </w:tc>
        <w:tc>
          <w:tcPr>
            <w:tcW w:w="2740" w:type="dxa"/>
            <w:vAlign w:val="bottom"/>
          </w:tcPr>
          <w:p>
            <w:pPr>
              <w:ind w:left="60"/>
              <w:spacing w:after="0"/>
              <w:rPr>
                <w:sz w:val="20"/>
                <w:szCs w:val="20"/>
                <w:color w:val="auto"/>
              </w:rPr>
            </w:pPr>
            <w:r>
              <w:rPr>
                <w:rFonts w:ascii="Courier New" w:cs="Courier New" w:eastAsia="Courier New" w:hAnsi="Courier New"/>
                <w:sz w:val="18"/>
                <w:szCs w:val="18"/>
                <w:color w:val="auto"/>
              </w:rPr>
              <w:t>Classification: 3(e)</w:t>
            </w:r>
          </w:p>
        </w:tc>
      </w:tr>
      <w:tr>
        <w:trPr>
          <w:trHeight w:val="445"/>
        </w:trPr>
        <w:tc>
          <w:tcPr>
            <w:tcW w:w="4120" w:type="dxa"/>
            <w:vAlign w:val="bottom"/>
          </w:tcPr>
          <w:p>
            <w:pPr>
              <w:spacing w:after="0"/>
              <w:rPr>
                <w:sz w:val="20"/>
                <w:szCs w:val="20"/>
                <w:color w:val="auto"/>
              </w:rPr>
            </w:pPr>
            <w:r>
              <w:rPr>
                <w:rFonts w:ascii="Courier New" w:cs="Courier New" w:eastAsia="Courier New" w:hAnsi="Courier New"/>
                <w:sz w:val="18"/>
                <w:szCs w:val="18"/>
                <w:color w:val="auto"/>
              </w:rPr>
              <w:t>Franklin Templeton Investments Corp.</w:t>
            </w:r>
          </w:p>
        </w:tc>
        <w:tc>
          <w:tcPr>
            <w:tcW w:w="1420" w:type="dxa"/>
            <w:vAlign w:val="bottom"/>
          </w:tcPr>
          <w:p>
            <w:pPr>
              <w:spacing w:after="0"/>
              <w:rPr>
                <w:sz w:val="24"/>
                <w:szCs w:val="24"/>
                <w:color w:val="auto"/>
              </w:rPr>
            </w:pPr>
          </w:p>
        </w:tc>
        <w:tc>
          <w:tcPr>
            <w:tcW w:w="1000" w:type="dxa"/>
            <w:vAlign w:val="bottom"/>
          </w:tcPr>
          <w:p>
            <w:pPr>
              <w:ind w:left="300"/>
              <w:spacing w:after="0"/>
              <w:rPr>
                <w:sz w:val="20"/>
                <w:szCs w:val="20"/>
                <w:color w:val="auto"/>
              </w:rPr>
            </w:pPr>
            <w:r>
              <w:rPr>
                <w:rFonts w:ascii="Courier New" w:cs="Courier New" w:eastAsia="Courier New" w:hAnsi="Courier New"/>
                <w:sz w:val="18"/>
                <w:szCs w:val="18"/>
                <w:color w:val="auto"/>
              </w:rPr>
              <w:t>Item 3</w:t>
            </w:r>
          </w:p>
        </w:tc>
        <w:tc>
          <w:tcPr>
            <w:tcW w:w="2740" w:type="dxa"/>
            <w:vAlign w:val="bottom"/>
          </w:tcPr>
          <w:p>
            <w:pPr>
              <w:ind w:left="60"/>
              <w:spacing w:after="0"/>
              <w:rPr>
                <w:sz w:val="20"/>
                <w:szCs w:val="20"/>
                <w:color w:val="auto"/>
              </w:rPr>
            </w:pPr>
            <w:r>
              <w:rPr>
                <w:rFonts w:ascii="Courier New" w:cs="Courier New" w:eastAsia="Courier New" w:hAnsi="Courier New"/>
                <w:sz w:val="18"/>
                <w:szCs w:val="18"/>
                <w:color w:val="auto"/>
              </w:rPr>
              <w:t>Classification: 3(e)</w:t>
            </w:r>
          </w:p>
        </w:tc>
      </w:tr>
      <w:tr>
        <w:trPr>
          <w:trHeight w:val="446"/>
        </w:trPr>
        <w:tc>
          <w:tcPr>
            <w:tcW w:w="4120" w:type="dxa"/>
            <w:vAlign w:val="bottom"/>
          </w:tcPr>
          <w:p>
            <w:pPr>
              <w:spacing w:after="0"/>
              <w:rPr>
                <w:sz w:val="20"/>
                <w:szCs w:val="20"/>
                <w:color w:val="auto"/>
              </w:rPr>
            </w:pPr>
            <w:r>
              <w:rPr>
                <w:rFonts w:ascii="Courier New" w:cs="Courier New" w:eastAsia="Courier New" w:hAnsi="Courier New"/>
                <w:sz w:val="18"/>
                <w:szCs w:val="18"/>
                <w:color w:val="auto"/>
              </w:rPr>
              <w:t>Templeton Global Advisors Limited</w:t>
            </w:r>
          </w:p>
        </w:tc>
        <w:tc>
          <w:tcPr>
            <w:tcW w:w="1420" w:type="dxa"/>
            <w:vAlign w:val="bottom"/>
          </w:tcPr>
          <w:p>
            <w:pPr>
              <w:spacing w:after="0"/>
              <w:rPr>
                <w:sz w:val="24"/>
                <w:szCs w:val="24"/>
                <w:color w:val="auto"/>
              </w:rPr>
            </w:pPr>
          </w:p>
        </w:tc>
        <w:tc>
          <w:tcPr>
            <w:tcW w:w="1000" w:type="dxa"/>
            <w:vAlign w:val="bottom"/>
          </w:tcPr>
          <w:p>
            <w:pPr>
              <w:ind w:left="300"/>
              <w:spacing w:after="0"/>
              <w:rPr>
                <w:sz w:val="20"/>
                <w:szCs w:val="20"/>
                <w:color w:val="auto"/>
              </w:rPr>
            </w:pPr>
            <w:r>
              <w:rPr>
                <w:rFonts w:ascii="Courier New" w:cs="Courier New" w:eastAsia="Courier New" w:hAnsi="Courier New"/>
                <w:sz w:val="18"/>
                <w:szCs w:val="18"/>
                <w:color w:val="auto"/>
              </w:rPr>
              <w:t>Item 3</w:t>
            </w:r>
          </w:p>
        </w:tc>
        <w:tc>
          <w:tcPr>
            <w:tcW w:w="2740" w:type="dxa"/>
            <w:vAlign w:val="bottom"/>
          </w:tcPr>
          <w:p>
            <w:pPr>
              <w:ind w:left="60"/>
              <w:spacing w:after="0"/>
              <w:rPr>
                <w:sz w:val="20"/>
                <w:szCs w:val="20"/>
                <w:color w:val="auto"/>
              </w:rPr>
            </w:pPr>
            <w:r>
              <w:rPr>
                <w:rFonts w:ascii="Courier New" w:cs="Courier New" w:eastAsia="Courier New" w:hAnsi="Courier New"/>
                <w:sz w:val="18"/>
                <w:szCs w:val="18"/>
                <w:color w:val="auto"/>
              </w:rPr>
              <w:t>Classification: 3(e)</w:t>
            </w:r>
          </w:p>
        </w:tc>
      </w:tr>
      <w:tr>
        <w:trPr>
          <w:trHeight w:val="445"/>
        </w:trPr>
        <w:tc>
          <w:tcPr>
            <w:tcW w:w="4120" w:type="dxa"/>
            <w:vAlign w:val="bottom"/>
          </w:tcPr>
          <w:p>
            <w:pPr>
              <w:spacing w:after="0"/>
              <w:rPr>
                <w:sz w:val="20"/>
                <w:szCs w:val="20"/>
                <w:color w:val="auto"/>
              </w:rPr>
            </w:pPr>
            <w:r>
              <w:rPr>
                <w:rFonts w:ascii="Courier New" w:cs="Courier New" w:eastAsia="Courier New" w:hAnsi="Courier New"/>
                <w:sz w:val="18"/>
                <w:szCs w:val="18"/>
                <w:color w:val="auto"/>
              </w:rPr>
              <w:t>Templeton Investment Counsel, LLC</w:t>
            </w:r>
          </w:p>
        </w:tc>
        <w:tc>
          <w:tcPr>
            <w:tcW w:w="1420" w:type="dxa"/>
            <w:vAlign w:val="bottom"/>
          </w:tcPr>
          <w:p>
            <w:pPr>
              <w:spacing w:after="0"/>
              <w:rPr>
                <w:sz w:val="24"/>
                <w:szCs w:val="24"/>
                <w:color w:val="auto"/>
              </w:rPr>
            </w:pPr>
          </w:p>
        </w:tc>
        <w:tc>
          <w:tcPr>
            <w:tcW w:w="1000" w:type="dxa"/>
            <w:vAlign w:val="bottom"/>
          </w:tcPr>
          <w:p>
            <w:pPr>
              <w:ind w:left="300"/>
              <w:spacing w:after="0"/>
              <w:rPr>
                <w:sz w:val="20"/>
                <w:szCs w:val="20"/>
                <w:color w:val="auto"/>
              </w:rPr>
            </w:pPr>
            <w:r>
              <w:rPr>
                <w:rFonts w:ascii="Courier New" w:cs="Courier New" w:eastAsia="Courier New" w:hAnsi="Courier New"/>
                <w:sz w:val="18"/>
                <w:szCs w:val="18"/>
                <w:color w:val="auto"/>
              </w:rPr>
              <w:t>Item 3</w:t>
            </w:r>
          </w:p>
        </w:tc>
        <w:tc>
          <w:tcPr>
            <w:tcW w:w="2740" w:type="dxa"/>
            <w:vAlign w:val="bottom"/>
          </w:tcPr>
          <w:p>
            <w:pPr>
              <w:ind w:left="60"/>
              <w:spacing w:after="0"/>
              <w:rPr>
                <w:sz w:val="20"/>
                <w:szCs w:val="20"/>
                <w:color w:val="auto"/>
              </w:rPr>
            </w:pPr>
            <w:r>
              <w:rPr>
                <w:rFonts w:ascii="Courier New" w:cs="Courier New" w:eastAsia="Courier New" w:hAnsi="Courier New"/>
                <w:sz w:val="18"/>
                <w:szCs w:val="18"/>
                <w:color w:val="auto"/>
              </w:rPr>
              <w:t>Classification: 3(e)</w:t>
            </w:r>
          </w:p>
        </w:tc>
      </w:tr>
      <w:tr>
        <w:trPr>
          <w:trHeight w:val="432"/>
        </w:trPr>
        <w:tc>
          <w:tcPr>
            <w:tcW w:w="4120" w:type="dxa"/>
            <w:vAlign w:val="bottom"/>
          </w:tcPr>
          <w:p>
            <w:pPr>
              <w:ind w:left="40"/>
              <w:spacing w:after="0"/>
              <w:rPr>
                <w:sz w:val="20"/>
                <w:szCs w:val="20"/>
                <w:color w:val="auto"/>
              </w:rPr>
            </w:pPr>
            <w:r>
              <w:rPr>
                <w:rFonts w:ascii="Courier New" w:cs="Courier New" w:eastAsia="Courier New" w:hAnsi="Courier New"/>
                <w:sz w:val="18"/>
                <w:szCs w:val="18"/>
                <w:color w:val="auto"/>
              </w:rPr>
              <w:t>Fiduciary Trust Company International</w:t>
            </w:r>
          </w:p>
        </w:tc>
        <w:tc>
          <w:tcPr>
            <w:tcW w:w="1420" w:type="dxa"/>
            <w:vAlign w:val="bottom"/>
          </w:tcPr>
          <w:p>
            <w:pPr>
              <w:spacing w:after="0"/>
              <w:rPr>
                <w:sz w:val="24"/>
                <w:szCs w:val="24"/>
                <w:color w:val="auto"/>
              </w:rPr>
            </w:pPr>
          </w:p>
        </w:tc>
        <w:tc>
          <w:tcPr>
            <w:tcW w:w="3740" w:type="dxa"/>
            <w:vAlign w:val="bottom"/>
            <w:gridSpan w:val="2"/>
          </w:tcPr>
          <w:p>
            <w:pPr>
              <w:ind w:left="340"/>
              <w:spacing w:after="0"/>
              <w:rPr>
                <w:sz w:val="20"/>
                <w:szCs w:val="20"/>
                <w:color w:val="auto"/>
              </w:rPr>
            </w:pPr>
            <w:r>
              <w:rPr>
                <w:rFonts w:ascii="Courier New" w:cs="Courier New" w:eastAsia="Courier New" w:hAnsi="Courier New"/>
                <w:sz w:val="18"/>
                <w:szCs w:val="18"/>
                <w:color w:val="auto"/>
              </w:rPr>
              <w:t>Item 3 Classification: 3(b)</w:t>
            </w:r>
          </w:p>
        </w:tc>
      </w:tr>
      <w:tr>
        <w:trPr>
          <w:trHeight w:val="432"/>
        </w:trPr>
        <w:tc>
          <w:tcPr>
            <w:tcW w:w="554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Franklin Templeton Investments Australia Limited</w:t>
            </w:r>
          </w:p>
        </w:tc>
        <w:tc>
          <w:tcPr>
            <w:tcW w:w="3740" w:type="dxa"/>
            <w:vAlign w:val="bottom"/>
            <w:gridSpan w:val="2"/>
          </w:tcPr>
          <w:p>
            <w:pPr>
              <w:ind w:left="340"/>
              <w:spacing w:after="0"/>
              <w:rPr>
                <w:sz w:val="20"/>
                <w:szCs w:val="20"/>
                <w:color w:val="auto"/>
              </w:rPr>
            </w:pPr>
            <w:r>
              <w:rPr>
                <w:rFonts w:ascii="Courier New" w:cs="Courier New" w:eastAsia="Courier New" w:hAnsi="Courier New"/>
                <w:sz w:val="18"/>
                <w:szCs w:val="18"/>
                <w:color w:val="auto"/>
              </w:rPr>
              <w:t>Item 3 Classification: 3(j)</w:t>
            </w:r>
          </w:p>
        </w:tc>
      </w:tr>
    </w:tbl>
    <w:p>
      <w:pPr>
        <w:spacing w:after="0" w:line="1" w:lineRule="exact"/>
        <w:rPr>
          <w:sz w:val="20"/>
          <w:szCs w:val="20"/>
          <w:color w:val="auto"/>
        </w:rPr>
      </w:pPr>
    </w:p>
    <w:sectPr>
      <w:pgSz w:w="11900" w:h="16838" w:orient="portrait"/>
      <w:cols w:equalWidth="0" w:num="1">
        <w:col w:w="9579"/>
      </w:cols>
      <w:pgMar w:left="88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 w:name="MS Gothic">
    <w:panose1 w:val="020B0609070205080204"/>
    <w:charset w:val="80"/>
    <w:family w:val="auto"/>
    <w:pitch w:val="fixed"/>
    <w:sig w:usb0="E00002FF" w:usb1="6AC7FDFB" w:usb2="08000012" w:usb3="00000000" w:csb0="4002009F" w:csb1="DFD70000"/>
  </w:font>
</w:fonts>
</file>

<file path=word/numbering.xml><?xml version="1.0" encoding="utf-8"?>
<w:numbering xmlns:w="http://schemas.openxmlformats.org/wordprocessingml/2006/main">
  <w:abstractNum w:abstractNumId="0">
    <w:nsid w:val="3F2DBA31"/>
    <w:multiLevelType w:val="hybridMultilevel"/>
    <w:lvl w:ilvl="0">
      <w:lvlJc w:val="left"/>
      <w:lvlText w:val="[%1]"/>
      <w:numFmt w:val="upperLetter"/>
      <w:start w:val="24"/>
    </w:lvl>
  </w:abstractNum>
  <w:abstractNum w:abstractNumId="1">
    <w:nsid w:val="7C83E458"/>
    <w:multiLevelType w:val="hybridMultilevel"/>
    <w:lvl w:ilvl="0">
      <w:lvlJc w:val="left"/>
      <w:lvlText w:val="%1."/>
      <w:numFmt w:val="decimal"/>
      <w:start w:val="1"/>
    </w:lvl>
  </w:abstractNum>
  <w:abstractNum w:abstractNumId="2">
    <w:nsid w:val="257130A3"/>
    <w:multiLevelType w:val="hybridMultilevel"/>
    <w:lvl w:ilvl="0">
      <w:lvlJc w:val="left"/>
      <w:lvlText w:val="%1"/>
      <w:numFmt w:val="decimal"/>
      <w:start w:val="1"/>
    </w:lvl>
    <w:lvl w:ilvl="1">
      <w:lvlJc w:val="left"/>
      <w:lvlText w:val="(%2)"/>
      <w:numFmt w:val="lowerLetter"/>
      <w:start w:val="2"/>
    </w:lvl>
  </w:abstractNum>
  <w:abstractNum w:abstractNumId="3">
    <w:nsid w:val="62BBD95A"/>
    <w:multiLevelType w:val="hybridMultilevel"/>
    <w:lvl w:ilvl="0">
      <w:lvlJc w:val="left"/>
      <w:lvlText w:val="%1."/>
      <w:numFmt w:val="decimal"/>
      <w:start w:val="3"/>
    </w:lvl>
    <w:lvl w:ilvl="1">
      <w:lvlJc w:val="left"/>
      <w:lvlText w:val="%2"/>
      <w:numFmt w:val="lowerLetter"/>
      <w:start w:val="1"/>
    </w:lvl>
  </w:abstractNum>
  <w:abstractNum w:abstractNumId="4">
    <w:nsid w:val="436C6125"/>
    <w:multiLevelType w:val="hybridMultilevel"/>
    <w:lvl w:ilvl="0">
      <w:lvlJc w:val="left"/>
      <w:lvlText w:val="%1"/>
      <w:numFmt w:val="decimal"/>
      <w:start w:val="1"/>
    </w:lvl>
    <w:lvl w:ilvl="1">
      <w:lvlJc w:val="left"/>
      <w:lvlText w:val="%2."/>
      <w:numFmt w:val="decimal"/>
      <w:start w:val="5"/>
    </w:lvl>
  </w:abstractNum>
  <w:abstractNum w:abstractNumId="5">
    <w:nsid w:val="628C895D"/>
    <w:multiLevelType w:val="hybridMultilevel"/>
    <w:lvl w:ilvl="0">
      <w:lvlJc w:val="left"/>
      <w:lvlText w:val="%1."/>
      <w:numFmt w:val="decimal"/>
      <w:start w:val="9"/>
    </w:lvl>
    <w:lvl w:ilvl="1">
      <w:lvlJc w:val="left"/>
      <w:lvlText w:val="%2"/>
      <w:numFmt w:val="decimal"/>
      <w:start w:val="1"/>
    </w:lvl>
  </w:abstractNum>
  <w:abstractNum w:abstractNumId="6">
    <w:nsid w:val="333AB105"/>
    <w:multiLevelType w:val="hybridMultilevel"/>
    <w:lvl w:ilvl="0">
      <w:lvlJc w:val="left"/>
      <w:lvlText w:val="%1."/>
      <w:numFmt w:val="decimal"/>
      <w:start w:val="1"/>
    </w:lvl>
  </w:abstractNum>
  <w:abstractNum w:abstractNumId="7">
    <w:nsid w:val="721DA317"/>
    <w:multiLevelType w:val="hybridMultilevel"/>
    <w:lvl w:ilvl="0">
      <w:lvlJc w:val="left"/>
      <w:lvlText w:val="%1"/>
      <w:numFmt w:val="decimal"/>
      <w:start w:val="1"/>
    </w:lvl>
    <w:lvl w:ilvl="1">
      <w:lvlJc w:val="left"/>
      <w:lvlText w:val="(%2)"/>
      <w:numFmt w:val="lowerLetter"/>
      <w:start w:val="2"/>
    </w:lvl>
  </w:abstractNum>
  <w:abstractNum w:abstractNumId="8">
    <w:nsid w:val="2443A858"/>
    <w:multiLevelType w:val="hybridMultilevel"/>
    <w:lvl w:ilvl="0">
      <w:lvlJc w:val="left"/>
      <w:lvlText w:val="%1."/>
      <w:numFmt w:val="decimal"/>
      <w:start w:val="3"/>
    </w:lvl>
    <w:lvl w:ilvl="1">
      <w:lvlJc w:val="left"/>
      <w:lvlText w:val="%2"/>
      <w:numFmt w:val="lowerLetter"/>
      <w:start w:val="1"/>
    </w:lvl>
  </w:abstractNum>
  <w:abstractNum w:abstractNumId="9">
    <w:nsid w:val="2D1D5AE9"/>
    <w:multiLevelType w:val="hybridMultilevel"/>
    <w:lvl w:ilvl="0">
      <w:lvlJc w:val="left"/>
      <w:lvlText w:val="%1"/>
      <w:numFmt w:val="decimal"/>
      <w:start w:val="1"/>
    </w:lvl>
    <w:lvl w:ilvl="1">
      <w:lvlJc w:val="left"/>
      <w:lvlText w:val="%2."/>
      <w:numFmt w:val="decimal"/>
      <w:start w:val="5"/>
    </w:lvl>
  </w:abstractNum>
  <w:abstractNum w:abstractNumId="10">
    <w:nsid w:val="6763845E"/>
    <w:multiLevelType w:val="hybridMultilevel"/>
    <w:lvl w:ilvl="0">
      <w:lvlJc w:val="left"/>
      <w:lvlText w:val="%1."/>
      <w:numFmt w:val="decimal"/>
      <w:start w:val="9"/>
    </w:lvl>
    <w:lvl w:ilvl="1">
      <w:lvlJc w:val="left"/>
      <w:lvlText w:val="%2"/>
      <w:numFmt w:val="decimal"/>
      <w:start w:val="1"/>
    </w:lvl>
  </w:abstractNum>
  <w:abstractNum w:abstractNumId="11">
    <w:nsid w:val="75A2A8D4"/>
    <w:multiLevelType w:val="hybridMultilevel"/>
    <w:lvl w:ilvl="0">
      <w:lvlJc w:val="left"/>
      <w:lvlText w:val="%1."/>
      <w:numFmt w:val="decimal"/>
      <w:start w:val="11"/>
    </w:lvl>
  </w:abstractNum>
  <w:abstractNum w:abstractNumId="12">
    <w:nsid w:val="8EDBDAB"/>
    <w:multiLevelType w:val="hybridMultilevel"/>
    <w:lvl w:ilvl="0">
      <w:lvlJc w:val="left"/>
      <w:lvlText w:val="%1."/>
      <w:numFmt w:val="decimal"/>
      <w:start w:val="1"/>
    </w:lvl>
  </w:abstractNum>
  <w:abstractNum w:abstractNumId="13">
    <w:nsid w:val="79838CB2"/>
    <w:multiLevelType w:val="hybridMultilevel"/>
    <w:lvl w:ilvl="0">
      <w:lvlJc w:val="left"/>
      <w:lvlText w:val="%1"/>
      <w:numFmt w:val="decimal"/>
      <w:start w:val="1"/>
    </w:lvl>
    <w:lvl w:ilvl="1">
      <w:lvlJc w:val="left"/>
      <w:lvlText w:val="(%2)"/>
      <w:numFmt w:val="lowerLetter"/>
      <w:start w:val="2"/>
    </w:lvl>
  </w:abstractNum>
  <w:abstractNum w:abstractNumId="14">
    <w:nsid w:val="4353D0CD"/>
    <w:multiLevelType w:val="hybridMultilevel"/>
    <w:lvl w:ilvl="0">
      <w:lvlJc w:val="left"/>
      <w:lvlText w:val="%1."/>
      <w:numFmt w:val="decimal"/>
      <w:start w:val="3"/>
    </w:lvl>
    <w:lvl w:ilvl="1">
      <w:lvlJc w:val="left"/>
      <w:lvlText w:val="%2"/>
      <w:numFmt w:val="lowerLetter"/>
      <w:start w:val="1"/>
    </w:lvl>
  </w:abstractNum>
  <w:abstractNum w:abstractNumId="15">
    <w:nsid w:val="B03E0C6"/>
    <w:multiLevelType w:val="hybridMultilevel"/>
    <w:lvl w:ilvl="0">
      <w:lvlJc w:val="left"/>
      <w:lvlText w:val="%1."/>
      <w:numFmt w:val="decimal"/>
      <w:start w:val="5"/>
    </w:lvl>
  </w:abstractNum>
  <w:abstractNum w:abstractNumId="16">
    <w:nsid w:val="189A769B"/>
    <w:multiLevelType w:val="hybridMultilevel"/>
    <w:lvl w:ilvl="0">
      <w:lvlJc w:val="left"/>
      <w:lvlText w:val="%1."/>
      <w:numFmt w:val="decimal"/>
      <w:start w:val="9"/>
    </w:lvl>
  </w:abstractNum>
  <w:abstractNum w:abstractNumId="17">
    <w:nsid w:val="54E49EB4"/>
    <w:multiLevelType w:val="hybridMultilevel"/>
    <w:lvl w:ilvl="0">
      <w:lvlJc w:val="left"/>
      <w:lvlText w:val="%1."/>
      <w:numFmt w:val="decimal"/>
      <w:start w:val="11"/>
    </w:lvl>
  </w:abstractNum>
  <w:abstractNum w:abstractNumId="18">
    <w:nsid w:val="71F32454"/>
    <w:multiLevelType w:val="hybridMultilevel"/>
    <w:lvl w:ilvl="0">
      <w:lvlJc w:val="left"/>
      <w:lvlText w:val="(%1)"/>
      <w:numFmt w:val="lowerLetter"/>
      <w:start w:val="1"/>
    </w:lvl>
  </w:abstractNum>
  <w:abstractNum w:abstractNumId="19">
    <w:nsid w:val="2CA88611"/>
    <w:multiLevelType w:val="hybridMultilevel"/>
    <w:lvl w:ilvl="0">
      <w:lvlJc w:val="left"/>
      <w:lvlText w:val="(%1)"/>
      <w:numFmt w:val="lowerLetter"/>
      <w:start w:val="1"/>
    </w:lvl>
  </w:abstractNum>
  <w:abstractNum w:abstractNumId="20">
    <w:nsid w:val="836C40E"/>
    <w:multiLevelType w:val="hybridMultilevel"/>
    <w:lvl w:ilvl="0">
      <w:lvlJc w:val="left"/>
      <w:lvlText w:val="(%1)"/>
      <w:numFmt w:val="lowerLetter"/>
      <w:start w:val="2"/>
    </w:lvl>
  </w:abstractNum>
  <w:abstractNum w:abstractNumId="21">
    <w:nsid w:val="2901D82"/>
    <w:multiLevelType w:val="hybridMultilevel"/>
    <w:lvl w:ilvl="0">
      <w:lvlJc w:val="left"/>
      <w:lvlText w:val="(%1)"/>
      <w:numFmt w:val="lowerLetter"/>
      <w:start w:val="3"/>
    </w:lvl>
  </w:abstractNum>
  <w:abstractNum w:abstractNumId="22">
    <w:nsid w:val="3A95F874"/>
    <w:multiLevelType w:val="hybridMultilevel"/>
    <w:lvl w:ilvl="0">
      <w:lvlJc w:val="left"/>
      <w:lvlText w:val="%1"/>
      <w:numFmt w:val="lowerLetter"/>
      <w:start w:val="1"/>
    </w:lvl>
    <w:lvl w:ilvl="1">
      <w:lvlJc w:val="left"/>
      <w:lvlText w:val="(%2)"/>
      <w:numFmt w:val="lowerLetter"/>
      <w:start w:val="35"/>
    </w:lvl>
  </w:abstractNum>
  <w:abstractNum w:abstractNumId="23">
    <w:nsid w:val="8138641"/>
    <w:multiLevelType w:val="hybridMultilevel"/>
    <w:lvl w:ilvl="0">
      <w:lvlJc w:val="left"/>
      <w:lvlText w:val="(%1)"/>
      <w:numFmt w:val="lowerLetter"/>
      <w:start w:val="4"/>
    </w:lvl>
    <w:lvl w:ilvl="1">
      <w:lvlJc w:val="left"/>
      <w:lvlText w:val="%2"/>
      <w:numFmt w:val="lowerLetter"/>
      <w:start w:val="1"/>
    </w:lvl>
  </w:abstractNum>
  <w:abstractNum w:abstractNumId="24">
    <w:nsid w:val="1E7FF521"/>
    <w:multiLevelType w:val="hybridMultilevel"/>
    <w:lvl w:ilvl="0">
      <w:lvlJc w:val="left"/>
      <w:lvlText w:val="(%1)"/>
      <w:numFmt w:val="lowerLetter"/>
      <w:start w:val="5"/>
    </w:lvl>
  </w:abstractNum>
  <w:abstractNum w:abstractNumId="25">
    <w:nsid w:val="7C3DBD3D"/>
    <w:multiLevelType w:val="hybridMultilevel"/>
    <w:lvl w:ilvl="0">
      <w:lvlJc w:val="left"/>
      <w:lvlText w:val="(%1)"/>
      <w:numFmt w:val="lowerLetter"/>
      <w:start w:val="1"/>
    </w:lvl>
  </w:abstractNum>
  <w:abstractNum w:abstractNumId="26">
    <w:nsid w:val="737B8DDC"/>
    <w:multiLevelType w:val="hybridMultilevel"/>
    <w:lvl w:ilvl="0">
      <w:lvlJc w:val="left"/>
      <w:lvlText w:val="(%1)"/>
      <w:numFmt w:val="lowerLetter"/>
      <w:start w:val="1"/>
    </w:lvl>
  </w:abstractNum>
  <w:abstractNum w:abstractNumId="27">
    <w:nsid w:val="6CEAF087"/>
    <w:multiLevelType w:val="hybridMultilevel"/>
    <w:lvl w:ilvl="0">
      <w:lvlJc w:val="left"/>
      <w:lvlText w:val="(%1)"/>
      <w:numFmt w:val="lowerLetter"/>
      <w:start w:val="3"/>
    </w:lvl>
    <w:lvl w:ilvl="1">
      <w:lvlJc w:val="left"/>
      <w:lvlText w:val="(%2)"/>
      <w:numFmt w:val="lowerLetter"/>
      <w:start w:val="9"/>
    </w:lvl>
  </w:abstractNum>
  <w:abstractNum w:abstractNumId="28">
    <w:nsid w:val="22221A70"/>
    <w:multiLevelType w:val="hybridMultilevel"/>
    <w:lvl w:ilvl="0">
      <w:lvlJc w:val="left"/>
      <w:lvlText w:val="(%1)"/>
      <w:numFmt w:val="lowerRoman"/>
      <w:start w:val="2"/>
    </w:lvl>
  </w:abstractNum>
  <w:abstractNum w:abstractNumId="29">
    <w:nsid w:val="4516DDE9"/>
    <w:multiLevelType w:val="hybridMultilevel"/>
    <w:lvl w:ilvl="0">
      <w:lvlJc w:val="left"/>
      <w:lvlText w:val="(%1)"/>
      <w:numFmt w:val="lowerRoman"/>
      <w:start w:val="3"/>
    </w:lvl>
  </w:abstractNum>
  <w:abstractNum w:abstractNumId="30">
    <w:nsid w:val="3006C83E"/>
    <w:multiLevelType w:val="hybridMultilevel"/>
    <w:lvl w:ilvl="0">
      <w:lvlJc w:val="left"/>
      <w:lvlText w:val="(%1)"/>
      <w:numFmt w:val="lowerRoman"/>
      <w:start w:val="4"/>
    </w:lvl>
  </w:abstractNum>
  <w:abstractNum w:abstractNumId="31">
    <w:nsid w:val="614FD4A1"/>
    <w:multiLevelType w:val="hybridMultilevel"/>
    <w:lvl w:ilvl="0">
      <w:lvlJc w:val="left"/>
      <w:lvlText w:val="1"/>
      <w:numFmt w:val="bullet"/>
      <w:start w:val="1"/>
    </w:lvl>
  </w:abstractNum>
  <w:abstractNum w:abstractNumId="32">
    <w:nsid w:val="419AC241"/>
    <w:multiLevelType w:val="hybridMultilevel"/>
    <w:lvl w:ilvl="0">
      <w:lvlJc w:val="left"/>
      <w:lvlText w:val="%1."/>
      <w:numFmt w:val="decimal"/>
      <w:start w:val="1"/>
    </w:lvl>
  </w:abstractNum>
  <w:abstractNum w:abstractNumId="33">
    <w:nsid w:val="5577F8E1"/>
    <w:multiLevelType w:val="hybridMultilevel"/>
    <w:lvl w:ilvl="0">
      <w:lvlJc w:val="left"/>
      <w:lvlText w:val="%1."/>
      <w:numFmt w:val="decimal"/>
      <w:start w:val="1"/>
    </w:lvl>
  </w:abstractNum>
  <w:abstractNum w:abstractNumId="34">
    <w:nsid w:val="440BADFC"/>
    <w:multiLevelType w:val="hybridMultilevel"/>
    <w:lvl w:ilvl="0">
      <w:lvlJc w:val="left"/>
      <w:lvlText w:val="%1."/>
      <w:numFmt w:val="decimal"/>
      <w:start w:val="1"/>
    </w:lvl>
  </w:abstractNum>
  <w:abstractNum w:abstractNumId="35">
    <w:nsid w:val="507236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2019-12-19T20:24:04Z</dcterms:created>
  <dcterms:modified xsi:type="dcterms:W3CDTF">2019-12-19T20:24:04Z</dcterms:modified>
</cp:coreProperties>
</file>