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147320</wp:posOffset>
            </wp:positionH>
            <wp:positionV relativeFrom="page">
              <wp:posOffset>381635</wp:posOffset>
            </wp:positionV>
            <wp:extent cx="2109470" cy="673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9470" cy="673735"/>
                    </a:xfrm>
                    <a:prstGeom prst="rect">
                      <a:avLst/>
                    </a:prstGeom>
                    <a:noFill/>
                  </pic:spPr>
                </pic:pic>
              </a:graphicData>
            </a:graphic>
          </wp:anchor>
        </w:drawing>
      </w:r>
    </w:p>
    <w:p>
      <w:pPr>
        <w:spacing w:after="0" w:line="216" w:lineRule="exact"/>
        <w:rPr>
          <w:sz w:val="24"/>
          <w:szCs w:val="24"/>
          <w:color w:val="auto"/>
        </w:rPr>
      </w:pPr>
    </w:p>
    <w:p>
      <w:pPr>
        <w:ind w:left="8"/>
        <w:spacing w:after="0"/>
        <w:rPr>
          <w:sz w:val="20"/>
          <w:szCs w:val="20"/>
          <w:color w:val="auto"/>
        </w:rPr>
      </w:pPr>
      <w:r>
        <w:rPr>
          <w:rFonts w:ascii="Arial" w:cs="Arial" w:eastAsia="Arial" w:hAnsi="Arial"/>
          <w:sz w:val="17"/>
          <w:szCs w:val="17"/>
          <w:color w:val="auto"/>
        </w:rPr>
        <w:t>October 25, 2018</w:t>
      </w:r>
    </w:p>
    <w:p>
      <w:pPr>
        <w:spacing w:after="0" w:line="181" w:lineRule="exact"/>
        <w:rPr>
          <w:sz w:val="24"/>
          <w:szCs w:val="24"/>
          <w:color w:val="auto"/>
        </w:rPr>
      </w:pPr>
    </w:p>
    <w:p>
      <w:pPr>
        <w:ind w:left="8"/>
        <w:spacing w:after="0"/>
        <w:rPr>
          <w:sz w:val="20"/>
          <w:szCs w:val="20"/>
          <w:color w:val="auto"/>
        </w:rPr>
      </w:pPr>
      <w:r>
        <w:rPr>
          <w:rFonts w:ascii="Arial" w:cs="Arial" w:eastAsia="Arial" w:hAnsi="Arial"/>
          <w:sz w:val="17"/>
          <w:szCs w:val="17"/>
          <w:b w:val="1"/>
          <w:bCs w:val="1"/>
          <w:u w:val="single" w:color="auto"/>
          <w:color w:val="auto"/>
        </w:rPr>
        <w:t>Via EDGAR</w:t>
      </w:r>
    </w:p>
    <w:p>
      <w:pPr>
        <w:spacing w:after="0" w:line="189" w:lineRule="exact"/>
        <w:rPr>
          <w:sz w:val="24"/>
          <w:szCs w:val="24"/>
          <w:color w:val="auto"/>
        </w:rPr>
      </w:pPr>
    </w:p>
    <w:p>
      <w:pPr>
        <w:ind w:left="8"/>
        <w:spacing w:after="0"/>
        <w:rPr>
          <w:sz w:val="20"/>
          <w:szCs w:val="20"/>
          <w:color w:val="auto"/>
        </w:rPr>
      </w:pPr>
      <w:r>
        <w:rPr>
          <w:rFonts w:ascii="Arial" w:cs="Arial" w:eastAsia="Arial" w:hAnsi="Arial"/>
          <w:sz w:val="17"/>
          <w:szCs w:val="17"/>
          <w:color w:val="auto"/>
        </w:rPr>
        <w:t>Office of Electronics and Machinery</w:t>
      </w:r>
    </w:p>
    <w:p>
      <w:pPr>
        <w:spacing w:after="0" w:line="15" w:lineRule="exact"/>
        <w:rPr>
          <w:sz w:val="24"/>
          <w:szCs w:val="24"/>
          <w:color w:val="auto"/>
        </w:rPr>
      </w:pPr>
    </w:p>
    <w:p>
      <w:pPr>
        <w:ind w:left="8"/>
        <w:spacing w:after="0"/>
        <w:rPr>
          <w:sz w:val="20"/>
          <w:szCs w:val="20"/>
          <w:color w:val="auto"/>
        </w:rPr>
      </w:pPr>
      <w:r>
        <w:rPr>
          <w:rFonts w:ascii="Arial" w:cs="Arial" w:eastAsia="Arial" w:hAnsi="Arial"/>
          <w:sz w:val="17"/>
          <w:szCs w:val="17"/>
          <w:color w:val="auto"/>
        </w:rPr>
        <w:t>Division of Corporation Finance</w:t>
      </w:r>
    </w:p>
    <w:p>
      <w:pPr>
        <w:spacing w:after="0" w:line="1" w:lineRule="exact"/>
        <w:rPr>
          <w:sz w:val="24"/>
          <w:szCs w:val="24"/>
          <w:color w:val="auto"/>
        </w:rPr>
      </w:pPr>
    </w:p>
    <w:p>
      <w:pPr>
        <w:ind w:left="8"/>
        <w:spacing w:after="0"/>
        <w:rPr>
          <w:sz w:val="20"/>
          <w:szCs w:val="20"/>
          <w:color w:val="auto"/>
        </w:rPr>
      </w:pPr>
      <w:r>
        <w:rPr>
          <w:rFonts w:ascii="Arial" w:cs="Arial" w:eastAsia="Arial" w:hAnsi="Arial"/>
          <w:sz w:val="17"/>
          <w:szCs w:val="17"/>
          <w:color w:val="auto"/>
        </w:rPr>
        <w:t>U.S. Securities and Exchange Commission</w:t>
      </w:r>
    </w:p>
    <w:p>
      <w:pPr>
        <w:spacing w:after="0" w:line="1" w:lineRule="exact"/>
        <w:rPr>
          <w:sz w:val="24"/>
          <w:szCs w:val="24"/>
          <w:color w:val="auto"/>
        </w:rPr>
      </w:pPr>
    </w:p>
    <w:p>
      <w:pPr>
        <w:ind w:left="8"/>
        <w:spacing w:after="0"/>
        <w:rPr>
          <w:sz w:val="20"/>
          <w:szCs w:val="20"/>
          <w:color w:val="auto"/>
        </w:rPr>
      </w:pPr>
      <w:r>
        <w:rPr>
          <w:rFonts w:ascii="Arial" w:cs="Arial" w:eastAsia="Arial" w:hAnsi="Arial"/>
          <w:sz w:val="17"/>
          <w:szCs w:val="17"/>
          <w:color w:val="auto"/>
        </w:rPr>
        <w:t>100 F Street, N.E.</w:t>
      </w:r>
    </w:p>
    <w:p>
      <w:pPr>
        <w:spacing w:after="0" w:line="1" w:lineRule="exact"/>
        <w:rPr>
          <w:sz w:val="24"/>
          <w:szCs w:val="24"/>
          <w:color w:val="auto"/>
        </w:rPr>
      </w:pPr>
    </w:p>
    <w:p>
      <w:pPr>
        <w:ind w:left="8"/>
        <w:spacing w:after="0"/>
        <w:rPr>
          <w:sz w:val="20"/>
          <w:szCs w:val="20"/>
          <w:color w:val="auto"/>
        </w:rPr>
      </w:pPr>
      <w:r>
        <w:rPr>
          <w:rFonts w:ascii="Arial" w:cs="Arial" w:eastAsia="Arial" w:hAnsi="Arial"/>
          <w:sz w:val="17"/>
          <w:szCs w:val="17"/>
          <w:color w:val="auto"/>
        </w:rPr>
        <w:t>Washington, D.C. 20549-7010</w:t>
      </w:r>
    </w:p>
    <w:p>
      <w:pPr>
        <w:spacing w:after="0" w:line="167" w:lineRule="exact"/>
        <w:rPr>
          <w:sz w:val="24"/>
          <w:szCs w:val="24"/>
          <w:color w:val="auto"/>
        </w:rPr>
      </w:pPr>
    </w:p>
    <w:p>
      <w:pPr>
        <w:ind w:left="8" w:right="320"/>
        <w:spacing w:after="0" w:line="269" w:lineRule="auto"/>
        <w:rPr>
          <w:sz w:val="20"/>
          <w:szCs w:val="20"/>
          <w:color w:val="auto"/>
        </w:rPr>
      </w:pPr>
      <w:r>
        <w:rPr>
          <w:rFonts w:ascii="Arial" w:cs="Arial" w:eastAsia="Arial" w:hAnsi="Arial"/>
          <w:sz w:val="17"/>
          <w:szCs w:val="17"/>
          <w:b w:val="1"/>
          <w:bCs w:val="1"/>
          <w:color w:val="auto"/>
        </w:rPr>
        <w:t>Re: LivaNova PLC Form 10-K for the Fiscal Year Ended December 31, 2017, Filed February 28, 2018 and Form 8-K filed on August 1, 2018 (File No. 001-37599)</w:t>
      </w:r>
    </w:p>
    <w:p>
      <w:pPr>
        <w:spacing w:after="0" w:line="143" w:lineRule="exact"/>
        <w:rPr>
          <w:sz w:val="24"/>
          <w:szCs w:val="24"/>
          <w:color w:val="auto"/>
        </w:rPr>
      </w:pPr>
    </w:p>
    <w:p>
      <w:pPr>
        <w:ind w:left="8"/>
        <w:spacing w:after="0"/>
        <w:rPr>
          <w:sz w:val="20"/>
          <w:szCs w:val="20"/>
          <w:color w:val="auto"/>
        </w:rPr>
      </w:pPr>
      <w:r>
        <w:rPr>
          <w:rFonts w:ascii="Arial" w:cs="Arial" w:eastAsia="Arial" w:hAnsi="Arial"/>
          <w:sz w:val="17"/>
          <w:szCs w:val="17"/>
          <w:color w:val="auto"/>
        </w:rPr>
        <w:t>Dear Ladies and Gentlemen:</w:t>
      </w:r>
    </w:p>
    <w:p>
      <w:pPr>
        <w:spacing w:after="0" w:line="185" w:lineRule="exact"/>
        <w:rPr>
          <w:sz w:val="24"/>
          <w:szCs w:val="24"/>
          <w:color w:val="auto"/>
        </w:rPr>
      </w:pPr>
    </w:p>
    <w:p>
      <w:pPr>
        <w:ind w:left="8" w:firstLine="519"/>
        <w:spacing w:after="0" w:line="252" w:lineRule="auto"/>
        <w:rPr>
          <w:sz w:val="20"/>
          <w:szCs w:val="20"/>
          <w:color w:val="auto"/>
        </w:rPr>
      </w:pPr>
      <w:r>
        <w:rPr>
          <w:rFonts w:ascii="Arial" w:cs="Arial" w:eastAsia="Arial" w:hAnsi="Arial"/>
          <w:sz w:val="17"/>
          <w:szCs w:val="17"/>
          <w:color w:val="auto"/>
        </w:rPr>
        <w:t>This letter responds to your letter dated September 18, 2018 (the “Comment Letter”) from the staff (the “Staff”) of the Securities and Exchange Commission (the “Commission”) regarding the above listed filings by LivaNova PLC (references to the “Company” or “LivaNova” include LivaNova PLC and its subsidiaries) and two telephonic conversations, on October 15 and October 23, 2018, between representatives of the Staff and the Company.</w:t>
      </w:r>
    </w:p>
    <w:p>
      <w:pPr>
        <w:spacing w:after="0" w:line="157" w:lineRule="exact"/>
        <w:rPr>
          <w:sz w:val="24"/>
          <w:szCs w:val="24"/>
          <w:color w:val="auto"/>
        </w:rPr>
      </w:pPr>
    </w:p>
    <w:p>
      <w:pPr>
        <w:ind w:left="8" w:right="40" w:firstLine="554"/>
        <w:spacing w:after="0" w:line="252" w:lineRule="auto"/>
        <w:rPr>
          <w:sz w:val="20"/>
          <w:szCs w:val="20"/>
          <w:color w:val="auto"/>
        </w:rPr>
      </w:pPr>
      <w:r>
        <w:rPr>
          <w:rFonts w:ascii="Arial" w:cs="Arial" w:eastAsia="Arial" w:hAnsi="Arial"/>
          <w:sz w:val="17"/>
          <w:szCs w:val="17"/>
          <w:color w:val="auto"/>
        </w:rPr>
        <w:t>For your convenience, below we repeat the captions and comments contained in the Comment Letter in bold and we set out our responses thereafter. Each comment is numbered to correspond to the numbers in the Comment Letter. All terms used but not defined herein have the meanings assigned to such terms in the Form 10-K.</w:t>
      </w:r>
    </w:p>
    <w:p>
      <w:pPr>
        <w:spacing w:after="0" w:line="153" w:lineRule="exact"/>
        <w:rPr>
          <w:sz w:val="24"/>
          <w:szCs w:val="24"/>
          <w:color w:val="auto"/>
        </w:rPr>
      </w:pPr>
    </w:p>
    <w:p>
      <w:pPr>
        <w:ind w:left="8"/>
        <w:spacing w:after="0"/>
        <w:rPr>
          <w:sz w:val="20"/>
          <w:szCs w:val="20"/>
          <w:color w:val="auto"/>
        </w:rPr>
      </w:pPr>
      <w:r>
        <w:rPr>
          <w:rFonts w:ascii="Arial" w:cs="Arial" w:eastAsia="Arial" w:hAnsi="Arial"/>
          <w:sz w:val="17"/>
          <w:szCs w:val="17"/>
          <w:b w:val="1"/>
          <w:bCs w:val="1"/>
          <w:u w:val="single" w:color="auto"/>
          <w:color w:val="auto"/>
        </w:rPr>
        <w:t>Form 8-K filed on August 1, 2018</w:t>
      </w:r>
    </w:p>
    <w:p>
      <w:pPr>
        <w:spacing w:after="0" w:line="185" w:lineRule="exact"/>
        <w:rPr>
          <w:sz w:val="24"/>
          <w:szCs w:val="24"/>
          <w:color w:val="auto"/>
        </w:rPr>
      </w:pPr>
    </w:p>
    <w:p>
      <w:pPr>
        <w:ind w:left="8"/>
        <w:spacing w:after="0"/>
        <w:rPr>
          <w:sz w:val="20"/>
          <w:szCs w:val="20"/>
          <w:color w:val="auto"/>
        </w:rPr>
      </w:pPr>
      <w:r>
        <w:rPr>
          <w:rFonts w:ascii="Arial" w:cs="Arial" w:eastAsia="Arial" w:hAnsi="Arial"/>
          <w:sz w:val="17"/>
          <w:szCs w:val="17"/>
          <w:b w:val="1"/>
          <w:bCs w:val="1"/>
          <w:u w:val="single" w:color="auto"/>
          <w:color w:val="auto"/>
        </w:rPr>
        <w:t>Exhibit 99.1, page 3</w:t>
      </w:r>
    </w:p>
    <w:p>
      <w:pPr>
        <w:spacing w:after="0" w:line="185" w:lineRule="exact"/>
        <w:rPr>
          <w:sz w:val="24"/>
          <w:szCs w:val="24"/>
          <w:color w:val="auto"/>
        </w:rPr>
      </w:pPr>
    </w:p>
    <w:p>
      <w:pPr>
        <w:ind w:left="548" w:right="20" w:hanging="548"/>
        <w:spacing w:after="0" w:line="250" w:lineRule="auto"/>
        <w:tabs>
          <w:tab w:leader="none" w:pos="548" w:val="left"/>
        </w:tabs>
        <w:numPr>
          <w:ilvl w:val="0"/>
          <w:numId w:val="1"/>
        </w:numPr>
        <w:rPr>
          <w:rFonts w:ascii="Arial" w:cs="Arial" w:eastAsia="Arial" w:hAnsi="Arial"/>
          <w:sz w:val="15"/>
          <w:szCs w:val="15"/>
          <w:color w:val="auto"/>
        </w:rPr>
      </w:pPr>
      <w:r>
        <w:rPr>
          <w:rFonts w:ascii="Arial" w:cs="Arial" w:eastAsia="Arial" w:hAnsi="Arial"/>
          <w:sz w:val="17"/>
          <w:szCs w:val="17"/>
          <w:b w:val="1"/>
          <w:bCs w:val="1"/>
          <w:color w:val="auto"/>
        </w:rPr>
        <w:t>We note that you present the forward looking non-GAAP measure adjusted diluted earnings per share without providing the reconciliation to the most directly comparable GAAP financial measure or the statement that providing such reconciliation requires unreasonable efforts. Refer to Item 10(e)(1) (i)(B) of Regulation S-K and the guidance in Question 102.10 of the Compliance and Disclosure Interpretations on Non-GAAP Financial Measures and revise your future filings to provide the required information.</w:t>
      </w:r>
    </w:p>
    <w:p>
      <w:pPr>
        <w:spacing w:after="0" w:line="159" w:lineRule="exact"/>
        <w:rPr>
          <w:sz w:val="24"/>
          <w:szCs w:val="24"/>
          <w:color w:val="auto"/>
        </w:rPr>
      </w:pPr>
    </w:p>
    <w:p>
      <w:pPr>
        <w:ind w:left="8"/>
        <w:spacing w:after="0"/>
        <w:rPr>
          <w:sz w:val="20"/>
          <w:szCs w:val="20"/>
          <w:color w:val="auto"/>
        </w:rPr>
      </w:pPr>
      <w:r>
        <w:rPr>
          <w:rFonts w:ascii="Arial" w:cs="Arial" w:eastAsia="Arial" w:hAnsi="Arial"/>
          <w:sz w:val="17"/>
          <w:szCs w:val="17"/>
          <w:u w:val="single" w:color="auto"/>
          <w:color w:val="auto"/>
        </w:rPr>
        <w:t>Company Response</w:t>
      </w:r>
      <w:r>
        <w:rPr>
          <w:rFonts w:ascii="Arial" w:cs="Arial" w:eastAsia="Arial" w:hAnsi="Arial"/>
          <w:sz w:val="17"/>
          <w:szCs w:val="17"/>
          <w:color w:val="auto"/>
        </w:rPr>
        <w:t>:</w:t>
      </w:r>
    </w:p>
    <w:p>
      <w:pPr>
        <w:spacing w:after="0" w:line="15" w:lineRule="exact"/>
        <w:rPr>
          <w:sz w:val="24"/>
          <w:szCs w:val="24"/>
          <w:color w:val="auto"/>
        </w:rPr>
      </w:pPr>
    </w:p>
    <w:p>
      <w:pPr>
        <w:ind w:left="8" w:right="480" w:firstLine="554"/>
        <w:spacing w:after="0" w:line="247" w:lineRule="auto"/>
        <w:rPr>
          <w:sz w:val="20"/>
          <w:szCs w:val="20"/>
          <w:color w:val="auto"/>
        </w:rPr>
      </w:pPr>
      <w:r>
        <w:rPr>
          <w:rFonts w:ascii="Arial" w:cs="Arial" w:eastAsia="Arial" w:hAnsi="Arial"/>
          <w:sz w:val="17"/>
          <w:szCs w:val="17"/>
          <w:color w:val="auto"/>
        </w:rPr>
        <w:t>The Company acknowledges the Staff’s comment noting that reconciliation to the most directly comparable GAAP financial measure for adjusted diluted earnings per share for 2018, a forward-looking non-GAAP financial measure, is not presented.</w:t>
      </w:r>
    </w:p>
    <w:p>
      <w:pPr>
        <w:sectPr>
          <w:pgSz w:w="11900" w:h="16838" w:orient="portrait"/>
          <w:cols w:equalWidth="0" w:num="1">
            <w:col w:w="11428"/>
          </w:cols>
          <w:pgMar w:left="232" w:top="1440" w:right="239" w:bottom="1440" w:gutter="0" w:footer="0" w:header="0"/>
        </w:sectPr>
      </w:pPr>
    </w:p>
    <w:bookmarkStart w:id="1" w:name="page2"/>
    <w:bookmarkEnd w:id="1"/>
    <w:p>
      <w:pPr>
        <w:ind w:left="548"/>
        <w:spacing w:after="0"/>
        <w:rPr>
          <w:sz w:val="20"/>
          <w:szCs w:val="20"/>
          <w:color w:val="auto"/>
        </w:rPr>
      </w:pPr>
      <w:r>
        <w:rPr>
          <w:rFonts w:ascii="Arial" w:cs="Arial" w:eastAsia="Arial" w:hAnsi="Arial"/>
          <w:sz w:val="17"/>
          <w:szCs w:val="17"/>
          <w:color w:val="auto"/>
        </w:rPr>
        <w:t>In future filings of our Forms 8-K and Exhibits 99.1, we will add the following disclosure:</w:t>
      </w:r>
    </w:p>
    <w:p>
      <w:pPr>
        <w:spacing w:after="0" w:line="197" w:lineRule="exact"/>
        <w:rPr>
          <w:sz w:val="20"/>
          <w:szCs w:val="20"/>
          <w:color w:val="auto"/>
        </w:rPr>
      </w:pPr>
    </w:p>
    <w:p>
      <w:pPr>
        <w:ind w:left="8" w:firstLine="554"/>
        <w:spacing w:after="0" w:line="279" w:lineRule="auto"/>
        <w:rPr>
          <w:sz w:val="20"/>
          <w:szCs w:val="20"/>
          <w:color w:val="auto"/>
        </w:rPr>
      </w:pPr>
      <w:r>
        <w:rPr>
          <w:rFonts w:ascii="Arial" w:cs="Arial" w:eastAsia="Arial" w:hAnsi="Arial"/>
          <w:sz w:val="15"/>
          <w:szCs w:val="15"/>
          <w:color w:val="auto"/>
        </w:rPr>
        <w:t>“LivaNova calculates forward-looking non-GAAP financial measures based on internal forecasts that omit certain amounts that would be included in GAAP financial measures. For example, forward-looking net sales growth projections are estimated on a constant 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 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137" w:lineRule="exact"/>
        <w:rPr>
          <w:sz w:val="20"/>
          <w:szCs w:val="20"/>
          <w:color w:val="auto"/>
        </w:rPr>
      </w:pPr>
    </w:p>
    <w:p>
      <w:pPr>
        <w:ind w:left="548" w:hanging="548"/>
        <w:spacing w:after="0" w:line="285" w:lineRule="auto"/>
        <w:tabs>
          <w:tab w:leader="none" w:pos="548" w:val="left"/>
        </w:tabs>
        <w:numPr>
          <w:ilvl w:val="0"/>
          <w:numId w:val="2"/>
        </w:numPr>
        <w:rPr>
          <w:rFonts w:ascii="Arial" w:cs="Arial" w:eastAsia="Arial" w:hAnsi="Arial"/>
          <w:sz w:val="13"/>
          <w:szCs w:val="13"/>
          <w:color w:val="auto"/>
        </w:rPr>
      </w:pPr>
      <w:r>
        <w:rPr>
          <w:rFonts w:ascii="Arial" w:cs="Arial" w:eastAsia="Arial" w:hAnsi="Arial"/>
          <w:sz w:val="15"/>
          <w:szCs w:val="15"/>
          <w:b w:val="1"/>
          <w:bCs w:val="1"/>
          <w:color w:val="auto"/>
        </w:rPr>
        <w:t>On pages 13-16 you present the reconciliations of your non-GAAP measures to the most directly comparable GAAP measures in the form of a full non-GAAP income statement, a presentation that gives greater prominence to the non-GAAP measures. Refer to the first bullet point within Question</w:t>
      </w:r>
    </w:p>
    <w:p>
      <w:pPr>
        <w:ind w:left="548"/>
        <w:spacing w:after="0"/>
        <w:rPr>
          <w:rFonts w:ascii="Arial" w:cs="Arial" w:eastAsia="Arial" w:hAnsi="Arial"/>
          <w:sz w:val="13"/>
          <w:szCs w:val="13"/>
          <w:color w:val="auto"/>
        </w:rPr>
      </w:pPr>
      <w:r>
        <w:rPr>
          <w:rFonts w:ascii="Arial" w:cs="Arial" w:eastAsia="Arial" w:hAnsi="Arial"/>
          <w:sz w:val="15"/>
          <w:szCs w:val="15"/>
          <w:b w:val="1"/>
          <w:bCs w:val="1"/>
          <w:color w:val="auto"/>
        </w:rPr>
        <w:t>102.10 of the Compliance and Disclosure Interpretations on Non-GAAP Financial Measures and revise your presentation in future filings accordingly.</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7"/>
          <w:szCs w:val="17"/>
          <w:u w:val="single" w:color="auto"/>
          <w:color w:val="auto"/>
        </w:rPr>
        <w:t>Company Response</w:t>
      </w:r>
      <w:r>
        <w:rPr>
          <w:rFonts w:ascii="Arial" w:cs="Arial" w:eastAsia="Arial" w:hAnsi="Arial"/>
          <w:sz w:val="17"/>
          <w:szCs w:val="17"/>
          <w:color w:val="auto"/>
        </w:rPr>
        <w:t>:</w:t>
      </w:r>
    </w:p>
    <w:p>
      <w:pPr>
        <w:spacing w:after="0" w:line="15" w:lineRule="exact"/>
        <w:rPr>
          <w:sz w:val="20"/>
          <w:szCs w:val="20"/>
          <w:color w:val="auto"/>
        </w:rPr>
      </w:pPr>
    </w:p>
    <w:p>
      <w:pPr>
        <w:ind w:left="8" w:right="40" w:firstLine="554"/>
        <w:spacing w:after="0" w:line="243" w:lineRule="auto"/>
        <w:rPr>
          <w:sz w:val="20"/>
          <w:szCs w:val="20"/>
          <w:color w:val="auto"/>
        </w:rPr>
      </w:pPr>
      <w:r>
        <w:rPr>
          <w:rFonts w:ascii="Arial" w:cs="Arial" w:eastAsia="Arial" w:hAnsi="Arial"/>
          <w:sz w:val="17"/>
          <w:szCs w:val="17"/>
          <w:color w:val="auto"/>
        </w:rPr>
        <w:t>The Company acknowledges the Staff’s comment. We will revise our future filings and not present a full non-GAAP income statement. Specifically, we will remove any line item not being adjusted and various other line items where the adjustment is less material. Attached hereto, as an example of our approach, are the non-GAAP reconciliations for the three and nine-month periods ended September 30, 2017.</w:t>
      </w:r>
    </w:p>
    <w:p>
      <w:pPr>
        <w:spacing w:after="0" w:line="165" w:lineRule="exact"/>
        <w:rPr>
          <w:sz w:val="20"/>
          <w:szCs w:val="20"/>
          <w:color w:val="auto"/>
        </w:rPr>
      </w:pPr>
    </w:p>
    <w:p>
      <w:pPr>
        <w:ind w:left="548"/>
        <w:spacing w:after="0"/>
        <w:rPr>
          <w:sz w:val="20"/>
          <w:szCs w:val="20"/>
          <w:color w:val="auto"/>
        </w:rPr>
      </w:pPr>
      <w:r>
        <w:rPr>
          <w:rFonts w:ascii="Arial" w:cs="Arial" w:eastAsia="Arial" w:hAnsi="Arial"/>
          <w:sz w:val="15"/>
          <w:szCs w:val="15"/>
          <w:color w:val="auto"/>
        </w:rPr>
        <w:t>Furthermore, in future filings of our Forms 8-K and Exhibits 99.1, we will enhance our description of why investors will find the non-GAAP measures useful.</w:t>
      </w:r>
    </w:p>
    <w:p>
      <w:pPr>
        <w:spacing w:after="0" w:line="38" w:lineRule="exact"/>
        <w:rPr>
          <w:sz w:val="20"/>
          <w:szCs w:val="20"/>
          <w:color w:val="auto"/>
        </w:rPr>
      </w:pPr>
    </w:p>
    <w:p>
      <w:pPr>
        <w:ind w:left="548"/>
        <w:spacing w:after="0"/>
        <w:rPr>
          <w:sz w:val="20"/>
          <w:szCs w:val="20"/>
          <w:color w:val="auto"/>
        </w:rPr>
      </w:pPr>
      <w:r>
        <w:rPr>
          <w:rFonts w:ascii="Arial" w:cs="Arial" w:eastAsia="Arial" w:hAnsi="Arial"/>
          <w:sz w:val="17"/>
          <w:szCs w:val="17"/>
          <w:color w:val="auto"/>
        </w:rPr>
        <w:t>Please feel free to contact me by telephone at +44 (0) 20 33250660 if you have any questions regarding this correspondence.</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7"/>
          <w:szCs w:val="17"/>
          <w:color w:val="auto"/>
        </w:rPr>
        <w:t>Yours sincerely,</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7"/>
          <w:szCs w:val="17"/>
          <w:u w:val="single" w:color="auto"/>
          <w:color w:val="auto"/>
        </w:rPr>
        <w:t>/s/ Thad Huston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7"/>
          <w:szCs w:val="17"/>
          <w:color w:val="auto"/>
        </w:rPr>
        <w:t>Thad Huston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8"/>
        <w:spacing w:after="0"/>
        <w:rPr>
          <w:sz w:val="20"/>
          <w:szCs w:val="20"/>
          <w:color w:val="auto"/>
        </w:rPr>
      </w:pPr>
      <w:r>
        <w:rPr>
          <w:rFonts w:ascii="Arial" w:cs="Arial" w:eastAsia="Arial" w:hAnsi="Arial"/>
          <w:sz w:val="17"/>
          <w:szCs w:val="17"/>
          <w:color w:val="auto"/>
        </w:rPr>
        <w:t>LivaNova PLC</w:t>
      </w:r>
    </w:p>
    <w:p>
      <w:pPr>
        <w:spacing w:after="0" w:line="171" w:lineRule="exact"/>
        <w:rPr>
          <w:sz w:val="20"/>
          <w:szCs w:val="20"/>
          <w:color w:val="auto"/>
        </w:rPr>
      </w:pPr>
    </w:p>
    <w:p>
      <w:pPr>
        <w:ind w:left="8"/>
        <w:spacing w:after="0"/>
        <w:tabs>
          <w:tab w:leader="none" w:pos="367" w:val="left"/>
        </w:tabs>
        <w:rPr>
          <w:sz w:val="20"/>
          <w:szCs w:val="20"/>
          <w:color w:val="auto"/>
        </w:rPr>
      </w:pPr>
      <w:r>
        <w:rPr>
          <w:rFonts w:ascii="Arial" w:cs="Arial" w:eastAsia="Arial" w:hAnsi="Arial"/>
          <w:sz w:val="17"/>
          <w:szCs w:val="17"/>
          <w:color w:val="auto"/>
        </w:rPr>
        <w:t>Cc:</w:t>
      </w:r>
      <w:r>
        <w:rPr>
          <w:sz w:val="20"/>
          <w:szCs w:val="20"/>
          <w:color w:val="auto"/>
        </w:rPr>
        <w:tab/>
      </w:r>
      <w:r>
        <w:rPr>
          <w:rFonts w:ascii="Arial" w:cs="Arial" w:eastAsia="Arial" w:hAnsi="Arial"/>
          <w:sz w:val="15"/>
          <w:szCs w:val="15"/>
          <w:color w:val="auto"/>
        </w:rPr>
        <w:t>Tara Harkins, Securities and Exchange Commission</w:t>
      </w:r>
    </w:p>
    <w:p>
      <w:pPr>
        <w:spacing w:after="0" w:line="15" w:lineRule="exact"/>
        <w:rPr>
          <w:sz w:val="20"/>
          <w:szCs w:val="20"/>
          <w:color w:val="auto"/>
        </w:rPr>
      </w:pPr>
    </w:p>
    <w:p>
      <w:pPr>
        <w:ind w:left="548"/>
        <w:spacing w:after="0"/>
        <w:rPr>
          <w:sz w:val="20"/>
          <w:szCs w:val="20"/>
          <w:color w:val="auto"/>
        </w:rPr>
      </w:pPr>
      <w:r>
        <w:rPr>
          <w:rFonts w:ascii="Arial" w:cs="Arial" w:eastAsia="Arial" w:hAnsi="Arial"/>
          <w:sz w:val="17"/>
          <w:szCs w:val="17"/>
          <w:color w:val="auto"/>
        </w:rPr>
        <w:t>Lynn Dicker, Securities and Exchange Commission</w:t>
      </w:r>
    </w:p>
    <w:p>
      <w:pPr>
        <w:spacing w:after="0" w:line="1" w:lineRule="exact"/>
        <w:rPr>
          <w:sz w:val="20"/>
          <w:szCs w:val="20"/>
          <w:color w:val="auto"/>
        </w:rPr>
      </w:pPr>
    </w:p>
    <w:p>
      <w:pPr>
        <w:ind w:left="548"/>
        <w:spacing w:after="0"/>
        <w:rPr>
          <w:sz w:val="20"/>
          <w:szCs w:val="20"/>
          <w:color w:val="auto"/>
        </w:rPr>
      </w:pPr>
      <w:r>
        <w:rPr>
          <w:rFonts w:ascii="Arial" w:cs="Arial" w:eastAsia="Arial" w:hAnsi="Arial"/>
          <w:sz w:val="17"/>
          <w:szCs w:val="17"/>
          <w:color w:val="auto"/>
        </w:rPr>
        <w:t>Christy Adams, Securities and Exchange Commission</w:t>
      </w:r>
    </w:p>
    <w:p>
      <w:pPr>
        <w:spacing w:after="0" w:line="1" w:lineRule="exact"/>
        <w:rPr>
          <w:sz w:val="20"/>
          <w:szCs w:val="20"/>
          <w:color w:val="auto"/>
        </w:rPr>
      </w:pPr>
    </w:p>
    <w:p>
      <w:pPr>
        <w:ind w:left="548"/>
        <w:spacing w:after="0"/>
        <w:rPr>
          <w:sz w:val="20"/>
          <w:szCs w:val="20"/>
          <w:color w:val="auto"/>
        </w:rPr>
      </w:pPr>
      <w:r>
        <w:rPr>
          <w:rFonts w:ascii="Arial" w:cs="Arial" w:eastAsia="Arial" w:hAnsi="Arial"/>
          <w:sz w:val="17"/>
          <w:szCs w:val="17"/>
          <w:color w:val="auto"/>
        </w:rPr>
        <w:t>Keyna Skeffington, Senior Vice President &amp; General Counsel</w:t>
      </w:r>
    </w:p>
    <w:p>
      <w:pPr>
        <w:spacing w:after="0" w:line="1" w:lineRule="exact"/>
        <w:rPr>
          <w:sz w:val="20"/>
          <w:szCs w:val="20"/>
          <w:color w:val="auto"/>
        </w:rPr>
      </w:pPr>
    </w:p>
    <w:p>
      <w:pPr>
        <w:ind w:left="548"/>
        <w:spacing w:after="0"/>
        <w:rPr>
          <w:sz w:val="20"/>
          <w:szCs w:val="20"/>
          <w:color w:val="auto"/>
        </w:rPr>
      </w:pPr>
      <w:r>
        <w:rPr>
          <w:rFonts w:ascii="Arial" w:cs="Arial" w:eastAsia="Arial" w:hAnsi="Arial"/>
          <w:sz w:val="17"/>
          <w:szCs w:val="17"/>
          <w:color w:val="auto"/>
        </w:rPr>
        <w:t>Doug Manko, Chief Accounting Officer</w:t>
      </w:r>
    </w:p>
    <w:p>
      <w:pPr>
        <w:sectPr>
          <w:pgSz w:w="11900" w:h="16838" w:orient="portrait"/>
          <w:cols w:equalWidth="0" w:num="1">
            <w:col w:w="11408"/>
          </w:cols>
          <w:pgMar w:left="232" w:top="332" w:right="259" w:bottom="1440" w:gutter="0" w:footer="0" w:header="0"/>
        </w:sectPr>
      </w:pPr>
    </w:p>
    <w:bookmarkStart w:id="2" w:name="page3"/>
    <w:bookmarkEnd w:id="2"/>
    <w:p>
      <w:pPr>
        <w:ind w:left="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257415" cy="3909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3909695"/>
                    </a:xfrm>
                    <a:prstGeom prst="rect">
                      <a:avLst/>
                    </a:prstGeom>
                    <a:noFill/>
                  </pic:spPr>
                </pic:pic>
              </a:graphicData>
            </a:graphic>
          </wp:anchor>
        </w:drawing>
        <w:t>RECONCILIATION OF GAAP TO NON-GAAP FINANCIAL MEASURES - UNAUDITED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(U.S. dollars in millions,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662"/>
              <w:spacing w:after="0"/>
              <w:rPr>
                <w:sz w:val="20"/>
                <w:szCs w:val="20"/>
                <w:color w:val="auto"/>
              </w:rPr>
            </w:pPr>
            <w:r>
              <w:rPr>
                <w:rFonts w:ascii="Arial" w:cs="Arial" w:eastAsia="Arial" w:hAnsi="Arial"/>
                <w:sz w:val="11"/>
                <w:szCs w:val="11"/>
                <w:b w:val="1"/>
                <w:bCs w:val="1"/>
                <w:color w:val="auto"/>
                <w:w w:val="89"/>
              </w:rPr>
              <w:t>Specified Items</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99339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1"/>
              <w:spacing w:after="0" w:line="122" w:lineRule="exact"/>
              <w:rPr>
                <w:sz w:val="20"/>
                <w:szCs w:val="20"/>
                <w:color w:val="auto"/>
              </w:rPr>
            </w:pPr>
            <w:r>
              <w:rPr>
                <w:rFonts w:ascii="Arial" w:cs="Arial" w:eastAsia="Arial" w:hAnsi="Arial"/>
                <w:sz w:val="11"/>
                <w:szCs w:val="11"/>
                <w:b w:val="1"/>
                <w:bCs w:val="1"/>
                <w:color w:val="auto"/>
                <w:w w:val="89"/>
              </w:rPr>
              <w:t>Depreciation</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2"/>
              </w:rPr>
              <w:t>Non-recurring</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993399"/>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96"/>
              </w:rPr>
              <w:t>Merger &amp;</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1"/>
              </w:rPr>
              <w:t>and</w:t>
            </w:r>
          </w:p>
        </w:tc>
        <w:tc>
          <w:tcPr>
            <w:tcW w:w="120" w:type="dxa"/>
            <w:vAlign w:val="bottom"/>
          </w:tcPr>
          <w:p>
            <w:pPr>
              <w:spacing w:after="0"/>
              <w:rPr>
                <w:sz w:val="10"/>
                <w:szCs w:val="10"/>
                <w:color w:val="auto"/>
              </w:rPr>
            </w:pPr>
          </w:p>
        </w:tc>
        <w:tc>
          <w:tcPr>
            <w:tcW w:w="600" w:type="dxa"/>
            <w:vAlign w:val="bottom"/>
          </w:tcPr>
          <w:p>
            <w:pPr>
              <w:jc w:val="center"/>
              <w:ind w:right="61"/>
              <w:spacing w:after="0" w:line="115" w:lineRule="exact"/>
              <w:rPr>
                <w:sz w:val="20"/>
                <w:szCs w:val="20"/>
                <w:color w:val="auto"/>
              </w:rPr>
            </w:pPr>
            <w:r>
              <w:rPr>
                <w:rFonts w:ascii="Arial" w:cs="Arial" w:eastAsia="Arial" w:hAnsi="Arial"/>
                <w:sz w:val="11"/>
                <w:szCs w:val="11"/>
                <w:b w:val="1"/>
                <w:bCs w:val="1"/>
                <w:color w:val="auto"/>
                <w:w w:val="86"/>
              </w:rPr>
              <w:t>Product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2"/>
              <w:spacing w:after="0" w:line="115" w:lineRule="exact"/>
              <w:rPr>
                <w:sz w:val="20"/>
                <w:szCs w:val="20"/>
                <w:color w:val="auto"/>
              </w:rPr>
            </w:pPr>
            <w:r>
              <w:rPr>
                <w:rFonts w:ascii="Arial" w:cs="Arial" w:eastAsia="Arial" w:hAnsi="Arial"/>
                <w:sz w:val="11"/>
                <w:szCs w:val="11"/>
                <w:b w:val="1"/>
                <w:bCs w:val="1"/>
                <w:color w:val="auto"/>
                <w:w w:val="89"/>
              </w:rPr>
              <w:t>Legal and</w:t>
            </w:r>
          </w:p>
        </w:tc>
        <w:tc>
          <w:tcPr>
            <w:tcW w:w="120" w:type="dxa"/>
            <w:vAlign w:val="bottom"/>
          </w:tcPr>
          <w:p>
            <w:pPr>
              <w:spacing w:after="0"/>
              <w:rPr>
                <w:sz w:val="10"/>
                <w:szCs w:val="10"/>
                <w:color w:val="auto"/>
              </w:rPr>
            </w:pPr>
          </w:p>
        </w:tc>
        <w:tc>
          <w:tcPr>
            <w:tcW w:w="700" w:type="dxa"/>
            <w:vAlign w:val="bottom"/>
          </w:tcPr>
          <w:p>
            <w:pPr>
              <w:jc w:val="center"/>
              <w:ind w:right="1"/>
              <w:spacing w:after="0" w:line="115" w:lineRule="exact"/>
              <w:rPr>
                <w:sz w:val="20"/>
                <w:szCs w:val="20"/>
                <w:color w:val="auto"/>
              </w:rPr>
            </w:pPr>
            <w:r>
              <w:rPr>
                <w:rFonts w:ascii="Arial" w:cs="Arial" w:eastAsia="Arial" w:hAnsi="Arial"/>
                <w:sz w:val="11"/>
                <w:szCs w:val="11"/>
                <w:b w:val="1"/>
                <w:bCs w:val="1"/>
                <w:color w:val="auto"/>
                <w:w w:val="85"/>
              </w:rPr>
              <w:t>Stock-based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4"/>
              </w:rPr>
              <w:t>Certain</w:t>
            </w:r>
          </w:p>
        </w:tc>
        <w:tc>
          <w:tcPr>
            <w:tcW w:w="480" w:type="dxa"/>
            <w:vAlign w:val="bottom"/>
            <w:tcBorders>
              <w:right w:val="single" w:sz="8" w:color="993399"/>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4"/>
              </w:rPr>
              <w:t>GAAP</w:t>
            </w: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Integration</w:t>
            </w:r>
          </w:p>
        </w:tc>
        <w:tc>
          <w:tcPr>
            <w:tcW w:w="7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Restructuring</w:t>
            </w:r>
          </w:p>
        </w:tc>
        <w:tc>
          <w:tcPr>
            <w:tcW w:w="7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9"/>
              </w:rPr>
              <w:t>Amortization</w:t>
            </w:r>
          </w:p>
        </w:tc>
        <w:tc>
          <w:tcPr>
            <w:tcW w:w="7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7"/>
              </w:rPr>
              <w:t>Remediation</w:t>
            </w: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Acquisition</w:t>
            </w:r>
          </w:p>
        </w:tc>
        <w:tc>
          <w:tcPr>
            <w:tcW w:w="100" w:type="dxa"/>
            <w:vAlign w:val="bottom"/>
          </w:tcPr>
          <w:p>
            <w:pPr>
              <w:spacing w:after="0"/>
              <w:rPr>
                <w:sz w:val="10"/>
                <w:szCs w:val="10"/>
                <w:color w:val="auto"/>
              </w:rPr>
            </w:pPr>
          </w:p>
        </w:tc>
        <w:tc>
          <w:tcPr>
            <w:tcW w:w="780" w:type="dxa"/>
            <w:vAlign w:val="bottom"/>
          </w:tcPr>
          <w:p>
            <w:pPr>
              <w:jc w:val="center"/>
              <w:ind w:right="42"/>
              <w:spacing w:after="0" w:line="115" w:lineRule="exact"/>
              <w:rPr>
                <w:sz w:val="20"/>
                <w:szCs w:val="20"/>
                <w:color w:val="auto"/>
              </w:rPr>
            </w:pPr>
            <w:r>
              <w:rPr>
                <w:rFonts w:ascii="Arial" w:cs="Arial" w:eastAsia="Arial" w:hAnsi="Arial"/>
                <w:sz w:val="11"/>
                <w:szCs w:val="11"/>
                <w:b w:val="1"/>
                <w:bCs w:val="1"/>
                <w:color w:val="auto"/>
                <w:w w:val="89"/>
              </w:rPr>
              <w:t>Contingent</w:t>
            </w:r>
          </w:p>
        </w:tc>
        <w:tc>
          <w:tcPr>
            <w:tcW w:w="8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Compensation</w:t>
            </w:r>
          </w:p>
        </w:tc>
        <w:tc>
          <w:tcPr>
            <w:tcW w:w="100" w:type="dxa"/>
            <w:vAlign w:val="bottom"/>
          </w:tcPr>
          <w:p>
            <w:pPr>
              <w:spacing w:after="0"/>
              <w:rPr>
                <w:sz w:val="10"/>
                <w:szCs w:val="10"/>
                <w:color w:val="auto"/>
              </w:rPr>
            </w:pPr>
          </w:p>
        </w:tc>
        <w:tc>
          <w:tcPr>
            <w:tcW w:w="700" w:type="dxa"/>
            <w:vAlign w:val="bottom"/>
          </w:tcPr>
          <w:p>
            <w:pPr>
              <w:jc w:val="center"/>
              <w:ind w:right="2"/>
              <w:spacing w:after="0" w:line="115" w:lineRule="exact"/>
              <w:rPr>
                <w:sz w:val="20"/>
                <w:szCs w:val="20"/>
                <w:color w:val="auto"/>
              </w:rPr>
            </w:pPr>
            <w:r>
              <w:rPr>
                <w:rFonts w:ascii="Arial" w:cs="Arial" w:eastAsia="Arial" w:hAnsi="Arial"/>
                <w:sz w:val="11"/>
                <w:szCs w:val="11"/>
                <w:b w:val="1"/>
                <w:bCs w:val="1"/>
                <w:color w:val="auto"/>
                <w:w w:val="93"/>
              </w:rPr>
              <w:t>Certain Tax</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90"/>
              </w:rPr>
              <w:t>Interest</w:t>
            </w:r>
          </w:p>
        </w:tc>
        <w:tc>
          <w:tcPr>
            <w:tcW w:w="480" w:type="dxa"/>
            <w:vAlign w:val="bottom"/>
            <w:tcBorders>
              <w:right w:val="single" w:sz="8" w:color="993399"/>
            </w:tcBorders>
          </w:tcPr>
          <w:p>
            <w:pPr>
              <w:jc w:val="right"/>
              <w:spacing w:after="0" w:line="115" w:lineRule="exact"/>
              <w:rPr>
                <w:sz w:val="20"/>
                <w:szCs w:val="20"/>
                <w:color w:val="auto"/>
              </w:rPr>
            </w:pPr>
            <w:r>
              <w:rPr>
                <w:rFonts w:ascii="Arial" w:cs="Arial" w:eastAsia="Arial" w:hAnsi="Arial"/>
                <w:sz w:val="11"/>
                <w:szCs w:val="11"/>
                <w:b w:val="1"/>
                <w:bCs w:val="1"/>
                <w:color w:val="auto"/>
                <w:w w:val="93"/>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Three Months Ended September 30, 2017</w:t>
            </w:r>
          </w:p>
        </w:tc>
        <w:tc>
          <w:tcPr>
            <w:tcW w:w="80" w:type="dxa"/>
            <w:vAlign w:val="bottom"/>
            <w:vMerge w:val="restart"/>
          </w:tcPr>
          <w:p>
            <w:pPr>
              <w:spacing w:after="0"/>
              <w:rPr>
                <w:sz w:val="10"/>
                <w:szCs w:val="10"/>
                <w:color w:val="auto"/>
              </w:rPr>
            </w:pPr>
          </w:p>
        </w:tc>
        <w:tc>
          <w:tcPr>
            <w:tcW w:w="5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7"/>
              </w:rPr>
              <w:t>Financial</w:t>
            </w:r>
          </w:p>
        </w:tc>
        <w:tc>
          <w:tcPr>
            <w:tcW w:w="100" w:type="dxa"/>
            <w:vAlign w:val="bottom"/>
          </w:tcPr>
          <w:p>
            <w:pPr>
              <w:spacing w:after="0"/>
              <w:rPr>
                <w:sz w:val="10"/>
                <w:szCs w:val="10"/>
                <w:color w:val="auto"/>
              </w:rPr>
            </w:pPr>
          </w:p>
        </w:tc>
        <w:tc>
          <w:tcPr>
            <w:tcW w:w="58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5"/>
              </w:rPr>
              <w:t>Expenses</w:t>
            </w:r>
          </w:p>
        </w:tc>
        <w:tc>
          <w:tcPr>
            <w:tcW w:w="140" w:type="dxa"/>
            <w:vAlign w:val="bottom"/>
          </w:tcPr>
          <w:p>
            <w:pPr>
              <w:spacing w:after="0"/>
              <w:rPr>
                <w:sz w:val="10"/>
                <w:szCs w:val="10"/>
                <w:color w:val="auto"/>
              </w:rPr>
            </w:pPr>
          </w:p>
        </w:tc>
        <w:tc>
          <w:tcPr>
            <w:tcW w:w="640" w:type="dxa"/>
            <w:vAlign w:val="bottom"/>
          </w:tcPr>
          <w:p>
            <w:pPr>
              <w:jc w:val="center"/>
              <w:ind w:right="81"/>
              <w:spacing w:after="0" w:line="115" w:lineRule="exact"/>
              <w:rPr>
                <w:sz w:val="20"/>
                <w:szCs w:val="20"/>
                <w:color w:val="auto"/>
              </w:rPr>
            </w:pPr>
            <w:r>
              <w:rPr>
                <w:rFonts w:ascii="Arial" w:cs="Arial" w:eastAsia="Arial" w:hAnsi="Arial"/>
                <w:sz w:val="11"/>
                <w:szCs w:val="11"/>
                <w:b w:val="1"/>
                <w:bCs w:val="1"/>
                <w:color w:val="auto"/>
                <w:w w:val="81"/>
              </w:rPr>
              <w:t>Expenses</w:t>
            </w:r>
          </w:p>
        </w:tc>
        <w:tc>
          <w:tcPr>
            <w:tcW w:w="100" w:type="dxa"/>
            <w:vAlign w:val="bottom"/>
          </w:tcPr>
          <w:p>
            <w:pPr>
              <w:spacing w:after="0"/>
              <w:rPr>
                <w:sz w:val="10"/>
                <w:szCs w:val="10"/>
                <w:color w:val="auto"/>
              </w:rPr>
            </w:pPr>
          </w:p>
        </w:tc>
        <w:tc>
          <w:tcPr>
            <w:tcW w:w="68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5"/>
              </w:rPr>
              <w:t>Expenses</w:t>
            </w:r>
          </w:p>
        </w:tc>
        <w:tc>
          <w:tcPr>
            <w:tcW w:w="120" w:type="dxa"/>
            <w:vAlign w:val="bottom"/>
          </w:tcPr>
          <w:p>
            <w:pPr>
              <w:spacing w:after="0"/>
              <w:rPr>
                <w:sz w:val="10"/>
                <w:szCs w:val="10"/>
                <w:color w:val="auto"/>
              </w:rPr>
            </w:pPr>
          </w:p>
        </w:tc>
        <w:tc>
          <w:tcPr>
            <w:tcW w:w="60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1"/>
              </w:rPr>
              <w:t>Expenses</w:t>
            </w:r>
          </w:p>
        </w:tc>
        <w:tc>
          <w:tcPr>
            <w:tcW w:w="100" w:type="dxa"/>
            <w:vAlign w:val="bottom"/>
          </w:tcPr>
          <w:p>
            <w:pPr>
              <w:spacing w:after="0"/>
              <w:rPr>
                <w:sz w:val="10"/>
                <w:szCs w:val="10"/>
                <w:color w:val="auto"/>
              </w:rPr>
            </w:pPr>
          </w:p>
        </w:tc>
        <w:tc>
          <w:tcPr>
            <w:tcW w:w="58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78"/>
              </w:rPr>
              <w:t>Costs</w:t>
            </w:r>
          </w:p>
        </w:tc>
        <w:tc>
          <w:tcPr>
            <w:tcW w:w="100" w:type="dxa"/>
            <w:vAlign w:val="bottom"/>
          </w:tcPr>
          <w:p>
            <w:pPr>
              <w:spacing w:after="0"/>
              <w:rPr>
                <w:sz w:val="10"/>
                <w:szCs w:val="10"/>
                <w:color w:val="auto"/>
              </w:rPr>
            </w:pPr>
          </w:p>
        </w:tc>
        <w:tc>
          <w:tcPr>
            <w:tcW w:w="780" w:type="dxa"/>
            <w:vAlign w:val="bottom"/>
          </w:tcPr>
          <w:p>
            <w:pPr>
              <w:jc w:val="center"/>
              <w:ind w:right="22"/>
              <w:spacing w:after="0" w:line="115" w:lineRule="exact"/>
              <w:rPr>
                <w:sz w:val="20"/>
                <w:szCs w:val="20"/>
                <w:color w:val="auto"/>
              </w:rPr>
            </w:pPr>
            <w:r>
              <w:rPr>
                <w:rFonts w:ascii="Arial" w:cs="Arial" w:eastAsia="Arial" w:hAnsi="Arial"/>
                <w:sz w:val="11"/>
                <w:szCs w:val="11"/>
                <w:b w:val="1"/>
                <w:bCs w:val="1"/>
                <w:color w:val="auto"/>
                <w:w w:val="89"/>
              </w:rPr>
              <w:t>Consideration</w:t>
            </w:r>
          </w:p>
        </w:tc>
        <w:tc>
          <w:tcPr>
            <w:tcW w:w="120" w:type="dxa"/>
            <w:vAlign w:val="bottom"/>
          </w:tcPr>
          <w:p>
            <w:pPr>
              <w:spacing w:after="0"/>
              <w:rPr>
                <w:sz w:val="10"/>
                <w:szCs w:val="10"/>
                <w:color w:val="auto"/>
              </w:rPr>
            </w:pPr>
          </w:p>
        </w:tc>
        <w:tc>
          <w:tcPr>
            <w:tcW w:w="70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78"/>
              </w:rPr>
              <w:t>Costs</w:t>
            </w:r>
          </w:p>
        </w:tc>
        <w:tc>
          <w:tcPr>
            <w:tcW w:w="100" w:type="dxa"/>
            <w:vAlign w:val="bottom"/>
          </w:tcPr>
          <w:p>
            <w:pPr>
              <w:spacing w:after="0"/>
              <w:rPr>
                <w:sz w:val="10"/>
                <w:szCs w:val="10"/>
                <w:color w:val="auto"/>
              </w:rPr>
            </w:pPr>
          </w:p>
        </w:tc>
        <w:tc>
          <w:tcPr>
            <w:tcW w:w="700" w:type="dxa"/>
            <w:vAlign w:val="bottom"/>
          </w:tcPr>
          <w:p>
            <w:pPr>
              <w:jc w:val="center"/>
              <w:ind w:right="22"/>
              <w:spacing w:after="0" w:line="115" w:lineRule="exact"/>
              <w:rPr>
                <w:sz w:val="20"/>
                <w:szCs w:val="20"/>
                <w:color w:val="auto"/>
              </w:rPr>
            </w:pPr>
            <w:r>
              <w:rPr>
                <w:rFonts w:ascii="Arial" w:cs="Arial" w:eastAsia="Arial" w:hAnsi="Arial"/>
                <w:sz w:val="11"/>
                <w:szCs w:val="11"/>
                <w:b w:val="1"/>
                <w:bCs w:val="1"/>
                <w:color w:val="auto"/>
                <w:w w:val="86"/>
              </w:rPr>
              <w:t>Adjustments</w:t>
            </w:r>
          </w:p>
        </w:tc>
        <w:tc>
          <w:tcPr>
            <w:tcW w:w="820" w:type="dxa"/>
            <w:vAlign w:val="bottom"/>
            <w:gridSpan w:val="3"/>
          </w:tcPr>
          <w:p>
            <w:pPr>
              <w:jc w:val="center"/>
              <w:ind w:right="100"/>
              <w:spacing w:after="0" w:line="115" w:lineRule="exact"/>
              <w:rPr>
                <w:sz w:val="20"/>
                <w:szCs w:val="20"/>
                <w:color w:val="auto"/>
              </w:rPr>
            </w:pPr>
            <w:r>
              <w:rPr>
                <w:rFonts w:ascii="Arial" w:cs="Arial" w:eastAsia="Arial" w:hAnsi="Arial"/>
                <w:sz w:val="11"/>
                <w:szCs w:val="11"/>
                <w:b w:val="1"/>
                <w:bCs w:val="1"/>
                <w:color w:val="auto"/>
                <w:w w:val="89"/>
              </w:rPr>
              <w:t>Adjustments</w:t>
            </w:r>
          </w:p>
        </w:tc>
        <w:tc>
          <w:tcPr>
            <w:tcW w:w="480" w:type="dxa"/>
            <w:vAlign w:val="bottom"/>
            <w:tcBorders>
              <w:right w:val="single" w:sz="8" w:color="993399"/>
            </w:tcBorders>
          </w:tcPr>
          <w:p>
            <w:pPr>
              <w:jc w:val="right"/>
              <w:spacing w:after="0" w:line="115" w:lineRule="exact"/>
              <w:rPr>
                <w:sz w:val="20"/>
                <w:szCs w:val="20"/>
                <w:color w:val="auto"/>
              </w:rPr>
            </w:pPr>
            <w:r>
              <w:rPr>
                <w:rFonts w:ascii="Arial" w:cs="Arial" w:eastAsia="Arial" w:hAnsi="Arial"/>
                <w:sz w:val="11"/>
                <w:szCs w:val="11"/>
                <w:b w:val="1"/>
                <w:bCs w:val="1"/>
                <w:color w:val="auto"/>
                <w:w w:val="92"/>
              </w:rPr>
              <w:t>Financial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6"/>
              </w:rPr>
              <w:t>Measures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rPr>
              <w:t>(A)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1"/>
              </w:rPr>
              <w:t>(B)</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rPr>
              <w:t>(C)</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rPr>
              <w:t>(D)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rPr>
              <w:t>(E)</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99"/>
              </w:rPr>
              <w:t>(F)</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rPr>
              <w:t>(G)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rPr>
              <w:t>(H)</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(I)</w:t>
            </w:r>
          </w:p>
        </w:tc>
        <w:tc>
          <w:tcPr>
            <w:tcW w:w="480" w:type="dxa"/>
            <w:vAlign w:val="bottom"/>
            <w:tcBorders>
              <w:bottom w:val="single" w:sz="8" w:color="auto"/>
              <w:right w:val="single" w:sz="8" w:color="993399"/>
            </w:tcBorders>
          </w:tcPr>
          <w:p>
            <w:pPr>
              <w:jc w:val="right"/>
              <w:spacing w:after="0"/>
              <w:rPr>
                <w:sz w:val="20"/>
                <w:szCs w:val="20"/>
                <w:color w:val="auto"/>
              </w:rPr>
            </w:pPr>
            <w:r>
              <w:rPr>
                <w:rFonts w:ascii="Arial" w:cs="Arial" w:eastAsia="Arial" w:hAnsi="Arial"/>
                <w:sz w:val="11"/>
                <w:szCs w:val="11"/>
                <w:b w:val="1"/>
                <w:bCs w:val="1"/>
                <w:color w:val="auto"/>
                <w:w w:val="86"/>
              </w:rPr>
              <w:t>Measures</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165.0</w:t>
            </w:r>
          </w:p>
        </w:tc>
        <w:tc>
          <w:tcPr>
            <w:tcW w:w="0" w:type="dxa"/>
            <w:vAlign w:val="bottom"/>
          </w:tcPr>
          <w:p>
            <w:pPr>
              <w:spacing w:after="0"/>
              <w:rPr>
                <w:sz w:val="1"/>
                <w:szCs w:val="1"/>
                <w:color w:val="auto"/>
              </w:rPr>
            </w:pPr>
          </w:p>
        </w:tc>
      </w:tr>
      <w:tr>
        <w:trPr>
          <w:trHeight w:val="231"/>
        </w:trPr>
        <w:tc>
          <w:tcPr>
            <w:tcW w:w="3260" w:type="dxa"/>
            <w:vAlign w:val="bottom"/>
            <w:gridSpan w:val="2"/>
          </w:tcPr>
          <w:p>
            <w:pPr>
              <w:ind w:left="40"/>
              <w:spacing w:after="0"/>
              <w:rPr>
                <w:sz w:val="20"/>
                <w:szCs w:val="20"/>
                <w:color w:val="auto"/>
              </w:rPr>
            </w:pPr>
            <w:r>
              <w:rPr>
                <w:rFonts w:ascii="Arial" w:cs="Arial" w:eastAsia="Arial" w:hAnsi="Arial"/>
                <w:sz w:val="12"/>
                <w:szCs w:val="12"/>
                <w:color w:val="auto"/>
              </w:rPr>
              <w:t>Selling, general and administrative</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97.2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right w:val="single" w:sz="8" w:color="993399"/>
            </w:tcBorders>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231"/>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Research and development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226"/>
        </w:trPr>
        <w:tc>
          <w:tcPr>
            <w:tcW w:w="3260" w:type="dxa"/>
            <w:vAlign w:val="bottom"/>
            <w:gridSpan w:val="2"/>
          </w:tcPr>
          <w:p>
            <w:pPr>
              <w:ind w:left="40"/>
              <w:spacing w:after="0"/>
              <w:rPr>
                <w:sz w:val="20"/>
                <w:szCs w:val="20"/>
                <w:color w:val="auto"/>
              </w:rPr>
            </w:pPr>
            <w:r>
              <w:rPr>
                <w:rFonts w:ascii="Arial" w:cs="Arial" w:eastAsia="Arial" w:hAnsi="Arial"/>
                <w:sz w:val="12"/>
                <w:szCs w:val="12"/>
                <w:color w:val="auto"/>
              </w:rPr>
              <w:t>Other operating expenses</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6"/>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Operating income from continuing operations</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0" w:type="dxa"/>
            <w:vAlign w:val="bottom"/>
          </w:tcPr>
          <w:p>
            <w:pPr>
              <w:spacing w:after="0"/>
              <w:rPr>
                <w:sz w:val="1"/>
                <w:szCs w:val="1"/>
                <w:color w:val="auto"/>
              </w:rPr>
            </w:pPr>
          </w:p>
        </w:tc>
      </w:tr>
      <w:tr>
        <w:trPr>
          <w:trHeight w:val="231"/>
        </w:trPr>
        <w:tc>
          <w:tcPr>
            <w:tcW w:w="3260" w:type="dxa"/>
            <w:vAlign w:val="bottom"/>
            <w:gridSpan w:val="2"/>
          </w:tcPr>
          <w:p>
            <w:pPr>
              <w:ind w:left="40"/>
              <w:spacing w:after="0"/>
              <w:rPr>
                <w:sz w:val="20"/>
                <w:szCs w:val="20"/>
                <w:color w:val="auto"/>
              </w:rPr>
            </w:pPr>
            <w:r>
              <w:rPr>
                <w:rFonts w:ascii="Arial" w:cs="Arial" w:eastAsia="Arial" w:hAnsi="Arial"/>
                <w:sz w:val="12"/>
                <w:szCs w:val="12"/>
                <w:color w:val="auto"/>
              </w:rPr>
              <w:t>Income tax expense</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20"/>
                <w:szCs w:val="20"/>
                <w:color w:val="auto"/>
              </w:rPr>
            </w:pPr>
          </w:p>
        </w:tc>
        <w:tc>
          <w:tcPr>
            <w:tcW w:w="480" w:type="dxa"/>
            <w:vAlign w:val="bottom"/>
            <w:tcBorders>
              <w:right w:val="single" w:sz="8" w:color="993399"/>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231"/>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Net income from continuing operations</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221"/>
        </w:trPr>
        <w:tc>
          <w:tcPr>
            <w:tcW w:w="3260" w:type="dxa"/>
            <w:vAlign w:val="bottom"/>
            <w:gridSpan w:val="2"/>
          </w:tcPr>
          <w:p>
            <w:pPr>
              <w:ind w:left="40"/>
              <w:spacing w:after="0"/>
              <w:rPr>
                <w:sz w:val="20"/>
                <w:szCs w:val="20"/>
                <w:color w:val="auto"/>
              </w:rPr>
            </w:pPr>
            <w:r>
              <w:rPr>
                <w:rFonts w:ascii="Arial" w:cs="Arial" w:eastAsia="Arial" w:hAnsi="Arial"/>
                <w:sz w:val="12"/>
                <w:szCs w:val="12"/>
                <w:color w:val="auto"/>
              </w:rPr>
              <w:t>Diluted EPS - Continuing Operations</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0.56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0.04</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0.02</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0.22</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0.02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0.07</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(0.12)</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 $</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GAAP results for the three months ended September 30, 2017 include:</w:t>
      </w:r>
    </w:p>
    <w:p>
      <w:pPr>
        <w:spacing w:after="0" w:line="39" w:lineRule="exact"/>
        <w:rPr>
          <w:sz w:val="20"/>
          <w:szCs w:val="20"/>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Merger and integration expenses related to our legacy companies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Restructuring expenses related to organizational changes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depreciation and amortization associated with purchase price accounting</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related to the 3T Heater-Cooler remediation plan</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Caisson-related acquisition costs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Contingent consideration related to acquisitions, legal expenses primarily related to 3T Heater-Cooler defense and other matters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Non-cash expenses associated with stock-based compensation costs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Primarily relates to discrete tax items and the tax impact of intercompany transactions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Primarily relates to intellectual property migration and other non-recurring impacts to interest expense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Numbers may not add precisely due to rounding.</w:t>
      </w:r>
    </w:p>
    <w:p>
      <w:pPr>
        <w:sectPr>
          <w:pgSz w:w="11900" w:h="16838" w:orient="portrait"/>
          <w:cols w:equalWidth="0" w:num="1">
            <w:col w:w="11360"/>
          </w:cols>
          <w:pgMar w:left="400" w:top="823" w:right="139" w:bottom="1440" w:gutter="0" w:footer="0" w:header="0"/>
        </w:sectPr>
      </w:pPr>
    </w:p>
    <w:bookmarkStart w:id="3" w:name="page4"/>
    <w:bookmarkEnd w:id="3"/>
    <w:p>
      <w:pPr>
        <w:ind w:left="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152400</wp:posOffset>
            </wp:positionH>
            <wp:positionV relativeFrom="page">
              <wp:posOffset>342900</wp:posOffset>
            </wp:positionV>
            <wp:extent cx="7257415" cy="445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458970"/>
                    </a:xfrm>
                    <a:prstGeom prst="rect">
                      <a:avLst/>
                    </a:prstGeom>
                    <a:noFill/>
                  </pic:spPr>
                </pic:pic>
              </a:graphicData>
            </a:graphic>
          </wp:anchor>
        </w:drawing>
        <w:t>RECONCILIATION OF GAAP TO NON-GAAP FINANCIAL MEASURES - UNAUDITED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(U.S. dollars in millions,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Specified Items</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right w:val="single" w:sz="8" w:color="99339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1"/>
              <w:spacing w:after="0" w:line="122" w:lineRule="exact"/>
              <w:rPr>
                <w:sz w:val="20"/>
                <w:szCs w:val="20"/>
                <w:color w:val="auto"/>
              </w:rPr>
            </w:pPr>
            <w:r>
              <w:rPr>
                <w:rFonts w:ascii="Arial" w:cs="Arial" w:eastAsia="Arial" w:hAnsi="Arial"/>
                <w:sz w:val="11"/>
                <w:szCs w:val="11"/>
                <w:b w:val="1"/>
                <w:bCs w:val="1"/>
                <w:color w:val="auto"/>
                <w:w w:val="89"/>
              </w:rPr>
              <w:t>Depreciation</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Non-recurring</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right w:val="single" w:sz="8" w:color="993399"/>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rPr>
              <w:t>Merger &amp;</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1"/>
              </w:rPr>
              <w:t>and</w:t>
            </w:r>
          </w:p>
        </w:tc>
        <w:tc>
          <w:tcPr>
            <w:tcW w:w="120" w:type="dxa"/>
            <w:vAlign w:val="bottom"/>
          </w:tcPr>
          <w:p>
            <w:pPr>
              <w:spacing w:after="0"/>
              <w:rPr>
                <w:sz w:val="10"/>
                <w:szCs w:val="10"/>
                <w:color w:val="auto"/>
              </w:rPr>
            </w:pPr>
          </w:p>
        </w:tc>
        <w:tc>
          <w:tcPr>
            <w:tcW w:w="600" w:type="dxa"/>
            <w:vAlign w:val="bottom"/>
          </w:tcPr>
          <w:p>
            <w:pPr>
              <w:jc w:val="center"/>
              <w:ind w:right="61"/>
              <w:spacing w:after="0" w:line="115" w:lineRule="exact"/>
              <w:rPr>
                <w:sz w:val="20"/>
                <w:szCs w:val="20"/>
                <w:color w:val="auto"/>
              </w:rPr>
            </w:pPr>
            <w:r>
              <w:rPr>
                <w:rFonts w:ascii="Arial" w:cs="Arial" w:eastAsia="Arial" w:hAnsi="Arial"/>
                <w:sz w:val="11"/>
                <w:szCs w:val="11"/>
                <w:b w:val="1"/>
                <w:bCs w:val="1"/>
                <w:color w:val="auto"/>
                <w:w w:val="86"/>
              </w:rPr>
              <w:t>Product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9"/>
              </w:rPr>
              <w:t>Legal and</w:t>
            </w:r>
          </w:p>
        </w:tc>
        <w:tc>
          <w:tcPr>
            <w:tcW w:w="100" w:type="dxa"/>
            <w:vAlign w:val="bottom"/>
          </w:tcPr>
          <w:p>
            <w:pPr>
              <w:spacing w:after="0"/>
              <w:rPr>
                <w:sz w:val="10"/>
                <w:szCs w:val="10"/>
                <w:color w:val="auto"/>
              </w:rPr>
            </w:pPr>
          </w:p>
        </w:tc>
        <w:tc>
          <w:tcPr>
            <w:tcW w:w="72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2"/>
              </w:rPr>
              <w:t>Stock-based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82"/>
              <w:spacing w:after="0" w:line="115" w:lineRule="exact"/>
              <w:rPr>
                <w:sz w:val="20"/>
                <w:szCs w:val="20"/>
                <w:color w:val="auto"/>
              </w:rPr>
            </w:pPr>
            <w:r>
              <w:rPr>
                <w:rFonts w:ascii="Arial" w:cs="Arial" w:eastAsia="Arial" w:hAnsi="Arial"/>
                <w:sz w:val="11"/>
                <w:szCs w:val="11"/>
                <w:b w:val="1"/>
                <w:bCs w:val="1"/>
                <w:color w:val="auto"/>
                <w:w w:val="94"/>
              </w:rPr>
              <w:t>Certain</w:t>
            </w:r>
          </w:p>
        </w:tc>
        <w:tc>
          <w:tcPr>
            <w:tcW w:w="80" w:type="dxa"/>
            <w:vAlign w:val="bottom"/>
          </w:tcPr>
          <w:p>
            <w:pPr>
              <w:spacing w:after="0"/>
              <w:rPr>
                <w:sz w:val="10"/>
                <w:szCs w:val="10"/>
                <w:color w:val="auto"/>
              </w:rPr>
            </w:pPr>
          </w:p>
        </w:tc>
        <w:tc>
          <w:tcPr>
            <w:tcW w:w="400" w:type="dxa"/>
            <w:vAlign w:val="bottom"/>
            <w:tcBorders>
              <w:right w:val="single" w:sz="8" w:color="993399"/>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ind w:right="59"/>
              <w:spacing w:after="0" w:line="115" w:lineRule="exact"/>
              <w:rPr>
                <w:sz w:val="20"/>
                <w:szCs w:val="20"/>
                <w:color w:val="auto"/>
              </w:rPr>
            </w:pPr>
            <w:r>
              <w:rPr>
                <w:rFonts w:ascii="Arial" w:cs="Arial" w:eastAsia="Arial" w:hAnsi="Arial"/>
                <w:sz w:val="11"/>
                <w:szCs w:val="11"/>
                <w:b w:val="1"/>
                <w:bCs w:val="1"/>
                <w:color w:val="auto"/>
                <w:w w:val="94"/>
              </w:rPr>
              <w:t>GAAP</w:t>
            </w: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Integration</w:t>
            </w:r>
          </w:p>
        </w:tc>
        <w:tc>
          <w:tcPr>
            <w:tcW w:w="7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Restructuring</w:t>
            </w:r>
          </w:p>
        </w:tc>
        <w:tc>
          <w:tcPr>
            <w:tcW w:w="7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2"/>
              </w:rPr>
              <w:t>Amortization</w:t>
            </w:r>
          </w:p>
        </w:tc>
        <w:tc>
          <w:tcPr>
            <w:tcW w:w="7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0"/>
              </w:rPr>
              <w:t>Remediation</w:t>
            </w: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Acquisition</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6"/>
              </w:rPr>
              <w:t>Contingent</w:t>
            </w:r>
          </w:p>
        </w:tc>
        <w:tc>
          <w:tcPr>
            <w:tcW w:w="8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Compensation</w:t>
            </w:r>
          </w:p>
        </w:tc>
        <w:tc>
          <w:tcPr>
            <w:tcW w:w="100" w:type="dxa"/>
            <w:vAlign w:val="bottom"/>
          </w:tcPr>
          <w:p>
            <w:pPr>
              <w:spacing w:after="0"/>
              <w:rPr>
                <w:sz w:val="10"/>
                <w:szCs w:val="10"/>
                <w:color w:val="auto"/>
              </w:rPr>
            </w:pPr>
          </w:p>
        </w:tc>
        <w:tc>
          <w:tcPr>
            <w:tcW w:w="640" w:type="dxa"/>
            <w:vAlign w:val="bottom"/>
          </w:tcPr>
          <w:p>
            <w:pPr>
              <w:jc w:val="center"/>
              <w:ind w:right="42"/>
              <w:spacing w:after="0" w:line="115" w:lineRule="exact"/>
              <w:rPr>
                <w:sz w:val="20"/>
                <w:szCs w:val="20"/>
                <w:color w:val="auto"/>
              </w:rPr>
            </w:pPr>
            <w:r>
              <w:rPr>
                <w:rFonts w:ascii="Arial" w:cs="Arial" w:eastAsia="Arial" w:hAnsi="Arial"/>
                <w:sz w:val="11"/>
                <w:szCs w:val="11"/>
                <w:b w:val="1"/>
                <w:bCs w:val="1"/>
                <w:color w:val="auto"/>
                <w:w w:val="90"/>
              </w:rPr>
              <w:t>Certain Tax</w:t>
            </w:r>
          </w:p>
        </w:tc>
        <w:tc>
          <w:tcPr>
            <w:tcW w:w="140" w:type="dxa"/>
            <w:vAlign w:val="bottom"/>
          </w:tcPr>
          <w:p>
            <w:pPr>
              <w:spacing w:after="0"/>
              <w:rPr>
                <w:sz w:val="10"/>
                <w:szCs w:val="10"/>
                <w:color w:val="auto"/>
              </w:rPr>
            </w:pPr>
          </w:p>
        </w:tc>
        <w:tc>
          <w:tcPr>
            <w:tcW w:w="580" w:type="dxa"/>
            <w:vAlign w:val="bottom"/>
          </w:tcPr>
          <w:p>
            <w:pPr>
              <w:jc w:val="center"/>
              <w:ind w:right="82"/>
              <w:spacing w:after="0" w:line="115" w:lineRule="exact"/>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0"/>
                <w:szCs w:val="10"/>
                <w:color w:val="auto"/>
              </w:rPr>
            </w:pPr>
          </w:p>
        </w:tc>
        <w:tc>
          <w:tcPr>
            <w:tcW w:w="400" w:type="dxa"/>
            <w:vAlign w:val="bottom"/>
            <w:tcBorders>
              <w:right w:val="single" w:sz="8" w:color="993399"/>
            </w:tcBorders>
          </w:tcPr>
          <w:p>
            <w:pPr>
              <w:jc w:val="right"/>
              <w:spacing w:after="0" w:line="115" w:lineRule="exact"/>
              <w:rPr>
                <w:sz w:val="20"/>
                <w:szCs w:val="20"/>
                <w:color w:val="auto"/>
              </w:rPr>
            </w:pPr>
            <w:r>
              <w:rPr>
                <w:rFonts w:ascii="Arial" w:cs="Arial" w:eastAsia="Arial" w:hAnsi="Arial"/>
                <w:sz w:val="11"/>
                <w:szCs w:val="11"/>
                <w:b w:val="1"/>
                <w:bCs w:val="1"/>
                <w:color w:val="auto"/>
                <w:w w:val="76"/>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Nine Months Ended September 30, 2017</w:t>
            </w:r>
          </w:p>
        </w:tc>
        <w:tc>
          <w:tcPr>
            <w:tcW w:w="100" w:type="dxa"/>
            <w:vAlign w:val="bottom"/>
            <w:vMerge w:val="restart"/>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7"/>
              </w:rPr>
              <w:t>Financial</w:t>
            </w:r>
          </w:p>
        </w:tc>
        <w:tc>
          <w:tcPr>
            <w:tcW w:w="100" w:type="dxa"/>
            <w:vAlign w:val="bottom"/>
          </w:tcPr>
          <w:p>
            <w:pPr>
              <w:spacing w:after="0"/>
              <w:rPr>
                <w:sz w:val="10"/>
                <w:szCs w:val="10"/>
                <w:color w:val="auto"/>
              </w:rPr>
            </w:pPr>
          </w:p>
        </w:tc>
        <w:tc>
          <w:tcPr>
            <w:tcW w:w="58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5"/>
              </w:rPr>
              <w:t>Expenses</w:t>
            </w:r>
          </w:p>
        </w:tc>
        <w:tc>
          <w:tcPr>
            <w:tcW w:w="140" w:type="dxa"/>
            <w:vAlign w:val="bottom"/>
          </w:tcPr>
          <w:p>
            <w:pPr>
              <w:spacing w:after="0"/>
              <w:rPr>
                <w:sz w:val="10"/>
                <w:szCs w:val="10"/>
                <w:color w:val="auto"/>
              </w:rPr>
            </w:pPr>
          </w:p>
        </w:tc>
        <w:tc>
          <w:tcPr>
            <w:tcW w:w="640" w:type="dxa"/>
            <w:vAlign w:val="bottom"/>
          </w:tcPr>
          <w:p>
            <w:pPr>
              <w:jc w:val="center"/>
              <w:ind w:right="81"/>
              <w:spacing w:after="0" w:line="115" w:lineRule="exact"/>
              <w:rPr>
                <w:sz w:val="20"/>
                <w:szCs w:val="20"/>
                <w:color w:val="auto"/>
              </w:rPr>
            </w:pPr>
            <w:r>
              <w:rPr>
                <w:rFonts w:ascii="Arial" w:cs="Arial" w:eastAsia="Arial" w:hAnsi="Arial"/>
                <w:sz w:val="11"/>
                <w:szCs w:val="11"/>
                <w:b w:val="1"/>
                <w:bCs w:val="1"/>
                <w:color w:val="auto"/>
                <w:w w:val="81"/>
              </w:rPr>
              <w:t>Expenses</w:t>
            </w:r>
          </w:p>
        </w:tc>
        <w:tc>
          <w:tcPr>
            <w:tcW w:w="100" w:type="dxa"/>
            <w:vAlign w:val="bottom"/>
          </w:tcPr>
          <w:p>
            <w:pPr>
              <w:spacing w:after="0"/>
              <w:rPr>
                <w:sz w:val="10"/>
                <w:szCs w:val="10"/>
                <w:color w:val="auto"/>
              </w:rPr>
            </w:pPr>
          </w:p>
        </w:tc>
        <w:tc>
          <w:tcPr>
            <w:tcW w:w="68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1"/>
              </w:rPr>
              <w:t>Expenses</w:t>
            </w:r>
          </w:p>
        </w:tc>
        <w:tc>
          <w:tcPr>
            <w:tcW w:w="120" w:type="dxa"/>
            <w:vAlign w:val="bottom"/>
          </w:tcPr>
          <w:p>
            <w:pPr>
              <w:spacing w:after="0"/>
              <w:rPr>
                <w:sz w:val="10"/>
                <w:szCs w:val="10"/>
                <w:color w:val="auto"/>
              </w:rPr>
            </w:pPr>
          </w:p>
        </w:tc>
        <w:tc>
          <w:tcPr>
            <w:tcW w:w="600" w:type="dxa"/>
            <w:vAlign w:val="bottom"/>
          </w:tcPr>
          <w:p>
            <w:pPr>
              <w:jc w:val="center"/>
              <w:ind w:right="61"/>
              <w:spacing w:after="0" w:line="115" w:lineRule="exact"/>
              <w:rPr>
                <w:sz w:val="20"/>
                <w:szCs w:val="20"/>
                <w:color w:val="auto"/>
              </w:rPr>
            </w:pPr>
            <w:r>
              <w:rPr>
                <w:rFonts w:ascii="Arial" w:cs="Arial" w:eastAsia="Arial" w:hAnsi="Arial"/>
                <w:sz w:val="11"/>
                <w:szCs w:val="11"/>
                <w:b w:val="1"/>
                <w:bCs w:val="1"/>
                <w:color w:val="auto"/>
                <w:w w:val="85"/>
              </w:rPr>
              <w:t>Expenses</w:t>
            </w:r>
          </w:p>
        </w:tc>
        <w:tc>
          <w:tcPr>
            <w:tcW w:w="140" w:type="dxa"/>
            <w:vAlign w:val="bottom"/>
          </w:tcPr>
          <w:p>
            <w:pPr>
              <w:spacing w:after="0"/>
              <w:rPr>
                <w:sz w:val="10"/>
                <w:szCs w:val="10"/>
                <w:color w:val="auto"/>
              </w:rPr>
            </w:pPr>
          </w:p>
        </w:tc>
        <w:tc>
          <w:tcPr>
            <w:tcW w:w="540" w:type="dxa"/>
            <w:vAlign w:val="bottom"/>
          </w:tcPr>
          <w:p>
            <w:pPr>
              <w:jc w:val="center"/>
              <w:ind w:right="81"/>
              <w:spacing w:after="0" w:line="115" w:lineRule="exact"/>
              <w:rPr>
                <w:sz w:val="20"/>
                <w:szCs w:val="20"/>
                <w:color w:val="auto"/>
              </w:rPr>
            </w:pPr>
            <w:r>
              <w:rPr>
                <w:rFonts w:ascii="Arial" w:cs="Arial" w:eastAsia="Arial" w:hAnsi="Arial"/>
                <w:sz w:val="11"/>
                <w:szCs w:val="11"/>
                <w:b w:val="1"/>
                <w:bCs w:val="1"/>
                <w:color w:val="auto"/>
                <w:w w:val="78"/>
              </w:rPr>
              <w:t>Costs</w:t>
            </w:r>
          </w:p>
        </w:tc>
        <w:tc>
          <w:tcPr>
            <w:tcW w:w="68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Impairment</w:t>
            </w:r>
          </w:p>
        </w:tc>
        <w:tc>
          <w:tcPr>
            <w:tcW w:w="80" w:type="dxa"/>
            <w:vAlign w:val="bottom"/>
          </w:tcPr>
          <w:p>
            <w:pPr>
              <w:spacing w:after="0"/>
              <w:rPr>
                <w:sz w:val="10"/>
                <w:szCs w:val="10"/>
                <w:color w:val="auto"/>
              </w:rPr>
            </w:pPr>
          </w:p>
        </w:tc>
        <w:tc>
          <w:tcPr>
            <w:tcW w:w="740" w:type="dxa"/>
            <w:vAlign w:val="bottom"/>
          </w:tcPr>
          <w:p>
            <w:pPr>
              <w:jc w:val="center"/>
              <w:ind w:right="21"/>
              <w:spacing w:after="0" w:line="115" w:lineRule="exact"/>
              <w:rPr>
                <w:sz w:val="20"/>
                <w:szCs w:val="20"/>
                <w:color w:val="auto"/>
              </w:rPr>
            </w:pPr>
            <w:r>
              <w:rPr>
                <w:rFonts w:ascii="Arial" w:cs="Arial" w:eastAsia="Arial" w:hAnsi="Arial"/>
                <w:sz w:val="11"/>
                <w:szCs w:val="11"/>
                <w:b w:val="1"/>
                <w:bCs w:val="1"/>
                <w:color w:val="auto"/>
                <w:w w:val="89"/>
              </w:rPr>
              <w:t>Consideration</w:t>
            </w:r>
          </w:p>
        </w:tc>
        <w:tc>
          <w:tcPr>
            <w:tcW w:w="100" w:type="dxa"/>
            <w:vAlign w:val="bottom"/>
          </w:tcPr>
          <w:p>
            <w:pPr>
              <w:spacing w:after="0"/>
              <w:rPr>
                <w:sz w:val="10"/>
                <w:szCs w:val="10"/>
                <w:color w:val="auto"/>
              </w:rPr>
            </w:pPr>
          </w:p>
        </w:tc>
        <w:tc>
          <w:tcPr>
            <w:tcW w:w="720" w:type="dxa"/>
            <w:vAlign w:val="bottom"/>
          </w:tcPr>
          <w:p>
            <w:pPr>
              <w:jc w:val="center"/>
              <w:ind w:right="41"/>
              <w:spacing w:after="0" w:line="115" w:lineRule="exact"/>
              <w:rPr>
                <w:sz w:val="20"/>
                <w:szCs w:val="20"/>
                <w:color w:val="auto"/>
              </w:rPr>
            </w:pPr>
            <w:r>
              <w:rPr>
                <w:rFonts w:ascii="Arial" w:cs="Arial" w:eastAsia="Arial" w:hAnsi="Arial"/>
                <w:sz w:val="11"/>
                <w:szCs w:val="11"/>
                <w:b w:val="1"/>
                <w:bCs w:val="1"/>
                <w:color w:val="auto"/>
                <w:w w:val="84"/>
              </w:rPr>
              <w:t>Costs</w:t>
            </w:r>
          </w:p>
        </w:tc>
        <w:tc>
          <w:tcPr>
            <w:tcW w:w="74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Adjustments</w:t>
            </w:r>
          </w:p>
        </w:tc>
        <w:tc>
          <w:tcPr>
            <w:tcW w:w="7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Adjustments</w:t>
            </w:r>
          </w:p>
        </w:tc>
        <w:tc>
          <w:tcPr>
            <w:tcW w:w="480" w:type="dxa"/>
            <w:vAlign w:val="bottom"/>
            <w:tcBorders>
              <w:right w:val="single" w:sz="8" w:color="993399"/>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2"/>
              </w:rPr>
              <w:t>Financial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6"/>
              </w:rPr>
              <w:t>Measures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rPr>
              <w:t>(A)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1"/>
              </w:rPr>
              <w:t>(B)</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rPr>
              <w:t>(C)</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rPr>
              <w:t>(D)</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rPr>
              <w:t>(E)</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(F)</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w w:val="87"/>
              </w:rPr>
              <w:t>(G)</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1"/>
              </w:rPr>
              <w:t>(H)</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rPr>
              <w:t>(I)</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88"/>
              </w:rPr>
              <w:t>(J)</w:t>
            </w:r>
          </w:p>
        </w:tc>
        <w:tc>
          <w:tcPr>
            <w:tcW w:w="480" w:type="dxa"/>
            <w:vAlign w:val="bottom"/>
            <w:tcBorders>
              <w:bottom w:val="single" w:sz="8" w:color="auto"/>
              <w:right w:val="single" w:sz="8" w:color="993399"/>
            </w:tcBorders>
            <w:gridSpan w:val="2"/>
          </w:tcPr>
          <w:p>
            <w:pPr>
              <w:jc w:val="right"/>
              <w:spacing w:after="0"/>
              <w:rPr>
                <w:sz w:val="20"/>
                <w:szCs w:val="20"/>
                <w:color w:val="auto"/>
              </w:rPr>
            </w:pPr>
            <w:r>
              <w:rPr>
                <w:rFonts w:ascii="Arial" w:cs="Arial" w:eastAsia="Arial" w:hAnsi="Arial"/>
                <w:sz w:val="11"/>
                <w:szCs w:val="11"/>
                <w:b w:val="1"/>
                <w:bCs w:val="1"/>
                <w:color w:val="auto"/>
                <w:w w:val="86"/>
              </w:rPr>
              <w:t>Measures</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34"/>
              <w:spacing w:after="0"/>
              <w:rPr>
                <w:sz w:val="20"/>
                <w:szCs w:val="20"/>
                <w:color w:val="auto"/>
              </w:rPr>
            </w:pPr>
            <w:r>
              <w:rPr>
                <w:rFonts w:ascii="Arial" w:cs="Arial" w:eastAsia="Arial" w:hAnsi="Arial"/>
                <w:sz w:val="12"/>
                <w:szCs w:val="12"/>
                <w:color w:val="auto"/>
              </w:rPr>
              <w:t>486.0</w:t>
            </w:r>
          </w:p>
        </w:tc>
        <w:tc>
          <w:tcPr>
            <w:tcW w:w="0" w:type="dxa"/>
            <w:vAlign w:val="bottom"/>
          </w:tcPr>
          <w:p>
            <w:pPr>
              <w:spacing w:after="0"/>
              <w:rPr>
                <w:sz w:val="1"/>
                <w:szCs w:val="1"/>
                <w:color w:val="auto"/>
              </w:rPr>
            </w:pPr>
          </w:p>
        </w:tc>
      </w:tr>
      <w:tr>
        <w:trPr>
          <w:trHeight w:val="226"/>
        </w:trPr>
        <w:tc>
          <w:tcPr>
            <w:tcW w:w="2780" w:type="dxa"/>
            <w:vAlign w:val="bottom"/>
            <w:gridSpan w:val="2"/>
          </w:tcPr>
          <w:p>
            <w:pPr>
              <w:ind w:left="40"/>
              <w:spacing w:after="0"/>
              <w:rPr>
                <w:sz w:val="20"/>
                <w:szCs w:val="20"/>
                <w:color w:val="auto"/>
              </w:rPr>
            </w:pPr>
            <w:r>
              <w:rPr>
                <w:rFonts w:ascii="Arial" w:cs="Arial" w:eastAsia="Arial" w:hAnsi="Arial"/>
                <w:sz w:val="12"/>
                <w:szCs w:val="12"/>
                <w:color w:val="auto"/>
              </w:rPr>
              <w:t>Selling, general and administrative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2</w:t>
            </w:r>
          </w:p>
        </w:tc>
        <w:tc>
          <w:tcPr>
            <w:tcW w:w="0" w:type="dxa"/>
            <w:vAlign w:val="bottom"/>
          </w:tcPr>
          <w:p>
            <w:pPr>
              <w:spacing w:after="0"/>
              <w:rPr>
                <w:sz w:val="1"/>
                <w:szCs w:val="1"/>
                <w:color w:val="auto"/>
              </w:rPr>
            </w:pPr>
          </w:p>
        </w:tc>
      </w:tr>
      <w:tr>
        <w:trPr>
          <w:trHeight w:val="236"/>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Research and development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4"/>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226"/>
        </w:trPr>
        <w:tc>
          <w:tcPr>
            <w:tcW w:w="2780" w:type="dxa"/>
            <w:vAlign w:val="bottom"/>
            <w:gridSpan w:val="2"/>
          </w:tcPr>
          <w:p>
            <w:pPr>
              <w:ind w:left="40"/>
              <w:spacing w:after="0"/>
              <w:rPr>
                <w:sz w:val="20"/>
                <w:szCs w:val="20"/>
                <w:color w:val="auto"/>
              </w:rPr>
            </w:pPr>
            <w:r>
              <w:rPr>
                <w:rFonts w:ascii="Arial" w:cs="Arial" w:eastAsia="Arial" w:hAnsi="Arial"/>
                <w:sz w:val="12"/>
                <w:szCs w:val="12"/>
                <w:color w:val="auto"/>
              </w:rPr>
              <w:t>Other operating expenses</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3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6"/>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Operating income from continuing operations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6.9</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28.7</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13.6</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4"/>
              <w:spacing w:after="0"/>
              <w:rPr>
                <w:sz w:val="20"/>
                <w:szCs w:val="20"/>
                <w:color w:val="auto"/>
              </w:rPr>
            </w:pPr>
            <w:r>
              <w:rPr>
                <w:rFonts w:ascii="Arial" w:cs="Arial" w:eastAsia="Arial" w:hAnsi="Arial"/>
                <w:sz w:val="12"/>
                <w:szCs w:val="12"/>
                <w:color w:val="auto"/>
              </w:rPr>
              <w:t>163.7</w:t>
            </w:r>
          </w:p>
        </w:tc>
        <w:tc>
          <w:tcPr>
            <w:tcW w:w="0" w:type="dxa"/>
            <w:vAlign w:val="bottom"/>
          </w:tcPr>
          <w:p>
            <w:pPr>
              <w:spacing w:after="0"/>
              <w:rPr>
                <w:sz w:val="1"/>
                <w:szCs w:val="1"/>
                <w:color w:val="auto"/>
              </w:rPr>
            </w:pPr>
          </w:p>
        </w:tc>
      </w:tr>
      <w:tr>
        <w:trPr>
          <w:trHeight w:val="226"/>
        </w:trPr>
        <w:tc>
          <w:tcPr>
            <w:tcW w:w="2780" w:type="dxa"/>
            <w:vAlign w:val="bottom"/>
            <w:gridSpan w:val="2"/>
          </w:tcPr>
          <w:p>
            <w:pPr>
              <w:ind w:left="40"/>
              <w:spacing w:after="0"/>
              <w:rPr>
                <w:sz w:val="20"/>
                <w:szCs w:val="20"/>
                <w:color w:val="auto"/>
              </w:rPr>
            </w:pPr>
            <w:r>
              <w:rPr>
                <w:rFonts w:ascii="Arial" w:cs="Arial" w:eastAsia="Arial" w:hAnsi="Arial"/>
                <w:sz w:val="12"/>
                <w:szCs w:val="12"/>
                <w:color w:val="auto"/>
              </w:rPr>
              <w:t>Gain on acquisition of Caisson Interventional, LLC</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3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6"/>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Foreign exchange and other gains (losses)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26"/>
        </w:trPr>
        <w:tc>
          <w:tcPr>
            <w:tcW w:w="2780" w:type="dxa"/>
            <w:vAlign w:val="bottom"/>
            <w:gridSpan w:val="2"/>
          </w:tcPr>
          <w:p>
            <w:pPr>
              <w:ind w:left="40"/>
              <w:spacing w:after="0"/>
              <w:rPr>
                <w:sz w:val="20"/>
                <w:szCs w:val="20"/>
                <w:color w:val="auto"/>
              </w:rPr>
            </w:pPr>
            <w:r>
              <w:rPr>
                <w:rFonts w:ascii="Arial" w:cs="Arial" w:eastAsia="Arial" w:hAnsi="Arial"/>
                <w:sz w:val="12"/>
                <w:szCs w:val="12"/>
                <w:color w:val="auto"/>
              </w:rPr>
              <w:t>Income tax expense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Losses from equity method investments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31"/>
        </w:trPr>
        <w:tc>
          <w:tcPr>
            <w:tcW w:w="2780" w:type="dxa"/>
            <w:vAlign w:val="bottom"/>
            <w:gridSpan w:val="2"/>
          </w:tcPr>
          <w:p>
            <w:pPr>
              <w:ind w:left="40"/>
              <w:spacing w:after="0"/>
              <w:rPr>
                <w:sz w:val="20"/>
                <w:szCs w:val="20"/>
                <w:color w:val="auto"/>
              </w:rPr>
            </w:pPr>
            <w:r>
              <w:rPr>
                <w:rFonts w:ascii="Arial" w:cs="Arial" w:eastAsia="Arial" w:hAnsi="Arial"/>
                <w:sz w:val="12"/>
                <w:szCs w:val="12"/>
                <w:color w:val="auto"/>
              </w:rPr>
              <w:t>Net income from continuing operations</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85.9</w:t>
            </w:r>
          </w:p>
        </w:tc>
        <w:tc>
          <w:tcPr>
            <w:tcW w:w="1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21.7</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(29.1)</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13.0</w:t>
            </w:r>
          </w:p>
        </w:tc>
        <w:tc>
          <w:tcPr>
            <w:tcW w:w="8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20"/>
                <w:szCs w:val="20"/>
                <w:color w:val="auto"/>
              </w:rPr>
            </w:pPr>
          </w:p>
        </w:tc>
        <w:tc>
          <w:tcPr>
            <w:tcW w:w="400" w:type="dxa"/>
            <w:vAlign w:val="bottom"/>
            <w:tcBorders>
              <w:right w:val="single" w:sz="8" w:color="993399"/>
            </w:tcBorders>
          </w:tcPr>
          <w:p>
            <w:pPr>
              <w:jc w:val="right"/>
              <w:spacing w:after="0"/>
              <w:rPr>
                <w:sz w:val="20"/>
                <w:szCs w:val="20"/>
                <w:color w:val="auto"/>
              </w:rPr>
            </w:pPr>
            <w:r>
              <w:rPr>
                <w:rFonts w:ascii="Arial" w:cs="Arial" w:eastAsia="Arial" w:hAnsi="Arial"/>
                <w:sz w:val="12"/>
                <w:szCs w:val="12"/>
                <w:color w:val="auto"/>
              </w:rPr>
              <w:t>117.4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Diluted EPS -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0.12</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34"/>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GAAP results for the nine months ended September 30, 2017 include:</w:t>
      </w:r>
    </w:p>
    <w:p>
      <w:pPr>
        <w:spacing w:after="0" w:line="39" w:lineRule="exact"/>
        <w:rPr>
          <w:sz w:val="20"/>
          <w:szCs w:val="20"/>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Merger and integration expenses related to our legacy companies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Restructuring expenses related to organizational changes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depreciation and amortization associated with purchase price accounting</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related to the 3T Heater-Cooler remediation plan</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Caisson-related acquisition costs and gain on acquisition</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Impairment of our equity-method investment in Highlife</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Contingent consideration related to acquisitions, legal expenses primarily related to 3T Heater-Cooler defense, gain on sale of Instituto Europeo di Oncologia S.R.L. and other matters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Non-cash expenses associated with stock-based compensation costs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Primarily relates to discrete tax items and the tax impact of intercompany transactions</w:t>
      </w:r>
    </w:p>
    <w:p>
      <w:pPr>
        <w:spacing w:after="0" w:line="35" w:lineRule="exact"/>
        <w:rPr>
          <w:rFonts w:ascii="Arial" w:cs="Arial" w:eastAsia="Arial" w:hAnsi="Arial"/>
          <w:sz w:val="12"/>
          <w:szCs w:val="12"/>
          <w:color w:val="auto"/>
        </w:rPr>
      </w:pPr>
    </w:p>
    <w:p>
      <w:pPr>
        <w:ind w:left="360" w:hanging="3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Primarily relates to intellectual property migration and other non-recurring impacts to interest expense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Numbers may not add precisely due to rounding.</w:t>
      </w:r>
    </w:p>
    <w:sectPr>
      <w:pgSz w:w="11900" w:h="16838" w:orient="portrait"/>
      <w:cols w:equalWidth="0" w:num="1">
        <w:col w:w="11360"/>
      </w:cols>
      <w:pgMar w:left="400" w:top="82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2019-12-08T12:37:16Z</dcterms:created>
  <dcterms:modified xsi:type="dcterms:W3CDTF">2019-12-08T12:37:16Z</dcterms:modified>
</cp:coreProperties>
</file>