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800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8000365"/>
                    </a:xfrm>
                    <a:prstGeom prst="rect">
                      <a:avLst/>
                    </a:prstGeom>
                    <a:noFill/>
                  </pic:spPr>
                </pic:pic>
              </a:graphicData>
            </a:graphic>
          </wp:anchor>
        </w:drawing>
      </w:r>
    </w:p>
    <w:p>
      <w:pPr>
        <w:spacing w:after="0" w:line="99" w:lineRule="exact"/>
        <w:rPr>
          <w:sz w:val="24"/>
          <w:szCs w:val="24"/>
          <w:color w:val="auto"/>
        </w:rPr>
      </w:pPr>
    </w:p>
    <w:p>
      <w:pPr>
        <w:sectPr>
          <w:pgSz w:w="11900" w:h="16905" w:orient="portrait"/>
          <w:cols w:equalWidth="0" w:num="2">
            <w:col w:w="2220" w:space="40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McDonald Damien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6"/>
                <w:szCs w:val="16"/>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sectPr>
          <w:pgSz w:w="11900" w:h="16905" w:orient="portrait"/>
          <w:cols w:equalWidth="0" w:num="3">
            <w:col w:w="3180" w:space="720"/>
            <w:col w:w="3121" w:space="720"/>
            <w:col w:w="3339"/>
          </w:cols>
          <w:pgMar w:left="460" w:top="215" w:right="35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W2 6LG</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60" w:type="dxa"/>
            <w:vAlign w:val="bottom"/>
            <w:gridSpan w:val="9"/>
          </w:tcPr>
          <w:p>
            <w:pPr>
              <w:ind w:left="4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1"/>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rPr>
              <w:t>3,213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105,882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w w:val="95"/>
              </w:rPr>
              <w:t>1,511</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104,371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rPr>
              <w:t>8,607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112,978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w w:val="95"/>
              </w:rPr>
              <w:t>4,046</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108,932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rPr>
              <w:t>5,119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114,051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w w:val="95"/>
              </w:rPr>
              <w:t>2,406</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111,645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rPr>
              <w:t>4,571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116,216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88"/>
              <w:spacing w:after="0"/>
              <w:rPr>
                <w:sz w:val="20"/>
                <w:szCs w:val="20"/>
                <w:color w:val="auto"/>
              </w:rPr>
            </w:pPr>
            <w:r>
              <w:rPr>
                <w:rFonts w:ascii="Times New Roman" w:cs="Times New Roman" w:eastAsia="Times New Roman" w:hAnsi="Times New Roman"/>
                <w:sz w:val="16"/>
                <w:szCs w:val="16"/>
                <w:color w:val="0000FF"/>
              </w:rPr>
              <w:t>03/30/2023</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6"/>
                <w:szCs w:val="16"/>
                <w:color w:val="0000FF"/>
                <w:w w:val="95"/>
              </w:rPr>
              <w:t>2,149</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42.71</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114,067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jc w:val="center"/>
              <w:ind w:right="47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2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00" w:type="dxa"/>
            <w:vAlign w:val="bottom"/>
          </w:tcPr>
          <w:p>
            <w:pPr>
              <w:ind w:left="140"/>
              <w:spacing w:after="0"/>
              <w:rPr>
                <w:sz w:val="20"/>
                <w:szCs w:val="20"/>
                <w:color w:val="auto"/>
              </w:rPr>
            </w:pPr>
            <w:r>
              <w:rPr>
                <w:rFonts w:ascii="Arial" w:cs="Arial" w:eastAsia="Arial" w:hAnsi="Arial"/>
                <w:sz w:val="11"/>
                <w:szCs w:val="11"/>
                <w:b w:val="1"/>
                <w:bCs w:val="1"/>
                <w:color w:val="auto"/>
              </w:rPr>
              <w:t>Execution Date,</w:t>
            </w:r>
          </w:p>
        </w:tc>
        <w:tc>
          <w:tcPr>
            <w:tcW w:w="640" w:type="dxa"/>
            <w:vAlign w:val="bottom"/>
          </w:tcPr>
          <w:p>
            <w:pPr>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tcPr>
          <w:p>
            <w:pPr>
              <w:ind w:left="14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20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ind w:right="47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3,213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3,213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01"/>
              <w:spacing w:after="0"/>
              <w:rPr>
                <w:sz w:val="20"/>
                <w:szCs w:val="20"/>
                <w:color w:val="auto"/>
              </w:rPr>
            </w:pPr>
            <w:r>
              <w:rPr>
                <w:rFonts w:ascii="Times New Roman" w:cs="Times New Roman" w:eastAsia="Times New Roman" w:hAnsi="Times New Roman"/>
                <w:sz w:val="25"/>
                <w:szCs w:val="25"/>
                <w:color w:val="0000FF"/>
                <w:w w:val="84"/>
                <w:vertAlign w:val="subscript"/>
              </w:rPr>
              <w:t>0</w:t>
            </w:r>
            <w:r>
              <w:rPr>
                <w:rFonts w:ascii="Times New Roman" w:cs="Times New Roman" w:eastAsia="Times New Roman" w:hAnsi="Times New Roman"/>
                <w:sz w:val="11"/>
                <w:szCs w:val="11"/>
                <w:color w:val="008000"/>
                <w:w w:val="84"/>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8,607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8,607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8,606</w:t>
            </w:r>
            <w:r>
              <w:rPr>
                <w:rFonts w:ascii="Times New Roman" w:cs="Times New Roman" w:eastAsia="Times New Roman" w:hAnsi="Times New Roman"/>
                <w:sz w:val="21"/>
                <w:szCs w:val="21"/>
                <w:color w:val="008000"/>
                <w:w w:val="92"/>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5,119</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5,119</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10,238</w:t>
            </w:r>
            <w:r>
              <w:rPr>
                <w:rFonts w:ascii="Times New Roman" w:cs="Times New Roman" w:eastAsia="Times New Roman" w:hAnsi="Times New Roman"/>
                <w:sz w:val="21"/>
                <w:szCs w:val="21"/>
                <w:color w:val="008000"/>
                <w:w w:val="88"/>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4,571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4,571</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13,712</w:t>
            </w:r>
            <w:r>
              <w:rPr>
                <w:rFonts w:ascii="Times New Roman" w:cs="Times New Roman" w:eastAsia="Times New Roman" w:hAnsi="Times New Roman"/>
                <w:sz w:val="21"/>
                <w:szCs w:val="21"/>
                <w:color w:val="008000"/>
                <w:w w:val="88"/>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38,416</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38,416</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38,416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19,208</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19,208</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19,208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19,208</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19,208</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19,208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38,416</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0000FF"/>
                <w:w w:val="99"/>
              </w:rPr>
              <w:t>38,416</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38,416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81,613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42.71</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03/30/2023</w:t>
            </w:r>
          </w:p>
        </w:tc>
        <w:tc>
          <w:tcPr>
            <w:tcW w:w="1200" w:type="dxa"/>
            <w:vAlign w:val="bottom"/>
          </w:tcPr>
          <w:p>
            <w:pPr>
              <w:spacing w:after="0"/>
              <w:rPr>
                <w:sz w:val="11"/>
                <w:szCs w:val="11"/>
                <w:color w:val="auto"/>
              </w:rPr>
            </w:pPr>
          </w:p>
        </w:tc>
        <w:tc>
          <w:tcPr>
            <w:tcW w:w="64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81,613</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81,613</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4"/>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-3867150</wp:posOffset>
            </wp:positionV>
            <wp:extent cx="28575" cy="3872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722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0"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1"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0"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for which occurred on March 30, 2023. The RSUs are subject to forfeiture prior to vesting in</w:t>
      </w:r>
    </w:p>
    <w:p>
      <w:pPr>
        <w:sectPr>
          <w:pgSz w:w="11900" w:h="16905"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accordance with the terms of the Plan and the award agreement.</w:t>
      </w:r>
    </w:p>
    <w:p>
      <w:pPr>
        <w:spacing w:after="0" w:line="40" w:lineRule="exact"/>
        <w:rPr>
          <w:sz w:val="20"/>
          <w:szCs w:val="20"/>
          <w:color w:val="auto"/>
        </w:rPr>
      </w:pPr>
    </w:p>
    <w:p>
      <w:pPr>
        <w:ind w:left="1" w:right="10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21" w:lineRule="exact"/>
        <w:rPr>
          <w:rFonts w:ascii="Times New Roman" w:cs="Times New Roman" w:eastAsia="Times New Roman" w:hAnsi="Times New Roman"/>
          <w:sz w:val="13"/>
          <w:szCs w:val="13"/>
          <w:color w:val="008000"/>
        </w:rPr>
      </w:pPr>
    </w:p>
    <w:p>
      <w:pPr>
        <w:ind w:left="1" w:right="16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schedule, the first vesting occurring on March 30, 2024.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right="40" w:hanging="1"/>
        <w:spacing w:after="0" w:line="285"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2023, reporting person was granted PSUs to vest or lapse on March 30, 2026 based on how the Company's free cash flow (FCF) for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1" w:right="100" w:hanging="1"/>
        <w:spacing w:after="0" w:line="23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Return on Investment Capital (ROIC) calculated for the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hanging="1"/>
        <w:spacing w:after="0" w:line="23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the Company's total shareholder return (TSR) for the three-year period beginning on January 1, 2023 and ending December 31, 2025 relative to the total shareholder return of a peer group of companies, as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right="6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stock appreciation rights (SARs) subject to a four-year vesting schedule, the first vesting occurring on March 30, 2024. The SARs are subject to forfeiture prior to vesting in accordance with the terms of the 2022 Plan and the award agreement.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0000FF"/>
              </w:rPr>
              <w:t>/s/ Sarah K. Mohr, POA</w:t>
            </w:r>
          </w:p>
        </w:tc>
        <w:tc>
          <w:tcPr>
            <w:tcW w:w="42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03/30/2023</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8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2023-04-03T17:06:30Z</dcterms:created>
  <dcterms:modified xsi:type="dcterms:W3CDTF">2023-04-03T17:06:30Z</dcterms:modified>
</cp:coreProperties>
</file>